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rPr>
          <w:rFonts w:hint="eastAsia" w:eastAsia="仿宋_GB2312"/>
          <w:color w:val="auto"/>
          <w:sz w:val="36"/>
          <w:szCs w:val="36"/>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仿宋_GB2312"/>
          <w:color w:val="auto"/>
          <w:sz w:val="36"/>
          <w:szCs w:val="36"/>
          <w:lang w:eastAsia="zh-CN"/>
        </w:rPr>
        <w:drawing>
          <wp:inline distT="0" distB="0" distL="114300" distR="114300">
            <wp:extent cx="5615305" cy="7945755"/>
            <wp:effectExtent l="0" t="0" r="4445" b="17145"/>
            <wp:docPr id="38" name="图片 38" descr="扫描全能王 2024-02-26 16.0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扫描全能王 2024-02-26 16.00_02"/>
                    <pic:cNvPicPr>
                      <a:picLocks noChangeAspect="1"/>
                    </pic:cNvPicPr>
                  </pic:nvPicPr>
                  <pic:blipFill>
                    <a:blip r:embed="rId8"/>
                    <a:stretch>
                      <a:fillRect/>
                    </a:stretch>
                  </pic:blipFill>
                  <pic:spPr>
                    <a:xfrm>
                      <a:off x="0" y="0"/>
                      <a:ext cx="5615305" cy="7945755"/>
                    </a:xfrm>
                    <a:prstGeom prst="rect">
                      <a:avLst/>
                    </a:prstGeom>
                  </pic:spPr>
                </pic:pic>
              </a:graphicData>
            </a:graphic>
          </wp:inline>
        </w:drawing>
      </w:r>
    </w:p>
    <w:p>
      <w:pPr>
        <w:pStyle w:val="24"/>
        <w:jc w:val="center"/>
        <w:outlineLvl w:val="0"/>
        <w:rPr>
          <w:rFonts w:hint="eastAsia" w:ascii="Times New Roman" w:hAnsi="Times New Roman" w:eastAsia="黑体"/>
          <w:snapToGrid w:val="0"/>
          <w:color w:val="auto"/>
          <w:sz w:val="30"/>
          <w:szCs w:val="30"/>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4"/>
        <w:gridCol w:w="2085"/>
        <w:gridCol w:w="2206"/>
        <w:gridCol w:w="2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建设项目名称</w:t>
            </w:r>
          </w:p>
        </w:tc>
        <w:tc>
          <w:tcPr>
            <w:tcW w:w="6941" w:type="dxa"/>
            <w:gridSpan w:val="3"/>
            <w:vAlign w:val="center"/>
          </w:tcPr>
          <w:p>
            <w:pPr>
              <w:adjustRightInd w:val="0"/>
              <w:snapToGrid w:val="0"/>
              <w:jc w:val="center"/>
              <w:rPr>
                <w:color w:val="auto"/>
                <w:szCs w:val="21"/>
              </w:rPr>
            </w:pPr>
            <w:r>
              <w:rPr>
                <w:rFonts w:hint="eastAsia"/>
                <w:color w:val="auto"/>
                <w:sz w:val="24"/>
                <w:szCs w:val="24"/>
                <w:lang w:val="en-US" w:eastAsia="zh-CN"/>
              </w:rPr>
              <w:t>新疆源铭强塑贸易有限公司年产5400吨塑料再生颗粒建设项目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项目代码</w:t>
            </w:r>
          </w:p>
        </w:tc>
        <w:tc>
          <w:tcPr>
            <w:tcW w:w="6941" w:type="dxa"/>
            <w:gridSpan w:val="3"/>
            <w:vAlign w:val="center"/>
          </w:tcPr>
          <w:p>
            <w:pPr>
              <w:adjustRightInd w:val="0"/>
              <w:snapToGrid w:val="0"/>
              <w:jc w:val="center"/>
              <w:rPr>
                <w:rFonts w:hint="eastAsia" w:eastAsia="宋体"/>
                <w:color w:val="auto"/>
                <w:szCs w:val="21"/>
                <w:lang w:val="en-US" w:eastAsia="zh-CN"/>
              </w:rPr>
            </w:pPr>
            <w:r>
              <w:rPr>
                <w:rFonts w:hint="eastAsia" w:eastAsia="宋体"/>
                <w:color w:val="auto"/>
                <w:sz w:val="24"/>
                <w:szCs w:val="24"/>
                <w:lang w:val="en-US" w:eastAsia="zh-CN"/>
              </w:rPr>
              <w:t>2401-652302-04-01-826615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建设单位联系人</w:t>
            </w:r>
          </w:p>
        </w:tc>
        <w:tc>
          <w:tcPr>
            <w:tcW w:w="2090" w:type="dxa"/>
            <w:vAlign w:val="center"/>
          </w:tcPr>
          <w:p>
            <w:pPr>
              <w:adjustRightInd w:val="0"/>
              <w:snapToGrid w:val="0"/>
              <w:jc w:val="center"/>
              <w:rPr>
                <w:rFonts w:hint="eastAsia" w:eastAsia="宋体"/>
                <w:color w:val="auto"/>
                <w:szCs w:val="21"/>
                <w:lang w:val="en-US" w:eastAsia="zh-CN"/>
              </w:rPr>
            </w:pPr>
            <w:r>
              <w:rPr>
                <w:rFonts w:hint="eastAsia" w:eastAsia="宋体"/>
                <w:color w:val="auto"/>
                <w:szCs w:val="21"/>
                <w:lang w:val="en-US" w:eastAsia="zh-CN"/>
              </w:rPr>
              <w:t>张泽宁</w:t>
            </w:r>
          </w:p>
        </w:tc>
        <w:tc>
          <w:tcPr>
            <w:tcW w:w="2212" w:type="dxa"/>
            <w:vAlign w:val="center"/>
          </w:tcPr>
          <w:p>
            <w:pPr>
              <w:adjustRightInd w:val="0"/>
              <w:snapToGrid w:val="0"/>
              <w:jc w:val="center"/>
              <w:rPr>
                <w:color w:val="auto"/>
              </w:rPr>
            </w:pPr>
            <w:r>
              <w:rPr>
                <w:color w:val="auto"/>
                <w:kern w:val="0"/>
                <w:sz w:val="24"/>
              </w:rPr>
              <w:t>联系方式</w:t>
            </w:r>
          </w:p>
        </w:tc>
        <w:tc>
          <w:tcPr>
            <w:tcW w:w="2639" w:type="dxa"/>
            <w:vAlign w:val="center"/>
          </w:tcPr>
          <w:p>
            <w:pPr>
              <w:adjustRightInd w:val="0"/>
              <w:snapToGrid w:val="0"/>
              <w:jc w:val="center"/>
              <w:rPr>
                <w:rFonts w:hint="default" w:eastAsia="宋体"/>
                <w:color w:val="auto"/>
                <w:kern w:val="0"/>
                <w:sz w:val="24"/>
                <w:lang w:val="en-US" w:eastAsia="zh-CN"/>
              </w:rPr>
            </w:pPr>
            <w:r>
              <w:rPr>
                <w:rFonts w:hint="default" w:eastAsia="宋体"/>
                <w:color w:val="auto"/>
                <w:kern w:val="0"/>
                <w:sz w:val="24"/>
                <w:lang w:val="en-US" w:eastAsia="zh-CN"/>
              </w:rPr>
              <w:t>13199857333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建设地点</w:t>
            </w:r>
          </w:p>
        </w:tc>
        <w:tc>
          <w:tcPr>
            <w:tcW w:w="6941" w:type="dxa"/>
            <w:gridSpan w:val="3"/>
            <w:vAlign w:val="center"/>
          </w:tcPr>
          <w:p>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新疆昌吉州阜康市苏通小微创业园4-22号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地理坐标</w:t>
            </w:r>
          </w:p>
        </w:tc>
        <w:tc>
          <w:tcPr>
            <w:tcW w:w="6941" w:type="dxa"/>
            <w:gridSpan w:val="3"/>
            <w:vAlign w:val="center"/>
          </w:tcPr>
          <w:p>
            <w:pPr>
              <w:jc w:val="center"/>
              <w:rPr>
                <w:color w:val="auto"/>
                <w:szCs w:val="21"/>
                <w:highlight w:val="yellow"/>
              </w:rPr>
            </w:pPr>
            <w:r>
              <w:rPr>
                <w:color w:val="auto"/>
                <w:kern w:val="0"/>
                <w:sz w:val="24"/>
                <w:highlight w:val="none"/>
              </w:rPr>
              <w:t>（东经87度</w:t>
            </w:r>
            <w:r>
              <w:rPr>
                <w:rFonts w:hint="eastAsia"/>
                <w:color w:val="auto"/>
                <w:kern w:val="0"/>
                <w:sz w:val="24"/>
                <w:highlight w:val="none"/>
                <w:lang w:val="en-US" w:eastAsia="zh-CN"/>
              </w:rPr>
              <w:t>49</w:t>
            </w:r>
            <w:r>
              <w:rPr>
                <w:color w:val="auto"/>
                <w:kern w:val="0"/>
                <w:sz w:val="24"/>
                <w:highlight w:val="none"/>
              </w:rPr>
              <w:t>分</w:t>
            </w:r>
            <w:r>
              <w:rPr>
                <w:rFonts w:hint="eastAsia"/>
                <w:color w:val="auto"/>
                <w:kern w:val="0"/>
                <w:sz w:val="24"/>
                <w:highlight w:val="none"/>
                <w:lang w:val="en-US" w:eastAsia="zh-CN"/>
              </w:rPr>
              <w:t>26.404</w:t>
            </w:r>
            <w:r>
              <w:rPr>
                <w:color w:val="auto"/>
                <w:kern w:val="0"/>
                <w:sz w:val="24"/>
                <w:highlight w:val="none"/>
              </w:rPr>
              <w:t>秒，北纬44度</w:t>
            </w:r>
            <w:r>
              <w:rPr>
                <w:rFonts w:hint="eastAsia"/>
                <w:color w:val="auto"/>
                <w:kern w:val="0"/>
                <w:sz w:val="24"/>
                <w:highlight w:val="none"/>
                <w:lang w:val="en-US" w:eastAsia="zh-CN"/>
              </w:rPr>
              <w:t>09</w:t>
            </w:r>
            <w:r>
              <w:rPr>
                <w:color w:val="auto"/>
                <w:kern w:val="0"/>
                <w:sz w:val="24"/>
                <w:highlight w:val="none"/>
              </w:rPr>
              <w:t>分</w:t>
            </w:r>
            <w:r>
              <w:rPr>
                <w:rFonts w:hint="eastAsia"/>
                <w:color w:val="auto"/>
                <w:kern w:val="0"/>
                <w:sz w:val="24"/>
                <w:highlight w:val="none"/>
                <w:lang w:val="en-US" w:eastAsia="zh-CN"/>
              </w:rPr>
              <w:t>23.893</w:t>
            </w:r>
            <w:r>
              <w:rPr>
                <w:color w:val="auto"/>
                <w:kern w:val="0"/>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29"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国民经济</w:t>
            </w:r>
          </w:p>
          <w:p>
            <w:pPr>
              <w:adjustRightInd w:val="0"/>
              <w:snapToGrid w:val="0"/>
              <w:jc w:val="center"/>
              <w:rPr>
                <w:color w:val="auto"/>
                <w:szCs w:val="21"/>
              </w:rPr>
            </w:pPr>
            <w:r>
              <w:rPr>
                <w:color w:val="auto"/>
                <w:kern w:val="0"/>
                <w:sz w:val="24"/>
              </w:rPr>
              <w:t>行业类别</w:t>
            </w:r>
          </w:p>
        </w:tc>
        <w:tc>
          <w:tcPr>
            <w:tcW w:w="2090" w:type="dxa"/>
            <w:vAlign w:val="center"/>
          </w:tcPr>
          <w:p>
            <w:pPr>
              <w:keepNext w:val="0"/>
              <w:keepLines w:val="0"/>
              <w:pageBreakBefore w:val="0"/>
              <w:kinsoku/>
              <w:wordWrap/>
              <w:overflowPunct/>
              <w:topLinePunct w:val="0"/>
              <w:autoSpaceDE/>
              <w:autoSpaceDN/>
              <w:bidi w:val="0"/>
              <w:adjustRightInd w:val="0"/>
              <w:snapToGrid/>
              <w:spacing w:line="240" w:lineRule="auto"/>
              <w:ind w:right="0"/>
              <w:jc w:val="both"/>
              <w:textAlignment w:val="auto"/>
              <w:rPr>
                <w:rFonts w:hint="default" w:eastAsia="宋体"/>
                <w:color w:val="auto"/>
                <w:lang w:val="en-US" w:eastAsia="zh-CN"/>
              </w:rPr>
            </w:pPr>
            <w:r>
              <w:rPr>
                <w:rFonts w:hint="eastAsia"/>
                <w:color w:val="auto"/>
              </w:rPr>
              <w:t>C</w:t>
            </w:r>
            <w:r>
              <w:rPr>
                <w:rFonts w:hint="eastAsia"/>
                <w:color w:val="auto"/>
                <w:lang w:val="en-US" w:eastAsia="zh-CN"/>
              </w:rPr>
              <w:t>4220非金属废料和碎屑加工处理</w:t>
            </w:r>
          </w:p>
        </w:tc>
        <w:tc>
          <w:tcPr>
            <w:tcW w:w="2212" w:type="dxa"/>
            <w:vAlign w:val="center"/>
          </w:tcPr>
          <w:p>
            <w:pPr>
              <w:adjustRightInd w:val="0"/>
              <w:snapToGrid w:val="0"/>
              <w:jc w:val="center"/>
              <w:rPr>
                <w:color w:val="auto"/>
                <w:kern w:val="0"/>
                <w:sz w:val="24"/>
              </w:rPr>
            </w:pPr>
            <w:bookmarkStart w:id="0" w:name="_Hlk49843745"/>
            <w:r>
              <w:rPr>
                <w:color w:val="auto"/>
                <w:kern w:val="0"/>
                <w:sz w:val="24"/>
              </w:rPr>
              <w:t>建设项目</w:t>
            </w:r>
          </w:p>
          <w:p>
            <w:pPr>
              <w:adjustRightInd w:val="0"/>
              <w:snapToGrid w:val="0"/>
              <w:jc w:val="center"/>
              <w:rPr>
                <w:color w:val="auto"/>
                <w:kern w:val="0"/>
                <w:sz w:val="24"/>
              </w:rPr>
            </w:pPr>
            <w:r>
              <w:rPr>
                <w:color w:val="auto"/>
                <w:kern w:val="0"/>
                <w:sz w:val="24"/>
              </w:rPr>
              <w:t>行业类别</w:t>
            </w:r>
            <w:bookmarkEnd w:id="0"/>
          </w:p>
        </w:tc>
        <w:tc>
          <w:tcPr>
            <w:tcW w:w="2639" w:type="dxa"/>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left="0" w:right="0" w:firstLine="0" w:firstLineChars="0"/>
              <w:textAlignment w:val="auto"/>
              <w:rPr>
                <w:rFonts w:hint="default" w:eastAsia="宋体"/>
                <w:color w:val="auto"/>
                <w:lang w:val="en-US" w:eastAsia="zh-CN"/>
              </w:rPr>
            </w:pPr>
            <w:r>
              <w:rPr>
                <w:rFonts w:hint="eastAsia" w:ascii="Times New Roman" w:hAnsi="Times New Roman" w:eastAsia="宋体" w:cs="Times New Roman"/>
                <w:color w:val="auto"/>
                <w:kern w:val="2"/>
                <w:sz w:val="21"/>
                <w:szCs w:val="24"/>
                <w:lang w:val="en-US" w:eastAsia="zh-CN" w:bidi="ar-SA"/>
              </w:rPr>
              <w:t>三十九、废弃资源综合利用42，非金属废料和碎屑加工处理422</w:t>
            </w:r>
            <w:r>
              <w:rPr>
                <w:rFonts w:hint="eastAsia" w:cs="Times New Roman"/>
                <w:color w:val="auto"/>
                <w:kern w:val="2"/>
                <w:sz w:val="21"/>
                <w:szCs w:val="24"/>
                <w:lang w:val="en-US" w:eastAsia="zh-CN" w:bidi="ar-SA"/>
              </w:rPr>
              <w:t xml:space="preserve"> </w:t>
            </w:r>
            <w:r>
              <w:rPr>
                <w:rFonts w:hint="eastAsia" w:ascii="Times New Roman" w:hAnsi="Times New Roman" w:eastAsia="宋体" w:cs="Times New Roman"/>
                <w:color w:val="auto"/>
                <w:kern w:val="2"/>
                <w:sz w:val="21"/>
                <w:szCs w:val="24"/>
                <w:lang w:val="en-US" w:eastAsia="zh-CN" w:bidi="ar-SA"/>
              </w:rPr>
              <w:t>废</w:t>
            </w:r>
            <w:r>
              <w:rPr>
                <w:rFonts w:hint="default" w:ascii="Times New Roman" w:hAnsi="Times New Roman" w:eastAsia="宋体" w:cs="Times New Roman"/>
                <w:color w:val="auto"/>
                <w:kern w:val="2"/>
                <w:sz w:val="21"/>
                <w:szCs w:val="24"/>
                <w:lang w:val="en-US" w:eastAsia="zh-CN" w:bidi="ar-SA"/>
              </w:rPr>
              <w:t>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建设性质</w:t>
            </w:r>
          </w:p>
        </w:tc>
        <w:tc>
          <w:tcPr>
            <w:tcW w:w="2090" w:type="dxa"/>
            <w:vAlign w:val="center"/>
          </w:tcPr>
          <w:p>
            <w:pPr>
              <w:adjustRightInd w:val="0"/>
              <w:snapToGrid w:val="0"/>
              <w:jc w:val="left"/>
              <w:rPr>
                <w:color w:val="auto"/>
                <w:kern w:val="0"/>
                <w:sz w:val="24"/>
              </w:rPr>
            </w:pPr>
            <w:r>
              <w:rPr>
                <w:color w:val="auto"/>
                <w:kern w:val="0"/>
                <w:sz w:val="24"/>
              </w:rPr>
              <w:t>☑新建（迁建）</w:t>
            </w:r>
          </w:p>
          <w:p>
            <w:pPr>
              <w:adjustRightInd w:val="0"/>
              <w:snapToGrid w:val="0"/>
              <w:jc w:val="left"/>
              <w:rPr>
                <w:color w:val="auto"/>
                <w:kern w:val="0"/>
                <w:sz w:val="24"/>
              </w:rPr>
            </w:pPr>
            <w:r>
              <w:rPr>
                <w:rFonts w:hint="eastAsia"/>
                <w:color w:val="auto"/>
                <w:kern w:val="0"/>
                <w:sz w:val="24"/>
                <w:lang w:eastAsia="zh-CN"/>
              </w:rPr>
              <w:t>□</w:t>
            </w:r>
            <w:r>
              <w:rPr>
                <w:color w:val="auto"/>
                <w:kern w:val="0"/>
                <w:sz w:val="24"/>
              </w:rPr>
              <w:t>改建</w:t>
            </w:r>
          </w:p>
          <w:p>
            <w:pPr>
              <w:adjustRightInd w:val="0"/>
              <w:snapToGrid w:val="0"/>
              <w:jc w:val="left"/>
              <w:rPr>
                <w:color w:val="auto"/>
                <w:kern w:val="0"/>
                <w:sz w:val="24"/>
              </w:rPr>
            </w:pPr>
            <w:r>
              <w:rPr>
                <w:rFonts w:hint="eastAsia"/>
                <w:color w:val="auto"/>
                <w:kern w:val="0"/>
                <w:sz w:val="24"/>
                <w:lang w:eastAsia="zh-CN"/>
              </w:rPr>
              <w:t>□</w:t>
            </w:r>
            <w:r>
              <w:rPr>
                <w:color w:val="auto"/>
                <w:kern w:val="0"/>
                <w:sz w:val="24"/>
              </w:rPr>
              <w:t>扩建</w:t>
            </w:r>
          </w:p>
          <w:p>
            <w:pPr>
              <w:adjustRightInd w:val="0"/>
              <w:snapToGrid w:val="0"/>
              <w:jc w:val="left"/>
              <w:rPr>
                <w:color w:val="auto"/>
                <w:kern w:val="0"/>
                <w:sz w:val="24"/>
              </w:rPr>
            </w:pPr>
            <w:r>
              <w:rPr>
                <w:rFonts w:hint="eastAsia"/>
                <w:color w:val="auto"/>
                <w:kern w:val="0"/>
                <w:sz w:val="24"/>
                <w:lang w:eastAsia="zh-CN"/>
              </w:rPr>
              <w:t>□</w:t>
            </w:r>
            <w:r>
              <w:rPr>
                <w:color w:val="auto"/>
                <w:kern w:val="0"/>
                <w:sz w:val="24"/>
              </w:rPr>
              <w:t>技术改造</w:t>
            </w:r>
          </w:p>
        </w:tc>
        <w:tc>
          <w:tcPr>
            <w:tcW w:w="2212" w:type="dxa"/>
            <w:vAlign w:val="center"/>
          </w:tcPr>
          <w:p>
            <w:pPr>
              <w:adjustRightInd w:val="0"/>
              <w:snapToGrid w:val="0"/>
              <w:jc w:val="center"/>
              <w:rPr>
                <w:color w:val="auto"/>
                <w:kern w:val="0"/>
                <w:sz w:val="24"/>
              </w:rPr>
            </w:pPr>
            <w:r>
              <w:rPr>
                <w:color w:val="auto"/>
                <w:kern w:val="0"/>
                <w:sz w:val="24"/>
              </w:rPr>
              <w:t>建设项目</w:t>
            </w:r>
          </w:p>
          <w:p>
            <w:pPr>
              <w:adjustRightInd w:val="0"/>
              <w:snapToGrid w:val="0"/>
              <w:jc w:val="center"/>
              <w:rPr>
                <w:color w:val="auto"/>
                <w:kern w:val="0"/>
                <w:sz w:val="24"/>
              </w:rPr>
            </w:pPr>
            <w:r>
              <w:rPr>
                <w:color w:val="auto"/>
                <w:kern w:val="0"/>
                <w:sz w:val="24"/>
              </w:rPr>
              <w:t>申报情形</w:t>
            </w:r>
          </w:p>
        </w:tc>
        <w:tc>
          <w:tcPr>
            <w:tcW w:w="2639" w:type="dxa"/>
            <w:vAlign w:val="center"/>
          </w:tcPr>
          <w:p>
            <w:pPr>
              <w:adjustRightInd w:val="0"/>
              <w:snapToGrid w:val="0"/>
              <w:jc w:val="left"/>
              <w:rPr>
                <w:color w:val="auto"/>
                <w:kern w:val="0"/>
                <w:sz w:val="24"/>
              </w:rPr>
            </w:pPr>
            <w:r>
              <w:rPr>
                <w:color w:val="auto"/>
                <w:kern w:val="0"/>
                <w:sz w:val="24"/>
              </w:rPr>
              <w:t xml:space="preserve">☑首次申报项目             </w:t>
            </w:r>
          </w:p>
          <w:p>
            <w:pPr>
              <w:adjustRightInd w:val="0"/>
              <w:snapToGrid w:val="0"/>
              <w:jc w:val="left"/>
              <w:rPr>
                <w:color w:val="auto"/>
                <w:kern w:val="0"/>
                <w:sz w:val="24"/>
              </w:rPr>
            </w:pPr>
            <w:r>
              <w:rPr>
                <w:rFonts w:hint="eastAsia"/>
                <w:color w:val="auto"/>
                <w:kern w:val="0"/>
                <w:sz w:val="24"/>
                <w:lang w:eastAsia="zh-CN"/>
              </w:rPr>
              <w:t>□</w:t>
            </w:r>
            <w:r>
              <w:rPr>
                <w:color w:val="auto"/>
                <w:kern w:val="0"/>
                <w:sz w:val="24"/>
              </w:rPr>
              <w:t>不予批准后再次申报项目</w:t>
            </w:r>
          </w:p>
          <w:p>
            <w:pPr>
              <w:adjustRightInd w:val="0"/>
              <w:snapToGrid w:val="0"/>
              <w:jc w:val="left"/>
              <w:rPr>
                <w:color w:val="auto"/>
                <w:kern w:val="0"/>
                <w:sz w:val="24"/>
              </w:rPr>
            </w:pPr>
            <w:r>
              <w:rPr>
                <w:rFonts w:hint="eastAsia"/>
                <w:color w:val="auto"/>
                <w:kern w:val="0"/>
                <w:sz w:val="24"/>
                <w:lang w:eastAsia="zh-CN"/>
              </w:rPr>
              <w:t>□</w:t>
            </w:r>
            <w:r>
              <w:rPr>
                <w:color w:val="auto"/>
                <w:kern w:val="0"/>
                <w:sz w:val="24"/>
              </w:rPr>
              <w:t xml:space="preserve">超五年重新审核项目     </w:t>
            </w:r>
          </w:p>
          <w:p>
            <w:pPr>
              <w:adjustRightInd w:val="0"/>
              <w:snapToGrid w:val="0"/>
              <w:jc w:val="left"/>
              <w:rPr>
                <w:color w:val="auto"/>
                <w:szCs w:val="21"/>
              </w:rPr>
            </w:pPr>
            <w:r>
              <w:rPr>
                <w:rFonts w:hint="eastAsia"/>
                <w:color w:val="auto"/>
                <w:kern w:val="0"/>
                <w:sz w:val="24"/>
                <w:lang w:eastAsia="zh-CN"/>
              </w:rPr>
              <w:t>□</w:t>
            </w:r>
            <w:r>
              <w:rPr>
                <w:color w:val="auto"/>
                <w:kern w:val="0"/>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29"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项目审批（核准/</w:t>
            </w:r>
          </w:p>
          <w:p>
            <w:pPr>
              <w:adjustRightInd w:val="0"/>
              <w:snapToGrid w:val="0"/>
              <w:jc w:val="center"/>
              <w:rPr>
                <w:color w:val="auto"/>
                <w:kern w:val="0"/>
                <w:sz w:val="24"/>
              </w:rPr>
            </w:pPr>
            <w:r>
              <w:rPr>
                <w:color w:val="auto"/>
                <w:kern w:val="0"/>
                <w:sz w:val="24"/>
              </w:rPr>
              <w:t>备案）部门（选填）</w:t>
            </w:r>
          </w:p>
        </w:tc>
        <w:tc>
          <w:tcPr>
            <w:tcW w:w="2090" w:type="dxa"/>
            <w:vAlign w:val="center"/>
          </w:tcPr>
          <w:p>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阜康市发展和改革委员会</w:t>
            </w:r>
          </w:p>
        </w:tc>
        <w:tc>
          <w:tcPr>
            <w:tcW w:w="2212" w:type="dxa"/>
            <w:vAlign w:val="center"/>
          </w:tcPr>
          <w:p>
            <w:pPr>
              <w:adjustRightInd w:val="0"/>
              <w:snapToGrid w:val="0"/>
              <w:jc w:val="left"/>
              <w:rPr>
                <w:color w:val="auto"/>
                <w:kern w:val="0"/>
                <w:sz w:val="24"/>
              </w:rPr>
            </w:pPr>
            <w:r>
              <w:rPr>
                <w:color w:val="auto"/>
                <w:kern w:val="0"/>
                <w:sz w:val="24"/>
              </w:rPr>
              <w:t>项目审批（核准/</w:t>
            </w:r>
          </w:p>
          <w:p>
            <w:pPr>
              <w:adjustRightInd w:val="0"/>
              <w:snapToGrid w:val="0"/>
              <w:jc w:val="left"/>
              <w:rPr>
                <w:color w:val="auto"/>
                <w:kern w:val="0"/>
                <w:sz w:val="24"/>
              </w:rPr>
            </w:pPr>
            <w:r>
              <w:rPr>
                <w:color w:val="auto"/>
                <w:kern w:val="0"/>
                <w:sz w:val="24"/>
              </w:rPr>
              <w:t>备案）文号（选填）</w:t>
            </w:r>
          </w:p>
          <w:p>
            <w:pPr>
              <w:rPr>
                <w:color w:val="auto"/>
              </w:rPr>
            </w:pPr>
          </w:p>
        </w:tc>
        <w:tc>
          <w:tcPr>
            <w:tcW w:w="2639" w:type="dxa"/>
            <w:vAlign w:val="center"/>
          </w:tcPr>
          <w:p>
            <w:pPr>
              <w:adjustRightInd w:val="0"/>
              <w:snapToGrid w:val="0"/>
              <w:jc w:val="center"/>
              <w:rPr>
                <w:rFonts w:hint="default" w:eastAsia="宋体"/>
                <w:color w:val="auto"/>
                <w:kern w:val="0"/>
                <w:sz w:val="24"/>
                <w:lang w:val="en-US" w:eastAsia="zh-CN"/>
              </w:rPr>
            </w:pPr>
            <w:r>
              <w:rPr>
                <w:rFonts w:hint="default" w:eastAsia="宋体"/>
                <w:color w:val="auto"/>
                <w:kern w:val="0"/>
                <w:sz w:val="24"/>
                <w:lang w:val="en-US" w:eastAsia="zh-CN"/>
              </w:rPr>
              <w:t>2401311087652300000171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总投资（万元）</w:t>
            </w:r>
          </w:p>
        </w:tc>
        <w:tc>
          <w:tcPr>
            <w:tcW w:w="2090" w:type="dxa"/>
            <w:vAlign w:val="center"/>
          </w:tcPr>
          <w:p>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550.00</w:t>
            </w:r>
          </w:p>
        </w:tc>
        <w:tc>
          <w:tcPr>
            <w:tcW w:w="2212"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环保投资（万元）</w:t>
            </w:r>
          </w:p>
        </w:tc>
        <w:tc>
          <w:tcPr>
            <w:tcW w:w="2639" w:type="dxa"/>
            <w:vAlign w:val="center"/>
          </w:tcPr>
          <w:p>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39.00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29" w:type="dxa"/>
            <w:tcMar>
              <w:top w:w="16" w:type="dxa"/>
              <w:left w:w="16" w:type="dxa"/>
              <w:right w:w="16" w:type="dxa"/>
            </w:tcMar>
            <w:vAlign w:val="center"/>
          </w:tcPr>
          <w:p>
            <w:pPr>
              <w:adjustRightInd w:val="0"/>
              <w:snapToGrid w:val="0"/>
              <w:jc w:val="center"/>
              <w:rPr>
                <w:color w:val="auto"/>
                <w:szCs w:val="21"/>
                <w:highlight w:val="yellow"/>
              </w:rPr>
            </w:pPr>
            <w:r>
              <w:rPr>
                <w:color w:val="auto"/>
                <w:kern w:val="0"/>
                <w:sz w:val="24"/>
              </w:rPr>
              <w:t>环保投资占比（%）</w:t>
            </w:r>
          </w:p>
        </w:tc>
        <w:tc>
          <w:tcPr>
            <w:tcW w:w="2090" w:type="dxa"/>
            <w:vAlign w:val="center"/>
          </w:tcPr>
          <w:p>
            <w:pPr>
              <w:adjustRightInd w:val="0"/>
              <w:snapToGrid w:val="0"/>
              <w:jc w:val="center"/>
              <w:rPr>
                <w:rFonts w:hint="default" w:eastAsia="宋体"/>
                <w:color w:val="auto"/>
                <w:kern w:val="0"/>
                <w:sz w:val="24"/>
                <w:lang w:val="en-US" w:eastAsia="zh-CN"/>
              </w:rPr>
            </w:pPr>
            <w:r>
              <w:rPr>
                <w:rFonts w:hint="eastAsia"/>
                <w:color w:val="auto"/>
                <w:kern w:val="0"/>
                <w:sz w:val="24"/>
                <w:lang w:val="en-US" w:eastAsia="zh-CN"/>
              </w:rPr>
              <w:t>7.09</w:t>
            </w:r>
          </w:p>
        </w:tc>
        <w:tc>
          <w:tcPr>
            <w:tcW w:w="2212"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施工工期</w:t>
            </w:r>
          </w:p>
        </w:tc>
        <w:tc>
          <w:tcPr>
            <w:tcW w:w="2639" w:type="dxa"/>
            <w:vAlign w:val="center"/>
          </w:tcPr>
          <w:p>
            <w:pPr>
              <w:adjustRightInd w:val="0"/>
              <w:snapToGrid w:val="0"/>
              <w:jc w:val="center"/>
              <w:rPr>
                <w:color w:val="auto"/>
                <w:kern w:val="0"/>
                <w:sz w:val="24"/>
                <w:highlight w:val="yellow"/>
              </w:rPr>
            </w:pPr>
            <w:r>
              <w:rPr>
                <w:rFonts w:hint="eastAsia"/>
                <w:color w:val="auto"/>
                <w:kern w:val="0"/>
                <w:sz w:val="24"/>
                <w:lang w:val="en-US" w:eastAsia="zh-CN"/>
              </w:rPr>
              <w:t>4</w:t>
            </w:r>
            <w:r>
              <w:rPr>
                <w:rFonts w:hint="eastAsia"/>
                <w:color w:val="auto"/>
                <w:kern w:val="0"/>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1929" w:type="dxa"/>
            <w:tcMar>
              <w:top w:w="16" w:type="dxa"/>
              <w:left w:w="16" w:type="dxa"/>
              <w:right w:w="16" w:type="dxa"/>
            </w:tcMar>
            <w:vAlign w:val="center"/>
          </w:tcPr>
          <w:p>
            <w:pPr>
              <w:adjustRightInd w:val="0"/>
              <w:snapToGrid w:val="0"/>
              <w:jc w:val="center"/>
              <w:rPr>
                <w:color w:val="auto"/>
                <w:szCs w:val="21"/>
              </w:rPr>
            </w:pPr>
            <w:r>
              <w:rPr>
                <w:color w:val="auto"/>
                <w:kern w:val="0"/>
                <w:sz w:val="24"/>
              </w:rPr>
              <w:t>是否开工建设</w:t>
            </w:r>
          </w:p>
        </w:tc>
        <w:tc>
          <w:tcPr>
            <w:tcW w:w="2090" w:type="dxa"/>
            <w:vAlign w:val="center"/>
          </w:tcPr>
          <w:p>
            <w:pPr>
              <w:adjustRightInd w:val="0"/>
              <w:snapToGrid w:val="0"/>
              <w:jc w:val="left"/>
              <w:rPr>
                <w:color w:val="auto"/>
                <w:kern w:val="0"/>
                <w:sz w:val="24"/>
              </w:rPr>
            </w:pPr>
            <w:r>
              <w:rPr>
                <w:rFonts w:hint="eastAsia"/>
                <w:color w:val="auto"/>
                <w:kern w:val="0"/>
                <w:sz w:val="24"/>
                <w:lang w:eastAsia="zh-CN"/>
              </w:rPr>
              <w:sym w:font="Wingdings 2" w:char="0052"/>
            </w:r>
            <w:r>
              <w:rPr>
                <w:color w:val="auto"/>
                <w:kern w:val="0"/>
                <w:sz w:val="24"/>
              </w:rPr>
              <w:t>否</w:t>
            </w:r>
          </w:p>
          <w:p>
            <w:pPr>
              <w:adjustRightInd w:val="0"/>
              <w:snapToGrid w:val="0"/>
              <w:jc w:val="left"/>
              <w:rPr>
                <w:color w:val="auto"/>
                <w:kern w:val="0"/>
                <w:sz w:val="24"/>
              </w:rPr>
            </w:pPr>
            <w:r>
              <w:rPr>
                <w:color w:val="auto"/>
                <w:kern w:val="0"/>
                <w:sz w:val="24"/>
              </w:rPr>
              <w:sym w:font="Wingdings 2" w:char="00A3"/>
            </w:r>
            <w:r>
              <w:rPr>
                <w:color w:val="auto"/>
                <w:kern w:val="0"/>
                <w:sz w:val="24"/>
              </w:rPr>
              <w:t xml:space="preserve">是：             </w:t>
            </w:r>
          </w:p>
        </w:tc>
        <w:tc>
          <w:tcPr>
            <w:tcW w:w="2212" w:type="dxa"/>
            <w:tcMar>
              <w:top w:w="16" w:type="dxa"/>
              <w:left w:w="16" w:type="dxa"/>
              <w:right w:w="16" w:type="dxa"/>
            </w:tcMar>
            <w:vAlign w:val="center"/>
          </w:tcPr>
          <w:p>
            <w:pPr>
              <w:adjustRightInd w:val="0"/>
              <w:snapToGrid w:val="0"/>
              <w:jc w:val="center"/>
              <w:rPr>
                <w:color w:val="auto"/>
                <w:kern w:val="0"/>
                <w:sz w:val="24"/>
              </w:rPr>
            </w:pPr>
            <w:r>
              <w:rPr>
                <w:color w:val="auto"/>
                <w:kern w:val="0"/>
                <w:sz w:val="24"/>
              </w:rPr>
              <w:t>用地（用海）</w:t>
            </w:r>
          </w:p>
          <w:p>
            <w:pPr>
              <w:adjustRightInd w:val="0"/>
              <w:snapToGrid w:val="0"/>
              <w:jc w:val="center"/>
              <w:rPr>
                <w:color w:val="auto"/>
                <w:kern w:val="0"/>
                <w:sz w:val="24"/>
                <w:highlight w:val="yellow"/>
              </w:rPr>
            </w:pPr>
            <w:r>
              <w:rPr>
                <w:color w:val="auto"/>
                <w:kern w:val="0"/>
                <w:sz w:val="24"/>
              </w:rPr>
              <w:t>面积（m</w:t>
            </w:r>
            <w:r>
              <w:rPr>
                <w:color w:val="auto"/>
                <w:kern w:val="0"/>
                <w:sz w:val="24"/>
                <w:vertAlign w:val="superscript"/>
              </w:rPr>
              <w:t>2</w:t>
            </w:r>
            <w:r>
              <w:rPr>
                <w:color w:val="auto"/>
                <w:kern w:val="0"/>
                <w:sz w:val="24"/>
              </w:rPr>
              <w:t>）</w:t>
            </w:r>
          </w:p>
        </w:tc>
        <w:tc>
          <w:tcPr>
            <w:tcW w:w="2639" w:type="dxa"/>
            <w:vAlign w:val="center"/>
          </w:tcPr>
          <w:p>
            <w:pPr>
              <w:adjustRightInd w:val="0"/>
              <w:snapToGrid w:val="0"/>
              <w:jc w:val="center"/>
              <w:rPr>
                <w:rFonts w:hint="default" w:eastAsia="宋体"/>
                <w:color w:val="auto"/>
                <w:kern w:val="0"/>
                <w:sz w:val="24"/>
                <w:highlight w:val="yellow"/>
                <w:lang w:val="en-US" w:eastAsia="zh-CN"/>
              </w:rPr>
            </w:pPr>
            <w:r>
              <w:rPr>
                <w:rFonts w:hint="eastAsia"/>
                <w:color w:val="auto"/>
                <w:kern w:val="0"/>
                <w:sz w:val="24"/>
                <w:lang w:val="en-US" w:eastAsia="zh-CN"/>
              </w:rPr>
              <w:t>3200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29" w:type="dxa"/>
            <w:vAlign w:val="center"/>
          </w:tcPr>
          <w:p>
            <w:pPr>
              <w:autoSpaceDE w:val="0"/>
              <w:autoSpaceDN w:val="0"/>
              <w:adjustRightInd w:val="0"/>
              <w:snapToGrid w:val="0"/>
              <w:jc w:val="center"/>
              <w:rPr>
                <w:color w:val="auto"/>
                <w:kern w:val="0"/>
                <w:szCs w:val="21"/>
              </w:rPr>
            </w:pPr>
            <w:r>
              <w:rPr>
                <w:color w:val="auto"/>
                <w:kern w:val="0"/>
                <w:sz w:val="24"/>
              </w:rPr>
              <w:t>专项评价设置情况</w:t>
            </w:r>
          </w:p>
        </w:tc>
        <w:tc>
          <w:tcPr>
            <w:tcW w:w="6941" w:type="dxa"/>
            <w:gridSpan w:val="3"/>
            <w:vAlign w:val="center"/>
          </w:tcPr>
          <w:p>
            <w:pPr>
              <w:autoSpaceDE w:val="0"/>
              <w:autoSpaceDN w:val="0"/>
              <w:adjustRightInd w:val="0"/>
              <w:snapToGrid w:val="0"/>
              <w:jc w:val="center"/>
              <w:rPr>
                <w:color w:val="auto"/>
                <w:kern w:val="0"/>
                <w:szCs w:val="21"/>
              </w:rPr>
            </w:pPr>
            <w:r>
              <w:rPr>
                <w:color w:val="auto"/>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929" w:type="dxa"/>
            <w:vAlign w:val="center"/>
          </w:tcPr>
          <w:p>
            <w:pPr>
              <w:autoSpaceDE w:val="0"/>
              <w:autoSpaceDN w:val="0"/>
              <w:adjustRightInd w:val="0"/>
              <w:snapToGrid w:val="0"/>
              <w:jc w:val="center"/>
              <w:rPr>
                <w:color w:val="auto"/>
                <w:kern w:val="0"/>
                <w:szCs w:val="21"/>
              </w:rPr>
            </w:pPr>
            <w:r>
              <w:rPr>
                <w:color w:val="auto"/>
                <w:kern w:val="0"/>
                <w:sz w:val="24"/>
              </w:rPr>
              <w:t>规划情况</w:t>
            </w:r>
          </w:p>
        </w:tc>
        <w:tc>
          <w:tcPr>
            <w:tcW w:w="6941"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kern w:val="0"/>
                <w:sz w:val="24"/>
                <w:szCs w:val="24"/>
                <w:lang w:val="en-US" w:eastAsia="zh-CN"/>
              </w:rPr>
            </w:pPr>
            <w:r>
              <w:rPr>
                <w:rFonts w:hint="eastAsia"/>
                <w:b/>
                <w:bCs/>
                <w:color w:val="auto"/>
                <w:kern w:val="0"/>
                <w:sz w:val="24"/>
                <w:szCs w:val="24"/>
                <w:lang w:val="en-US" w:eastAsia="zh-CN"/>
              </w:rPr>
              <w:t>规划文件：</w:t>
            </w:r>
            <w:r>
              <w:rPr>
                <w:rFonts w:hint="eastAsia"/>
                <w:color w:val="auto"/>
                <w:kern w:val="0"/>
                <w:sz w:val="24"/>
                <w:szCs w:val="24"/>
                <w:lang w:val="en-US" w:eastAsia="zh-CN"/>
              </w:rPr>
              <w:t>《甘泉堡工业园总体规划（2016-2030年）（2016修订稿）》</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olor w:val="auto"/>
                <w:kern w:val="0"/>
                <w:sz w:val="24"/>
                <w:szCs w:val="24"/>
                <w:lang w:val="en-US" w:eastAsia="zh-CN"/>
              </w:rPr>
            </w:pPr>
            <w:r>
              <w:rPr>
                <w:rFonts w:hint="eastAsia"/>
                <w:b/>
                <w:bCs/>
                <w:color w:val="auto"/>
                <w:kern w:val="0"/>
                <w:sz w:val="24"/>
                <w:szCs w:val="24"/>
                <w:lang w:val="en-US" w:eastAsia="zh-CN"/>
              </w:rPr>
              <w:t>审批机关：</w:t>
            </w:r>
            <w:r>
              <w:rPr>
                <w:rFonts w:hint="eastAsia"/>
                <w:color w:val="auto"/>
                <w:kern w:val="0"/>
                <w:sz w:val="24"/>
                <w:szCs w:val="24"/>
                <w:lang w:val="en-US" w:eastAsia="zh-CN"/>
              </w:rPr>
              <w:t>新疆维吾尔自治区人民政府</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color w:val="auto"/>
                <w:kern w:val="0"/>
                <w:szCs w:val="21"/>
              </w:rPr>
            </w:pPr>
            <w:r>
              <w:rPr>
                <w:rFonts w:hint="eastAsia"/>
                <w:b/>
                <w:bCs/>
                <w:color w:val="auto"/>
                <w:kern w:val="0"/>
                <w:sz w:val="24"/>
                <w:szCs w:val="24"/>
                <w:lang w:val="en-US" w:eastAsia="zh-CN"/>
              </w:rPr>
              <w:t>审批文件名称及文号：</w:t>
            </w:r>
            <w:r>
              <w:rPr>
                <w:rFonts w:hint="eastAsia"/>
                <w:color w:val="auto"/>
                <w:kern w:val="0"/>
                <w:sz w:val="24"/>
                <w:szCs w:val="24"/>
                <w:lang w:val="en-US" w:eastAsia="zh-CN"/>
              </w:rPr>
              <w:t>《关于甘泉堡工业园总体规划（2016-2030年）的批复》（新政函〔2017〕42号）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29" w:type="dxa"/>
            <w:vAlign w:val="center"/>
          </w:tcPr>
          <w:p>
            <w:pPr>
              <w:autoSpaceDE w:val="0"/>
              <w:autoSpaceDN w:val="0"/>
              <w:adjustRightInd w:val="0"/>
              <w:snapToGrid w:val="0"/>
              <w:jc w:val="center"/>
              <w:rPr>
                <w:color w:val="auto"/>
                <w:kern w:val="0"/>
                <w:sz w:val="24"/>
              </w:rPr>
            </w:pPr>
            <w:r>
              <w:rPr>
                <w:color w:val="auto"/>
                <w:kern w:val="0"/>
                <w:sz w:val="24"/>
              </w:rPr>
              <w:t>规划环境影响</w:t>
            </w:r>
          </w:p>
          <w:p>
            <w:pPr>
              <w:autoSpaceDE w:val="0"/>
              <w:autoSpaceDN w:val="0"/>
              <w:adjustRightInd w:val="0"/>
              <w:snapToGrid w:val="0"/>
              <w:jc w:val="center"/>
              <w:rPr>
                <w:color w:val="auto"/>
                <w:kern w:val="0"/>
                <w:szCs w:val="21"/>
              </w:rPr>
            </w:pPr>
            <w:r>
              <w:rPr>
                <w:color w:val="auto"/>
                <w:kern w:val="0"/>
                <w:sz w:val="24"/>
              </w:rPr>
              <w:t>评价情况</w:t>
            </w:r>
          </w:p>
        </w:tc>
        <w:tc>
          <w:tcPr>
            <w:tcW w:w="6941" w:type="dxa"/>
            <w:gridSpan w:val="3"/>
            <w:vAlign w:val="center"/>
          </w:tcPr>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left"/>
              <w:textAlignment w:val="auto"/>
              <w:rPr>
                <w:rFonts w:hint="default" w:ascii="Times New Roman" w:hAnsi="Times New Roman" w:eastAsia="宋体" w:cstheme="minorBidi"/>
                <w:b w:val="0"/>
                <w:bCs/>
                <w:color w:val="auto"/>
                <w:kern w:val="2"/>
                <w:sz w:val="24"/>
                <w:szCs w:val="24"/>
                <w:lang w:val="en-US" w:eastAsia="zh-CN" w:bidi="ar-SA"/>
              </w:rPr>
            </w:pPr>
            <w:r>
              <w:rPr>
                <w:b/>
                <w:bCs w:val="0"/>
                <w:color w:val="auto"/>
                <w:kern w:val="0"/>
                <w:sz w:val="24"/>
                <w:szCs w:val="24"/>
              </w:rPr>
              <w:t>规划环境影响评价文件：</w:t>
            </w:r>
            <w:r>
              <w:rPr>
                <w:rFonts w:hint="default" w:ascii="Times New Roman" w:hAnsi="Times New Roman" w:eastAsia="宋体" w:cstheme="minorBidi"/>
                <w:b w:val="0"/>
                <w:bCs/>
                <w:color w:val="auto"/>
                <w:kern w:val="2"/>
                <w:sz w:val="24"/>
                <w:szCs w:val="24"/>
                <w:lang w:val="en-US" w:eastAsia="zh-CN" w:bidi="ar-SA"/>
              </w:rPr>
              <w:t>《甘泉堡工业园总体规划（2016-2030年）环境影响报告书》</w:t>
            </w:r>
          </w:p>
          <w:p>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right="0" w:firstLine="0" w:firstLineChars="0"/>
              <w:jc w:val="left"/>
              <w:textAlignment w:val="auto"/>
              <w:rPr>
                <w:rFonts w:hint="default" w:ascii="Times New Roman" w:hAnsi="Times New Roman" w:eastAsia="宋体" w:cstheme="minorBidi"/>
                <w:b w:val="0"/>
                <w:bCs/>
                <w:color w:val="auto"/>
                <w:kern w:val="2"/>
                <w:sz w:val="24"/>
                <w:szCs w:val="24"/>
                <w:lang w:val="en-US" w:eastAsia="zh-CN" w:bidi="ar-SA"/>
              </w:rPr>
            </w:pPr>
            <w:r>
              <w:rPr>
                <w:b/>
                <w:bCs w:val="0"/>
                <w:color w:val="auto"/>
                <w:kern w:val="0"/>
                <w:sz w:val="24"/>
                <w:szCs w:val="24"/>
              </w:rPr>
              <w:t>召集审查机关：</w:t>
            </w:r>
            <w:r>
              <w:rPr>
                <w:b w:val="0"/>
                <w:bCs/>
                <w:color w:val="auto"/>
                <w:kern w:val="0"/>
                <w:sz w:val="24"/>
                <w:szCs w:val="24"/>
              </w:rPr>
              <w:t>原新疆维吾尔自治区环境保护厅</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color w:val="auto"/>
                <w:kern w:val="0"/>
                <w:szCs w:val="21"/>
              </w:rPr>
            </w:pPr>
            <w:r>
              <w:rPr>
                <w:b/>
                <w:bCs w:val="0"/>
                <w:color w:val="auto"/>
                <w:kern w:val="0"/>
                <w:sz w:val="24"/>
                <w:szCs w:val="24"/>
              </w:rPr>
              <w:t>审查文件名称及文号：</w:t>
            </w:r>
            <w:r>
              <w:rPr>
                <w:rFonts w:hint="default" w:ascii="Times New Roman" w:hAnsi="Times New Roman" w:eastAsia="宋体" w:cstheme="minorBidi"/>
                <w:b w:val="0"/>
                <w:bCs/>
                <w:color w:val="auto"/>
                <w:kern w:val="2"/>
                <w:sz w:val="24"/>
                <w:szCs w:val="24"/>
                <w:lang w:val="en-US" w:eastAsia="zh-CN" w:bidi="ar-SA"/>
              </w:rPr>
              <w:t>《关于甘泉堡工业园总体规划（2016-2030年）环境影响报告书的审查意见》（新环函〔2018〕368号）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29" w:type="dxa"/>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Cs w:val="21"/>
              </w:rPr>
            </w:pPr>
            <w:r>
              <w:rPr>
                <w:color w:val="auto"/>
                <w:kern w:val="0"/>
                <w:sz w:val="24"/>
              </w:rPr>
              <w:t>影响评价符合性分析</w:t>
            </w:r>
          </w:p>
        </w:tc>
        <w:tc>
          <w:tcPr>
            <w:tcW w:w="6941"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520" w:lineRule="exact"/>
              <w:ind w:right="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kern w:val="0"/>
                <w:sz w:val="24"/>
                <w:szCs w:val="24"/>
                <w:lang w:val="en-US" w:eastAsia="zh-CN" w:bidi="ar"/>
              </w:rPr>
              <w:t>本项目所在阜康苏通小微创业园隶属于甘泉堡工业园。</w:t>
            </w:r>
          </w:p>
          <w:p>
            <w:pPr>
              <w:pStyle w:val="3"/>
              <w:keepNext w:val="0"/>
              <w:keepLines w:val="0"/>
              <w:pageBreakBefore w:val="0"/>
              <w:numPr>
                <w:ilvl w:val="0"/>
                <w:numId w:val="4"/>
              </w:numPr>
              <w:kinsoku/>
              <w:wordWrap/>
              <w:overflowPunct/>
              <w:topLinePunct w:val="0"/>
              <w:autoSpaceDE/>
              <w:autoSpaceDN/>
              <w:bidi w:val="0"/>
              <w:adjustRightInd/>
              <w:snapToGrid/>
              <w:spacing w:beforeLines="0" w:afterLines="0" w:line="520" w:lineRule="exact"/>
              <w:ind w:right="0" w:rightChars="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与甘泉堡工业园区规划符合性分析</w:t>
            </w:r>
          </w:p>
          <w:p>
            <w:pPr>
              <w:pStyle w:val="12"/>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甘泉堡工业园总体规划（2016-2030年）（2016修订稿）》及其批复园区功能定位为：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的产业体系。即7种重点发展产业，确保现有煤电煤化工产业以及精细化工业的有序建设、重点发展新能源与新材料工业、先进装备制造业、机电工业（主要是电气设备和通讯设备），积极开拓生物医药、电子信息产业；3种补充发展产业，即新型建材业、有色金属加工业，鼓励发展众筹等小微企业；2种配套发展产业，即生产性服务业和消费性服务业，其中生产性服务业是指以铁路、高速公路为主动脉的物流运输产业，金融服务、信息技术、咨询、教育、产业研发、会展业等；生活性服务业是指商业、文化、休闲、居住等。</w:t>
            </w:r>
          </w:p>
          <w:p>
            <w:pPr>
              <w:pStyle w:val="12"/>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园区产业空间布局为：规划区划分为十个功能区，即优势资源转化区、经济合作与产业孵化区、新能源工业区、高新技术产业区、科教综合服务</w:t>
            </w:r>
            <w:r>
              <w:rPr>
                <w:rFonts w:hint="eastAsia" w:cs="Times New Roman"/>
                <w:color w:val="auto"/>
                <w:sz w:val="24"/>
                <w:szCs w:val="24"/>
                <w:lang w:val="en-US" w:eastAsia="zh-CN"/>
              </w:rPr>
              <w:t>新区</w:t>
            </w:r>
            <w:r>
              <w:rPr>
                <w:rFonts w:hint="default" w:ascii="Times New Roman" w:hAnsi="Times New Roman" w:eastAsia="宋体" w:cs="Times New Roman"/>
                <w:color w:val="auto"/>
                <w:sz w:val="24"/>
                <w:szCs w:val="24"/>
                <w:lang w:val="en-US" w:eastAsia="zh-CN"/>
              </w:rPr>
              <w:t>、物流仓储区、小微企业创新区、商贸物流区、生态保育区和协调发展区。</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位于甘泉堡工业园区中</w:t>
            </w:r>
            <w:r>
              <w:rPr>
                <w:rFonts w:hint="default" w:ascii="Times New Roman" w:hAnsi="Times New Roman" w:eastAsia="宋体" w:cs="Times New Roman"/>
                <w:color w:val="auto"/>
                <w:sz w:val="24"/>
                <w:szCs w:val="24"/>
                <w:lang w:val="en-US" w:eastAsia="zh-CN"/>
              </w:rPr>
              <w:t>小微企业创新区</w:t>
            </w:r>
            <w:r>
              <w:rPr>
                <w:rFonts w:hint="eastAsia" w:cs="Times New Roman"/>
                <w:color w:val="auto"/>
                <w:sz w:val="24"/>
                <w:szCs w:val="24"/>
                <w:lang w:val="en-US" w:eastAsia="zh-CN"/>
              </w:rPr>
              <w:t>，企业属于小微企业，</w:t>
            </w:r>
            <w:r>
              <w:rPr>
                <w:rFonts w:hint="default" w:ascii="Times New Roman" w:hAnsi="Times New Roman" w:eastAsia="宋体" w:cs="Times New Roman"/>
                <w:color w:val="auto"/>
                <w:sz w:val="24"/>
                <w:szCs w:val="24"/>
                <w:lang w:val="en-US" w:eastAsia="zh-CN"/>
              </w:rPr>
              <w:t>符合园区产业空间布局，因此项目符合园区规划要求。</w:t>
            </w:r>
          </w:p>
          <w:p>
            <w:pPr>
              <w:keepNext w:val="0"/>
              <w:keepLines w:val="0"/>
              <w:pageBreakBefore w:val="0"/>
              <w:widowControl w:val="0"/>
              <w:numPr>
                <w:ilvl w:val="0"/>
                <w:numId w:val="4"/>
              </w:numPr>
              <w:kinsoku/>
              <w:wordWrap/>
              <w:overflowPunct w:val="0"/>
              <w:topLinePunct w:val="0"/>
              <w:autoSpaceDE w:val="0"/>
              <w:autoSpaceDN w:val="0"/>
              <w:bidi w:val="0"/>
              <w:adjustRightInd/>
              <w:snapToGrid/>
              <w:spacing w:before="0" w:after="0" w:line="520" w:lineRule="exact"/>
              <w:ind w:left="0" w:leftChars="0" w:right="0" w:firstLine="0" w:firstLineChars="0"/>
              <w:jc w:val="both"/>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甘泉堡工业园总体规划</w:t>
            </w:r>
            <w:r>
              <w:rPr>
                <w:rFonts w:hint="eastAsia" w:ascii="Times New Roman" w:hAnsi="Times New Roman" w:eastAsia="宋体" w:cs="Times New Roman"/>
                <w:b/>
                <w:bCs/>
                <w:color w:val="auto"/>
                <w:kern w:val="2"/>
                <w:sz w:val="24"/>
                <w:szCs w:val="24"/>
                <w:lang w:val="en-US" w:eastAsia="zh-CN" w:bidi="ar-SA"/>
              </w:rPr>
              <w:t>修编</w:t>
            </w:r>
            <w:r>
              <w:rPr>
                <w:rFonts w:hint="default" w:ascii="Times New Roman" w:hAnsi="Times New Roman" w:eastAsia="宋体" w:cs="Times New Roman"/>
                <w:b/>
                <w:bCs/>
                <w:color w:val="auto"/>
                <w:kern w:val="2"/>
                <w:sz w:val="24"/>
                <w:szCs w:val="24"/>
                <w:lang w:val="en-US" w:eastAsia="zh-CN" w:bidi="ar-SA"/>
              </w:rPr>
              <w:t>及规划环评符合性分析</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甘泉堡工业园地处乌鲁木齐市与昌吉州的交界地带，东接准东石油基地，南临小黄山铁路和216国道，西接乌鲁木齐米东区，北至兵团农六师102团（五家渠）。区域中心距乌鲁木齐市中心区45公里，米东新区中心区20</w:t>
            </w:r>
            <w:r>
              <w:rPr>
                <w:rFonts w:hint="eastAsia" w:cs="Times New Roman"/>
                <w:color w:val="auto"/>
                <w:sz w:val="24"/>
                <w:szCs w:val="24"/>
                <w:lang w:val="en-US" w:eastAsia="zh-CN"/>
              </w:rPr>
              <w:t>公里</w:t>
            </w:r>
            <w:r>
              <w:rPr>
                <w:rFonts w:hint="eastAsia" w:ascii="Times New Roman" w:hAnsi="Times New Roman" w:eastAsia="宋体" w:cs="Times New Roman"/>
                <w:color w:val="auto"/>
                <w:sz w:val="24"/>
                <w:szCs w:val="24"/>
                <w:lang w:val="en-US" w:eastAsia="zh-CN"/>
              </w:rPr>
              <w:t>，阜康市中心15公里，准东石油基地5公里。东西跨长约21公里，南北约23公里，周围被五家渠、昌吉、乌鲁木齐、阜康等城市和准东石油基地、农六师102团包围。</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甘泉堡工业园（2012年9月国务院批复了《国务院办公厅关于设立新疆乌鲁木齐甘泉堡经济技术开发区的复函》（国办函﹝2012﹞163号），同意乌鲁木齐甘泉堡工业区更名为甘泉堡经济技术开发区，以下简称甘泉堡工业园）</w:t>
            </w:r>
            <w:r>
              <w:rPr>
                <w:rFonts w:hint="default" w:ascii="Times New Roman" w:hAnsi="Times New Roman" w:eastAsia="宋体" w:cs="Times New Roman"/>
                <w:color w:val="auto"/>
                <w:sz w:val="24"/>
                <w:szCs w:val="24"/>
                <w:lang w:val="en-US" w:eastAsia="zh-CN"/>
              </w:rPr>
              <w:t>的工业用地；</w:t>
            </w:r>
            <w:r>
              <w:rPr>
                <w:rFonts w:hint="eastAsia" w:ascii="Times New Roman" w:hAnsi="Times New Roman" w:eastAsia="宋体" w:cs="Times New Roman"/>
                <w:color w:val="auto"/>
                <w:sz w:val="24"/>
                <w:szCs w:val="24"/>
                <w:lang w:val="en-US" w:eastAsia="zh-CN"/>
              </w:rPr>
              <w:t>根据《甘泉堡工业园总体规划（2016-2030年）》，乌昌地区未来以实施优势资源转化战略为基础，以高新技术创新研发为先导的新兴战略产业基地，以新能源和优势资源深度开发利用为主，具有循环经济特色，面向中亚和东欧市场的出口加工基地，形成重点发展产业、补充发展产业和配套发展产业“7+3+2”的产业体系。</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（1）重点发展产业：确保现有煤电煤化工产业和精细化工业有序建设，重点发展新能源与新材料工业、先进装备制造业和机电工业（主要是电气设备和通讯设备），积极开拓生物医药、电子信息产业。</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（2）补充发展产业：合理发展新型建材业和有色金属加工业，鼓励发展众创众筹等小微产业。</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（3）配套发展产业：</w:t>
            </w:r>
            <w:r>
              <w:rPr>
                <w:rFonts w:hint="eastAsia" w:cs="Times New Roman"/>
                <w:color w:val="auto"/>
                <w:sz w:val="24"/>
                <w:szCs w:val="24"/>
                <w:lang w:val="en-US" w:eastAsia="zh-CN"/>
              </w:rPr>
              <w:t>包括</w:t>
            </w:r>
            <w:r>
              <w:rPr>
                <w:rFonts w:hint="eastAsia" w:ascii="Times New Roman" w:hAnsi="Times New Roman" w:eastAsia="宋体" w:cs="Times New Roman"/>
                <w:color w:val="auto"/>
                <w:sz w:val="24"/>
                <w:szCs w:val="24"/>
                <w:lang w:val="en-US" w:eastAsia="zh-CN"/>
              </w:rPr>
              <w:t>生产性服务业和消费性服务业。其中，生产性服务业指以铁路、高速公路为主动脉的物流运输产业，金融服务、信息技术、咨询、教育、产业研发、会展业等；生活性服务业指商业、文化、休闲、居住等。</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lang w:val="en-US" w:eastAsia="zh-CN"/>
              </w:rPr>
              <w:t>规划区划分为十个功能区，即优势资源转化区、经济合作与产业孵化区、新能源工业区、高新技术产业区、科教综合服务新区、物流仓储区、小微企业创新区、商贸物流区、生态保育区和协调发展区。</w:t>
            </w:r>
            <w:r>
              <w:rPr>
                <w:rFonts w:hint="eastAsia" w:ascii="Times New Roman" w:hAnsi="Times New Roman" w:eastAsia="宋体" w:cs="Times New Roman"/>
                <w:color w:val="auto"/>
                <w:sz w:val="24"/>
                <w:szCs w:val="24"/>
                <w:highlight w:val="none"/>
                <w:lang w:val="en-US" w:eastAsia="zh-CN"/>
              </w:rPr>
              <w:t>根据图1.1-1园区功能区划图，本项目位于甘泉堡工业园中小微企业创新区。</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小微创新区属于阜康市城市总体规划中的阜西工业园区，阜西工业园区总体规划内容包含于《甘泉堡工业园区总体规划（2016- 2030年）》中。小微企业创新区以新型建材产业为主导的集研发孵化、生产加工、商贸交易、物流配送为一体的小微新兴产业企业园</w:t>
            </w:r>
            <w:r>
              <w:rPr>
                <w:rFonts w:hint="eastAsia" w:ascii="Times New Roman" w:hAnsi="Times New Roman" w:eastAsia="宋体" w:cs="Times New Roman"/>
                <w:color w:val="auto"/>
                <w:sz w:val="24"/>
                <w:szCs w:val="24"/>
                <w:highlight w:val="none"/>
                <w:lang w:val="en-US" w:eastAsia="zh-CN"/>
              </w:rPr>
              <w:t>。本项目位于小微企业创新区，本项目属于</w:t>
            </w:r>
            <w:r>
              <w:rPr>
                <w:rFonts w:hint="eastAsia" w:cs="Times New Roman"/>
                <w:color w:val="auto"/>
                <w:sz w:val="24"/>
                <w:szCs w:val="24"/>
                <w:highlight w:val="none"/>
                <w:lang w:val="en-US" w:eastAsia="zh-CN"/>
              </w:rPr>
              <w:t>非金属废料和碎屑加工处理</w:t>
            </w:r>
            <w:r>
              <w:rPr>
                <w:rFonts w:hint="eastAsia" w:ascii="Times New Roman" w:hAnsi="Times New Roman" w:eastAsia="宋体" w:cs="Times New Roman"/>
                <w:color w:val="auto"/>
                <w:sz w:val="24"/>
                <w:szCs w:val="24"/>
                <w:highlight w:val="none"/>
                <w:lang w:val="en-US" w:eastAsia="zh-CN"/>
              </w:rPr>
              <w:t>项目，属于小微产业，与园区产业布局相符。</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根据《关于甘泉堡工业园总体规划（2016-2030年）环境影响报告书的审查意见》（新环函</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368号）：“园区位于乌鲁木齐、昌吉、石河子、五家渠区域环境同防同治区的重点区域，不宜布局建设煤化工、电解铝、燃煤纯发电机组、金属硅、碳化硅、聚氯乙烯（电石法）、焦炭（含半焦）等行业的新增产能项目，加快钢铁、水泥、焦炭、玻璃、煤炭等行业落后产能淘汰力度”，本项目为</w:t>
            </w:r>
            <w:r>
              <w:rPr>
                <w:rFonts w:hint="eastAsia" w:cs="Times New Roman"/>
                <w:color w:val="auto"/>
                <w:sz w:val="24"/>
                <w:szCs w:val="24"/>
                <w:lang w:val="en-US" w:eastAsia="zh-CN"/>
              </w:rPr>
              <w:t>非金属废料和碎屑加工处理</w:t>
            </w:r>
            <w:r>
              <w:rPr>
                <w:rFonts w:hint="eastAsia" w:ascii="Times New Roman" w:hAnsi="Times New Roman" w:eastAsia="宋体" w:cs="Times New Roman"/>
                <w:color w:val="auto"/>
                <w:sz w:val="24"/>
                <w:szCs w:val="24"/>
                <w:lang w:val="en-US" w:eastAsia="zh-CN"/>
              </w:rPr>
              <w:t>，不属于钢铁、水泥、焦炭、玻璃、煤炭等行业落后产能，</w:t>
            </w:r>
            <w:r>
              <w:rPr>
                <w:rFonts w:hint="default" w:ascii="Times New Roman" w:hAnsi="Times New Roman" w:eastAsia="宋体" w:cs="Times New Roman"/>
                <w:color w:val="auto"/>
                <w:sz w:val="24"/>
                <w:szCs w:val="24"/>
                <w:lang w:val="en-US" w:eastAsia="zh-CN"/>
              </w:rPr>
              <w:t>符合产业政策、相关规划、规划环境影响评价结论及审查意见要求。</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《关于甘泉堡工业园总体规划（2016-2030年）环境影响报告书的审查意见》（新环函</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368号）提出“严守生态保护红线，优化园区产业结构、空间布局，促进园区产业集约与绿色发展。规划</w:t>
            </w:r>
            <w:r>
              <w:rPr>
                <w:rFonts w:hint="eastAsia" w:cs="Times New Roman"/>
                <w:color w:val="auto"/>
                <w:sz w:val="24"/>
                <w:szCs w:val="24"/>
                <w:lang w:val="en-US" w:eastAsia="zh-CN"/>
              </w:rPr>
              <w:t>空间</w:t>
            </w:r>
            <w:r>
              <w:rPr>
                <w:rFonts w:hint="eastAsia" w:ascii="Times New Roman" w:hAnsi="Times New Roman" w:eastAsia="宋体" w:cs="Times New Roman"/>
                <w:color w:val="auto"/>
                <w:sz w:val="24"/>
                <w:szCs w:val="24"/>
                <w:lang w:val="en-US" w:eastAsia="zh-CN"/>
              </w:rPr>
              <w:t>管制区划定的禁建区和500水库坝外延1500米范围，以及规划范围内西延干渠两侧250米范围内划定为生态保护红线，禁止开发。结合区域发展方向、人口分布及环境保护等要求，按照《报告书》提出</w:t>
            </w:r>
            <w:r>
              <w:rPr>
                <w:rFonts w:hint="eastAsia" w:cs="Times New Roman"/>
                <w:color w:val="auto"/>
                <w:sz w:val="24"/>
                <w:szCs w:val="24"/>
                <w:lang w:val="en-US" w:eastAsia="zh-CN"/>
              </w:rPr>
              <w:t>的空间</w:t>
            </w:r>
            <w:r>
              <w:rPr>
                <w:rFonts w:hint="eastAsia" w:ascii="Times New Roman" w:hAnsi="Times New Roman" w:eastAsia="宋体" w:cs="Times New Roman"/>
                <w:color w:val="auto"/>
                <w:sz w:val="24"/>
                <w:szCs w:val="24"/>
                <w:lang w:val="en-US" w:eastAsia="zh-CN"/>
              </w:rPr>
              <w:t>管控距离控制园区和功能分区规划边界．制定并落实园区内现有不符合园区规划功能布局的企业搬迁、关停或转型改造计划。本项目距离500水库2700米，距离西延干渠2300米，不位于生态红线范围内。</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《关于甘泉堡工业园总体规划（2016-2030年）环境影响报告书的审查意见》（新环函</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368号）提出“坚守环境质量底线，</w:t>
            </w:r>
            <w:r>
              <w:rPr>
                <w:rFonts w:hint="eastAsia" w:cs="Times New Roman"/>
                <w:color w:val="auto"/>
                <w:sz w:val="24"/>
                <w:szCs w:val="24"/>
                <w:lang w:val="en-US" w:eastAsia="zh-CN"/>
              </w:rPr>
              <w:t>严格</w:t>
            </w:r>
            <w:r>
              <w:rPr>
                <w:rFonts w:hint="eastAsia" w:ascii="Times New Roman" w:hAnsi="Times New Roman" w:eastAsia="宋体" w:cs="Times New Roman"/>
                <w:color w:val="auto"/>
                <w:sz w:val="24"/>
                <w:szCs w:val="24"/>
                <w:lang w:val="en-US" w:eastAsia="zh-CN"/>
              </w:rPr>
              <w:t>污染物总量管控。根据规划区域及周边环境质量现状和</w:t>
            </w:r>
            <w:r>
              <w:rPr>
                <w:rFonts w:hint="eastAsia" w:cs="Times New Roman"/>
                <w:color w:val="auto"/>
                <w:sz w:val="24"/>
                <w:szCs w:val="24"/>
                <w:lang w:val="en-US" w:eastAsia="zh-CN"/>
              </w:rPr>
              <w:t>目标</w:t>
            </w:r>
            <w:r>
              <w:rPr>
                <w:rFonts w:hint="eastAsia" w:ascii="Times New Roman" w:hAnsi="Times New Roman" w:eastAsia="宋体" w:cs="Times New Roman"/>
                <w:color w:val="auto"/>
                <w:sz w:val="24"/>
                <w:szCs w:val="24"/>
                <w:lang w:val="en-US" w:eastAsia="zh-CN"/>
              </w:rPr>
              <w:t>，确定区域污染物排放</w:t>
            </w:r>
            <w:r>
              <w:rPr>
                <w:rFonts w:hint="eastAsia" w:cs="Times New Roman"/>
                <w:color w:val="auto"/>
                <w:sz w:val="24"/>
                <w:szCs w:val="24"/>
                <w:lang w:val="en-US" w:eastAsia="zh-CN"/>
              </w:rPr>
              <w:t>总量</w:t>
            </w:r>
            <w:r>
              <w:rPr>
                <w:rFonts w:hint="eastAsia" w:ascii="Times New Roman" w:hAnsi="Times New Roman" w:eastAsia="宋体" w:cs="Times New Roman"/>
                <w:color w:val="auto"/>
                <w:sz w:val="24"/>
                <w:szCs w:val="24"/>
                <w:lang w:val="en-US" w:eastAsia="zh-CN"/>
              </w:rPr>
              <w:t>上限，落实园区煤炭及其他颗粒状物料储运全封闭防尘措施，采取有效措施减少二氧化硫、氮氧化物、挥发性有机物、颗粒物、化学需氧量、氨氮、重金属等污染物的排放量，落实国家和自治区重点区域污染物特别排放限值</w:t>
            </w:r>
            <w:r>
              <w:rPr>
                <w:rFonts w:hint="eastAsia" w:ascii="Times New Roman" w:hAnsi="Times New Roman" w:eastAsia="宋体" w:cs="Times New Roman"/>
                <w:color w:val="auto"/>
                <w:sz w:val="24"/>
                <w:szCs w:val="24"/>
                <w:highlight w:val="none"/>
                <w:lang w:val="en-US" w:eastAsia="zh-CN"/>
              </w:rPr>
              <w:t>。本项目物料运输均在封闭厂房内进行，同时在</w:t>
            </w:r>
            <w:r>
              <w:rPr>
                <w:rFonts w:hint="eastAsia" w:cs="Times New Roman"/>
                <w:color w:val="auto"/>
                <w:sz w:val="24"/>
                <w:szCs w:val="24"/>
                <w:highlight w:val="none"/>
                <w:lang w:val="en-US" w:eastAsia="zh-CN"/>
              </w:rPr>
              <w:t>破碎</w:t>
            </w:r>
            <w:r>
              <w:rPr>
                <w:rFonts w:hint="eastAsia" w:ascii="Times New Roman" w:hAnsi="Times New Roman" w:eastAsia="宋体" w:cs="Times New Roman"/>
                <w:color w:val="auto"/>
                <w:sz w:val="24"/>
                <w:szCs w:val="24"/>
                <w:highlight w:val="none"/>
                <w:lang w:val="en-US" w:eastAsia="zh-CN"/>
              </w:rPr>
              <w:t>等易产生颗粒物的环节均设置集气罩收集后由袋式除尘处理满足</w:t>
            </w:r>
            <w:r>
              <w:rPr>
                <w:rFonts w:hint="default"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合成树脂工业污染物排放标准</w:t>
            </w:r>
            <w:r>
              <w:rPr>
                <w:rFonts w:hint="default" w:ascii="Times New Roman" w:hAnsi="Times New Roman" w:eastAsia="宋体" w:cs="Times New Roman"/>
                <w:color w:val="auto"/>
                <w:sz w:val="24"/>
                <w:szCs w:val="24"/>
                <w:highlight w:val="none"/>
                <w:lang w:val="zh-CN" w:eastAsia="zh-CN"/>
              </w:rPr>
              <w:t>》（GB</w:t>
            </w:r>
            <w:r>
              <w:rPr>
                <w:rFonts w:hint="eastAsia"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中</w:t>
            </w:r>
            <w:r>
              <w:rPr>
                <w:rFonts w:hint="eastAsia" w:cs="Times New Roman"/>
                <w:color w:val="auto"/>
                <w:sz w:val="24"/>
                <w:szCs w:val="24"/>
                <w:highlight w:val="none"/>
                <w:lang w:val="en-US" w:eastAsia="zh-CN"/>
              </w:rPr>
              <w:t>表5大气污染物特别排放限值要求</w:t>
            </w:r>
            <w:r>
              <w:rPr>
                <w:rFonts w:hint="eastAsia" w:ascii="Times New Roman" w:hAnsi="Times New Roman" w:eastAsia="宋体" w:cs="Times New Roman"/>
                <w:color w:val="auto"/>
                <w:sz w:val="24"/>
                <w:szCs w:val="24"/>
                <w:highlight w:val="none"/>
                <w:lang w:val="en-US" w:eastAsia="zh-CN"/>
              </w:rPr>
              <w:t>后通过15m排气筒排放，项目</w:t>
            </w:r>
            <w:r>
              <w:rPr>
                <w:rFonts w:hint="eastAsia" w:cs="Times New Roman"/>
                <w:color w:val="auto"/>
                <w:sz w:val="24"/>
                <w:szCs w:val="24"/>
                <w:highlight w:val="none"/>
                <w:lang w:val="en-US" w:eastAsia="zh-CN"/>
              </w:rPr>
              <w:t>热熔挤出工序会产生非甲烷总烃</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产生的非甲烷总烃</w:t>
            </w:r>
            <w:r>
              <w:rPr>
                <w:rFonts w:hint="eastAsia" w:ascii="Times New Roman" w:hAnsi="Times New Roman" w:eastAsia="宋体" w:cs="Times New Roman"/>
                <w:color w:val="auto"/>
                <w:sz w:val="24"/>
                <w:szCs w:val="24"/>
                <w:highlight w:val="none"/>
                <w:lang w:val="en-US" w:eastAsia="zh-CN"/>
              </w:rPr>
              <w:t>通过</w:t>
            </w:r>
            <w:r>
              <w:rPr>
                <w:rFonts w:hint="eastAsia" w:cs="Times New Roman"/>
                <w:color w:val="auto"/>
                <w:sz w:val="24"/>
                <w:szCs w:val="24"/>
                <w:highlight w:val="none"/>
                <w:lang w:val="en-US" w:eastAsia="zh-CN"/>
              </w:rPr>
              <w:t>活性炭吸附+催化燃烧装置</w:t>
            </w:r>
            <w:r>
              <w:rPr>
                <w:rFonts w:hint="eastAsia"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合成树脂工业污染物排放标准</w:t>
            </w:r>
            <w:r>
              <w:rPr>
                <w:rFonts w:hint="default" w:ascii="Times New Roman" w:hAnsi="Times New Roman" w:eastAsia="宋体" w:cs="Times New Roman"/>
                <w:color w:val="auto"/>
                <w:sz w:val="24"/>
                <w:szCs w:val="24"/>
                <w:highlight w:val="none"/>
                <w:lang w:val="zh-CN" w:eastAsia="zh-CN"/>
              </w:rPr>
              <w:t>》（GB</w:t>
            </w:r>
            <w:r>
              <w:rPr>
                <w:rFonts w:hint="eastAsia"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lang w:val="zh-CN" w:eastAsia="zh-CN"/>
              </w:rPr>
              <w:t>—</w:t>
            </w:r>
            <w:r>
              <w:rPr>
                <w:rFonts w:hint="eastAsia"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en-US" w:eastAsia="zh-CN"/>
              </w:rPr>
              <w:t>通过15m排气筒排放；</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本项目严格控制用水量，新鲜水仅用于生活用水以及产品用水，符</w:t>
            </w:r>
            <w:r>
              <w:rPr>
                <w:rFonts w:hint="eastAsia" w:ascii="Times New Roman" w:hAnsi="Times New Roman" w:eastAsia="宋体" w:cs="Times New Roman"/>
                <w:color w:val="auto"/>
                <w:sz w:val="24"/>
                <w:szCs w:val="24"/>
                <w:lang w:val="en-US" w:eastAsia="zh-CN"/>
              </w:rPr>
              <w:t>合《关于甘泉堡工业园总体规划（2016-2030年）环境影响报告书的审查意见》（新环函</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368号）提出“严格控制用水总量，提高用水效率，合理控制排污，严守水资源‘三条红线’”等要求。</w:t>
            </w:r>
          </w:p>
          <w:p>
            <w:pPr>
              <w:keepNext w:val="0"/>
              <w:keepLines w:val="0"/>
              <w:pageBreakBefore w:val="0"/>
              <w:kinsoku/>
              <w:wordWrap/>
              <w:topLinePunct w:val="0"/>
              <w:autoSpaceDE w:val="0"/>
              <w:autoSpaceDN w:val="0"/>
              <w:bidi w:val="0"/>
              <w:adjustRightInd w:val="0"/>
              <w:snapToGrid w:val="0"/>
              <w:spacing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因此，本项目符合甘泉堡工业园产业布局、园区规划以及规划环评审查意见。</w:t>
            </w:r>
          </w:p>
          <w:p>
            <w:pPr>
              <w:keepNext w:val="0"/>
              <w:keepLines w:val="0"/>
              <w:pageBreakBefore w:val="0"/>
              <w:widowControl w:val="0"/>
              <w:numPr>
                <w:ilvl w:val="0"/>
                <w:numId w:val="4"/>
              </w:numPr>
              <w:kinsoku/>
              <w:wordWrap/>
              <w:overflowPunct w:val="0"/>
              <w:topLinePunct w:val="0"/>
              <w:autoSpaceDE w:val="0"/>
              <w:autoSpaceDN w:val="0"/>
              <w:bidi w:val="0"/>
              <w:adjustRightInd/>
              <w:snapToGrid/>
              <w:spacing w:before="0" w:after="0" w:line="520" w:lineRule="exact"/>
              <w:ind w:left="0" w:leftChars="0" w:right="0" w:firstLine="0" w:firstLineChars="0"/>
              <w:jc w:val="both"/>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与阜康苏通小微创业园规划符合性分析</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阜康市苏通小微创业园为落实国家及地区关于推进小微企业发展的战略，立足新疆市场，大力培养城市经济发展的中间力量。有效实现扩大就业、改善民生、激发民营企业的活力、促进社会和谐稳定、推动阜康小微企业向集约化、规模化和一体化方向有序发展。</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规划范围：阜康高新技术产业开发区内（东临500水库路、柳城路，北侧与500水库保护区范围为界，南侧以区域高压走廊安全保护范围为界，西侧以牧草地为界），规划用地面积643.65公顷。</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阜康苏通小微创业园功能定位：以新型建材产业为主导的集研发孵化、生产加工、商贸交易、物流配送为一体的国内一流小微创业园。按功能分区分为五大区：家居装饰产业园、建材生产加工区、包装产业区、企业研发区、仓储配送区、农副食品生产区、行政办公区七大功能区。</w:t>
            </w:r>
          </w:p>
          <w:p>
            <w:pPr>
              <w:keepNext w:val="0"/>
              <w:keepLines w:val="0"/>
              <w:pageBreakBefore w:val="0"/>
              <w:widowControl/>
              <w:suppressLineNumbers w:val="0"/>
              <w:kinsoku/>
              <w:wordWrap/>
              <w:overflowPunct/>
              <w:topLinePunct w:val="0"/>
              <w:autoSpaceDE/>
              <w:autoSpaceDN/>
              <w:bidi w:val="0"/>
              <w:adjustRightInd/>
              <w:snapToGrid/>
              <w:spacing w:line="520" w:lineRule="exact"/>
              <w:ind w:left="0" w:leftChars="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本项目建设单位为小微企业，利用废旧瓶盖及废旧塑料编织袋生产再生粒料，其生产的产品作为下水管及其他塑料制品类建材的原料，项目建设符合以新型建材产业为主导的集研发孵化、生产加工、商贸交易、物流配送为一体的国内一流小微创业园的功能定位，符合园区产业布局要求，因此，项目符合园区总体规划和环境规划等相关规划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6" w:hRule="atLeast"/>
          <w:jc w:val="center"/>
        </w:trPr>
        <w:tc>
          <w:tcPr>
            <w:tcW w:w="1929" w:type="dxa"/>
            <w:vAlign w:val="center"/>
          </w:tcPr>
          <w:p>
            <w:pPr>
              <w:autoSpaceDE w:val="0"/>
              <w:autoSpaceDN w:val="0"/>
              <w:adjustRightInd w:val="0"/>
              <w:snapToGrid w:val="0"/>
              <w:jc w:val="center"/>
              <w:rPr>
                <w:color w:val="auto"/>
                <w:kern w:val="0"/>
                <w:szCs w:val="21"/>
              </w:rPr>
            </w:pPr>
            <w:r>
              <w:rPr>
                <w:color w:val="auto"/>
                <w:kern w:val="0"/>
                <w:szCs w:val="21"/>
              </w:rPr>
              <w:t>其他符合性分析</w:t>
            </w:r>
          </w:p>
        </w:tc>
        <w:tc>
          <w:tcPr>
            <w:tcW w:w="6941" w:type="dxa"/>
            <w:gridSpan w:val="3"/>
            <w:vAlign w:val="center"/>
          </w:tcPr>
          <w:p>
            <w:pPr>
              <w:pStyle w:val="36"/>
              <w:keepNext w:val="0"/>
              <w:keepLines w:val="0"/>
              <w:pageBreakBefore w:val="0"/>
              <w:widowControl w:val="0"/>
              <w:kinsoku/>
              <w:wordWrap/>
              <w:overflowPunct/>
              <w:topLinePunct w:val="0"/>
              <w:autoSpaceDE/>
              <w:autoSpaceDN/>
              <w:bidi w:val="0"/>
              <w:adjustRightInd/>
              <w:snapToGrid/>
              <w:spacing w:line="520" w:lineRule="exact"/>
              <w:textAlignment w:val="auto"/>
              <w:rPr>
                <w:rStyle w:val="37"/>
                <w:color w:val="auto"/>
                <w:sz w:val="24"/>
              </w:rPr>
            </w:pPr>
            <w:r>
              <w:rPr>
                <w:rStyle w:val="37"/>
                <w:b/>
                <w:bCs/>
                <w:color w:val="auto"/>
                <w:sz w:val="24"/>
              </w:rPr>
              <w:t>1</w:t>
            </w:r>
            <w:r>
              <w:rPr>
                <w:rStyle w:val="37"/>
                <w:rFonts w:hint="eastAsia"/>
                <w:b/>
                <w:bCs/>
                <w:color w:val="auto"/>
                <w:sz w:val="24"/>
                <w:lang w:val="en-US" w:eastAsia="zh-CN"/>
              </w:rPr>
              <w:t>.</w:t>
            </w:r>
            <w:r>
              <w:rPr>
                <w:rStyle w:val="37"/>
                <w:rFonts w:hint="eastAsia"/>
                <w:b/>
                <w:bCs/>
                <w:color w:val="auto"/>
                <w:sz w:val="24"/>
              </w:rPr>
              <w:t xml:space="preserve"> </w:t>
            </w:r>
            <w:r>
              <w:rPr>
                <w:rStyle w:val="37"/>
                <w:b/>
                <w:bCs/>
                <w:color w:val="auto"/>
                <w:sz w:val="24"/>
              </w:rPr>
              <w:t>产业政策符合性分析</w:t>
            </w:r>
          </w:p>
          <w:p>
            <w:pPr>
              <w:pStyle w:val="3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rFonts w:hint="eastAsia"/>
                <w:color w:val="auto"/>
                <w:sz w:val="24"/>
                <w:lang w:val="en-US" w:eastAsia="zh-CN"/>
              </w:rPr>
              <w:t>本项目属于非金属废料和碎屑加工处理行业，</w:t>
            </w:r>
            <w:r>
              <w:rPr>
                <w:color w:val="auto"/>
                <w:sz w:val="24"/>
              </w:rPr>
              <w:t>根据国家《产业结构调整指导目录（20</w:t>
            </w:r>
            <w:r>
              <w:rPr>
                <w:rFonts w:hint="eastAsia"/>
                <w:color w:val="auto"/>
                <w:sz w:val="24"/>
                <w:lang w:val="en-US" w:eastAsia="zh-CN"/>
              </w:rPr>
              <w:t>24</w:t>
            </w:r>
            <w:r>
              <w:rPr>
                <w:color w:val="auto"/>
                <w:sz w:val="24"/>
              </w:rPr>
              <w:t>年本）》，本项目</w:t>
            </w:r>
            <w:r>
              <w:rPr>
                <w:rFonts w:hint="eastAsia"/>
                <w:color w:val="auto"/>
                <w:sz w:val="24"/>
                <w:lang w:val="en-US" w:eastAsia="zh-CN"/>
              </w:rPr>
              <w:t>属于“鼓励类” 四十二、环境保护与资源节约综合利用 8废弃物循环利用中的废塑料循环利用</w:t>
            </w:r>
            <w:r>
              <w:rPr>
                <w:color w:val="auto"/>
                <w:sz w:val="24"/>
              </w:rPr>
              <w:t>，因此，本项目属于</w:t>
            </w:r>
            <w:r>
              <w:rPr>
                <w:rFonts w:hint="eastAsia"/>
                <w:color w:val="auto"/>
                <w:sz w:val="24"/>
                <w:lang w:eastAsia="zh-CN"/>
              </w:rPr>
              <w:t>“</w:t>
            </w:r>
            <w:r>
              <w:rPr>
                <w:rFonts w:hint="eastAsia"/>
                <w:color w:val="auto"/>
                <w:sz w:val="24"/>
                <w:lang w:val="en-US" w:eastAsia="zh-CN"/>
              </w:rPr>
              <w:t>鼓励类”</w:t>
            </w:r>
            <w:r>
              <w:rPr>
                <w:color w:val="auto"/>
                <w:sz w:val="24"/>
              </w:rPr>
              <w:t>，符合国家产业政策的要求。</w:t>
            </w:r>
          </w:p>
          <w:p>
            <w:pPr>
              <w:pStyle w:val="36"/>
              <w:keepNext w:val="0"/>
              <w:keepLines w:val="0"/>
              <w:pageBreakBefore w:val="0"/>
              <w:widowControl w:val="0"/>
              <w:numPr>
                <w:ilvl w:val="0"/>
                <w:numId w:val="5"/>
              </w:numPr>
              <w:kinsoku/>
              <w:wordWrap/>
              <w:overflowPunct/>
              <w:topLinePunct w:val="0"/>
              <w:autoSpaceDE/>
              <w:autoSpaceDN/>
              <w:bidi w:val="0"/>
              <w:adjustRightInd/>
              <w:snapToGrid/>
              <w:spacing w:line="520" w:lineRule="exact"/>
              <w:rPr>
                <w:rStyle w:val="37"/>
                <w:b/>
                <w:bCs/>
                <w:color w:val="auto"/>
                <w:sz w:val="24"/>
              </w:rPr>
            </w:pPr>
            <w:r>
              <w:rPr>
                <w:rStyle w:val="37"/>
                <w:b/>
                <w:bCs/>
                <w:color w:val="auto"/>
                <w:sz w:val="24"/>
              </w:rPr>
              <w:t>新疆维吾尔自治区“三线一单”符合性分析</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根据《新疆维吾尔自治区“三线一单”生态环境分区管控方案》（新政发〔2021〕18号），本项目与“三线一线”符合性分析如下：</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（1）生态保护红线</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生态保护红线。按照“生态功能不降低、面积不减少、性质不改变”的基本要求，对划定的生态保护红线实施严格管控，保障和维护国家生态安全的底线和生命线。</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项目建设地点位于</w:t>
            </w:r>
            <w:r>
              <w:rPr>
                <w:rFonts w:hint="eastAsia"/>
                <w:color w:val="auto"/>
                <w:lang w:val="en-US" w:eastAsia="zh-CN"/>
              </w:rPr>
              <w:t>阜康市苏通小微创业园</w:t>
            </w:r>
            <w:r>
              <w:rPr>
                <w:color w:val="auto"/>
              </w:rPr>
              <w:t>，其占地不在农业保护区、自然保护区、风景名胜区、文物（考古）保护区、生活饮用水水源保护区、供水远景规划区、矿产资源储备区、军事要地、国家保密地区和其他需要特别保护的区域内。因此，不涉及生态红线保护范围。</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（2）环境质量底线</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区域大气为不达标区，运营期项目“三废”通过采取治理措施，确保污染物达标排放，项目建成后不会明显改变当地的环境质量。</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（3）资源利用上线</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本项目运营期间主要利用资源及各种辅助材料、水、电，区域资源充足，有保障，不会突破资源利用上线。故本项目满足资源利用上线要求。</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rFonts w:hint="default" w:eastAsia="宋体"/>
                <w:color w:val="auto"/>
                <w:lang w:val="en-US" w:eastAsia="zh-CN"/>
              </w:rPr>
            </w:pPr>
            <w:r>
              <w:rPr>
                <w:color w:val="auto"/>
              </w:rPr>
              <w:t>（4）</w:t>
            </w:r>
            <w:r>
              <w:rPr>
                <w:rFonts w:hint="eastAsia"/>
                <w:color w:val="auto"/>
                <w:lang w:val="en-US" w:eastAsia="zh-CN"/>
              </w:rPr>
              <w:t>生态环境准入清单</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rFonts w:hint="eastAsia"/>
                <w:color w:val="auto"/>
              </w:rPr>
              <w:t>本项目属于《产业结构调整指导目录》（</w:t>
            </w:r>
            <w:r>
              <w:rPr>
                <w:color w:val="auto"/>
              </w:rPr>
              <w:t>20</w:t>
            </w:r>
            <w:r>
              <w:rPr>
                <w:rFonts w:hint="eastAsia"/>
                <w:color w:val="auto"/>
                <w:lang w:val="en-US" w:eastAsia="zh-CN"/>
              </w:rPr>
              <w:t>24</w:t>
            </w:r>
            <w:r>
              <w:rPr>
                <w:color w:val="auto"/>
              </w:rPr>
              <w:t>本）中的鼓励类，符合国家产业政策。</w:t>
            </w:r>
            <w:r>
              <w:rPr>
                <w:rFonts w:hint="eastAsia"/>
                <w:color w:val="auto"/>
              </w:rPr>
              <w:t>项目</w:t>
            </w:r>
            <w:r>
              <w:rPr>
                <w:rFonts w:hint="eastAsia"/>
                <w:color w:val="auto"/>
                <w:lang w:val="en-US" w:eastAsia="zh-CN"/>
              </w:rPr>
              <w:t>采取有效的三废治理措施，具备污染集中控制的条件。本项目未列入《新疆重点生态功能区产业准入清单》中限制类和禁止类</w:t>
            </w:r>
            <w:r>
              <w:rPr>
                <w:rFonts w:hint="eastAsia"/>
                <w:color w:val="auto"/>
              </w:rPr>
              <w:t>。</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综上所述，本项目</w:t>
            </w:r>
            <w:r>
              <w:rPr>
                <w:rFonts w:hint="eastAsia"/>
                <w:color w:val="auto"/>
                <w:lang w:val="en-US" w:eastAsia="zh-CN"/>
              </w:rPr>
              <w:t>建设</w:t>
            </w:r>
            <w:r>
              <w:rPr>
                <w:color w:val="auto"/>
              </w:rPr>
              <w:t>符合</w:t>
            </w:r>
            <w:r>
              <w:rPr>
                <w:rFonts w:hint="eastAsia"/>
                <w:color w:val="auto"/>
                <w:lang w:eastAsia="zh-CN"/>
              </w:rPr>
              <w:t>《</w:t>
            </w:r>
            <w:r>
              <w:rPr>
                <w:rFonts w:hint="eastAsia"/>
                <w:color w:val="auto"/>
                <w:lang w:val="en-US" w:eastAsia="zh-CN"/>
              </w:rPr>
              <w:t>新疆维吾尔自治区“三线一单”生态环境分区管控方案</w:t>
            </w:r>
            <w:r>
              <w:rPr>
                <w:rFonts w:hint="eastAsia"/>
                <w:color w:val="auto"/>
                <w:lang w:eastAsia="zh-CN"/>
              </w:rPr>
              <w:t>》</w:t>
            </w:r>
            <w:r>
              <w:rPr>
                <w:rFonts w:hint="eastAsia"/>
                <w:color w:val="auto"/>
                <w:lang w:val="en-US" w:eastAsia="zh-CN"/>
              </w:rPr>
              <w:t>（新政发〔2021〕18号）</w:t>
            </w:r>
            <w:r>
              <w:rPr>
                <w:color w:val="auto"/>
              </w:rPr>
              <w:t>的要求。</w:t>
            </w:r>
          </w:p>
          <w:p>
            <w:pPr>
              <w:pStyle w:val="36"/>
              <w:keepNext w:val="0"/>
              <w:keepLines w:val="0"/>
              <w:pageBreakBefore w:val="0"/>
              <w:widowControl w:val="0"/>
              <w:numPr>
                <w:ilvl w:val="0"/>
                <w:numId w:val="6"/>
              </w:numPr>
              <w:kinsoku/>
              <w:wordWrap/>
              <w:overflowPunct/>
              <w:topLinePunct w:val="0"/>
              <w:autoSpaceDE/>
              <w:autoSpaceDN/>
              <w:bidi w:val="0"/>
              <w:adjustRightInd/>
              <w:snapToGrid/>
              <w:spacing w:line="520" w:lineRule="exact"/>
              <w:rPr>
                <w:rStyle w:val="37"/>
                <w:b/>
                <w:bCs/>
                <w:color w:val="auto"/>
                <w:sz w:val="24"/>
              </w:rPr>
            </w:pPr>
            <w:r>
              <w:rPr>
                <w:rStyle w:val="37"/>
                <w:b/>
                <w:bCs/>
                <w:color w:val="auto"/>
                <w:sz w:val="24"/>
              </w:rPr>
              <w:t>昌吉回族自治州“三线一单”生态环境分区管控方案相符性分析</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highlight w:val="none"/>
              </w:rPr>
            </w:pPr>
            <w:r>
              <w:rPr>
                <w:color w:val="auto"/>
                <w:highlight w:val="none"/>
              </w:rPr>
              <w:t>项目位于</w:t>
            </w:r>
            <w:r>
              <w:rPr>
                <w:rFonts w:hint="eastAsia"/>
                <w:color w:val="auto"/>
                <w:highlight w:val="none"/>
                <w:lang w:val="en-US" w:eastAsia="zh-CN"/>
              </w:rPr>
              <w:t>阜康市苏通小微创业园</w:t>
            </w:r>
            <w:r>
              <w:rPr>
                <w:color w:val="auto"/>
                <w:highlight w:val="none"/>
              </w:rPr>
              <w:t>，属于</w:t>
            </w:r>
            <w:r>
              <w:rPr>
                <w:rFonts w:hint="eastAsia"/>
                <w:color w:val="auto"/>
                <w:highlight w:val="none"/>
                <w:lang w:val="en-US" w:eastAsia="zh-CN"/>
              </w:rPr>
              <w:t>阜康产业园区为</w:t>
            </w:r>
            <w:r>
              <w:rPr>
                <w:color w:val="auto"/>
                <w:highlight w:val="none"/>
              </w:rPr>
              <w:t>重点管控单元。</w:t>
            </w:r>
            <w:r>
              <w:rPr>
                <w:rFonts w:hint="eastAsia"/>
                <w:color w:val="auto"/>
                <w:highlight w:val="none"/>
                <w:lang w:val="en-US" w:eastAsia="zh-CN"/>
              </w:rPr>
              <w:t>环境管控单元编码为：ZH65230220003，</w:t>
            </w:r>
            <w:r>
              <w:rPr>
                <w:color w:val="auto"/>
                <w:highlight w:val="none"/>
              </w:rPr>
              <w:t>要求如下：</w:t>
            </w:r>
          </w:p>
          <w:p>
            <w:pPr>
              <w:pStyle w:val="38"/>
              <w:keepNext w:val="0"/>
              <w:keepLines w:val="0"/>
              <w:pageBreakBefore w:val="0"/>
              <w:widowControl w:val="0"/>
              <w:kinsoku/>
              <w:wordWrap/>
              <w:overflowPunct/>
              <w:topLinePunct w:val="0"/>
              <w:autoSpaceDE/>
              <w:autoSpaceDN/>
              <w:bidi w:val="0"/>
              <w:adjustRightInd/>
              <w:snapToGrid/>
              <w:spacing w:line="520" w:lineRule="exact"/>
              <w:rPr>
                <w:rFonts w:hint="default" w:eastAsia="宋体"/>
                <w:color w:val="auto"/>
                <w:highlight w:val="none"/>
                <w:lang w:val="en-US" w:eastAsia="zh-CN"/>
              </w:rPr>
            </w:pPr>
            <w:r>
              <w:rPr>
                <w:color w:val="auto"/>
                <w:highlight w:val="none"/>
              </w:rPr>
              <w:t>重点管控单元要着力优化空间布局，不断提升资源利用效率，有针对性地加强污染物排放管控和环境风险防控，解决生态环境质量不达标、生态环境风险高等问题。</w:t>
            </w:r>
            <w:r>
              <w:rPr>
                <w:rFonts w:hint="eastAsia"/>
                <w:color w:val="auto"/>
                <w:highlight w:val="none"/>
                <w:lang w:val="en-US" w:eastAsia="zh-CN"/>
              </w:rPr>
              <w:t>本项目在昌吉回族自治州“三线一单”生态环境分区管控方案中的位置见</w:t>
            </w:r>
            <w:r>
              <w:rPr>
                <w:rFonts w:hint="eastAsia"/>
                <w:b/>
                <w:bCs/>
                <w:color w:val="auto"/>
                <w:highlight w:val="none"/>
                <w:lang w:val="en-US" w:eastAsia="zh-CN"/>
              </w:rPr>
              <w:t>附图3</w:t>
            </w:r>
            <w:r>
              <w:rPr>
                <w:rFonts w:hint="eastAsia"/>
                <w:color w:val="auto"/>
                <w:highlight w:val="none"/>
                <w:lang w:val="en-US" w:eastAsia="zh-CN"/>
              </w:rPr>
              <w:t>。</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highlight w:val="none"/>
              </w:rPr>
            </w:pPr>
            <w:r>
              <w:rPr>
                <w:rFonts w:hint="eastAsia"/>
                <w:color w:val="auto"/>
                <w:highlight w:val="none"/>
                <w:lang w:val="en-US" w:eastAsia="zh-CN"/>
              </w:rPr>
              <w:t>本项目与分区管控方案相符性</w:t>
            </w:r>
            <w:r>
              <w:rPr>
                <w:color w:val="auto"/>
                <w:highlight w:val="none"/>
              </w:rPr>
              <w:t>见表1-1</w:t>
            </w:r>
            <w:r>
              <w:rPr>
                <w:rFonts w:hint="eastAsia"/>
                <w:color w:val="auto"/>
                <w:highlight w:val="none"/>
              </w:rPr>
              <w:t>。</w:t>
            </w:r>
          </w:p>
          <w:p>
            <w:pPr>
              <w:jc w:val="center"/>
              <w:rPr>
                <w:b/>
                <w:bCs/>
                <w:color w:val="auto"/>
                <w:szCs w:val="21"/>
              </w:rPr>
            </w:pPr>
            <w:r>
              <w:rPr>
                <w:b/>
                <w:bCs/>
                <w:color w:val="auto"/>
                <w:szCs w:val="21"/>
              </w:rPr>
              <w:t>表1-1</w:t>
            </w:r>
            <w:r>
              <w:rPr>
                <w:rFonts w:hint="eastAsia"/>
                <w:b/>
                <w:bCs/>
                <w:color w:val="auto"/>
                <w:szCs w:val="21"/>
                <w:lang w:val="en-US" w:eastAsia="zh-CN"/>
              </w:rPr>
              <w:t xml:space="preserve">    </w:t>
            </w:r>
            <w:r>
              <w:rPr>
                <w:rFonts w:hint="eastAsia"/>
                <w:b/>
                <w:bCs/>
                <w:color w:val="auto"/>
                <w:szCs w:val="21"/>
                <w:lang w:eastAsia="zh-CN"/>
              </w:rPr>
              <w:t>阜康苏通小微创业园</w:t>
            </w:r>
            <w:r>
              <w:rPr>
                <w:b/>
                <w:bCs/>
                <w:color w:val="auto"/>
                <w:szCs w:val="21"/>
              </w:rPr>
              <w:t>管控要求</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554"/>
              <w:gridCol w:w="3078"/>
              <w:gridCol w:w="1943"/>
              <w:gridCol w:w="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173" w:type="dxa"/>
                  <w:gridSpan w:val="3"/>
                  <w:vAlign w:val="center"/>
                </w:tcPr>
                <w:p>
                  <w:pPr>
                    <w:jc w:val="center"/>
                    <w:rPr>
                      <w:rFonts w:hint="default" w:eastAsia="宋体"/>
                      <w:color w:val="auto"/>
                      <w:kern w:val="0"/>
                      <w:szCs w:val="21"/>
                      <w:lang w:val="en-US" w:eastAsia="zh-CN"/>
                    </w:rPr>
                  </w:pPr>
                  <w:r>
                    <w:rPr>
                      <w:rFonts w:hint="eastAsia"/>
                      <w:color w:val="auto"/>
                      <w:kern w:val="0"/>
                      <w:szCs w:val="21"/>
                      <w:lang w:val="en-US" w:eastAsia="zh-CN"/>
                    </w:rPr>
                    <w:t>管控要求</w:t>
                  </w:r>
                </w:p>
              </w:tc>
              <w:tc>
                <w:tcPr>
                  <w:tcW w:w="1907" w:type="dxa"/>
                  <w:vAlign w:val="center"/>
                </w:tcPr>
                <w:p>
                  <w:pPr>
                    <w:jc w:val="center"/>
                    <w:rPr>
                      <w:rFonts w:hint="default" w:eastAsia="宋体"/>
                      <w:bCs/>
                      <w:color w:val="auto"/>
                      <w:szCs w:val="21"/>
                      <w:lang w:val="en-US" w:eastAsia="zh-CN"/>
                    </w:rPr>
                  </w:pPr>
                  <w:r>
                    <w:rPr>
                      <w:rFonts w:hint="eastAsia"/>
                      <w:bCs/>
                      <w:color w:val="auto"/>
                      <w:szCs w:val="21"/>
                      <w:lang w:val="en-US" w:eastAsia="zh-CN"/>
                    </w:rPr>
                    <w:t>项目概况</w:t>
                  </w:r>
                </w:p>
              </w:tc>
              <w:tc>
                <w:tcPr>
                  <w:tcW w:w="645" w:type="dxa"/>
                  <w:vAlign w:val="center"/>
                </w:tcPr>
                <w:p>
                  <w:pPr>
                    <w:jc w:val="center"/>
                    <w:rPr>
                      <w:rFonts w:hint="default" w:eastAsia="宋体"/>
                      <w:bCs/>
                      <w:color w:val="auto"/>
                      <w:szCs w:val="21"/>
                      <w:lang w:val="en-US" w:eastAsia="zh-CN"/>
                    </w:rPr>
                  </w:pPr>
                  <w:r>
                    <w:rPr>
                      <w:rFonts w:hint="eastAsia"/>
                      <w:bCs/>
                      <w:color w:val="auto"/>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0" w:type="auto"/>
                  <w:vMerge w:val="restart"/>
                  <w:vAlign w:val="center"/>
                </w:tcPr>
                <w:p>
                  <w:pPr>
                    <w:jc w:val="center"/>
                    <w:rPr>
                      <w:color w:val="auto"/>
                      <w:szCs w:val="21"/>
                    </w:rPr>
                  </w:pPr>
                  <w:r>
                    <w:rPr>
                      <w:color w:val="auto"/>
                      <w:kern w:val="0"/>
                      <w:szCs w:val="21"/>
                    </w:rPr>
                    <w:t>重点管控单元</w:t>
                  </w:r>
                </w:p>
              </w:tc>
              <w:tc>
                <w:tcPr>
                  <w:tcW w:w="0" w:type="auto"/>
                  <w:vAlign w:val="center"/>
                </w:tcPr>
                <w:p>
                  <w:pPr>
                    <w:jc w:val="center"/>
                    <w:rPr>
                      <w:b/>
                      <w:bCs/>
                      <w:color w:val="auto"/>
                      <w:kern w:val="0"/>
                      <w:szCs w:val="21"/>
                    </w:rPr>
                  </w:pPr>
                  <w:r>
                    <w:rPr>
                      <w:color w:val="auto"/>
                      <w:kern w:val="0"/>
                      <w:szCs w:val="21"/>
                    </w:rPr>
                    <w:t>空间布局约束</w:t>
                  </w:r>
                </w:p>
              </w:tc>
              <w:tc>
                <w:tcPr>
                  <w:tcW w:w="3078" w:type="dxa"/>
                  <w:vAlign w:val="center"/>
                </w:tcPr>
                <w:p>
                  <w:pPr>
                    <w:jc w:val="left"/>
                    <w:rPr>
                      <w:color w:val="auto"/>
                      <w:kern w:val="0"/>
                      <w:szCs w:val="21"/>
                    </w:rPr>
                  </w:pPr>
                  <w:r>
                    <w:rPr>
                      <w:color w:val="auto"/>
                      <w:kern w:val="0"/>
                      <w:szCs w:val="21"/>
                    </w:rPr>
                    <w:t>1、执行自治区、乌昌石片区总体准入要求中关于重点管控单元空间布局约束的准入要求（表2-3 A6.1、表3.4-2 B1）。</w:t>
                  </w:r>
                </w:p>
                <w:p>
                  <w:pPr>
                    <w:jc w:val="left"/>
                    <w:rPr>
                      <w:color w:val="auto"/>
                      <w:kern w:val="0"/>
                      <w:szCs w:val="21"/>
                    </w:rPr>
                  </w:pPr>
                  <w:r>
                    <w:rPr>
                      <w:color w:val="auto"/>
                      <w:kern w:val="0"/>
                      <w:szCs w:val="21"/>
                    </w:rPr>
                    <w:t>2、入园企业需符合园区产业发展定位，产业发展以有色金属冶炼及精深加工、氯碱精细化工、煤电精细化工、新型建材产业、仓储物流及装备制造六大产业为主导。</w:t>
                  </w:r>
                </w:p>
                <w:p>
                  <w:pPr>
                    <w:jc w:val="left"/>
                    <w:rPr>
                      <w:color w:val="auto"/>
                      <w:kern w:val="0"/>
                      <w:szCs w:val="21"/>
                    </w:rPr>
                  </w:pPr>
                  <w:r>
                    <w:rPr>
                      <w:color w:val="auto"/>
                      <w:kern w:val="0"/>
                      <w:szCs w:val="21"/>
                    </w:rPr>
                    <w:t>3、根据国家法律法规和产业政策要求，优化焦化产业布局，促进焦化行业转型升级，提升改造现有焦化项目符合环保要求，推动焦化产品精深加工向高端发展。</w:t>
                  </w:r>
                </w:p>
                <w:p>
                  <w:pPr>
                    <w:jc w:val="left"/>
                    <w:rPr>
                      <w:color w:val="auto"/>
                      <w:kern w:val="0"/>
                      <w:szCs w:val="21"/>
                    </w:rPr>
                  </w:pPr>
                  <w:r>
                    <w:rPr>
                      <w:color w:val="auto"/>
                      <w:kern w:val="0"/>
                      <w:szCs w:val="21"/>
                    </w:rPr>
                    <w:t>4、禁止新建不符合国家产业政策的严重污染水环境的生产项目。</w:t>
                  </w:r>
                </w:p>
                <w:p>
                  <w:pPr>
                    <w:jc w:val="left"/>
                    <w:rPr>
                      <w:color w:val="auto"/>
                      <w:kern w:val="0"/>
                      <w:szCs w:val="21"/>
                    </w:rPr>
                  </w:pPr>
                  <w:r>
                    <w:rPr>
                      <w:color w:val="auto"/>
                      <w:kern w:val="0"/>
                      <w:szCs w:val="21"/>
                    </w:rPr>
                    <w:t>5、严格按照“以水定产，量水而建”的原则建设，严格控制园区内现有的工业用水量，切实做好水资源利用工作，减少新鲜水用量，合理规划设计排水方案，切实做好排水方案和后续管理，杜绝水污染事故产生。</w:t>
                  </w:r>
                </w:p>
              </w:tc>
              <w:tc>
                <w:tcPr>
                  <w:tcW w:w="1907" w:type="dxa"/>
                  <w:vAlign w:val="center"/>
                </w:tcPr>
                <w:p>
                  <w:pPr>
                    <w:pStyle w:val="33"/>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本项目严格执行</w:t>
                  </w:r>
                  <w:r>
                    <w:rPr>
                      <w:rFonts w:ascii="Times New Roman" w:hAnsi="Times New Roman" w:eastAsia="宋体" w:cs="Times New Roman"/>
                      <w:bCs/>
                      <w:color w:val="auto"/>
                      <w:kern w:val="2"/>
                      <w:sz w:val="21"/>
                      <w:szCs w:val="21"/>
                      <w:lang w:val="en-US" w:eastAsia="zh-CN" w:bidi="ar-SA"/>
                    </w:rPr>
                    <w:t>自治区、乌昌石片区总体准入要求中关于重点管控单元空间布局约束的准入要求</w:t>
                  </w:r>
                  <w:r>
                    <w:rPr>
                      <w:rFonts w:hint="eastAsia" w:ascii="Times New Roman" w:hAnsi="Times New Roman" w:cs="Times New Roman"/>
                      <w:bCs/>
                      <w:color w:val="auto"/>
                      <w:kern w:val="2"/>
                      <w:sz w:val="21"/>
                      <w:szCs w:val="21"/>
                      <w:lang w:val="en-US" w:eastAsia="zh-CN" w:bidi="ar-SA"/>
                    </w:rPr>
                    <w:t>；</w:t>
                  </w:r>
                </w:p>
                <w:p>
                  <w:pPr>
                    <w:pStyle w:val="33"/>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本项目为塑料再生颗粒生产项目属于新型建材产业符合园区产业发展定位；</w:t>
                  </w:r>
                </w:p>
                <w:p>
                  <w:pPr>
                    <w:pStyle w:val="33"/>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本项目不涉及焦化项目；</w:t>
                  </w:r>
                </w:p>
                <w:p>
                  <w:pPr>
                    <w:pStyle w:val="33"/>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本项目生活污水排入</w:t>
                  </w:r>
                  <w:r>
                    <w:rPr>
                      <w:rFonts w:hint="eastAsia" w:cs="Times New Roman"/>
                      <w:bCs/>
                      <w:color w:val="auto"/>
                      <w:kern w:val="2"/>
                      <w:sz w:val="21"/>
                      <w:szCs w:val="21"/>
                      <w:lang w:val="en-US" w:eastAsia="zh-CN" w:bidi="ar-SA"/>
                    </w:rPr>
                    <w:t>园区</w:t>
                  </w:r>
                  <w:r>
                    <w:rPr>
                      <w:rFonts w:hint="eastAsia" w:ascii="Times New Roman" w:hAnsi="Times New Roman" w:cs="Times New Roman"/>
                      <w:bCs/>
                      <w:color w:val="auto"/>
                      <w:kern w:val="2"/>
                      <w:sz w:val="21"/>
                      <w:szCs w:val="21"/>
                      <w:lang w:val="en-US" w:eastAsia="zh-CN" w:bidi="ar-SA"/>
                    </w:rPr>
                    <w:t>管网，不会对周围水环境造成污染；</w:t>
                  </w:r>
                </w:p>
                <w:p>
                  <w:pPr>
                    <w:pStyle w:val="33"/>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本项目用水主要为生活用水</w:t>
                  </w:r>
                  <w:r>
                    <w:rPr>
                      <w:rFonts w:hint="eastAsia" w:cs="Times New Roman"/>
                      <w:bCs/>
                      <w:color w:val="auto"/>
                      <w:kern w:val="2"/>
                      <w:sz w:val="21"/>
                      <w:szCs w:val="21"/>
                      <w:lang w:val="en-US" w:eastAsia="zh-CN" w:bidi="ar-SA"/>
                    </w:rPr>
                    <w:t>、清洗用水和</w:t>
                  </w:r>
                  <w:r>
                    <w:rPr>
                      <w:rFonts w:hint="eastAsia" w:ascii="Times New Roman" w:hAnsi="Times New Roman" w:cs="Times New Roman"/>
                      <w:bCs/>
                      <w:color w:val="auto"/>
                      <w:kern w:val="2"/>
                      <w:sz w:val="21"/>
                      <w:szCs w:val="21"/>
                      <w:lang w:val="en-US" w:eastAsia="zh-CN" w:bidi="ar-SA"/>
                    </w:rPr>
                    <w:t>冷却循环水，用水量较少。生活污水直接排入</w:t>
                  </w:r>
                  <w:r>
                    <w:rPr>
                      <w:rFonts w:hint="eastAsia" w:cs="Times New Roman"/>
                      <w:bCs/>
                      <w:color w:val="auto"/>
                      <w:kern w:val="2"/>
                      <w:sz w:val="21"/>
                      <w:szCs w:val="21"/>
                      <w:lang w:val="en-US" w:eastAsia="zh-CN" w:bidi="ar-SA"/>
                    </w:rPr>
                    <w:t>园区</w:t>
                  </w:r>
                  <w:r>
                    <w:rPr>
                      <w:rFonts w:hint="eastAsia" w:ascii="Times New Roman" w:hAnsi="Times New Roman" w:cs="Times New Roman"/>
                      <w:bCs/>
                      <w:color w:val="auto"/>
                      <w:kern w:val="2"/>
                      <w:sz w:val="21"/>
                      <w:szCs w:val="21"/>
                      <w:lang w:val="en-US" w:eastAsia="zh-CN" w:bidi="ar-SA"/>
                    </w:rPr>
                    <w:t>管网，</w:t>
                  </w:r>
                  <w:r>
                    <w:rPr>
                      <w:rFonts w:hint="eastAsia" w:cs="Times New Roman"/>
                      <w:bCs/>
                      <w:color w:val="auto"/>
                      <w:kern w:val="2"/>
                      <w:sz w:val="21"/>
                      <w:szCs w:val="21"/>
                      <w:lang w:val="en-US" w:eastAsia="zh-CN" w:bidi="ar-SA"/>
                    </w:rPr>
                    <w:t>清洗用水经沉淀后循环使用不外排，</w:t>
                  </w:r>
                  <w:r>
                    <w:rPr>
                      <w:rFonts w:hint="eastAsia" w:ascii="Times New Roman" w:hAnsi="Times New Roman" w:cs="Times New Roman"/>
                      <w:bCs/>
                      <w:color w:val="auto"/>
                      <w:kern w:val="2"/>
                      <w:sz w:val="21"/>
                      <w:szCs w:val="21"/>
                      <w:lang w:val="en-US" w:eastAsia="zh-CN" w:bidi="ar-SA"/>
                    </w:rPr>
                    <w:t>冷却水循环使用不外排。不会对周围水环境造成污染。</w:t>
                  </w:r>
                </w:p>
              </w:tc>
              <w:tc>
                <w:tcPr>
                  <w:tcW w:w="645" w:type="dxa"/>
                  <w:vAlign w:val="center"/>
                </w:tcPr>
                <w:p>
                  <w:pPr>
                    <w:jc w:val="left"/>
                    <w:rPr>
                      <w:rFonts w:hint="eastAsia" w:eastAsia="宋体"/>
                      <w:bCs/>
                      <w:color w:val="auto"/>
                      <w:szCs w:val="21"/>
                      <w:lang w:val="en-US" w:eastAsia="zh-CN"/>
                    </w:rPr>
                  </w:pPr>
                  <w:r>
                    <w:rPr>
                      <w:rFonts w:hint="eastAsia"/>
                      <w:bCs/>
                      <w:color w:val="auto"/>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0" w:type="auto"/>
                  <w:vMerge w:val="continue"/>
                  <w:vAlign w:val="center"/>
                </w:tcPr>
                <w:p>
                  <w:pPr>
                    <w:widowControl/>
                    <w:jc w:val="center"/>
                    <w:rPr>
                      <w:color w:val="auto"/>
                      <w:szCs w:val="21"/>
                    </w:rPr>
                  </w:pPr>
                </w:p>
              </w:tc>
              <w:tc>
                <w:tcPr>
                  <w:tcW w:w="0" w:type="auto"/>
                  <w:vAlign w:val="center"/>
                </w:tcPr>
                <w:p>
                  <w:pPr>
                    <w:jc w:val="center"/>
                    <w:rPr>
                      <w:color w:val="auto"/>
                      <w:kern w:val="0"/>
                      <w:szCs w:val="21"/>
                    </w:rPr>
                  </w:pPr>
                  <w:r>
                    <w:rPr>
                      <w:color w:val="auto"/>
                      <w:kern w:val="0"/>
                      <w:szCs w:val="21"/>
                    </w:rPr>
                    <w:t>污染物排放管控</w:t>
                  </w:r>
                </w:p>
              </w:tc>
              <w:tc>
                <w:tcPr>
                  <w:tcW w:w="3078" w:type="dxa"/>
                  <w:vAlign w:val="center"/>
                </w:tcPr>
                <w:p>
                  <w:pPr>
                    <w:jc w:val="left"/>
                    <w:rPr>
                      <w:bCs/>
                      <w:color w:val="auto"/>
                      <w:kern w:val="0"/>
                      <w:szCs w:val="21"/>
                      <w:highlight w:val="none"/>
                    </w:rPr>
                  </w:pPr>
                  <w:r>
                    <w:rPr>
                      <w:bCs/>
                      <w:color w:val="auto"/>
                      <w:szCs w:val="21"/>
                      <w:highlight w:val="none"/>
                    </w:rPr>
                    <w:t>1.</w:t>
                  </w:r>
                  <w:r>
                    <w:rPr>
                      <w:color w:val="auto"/>
                      <w:kern w:val="0"/>
                      <w:szCs w:val="21"/>
                      <w:highlight w:val="none"/>
                    </w:rPr>
                    <w:t>执行自治区、乌昌石片区总体准入要求中关于重点管控单元污染物排放管控的准入要求（表2-3 A6.2、表3.4-2 B2）。</w:t>
                  </w:r>
                </w:p>
                <w:p>
                  <w:pPr>
                    <w:jc w:val="left"/>
                    <w:rPr>
                      <w:color w:val="auto"/>
                      <w:kern w:val="0"/>
                      <w:szCs w:val="21"/>
                      <w:highlight w:val="none"/>
                    </w:rPr>
                  </w:pPr>
                  <w:r>
                    <w:rPr>
                      <w:color w:val="auto"/>
                      <w:kern w:val="0"/>
                      <w:szCs w:val="21"/>
                      <w:highlight w:val="none"/>
                    </w:rPr>
                    <w:t>2、新（改、扩）建项目应执行最严格的大气污染物排放标准。</w:t>
                  </w:r>
                </w:p>
                <w:p>
                  <w:pPr>
                    <w:jc w:val="left"/>
                    <w:rPr>
                      <w:color w:val="auto"/>
                      <w:kern w:val="0"/>
                      <w:szCs w:val="21"/>
                      <w:highlight w:val="none"/>
                    </w:rPr>
                  </w:pPr>
                  <w:r>
                    <w:rPr>
                      <w:color w:val="auto"/>
                      <w:kern w:val="0"/>
                      <w:szCs w:val="21"/>
                      <w:highlight w:val="none"/>
                    </w:rPr>
                    <w:t>3、PM</w:t>
                  </w:r>
                  <w:r>
                    <w:rPr>
                      <w:color w:val="auto"/>
                      <w:kern w:val="0"/>
                      <w:szCs w:val="21"/>
                      <w:highlight w:val="none"/>
                      <w:vertAlign w:val="subscript"/>
                    </w:rPr>
                    <w:t>2.5</w:t>
                  </w:r>
                  <w:r>
                    <w:rPr>
                      <w:color w:val="auto"/>
                      <w:kern w:val="0"/>
                      <w:szCs w:val="21"/>
                      <w:highlight w:val="none"/>
                    </w:rPr>
                    <w:t>年均浓度不达标城市，禁止新（改、扩）建未落实</w:t>
                  </w:r>
                  <w:r>
                    <w:rPr>
                      <w:bCs/>
                      <w:color w:val="auto"/>
                      <w:szCs w:val="21"/>
                      <w:highlight w:val="none"/>
                    </w:rPr>
                    <w:t>SO</w:t>
                  </w:r>
                  <w:r>
                    <w:rPr>
                      <w:bCs/>
                      <w:color w:val="auto"/>
                      <w:szCs w:val="21"/>
                      <w:highlight w:val="none"/>
                      <w:vertAlign w:val="subscript"/>
                    </w:rPr>
                    <w:t>2</w:t>
                  </w:r>
                  <w:r>
                    <w:rPr>
                      <w:color w:val="auto"/>
                      <w:kern w:val="0"/>
                      <w:szCs w:val="21"/>
                      <w:highlight w:val="none"/>
                    </w:rPr>
                    <w:t>、NOx、烟粉尘、挥发性有机物（VOCs）等四项大气污染物总量指标昌吉州区域内倍量替代的项目。</w:t>
                  </w:r>
                </w:p>
                <w:p>
                  <w:pPr>
                    <w:jc w:val="left"/>
                    <w:rPr>
                      <w:color w:val="auto"/>
                      <w:kern w:val="0"/>
                      <w:szCs w:val="21"/>
                      <w:highlight w:val="none"/>
                    </w:rPr>
                  </w:pPr>
                </w:p>
              </w:tc>
              <w:tc>
                <w:tcPr>
                  <w:tcW w:w="1907" w:type="dxa"/>
                  <w:vAlign w:val="center"/>
                </w:tcPr>
                <w:p>
                  <w:pPr>
                    <w:pStyle w:val="33"/>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本项目严格执行自治区、乌昌石片区总体准入要求中关于重点管控单元污染物排放管控的准入要求；</w:t>
                  </w:r>
                </w:p>
                <w:p>
                  <w:pPr>
                    <w:pStyle w:val="33"/>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本项目污染物主要为粉尘和VOCs，项目颗粒物和VOCs执行《合成树脂工业污染物排放标准》（GB31572-2015）表5 大气污染物特别排放限值要求</w:t>
                  </w:r>
                </w:p>
                <w:p>
                  <w:pPr>
                    <w:pStyle w:val="33"/>
                    <w:keepNext w:val="0"/>
                    <w:keepLines w:val="0"/>
                    <w:pageBreakBefore w:val="0"/>
                    <w:widowControl w:val="0"/>
                    <w:numPr>
                      <w:ilvl w:val="0"/>
                      <w:numId w:val="8"/>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本项目颗粒物和VOCs严格落实执行大气污染物倍量替代。</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bCs/>
                      <w:color w:val="auto"/>
                      <w:szCs w:val="21"/>
                      <w:highlight w:val="none"/>
                      <w:vertAlign w:val="subscript"/>
                      <w:lang w:val="en-US"/>
                    </w:rPr>
                  </w:pPr>
                </w:p>
              </w:tc>
              <w:tc>
                <w:tcPr>
                  <w:tcW w:w="645" w:type="dxa"/>
                  <w:vAlign w:val="center"/>
                </w:tcPr>
                <w:p>
                  <w:pPr>
                    <w:jc w:val="left"/>
                    <w:rPr>
                      <w:rFonts w:hint="eastAsia" w:eastAsia="宋体"/>
                      <w:bCs/>
                      <w:color w:val="auto"/>
                      <w:szCs w:val="21"/>
                      <w:lang w:val="en-US" w:eastAsia="zh-CN"/>
                    </w:rPr>
                  </w:pPr>
                  <w:r>
                    <w:rPr>
                      <w:rFonts w:hint="eastAsia"/>
                      <w:bCs/>
                      <w:color w:val="auto"/>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0" w:type="auto"/>
                  <w:vMerge w:val="continue"/>
                  <w:vAlign w:val="center"/>
                </w:tcPr>
                <w:p>
                  <w:pPr>
                    <w:widowControl/>
                    <w:jc w:val="center"/>
                    <w:rPr>
                      <w:color w:val="auto"/>
                      <w:szCs w:val="21"/>
                    </w:rPr>
                  </w:pPr>
                </w:p>
              </w:tc>
              <w:tc>
                <w:tcPr>
                  <w:tcW w:w="0" w:type="auto"/>
                  <w:vAlign w:val="center"/>
                </w:tcPr>
                <w:p>
                  <w:pPr>
                    <w:jc w:val="center"/>
                    <w:rPr>
                      <w:color w:val="auto"/>
                      <w:kern w:val="0"/>
                      <w:szCs w:val="21"/>
                    </w:rPr>
                  </w:pPr>
                  <w:r>
                    <w:rPr>
                      <w:color w:val="auto"/>
                      <w:kern w:val="0"/>
                      <w:szCs w:val="21"/>
                    </w:rPr>
                    <w:t>资源利用效率</w:t>
                  </w:r>
                </w:p>
              </w:tc>
              <w:tc>
                <w:tcPr>
                  <w:tcW w:w="3078" w:type="dxa"/>
                  <w:vAlign w:val="center"/>
                </w:tcPr>
                <w:p>
                  <w:pPr>
                    <w:jc w:val="left"/>
                    <w:rPr>
                      <w:color w:val="auto"/>
                      <w:kern w:val="0"/>
                      <w:szCs w:val="21"/>
                    </w:rPr>
                  </w:pPr>
                  <w:r>
                    <w:rPr>
                      <w:color w:val="auto"/>
                      <w:kern w:val="0"/>
                      <w:szCs w:val="21"/>
                    </w:rPr>
                    <w:t>1、执行自治区、乌昌石片区总体准入要求中关于重点管控单元资源利用效率的准入要求（表2-3A6.4、表3.4-2 B4）。</w:t>
                  </w:r>
                </w:p>
              </w:tc>
              <w:tc>
                <w:tcPr>
                  <w:tcW w:w="1907" w:type="dxa"/>
                  <w:vAlign w:val="center"/>
                </w:tcPr>
                <w:p>
                  <w:pPr>
                    <w:pStyle w:val="39"/>
                    <w:jc w:val="center"/>
                    <w:rPr>
                      <w:rFonts w:eastAsia="宋体"/>
                      <w:color w:val="auto"/>
                      <w:szCs w:val="21"/>
                    </w:rPr>
                  </w:pPr>
                  <w:r>
                    <w:rPr>
                      <w:rFonts w:hint="eastAsia" w:eastAsia="宋体"/>
                      <w:color w:val="auto"/>
                      <w:szCs w:val="21"/>
                      <w:lang w:val="en-US" w:eastAsia="zh-CN"/>
                    </w:rPr>
                    <w:t>1</w:t>
                  </w:r>
                  <w:r>
                    <w:rPr>
                      <w:rFonts w:hint="eastAsia" w:ascii="Times New Roman" w:hAnsi="Times New Roman" w:eastAsia="宋体" w:cs="Times New Roman"/>
                      <w:bCs/>
                      <w:color w:val="auto"/>
                      <w:kern w:val="2"/>
                      <w:sz w:val="21"/>
                      <w:szCs w:val="21"/>
                      <w:lang w:val="en-US" w:eastAsia="zh-CN" w:bidi="ar-SA"/>
                    </w:rPr>
                    <w:t>、项目不涉及生产废水排放，生产过程废弃物回用，公用工程依托园区，因此基本符合。</w:t>
                  </w:r>
                </w:p>
              </w:tc>
              <w:tc>
                <w:tcPr>
                  <w:tcW w:w="645" w:type="dxa"/>
                  <w:vAlign w:val="center"/>
                </w:tcPr>
                <w:p>
                  <w:pPr>
                    <w:pStyle w:val="39"/>
                    <w:jc w:val="both"/>
                    <w:rPr>
                      <w:rFonts w:hint="eastAsia" w:eastAsia="宋体"/>
                      <w:color w:val="auto"/>
                      <w:szCs w:val="21"/>
                      <w:lang w:val="en-US" w:eastAsia="zh-CN"/>
                    </w:rPr>
                  </w:pPr>
                  <w:r>
                    <w:rPr>
                      <w:rFonts w:hint="eastAsia" w:eastAsia="宋体"/>
                      <w:color w:val="auto"/>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0" w:type="auto"/>
                  <w:vMerge w:val="continue"/>
                  <w:vAlign w:val="center"/>
                </w:tcPr>
                <w:p>
                  <w:pPr>
                    <w:widowControl/>
                    <w:jc w:val="center"/>
                    <w:rPr>
                      <w:color w:val="auto"/>
                      <w:szCs w:val="21"/>
                    </w:rPr>
                  </w:pPr>
                </w:p>
              </w:tc>
              <w:tc>
                <w:tcPr>
                  <w:tcW w:w="0" w:type="auto"/>
                  <w:vAlign w:val="center"/>
                </w:tcPr>
                <w:p>
                  <w:pPr>
                    <w:jc w:val="center"/>
                    <w:rPr>
                      <w:color w:val="auto"/>
                      <w:kern w:val="0"/>
                      <w:szCs w:val="21"/>
                    </w:rPr>
                  </w:pPr>
                  <w:r>
                    <w:rPr>
                      <w:rFonts w:hint="eastAsia" w:asciiTheme="minorEastAsia" w:hAnsiTheme="minorEastAsia" w:eastAsiaTheme="minorEastAsia" w:cstheme="minorEastAsia"/>
                      <w:color w:val="auto"/>
                      <w:kern w:val="0"/>
                      <w:sz w:val="24"/>
                      <w:szCs w:val="24"/>
                    </w:rPr>
                    <w:t>环境风险防控</w:t>
                  </w:r>
                </w:p>
              </w:tc>
              <w:tc>
                <w:tcPr>
                  <w:tcW w:w="3078" w:type="dxa"/>
                  <w:vAlign w:val="center"/>
                </w:tcPr>
                <w:p>
                  <w:pPr>
                    <w:jc w:val="left"/>
                    <w:rPr>
                      <w:color w:val="auto"/>
                      <w:kern w:val="0"/>
                      <w:szCs w:val="21"/>
                    </w:rPr>
                  </w:pPr>
                  <w:r>
                    <w:rPr>
                      <w:color w:val="auto"/>
                      <w:kern w:val="0"/>
                      <w:szCs w:val="21"/>
                    </w:rPr>
                    <w:t>1、执行自治区、乌昌石片区总体准入要求中关于重点管控单元环境风险防控的准入要求（表2-3 A6.3、表3.4-2 B3）。</w:t>
                  </w:r>
                </w:p>
                <w:p>
                  <w:pPr>
                    <w:jc w:val="left"/>
                    <w:rPr>
                      <w:color w:val="auto"/>
                      <w:kern w:val="0"/>
                      <w:szCs w:val="21"/>
                    </w:rPr>
                  </w:pPr>
                  <w:r>
                    <w:rPr>
                      <w:rFonts w:hint="eastAsia"/>
                      <w:color w:val="auto"/>
                      <w:kern w:val="0"/>
                      <w:szCs w:val="21"/>
                    </w:rPr>
                    <w:t>2、做好污水和废水等的地下管槽防渗工作，防止污染地下水。</w:t>
                  </w:r>
                </w:p>
                <w:p>
                  <w:pPr>
                    <w:jc w:val="left"/>
                    <w:rPr>
                      <w:color w:val="auto"/>
                      <w:kern w:val="0"/>
                      <w:szCs w:val="21"/>
                    </w:rPr>
                  </w:pPr>
                  <w:r>
                    <w:rPr>
                      <w:rFonts w:hint="eastAsia"/>
                      <w:color w:val="auto"/>
                      <w:kern w:val="0"/>
                      <w:szCs w:val="21"/>
                    </w:rPr>
                    <w:t>3、严格落实错峰生产方案和重污染天气应急响应措施。</w:t>
                  </w:r>
                </w:p>
                <w:p>
                  <w:pPr>
                    <w:jc w:val="left"/>
                    <w:rPr>
                      <w:color w:val="auto"/>
                      <w:kern w:val="0"/>
                      <w:szCs w:val="21"/>
                    </w:rPr>
                  </w:pPr>
                  <w:r>
                    <w:rPr>
                      <w:rFonts w:hint="eastAsia"/>
                      <w:color w:val="auto"/>
                      <w:kern w:val="0"/>
                      <w:szCs w:val="21"/>
                    </w:rPr>
                    <w:t>4、生产、使用、贮存、运输、回收、处置、排放有毒有害物质的单位和个人，应当采取措施，防止有毒有害物质渗漏、流失、扬散，避免土壤受到污染。</w:t>
                  </w:r>
                </w:p>
              </w:tc>
              <w:tc>
                <w:tcPr>
                  <w:tcW w:w="1907" w:type="dxa"/>
                  <w:vAlign w:val="center"/>
                </w:tcPr>
                <w:p>
                  <w:pPr>
                    <w:pStyle w:val="39"/>
                    <w:jc w:val="both"/>
                    <w:rPr>
                      <w:rFonts w:hint="eastAsia" w:eastAsia="宋体"/>
                      <w:color w:val="auto"/>
                      <w:szCs w:val="21"/>
                      <w:lang w:val="en-US" w:eastAsia="zh-CN"/>
                    </w:rPr>
                  </w:pPr>
                  <w:r>
                    <w:rPr>
                      <w:rFonts w:hint="eastAsia" w:eastAsia="宋体"/>
                      <w:color w:val="auto"/>
                      <w:szCs w:val="21"/>
                      <w:lang w:val="en-US" w:eastAsia="zh-CN"/>
                    </w:rPr>
                    <w:t>1、本项目严格执行自治区、乌昌石片区总体准入要求中关于重点管控单元环境风险防控的准入要求；</w:t>
                  </w:r>
                </w:p>
                <w:p>
                  <w:pPr>
                    <w:pStyle w:val="39"/>
                    <w:jc w:val="both"/>
                    <w:rPr>
                      <w:rFonts w:hint="eastAsia" w:eastAsia="宋体"/>
                      <w:color w:val="auto"/>
                      <w:szCs w:val="21"/>
                      <w:lang w:val="en-US" w:eastAsia="zh-CN"/>
                    </w:rPr>
                  </w:pPr>
                  <w:r>
                    <w:rPr>
                      <w:rFonts w:hint="eastAsia" w:eastAsia="宋体"/>
                      <w:color w:val="auto"/>
                      <w:szCs w:val="21"/>
                      <w:lang w:val="en-US" w:eastAsia="zh-CN"/>
                    </w:rPr>
                    <w:t>2、本项目生产过程中无生产废水产生，生活污水排入园区管网，项目厂区地面硬化，危废间进行防渗处理后能满足管控要求；</w:t>
                  </w:r>
                </w:p>
                <w:p>
                  <w:pPr>
                    <w:pStyle w:val="39"/>
                    <w:jc w:val="both"/>
                    <w:rPr>
                      <w:rFonts w:hint="default" w:eastAsia="宋体"/>
                      <w:color w:val="auto"/>
                      <w:szCs w:val="21"/>
                      <w:lang w:val="en-US" w:eastAsia="zh-CN"/>
                    </w:rPr>
                  </w:pPr>
                  <w:r>
                    <w:rPr>
                      <w:rFonts w:hint="eastAsia" w:eastAsia="宋体"/>
                      <w:color w:val="auto"/>
                      <w:szCs w:val="21"/>
                      <w:lang w:val="en-US" w:eastAsia="zh-CN"/>
                    </w:rPr>
                    <w:t>3、本项目不涉及有毒有害物质。</w:t>
                  </w:r>
                </w:p>
              </w:tc>
              <w:tc>
                <w:tcPr>
                  <w:tcW w:w="645" w:type="dxa"/>
                  <w:vAlign w:val="center"/>
                </w:tcPr>
                <w:p>
                  <w:pPr>
                    <w:pStyle w:val="39"/>
                    <w:jc w:val="both"/>
                    <w:rPr>
                      <w:rFonts w:hint="eastAsia" w:eastAsia="宋体"/>
                      <w:color w:val="auto"/>
                      <w:szCs w:val="21"/>
                      <w:lang w:val="en-US" w:eastAsia="zh-CN"/>
                    </w:rPr>
                  </w:pPr>
                  <w:r>
                    <w:rPr>
                      <w:rFonts w:hint="eastAsia" w:eastAsia="宋体"/>
                      <w:color w:val="auto"/>
                      <w:szCs w:val="21"/>
                      <w:lang w:val="en-US" w:eastAsia="zh-CN"/>
                    </w:rPr>
                    <w:t>符合</w:t>
                  </w:r>
                </w:p>
              </w:tc>
            </w:tr>
          </w:tbl>
          <w:p>
            <w:pPr>
              <w:pStyle w:val="12"/>
              <w:keepNext w:val="0"/>
              <w:keepLines w:val="0"/>
              <w:pageBreakBefore w:val="0"/>
              <w:widowControl w:val="0"/>
              <w:numPr>
                <w:ilvl w:val="0"/>
                <w:numId w:val="6"/>
              </w:numPr>
              <w:kinsoku/>
              <w:wordWrap/>
              <w:overflowPunct/>
              <w:topLinePunct w:val="0"/>
              <w:autoSpaceDE/>
              <w:autoSpaceDN/>
              <w:bidi w:val="0"/>
              <w:adjustRightInd/>
              <w:snapToGrid/>
              <w:spacing w:after="0" w:line="520" w:lineRule="exact"/>
              <w:ind w:left="0" w:leftChars="0" w:firstLine="0" w:firstLineChars="0"/>
              <w:textAlignment w:val="auto"/>
              <w:rPr>
                <w:b/>
                <w:bCs/>
                <w:color w:val="auto"/>
                <w:kern w:val="0"/>
                <w:sz w:val="24"/>
              </w:rPr>
            </w:pPr>
            <w:r>
              <w:rPr>
                <w:b/>
                <w:bCs/>
                <w:color w:val="auto"/>
                <w:kern w:val="0"/>
                <w:sz w:val="24"/>
              </w:rPr>
              <w:t>与《新疆维吾尔自治区七大片区“三线一单”生态环境分区管控要求》</w:t>
            </w:r>
            <w:r>
              <w:rPr>
                <w:rFonts w:hint="eastAsia"/>
                <w:b/>
                <w:bCs/>
                <w:color w:val="auto"/>
                <w:kern w:val="0"/>
                <w:sz w:val="24"/>
                <w:lang w:val="en-US" w:eastAsia="zh-CN"/>
              </w:rPr>
              <w:t>的符合性分析</w:t>
            </w:r>
          </w:p>
          <w:p>
            <w:pPr>
              <w:pStyle w:val="30"/>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rFonts w:hint="eastAsia" w:eastAsia="宋体"/>
                <w:color w:val="auto"/>
                <w:sz w:val="24"/>
                <w:szCs w:val="24"/>
                <w:lang w:eastAsia="zh-CN"/>
              </w:rPr>
            </w:pPr>
            <w:r>
              <w:rPr>
                <w:b w:val="0"/>
                <w:bCs w:val="0"/>
                <w:color w:val="auto"/>
                <w:kern w:val="0"/>
                <w:sz w:val="24"/>
              </w:rPr>
              <w:t>据《新疆维吾尔自治区七大片区“三线一单”生态环境分区管控要求》（新环环评发</w:t>
            </w:r>
            <w:r>
              <w:rPr>
                <w:rFonts w:hint="eastAsia" w:ascii="宋体" w:hAnsi="宋体" w:eastAsia="宋体" w:cs="宋体"/>
                <w:b w:val="0"/>
                <w:bCs w:val="0"/>
                <w:color w:val="auto"/>
                <w:kern w:val="0"/>
                <w:sz w:val="24"/>
              </w:rPr>
              <w:t>〔</w:t>
            </w:r>
            <w:r>
              <w:rPr>
                <w:b w:val="0"/>
                <w:bCs w:val="0"/>
                <w:color w:val="auto"/>
                <w:kern w:val="0"/>
                <w:sz w:val="24"/>
              </w:rPr>
              <w:t>2021</w:t>
            </w:r>
            <w:r>
              <w:rPr>
                <w:rFonts w:hint="eastAsia" w:ascii="宋体" w:hAnsi="宋体" w:eastAsia="宋体" w:cs="宋体"/>
                <w:b w:val="0"/>
                <w:bCs w:val="0"/>
                <w:color w:val="auto"/>
                <w:kern w:val="0"/>
                <w:sz w:val="24"/>
              </w:rPr>
              <w:t>〕</w:t>
            </w:r>
            <w:r>
              <w:rPr>
                <w:b w:val="0"/>
                <w:bCs w:val="0"/>
                <w:color w:val="auto"/>
                <w:kern w:val="0"/>
                <w:sz w:val="24"/>
              </w:rPr>
              <w:t>162号）文件要求：</w:t>
            </w:r>
            <w:r>
              <w:rPr>
                <w:rFonts w:eastAsia="宋体"/>
                <w:snapToGrid/>
                <w:color w:val="auto"/>
                <w:sz w:val="24"/>
                <w:szCs w:val="24"/>
              </w:rPr>
              <w:t>“除国家规划项目外</w:t>
            </w:r>
            <w:r>
              <w:rPr>
                <w:rFonts w:hint="eastAsia" w:eastAsia="宋体"/>
                <w:snapToGrid/>
                <w:color w:val="auto"/>
                <w:sz w:val="24"/>
                <w:szCs w:val="24"/>
                <w:lang w:eastAsia="zh-CN"/>
              </w:rPr>
              <w:t>，</w:t>
            </w:r>
            <w:r>
              <w:rPr>
                <w:rFonts w:eastAsia="宋体"/>
                <w:snapToGrid/>
                <w:color w:val="auto"/>
                <w:sz w:val="24"/>
                <w:szCs w:val="24"/>
              </w:rPr>
              <w:t>乌鲁木齐市七区一县、昌吉市、阜康市玛纳斯县、呼图壁县、沙湾市建成区及周边敏感区域内不再布局建设煤化工、电解铝、燃煤纯发电机组、金属硅、碳化硅、聚氯乙烯（电石法</w:t>
            </w:r>
            <w:r>
              <w:rPr>
                <w:rFonts w:hint="eastAsia" w:eastAsia="宋体"/>
                <w:snapToGrid/>
                <w:color w:val="auto"/>
                <w:sz w:val="24"/>
                <w:szCs w:val="24"/>
                <w:lang w:eastAsia="zh-CN"/>
              </w:rPr>
              <w:t>）</w:t>
            </w:r>
            <w:r>
              <w:rPr>
                <w:rFonts w:eastAsia="宋体"/>
                <w:snapToGrid/>
                <w:color w:val="auto"/>
                <w:sz w:val="24"/>
                <w:szCs w:val="24"/>
              </w:rPr>
              <w:t>、焦炭</w:t>
            </w:r>
            <w:r>
              <w:rPr>
                <w:rFonts w:hint="eastAsia" w:eastAsia="宋体"/>
                <w:snapToGrid/>
                <w:color w:val="auto"/>
                <w:sz w:val="24"/>
                <w:szCs w:val="24"/>
                <w:lang w:eastAsia="zh-CN"/>
              </w:rPr>
              <w:t>（</w:t>
            </w:r>
            <w:r>
              <w:rPr>
                <w:rFonts w:eastAsia="宋体"/>
                <w:snapToGrid/>
                <w:color w:val="auto"/>
                <w:sz w:val="24"/>
                <w:szCs w:val="24"/>
              </w:rPr>
              <w:t>含半焦）等新增产能项目。具备风光电清洁供暖建设条件的区域原则上不新批热电联产项目。坚持属地负责与区域大气污染联防联控相结合</w:t>
            </w:r>
            <w:r>
              <w:rPr>
                <w:rFonts w:hint="eastAsia" w:eastAsia="宋体"/>
                <w:snapToGrid/>
                <w:color w:val="auto"/>
                <w:sz w:val="24"/>
                <w:szCs w:val="24"/>
                <w:lang w:eastAsia="zh-CN"/>
              </w:rPr>
              <w:t>，</w:t>
            </w:r>
            <w:r>
              <w:rPr>
                <w:rFonts w:eastAsia="宋体"/>
                <w:snapToGrid/>
                <w:color w:val="auto"/>
                <w:sz w:val="24"/>
                <w:szCs w:val="24"/>
              </w:rPr>
              <w:t>以明显降低细颗粒物浓度为重点</w:t>
            </w:r>
            <w:r>
              <w:rPr>
                <w:rFonts w:hint="eastAsia" w:eastAsia="宋体"/>
                <w:snapToGrid/>
                <w:color w:val="auto"/>
                <w:sz w:val="24"/>
                <w:szCs w:val="24"/>
                <w:lang w:eastAsia="zh-CN"/>
              </w:rPr>
              <w:t>，</w:t>
            </w:r>
            <w:r>
              <w:rPr>
                <w:rFonts w:eastAsia="宋体"/>
                <w:snapToGrid/>
                <w:color w:val="auto"/>
                <w:sz w:val="24"/>
                <w:szCs w:val="24"/>
              </w:rPr>
              <w:t>协同推进“乌-昌-石”同防同治区域大气环境治理。所有新建、改建、扩建工业项目执行最严格的大气污染物排放标准</w:t>
            </w:r>
            <w:r>
              <w:rPr>
                <w:rFonts w:hint="eastAsia" w:eastAsia="宋体"/>
                <w:snapToGrid/>
                <w:color w:val="auto"/>
                <w:sz w:val="24"/>
                <w:szCs w:val="24"/>
                <w:lang w:eastAsia="zh-CN"/>
              </w:rPr>
              <w:t>，</w:t>
            </w:r>
            <w:r>
              <w:rPr>
                <w:rFonts w:eastAsia="宋体"/>
                <w:snapToGrid/>
                <w:color w:val="auto"/>
                <w:sz w:val="24"/>
                <w:szCs w:val="24"/>
              </w:rPr>
              <w:t>强化氮氧化物深度治理</w:t>
            </w:r>
            <w:r>
              <w:rPr>
                <w:rFonts w:hint="eastAsia" w:eastAsia="宋体"/>
                <w:snapToGrid/>
                <w:color w:val="auto"/>
                <w:sz w:val="24"/>
                <w:szCs w:val="24"/>
                <w:lang w:eastAsia="zh-CN"/>
              </w:rPr>
              <w:t>，</w:t>
            </w:r>
            <w:r>
              <w:rPr>
                <w:rFonts w:eastAsia="宋体"/>
                <w:snapToGrid/>
                <w:color w:val="auto"/>
                <w:sz w:val="24"/>
                <w:szCs w:val="24"/>
              </w:rPr>
              <w:t>确保区域环境空气质量持续改善。强化挥发性有机物防治措施。”</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eastAsia="宋体"/>
                <w:b w:val="0"/>
                <w:bCs w:val="0"/>
                <w:color w:val="auto"/>
                <w:kern w:val="0"/>
                <w:sz w:val="24"/>
                <w:lang w:val="en-US" w:eastAsia="zh-CN"/>
              </w:rPr>
            </w:pPr>
            <w:r>
              <w:rPr>
                <w:rFonts w:hint="eastAsia"/>
                <w:b w:val="0"/>
                <w:bCs w:val="0"/>
                <w:color w:val="auto"/>
                <w:kern w:val="0"/>
                <w:sz w:val="24"/>
                <w:lang w:val="en-US" w:eastAsia="zh-CN"/>
              </w:rPr>
              <w:t>本项目为塑料再生颗粒生产建设项目，属于非金属废料和碎屑加工处理行业，项目不涉及</w:t>
            </w:r>
            <w:r>
              <w:rPr>
                <w:rFonts w:eastAsia="宋体"/>
                <w:snapToGrid/>
                <w:color w:val="auto"/>
                <w:sz w:val="24"/>
                <w:szCs w:val="24"/>
              </w:rPr>
              <w:t>煤化工、电解铝、燃煤纯发电机组、金属硅、碳化硅、聚氯乙烯（电石法</w:t>
            </w:r>
            <w:r>
              <w:rPr>
                <w:rFonts w:hint="eastAsia" w:eastAsia="宋体"/>
                <w:snapToGrid/>
                <w:color w:val="auto"/>
                <w:sz w:val="24"/>
                <w:szCs w:val="24"/>
                <w:lang w:eastAsia="zh-CN"/>
              </w:rPr>
              <w:t>）</w:t>
            </w:r>
            <w:r>
              <w:rPr>
                <w:rFonts w:eastAsia="宋体"/>
                <w:snapToGrid/>
                <w:color w:val="auto"/>
                <w:sz w:val="24"/>
                <w:szCs w:val="24"/>
              </w:rPr>
              <w:t>、焦炭</w:t>
            </w:r>
            <w:r>
              <w:rPr>
                <w:rFonts w:hint="eastAsia" w:eastAsia="宋体"/>
                <w:snapToGrid/>
                <w:color w:val="auto"/>
                <w:sz w:val="24"/>
                <w:szCs w:val="24"/>
                <w:lang w:eastAsia="zh-CN"/>
              </w:rPr>
              <w:t>（</w:t>
            </w:r>
            <w:r>
              <w:rPr>
                <w:rFonts w:eastAsia="宋体"/>
                <w:snapToGrid/>
                <w:color w:val="auto"/>
                <w:sz w:val="24"/>
                <w:szCs w:val="24"/>
              </w:rPr>
              <w:t>含半焦）等</w:t>
            </w:r>
            <w:r>
              <w:rPr>
                <w:rFonts w:hint="eastAsia"/>
                <w:snapToGrid/>
                <w:color w:val="auto"/>
                <w:sz w:val="24"/>
                <w:szCs w:val="24"/>
                <w:lang w:eastAsia="zh-CN"/>
              </w:rPr>
              <w:t>，</w:t>
            </w:r>
            <w:r>
              <w:rPr>
                <w:rFonts w:hint="eastAsia"/>
                <w:snapToGrid/>
                <w:color w:val="auto"/>
                <w:sz w:val="24"/>
                <w:szCs w:val="24"/>
                <w:lang w:val="en-US" w:eastAsia="zh-CN"/>
              </w:rPr>
              <w:t>项目产生的废气污染物主要为颗粒物和非甲烷总烃，颗粒物采用布袋除尘器处理后经1根15m高排气筒排放，非甲烷总烃采用活性炭吸附+催化燃烧装置处理后经1根15m高排气筒排放。颗粒物和非甲烷总烃</w:t>
            </w:r>
            <w:r>
              <w:rPr>
                <w:rFonts w:hint="default" w:ascii="Times New Roman" w:hAnsi="Times New Roman" w:eastAsia="宋体" w:cs="Times New Roman"/>
                <w:color w:val="auto"/>
                <w:sz w:val="24"/>
                <w:szCs w:val="24"/>
                <w:lang w:val="en-US" w:eastAsia="zh-CN"/>
              </w:rPr>
              <w:t>执行《</w:t>
            </w:r>
            <w:r>
              <w:rPr>
                <w:rFonts w:hint="eastAsia" w:ascii="Times New Roman" w:hAnsi="Times New Roman" w:eastAsia="宋体" w:cs="Times New Roman"/>
                <w:color w:val="auto"/>
                <w:sz w:val="24"/>
                <w:szCs w:val="24"/>
                <w:lang w:val="en-US" w:eastAsia="zh-CN"/>
              </w:rPr>
              <w:t>合成树脂工业污染物排放标准</w:t>
            </w:r>
            <w:r>
              <w:rPr>
                <w:rFonts w:hint="default" w:ascii="Times New Roman" w:hAnsi="Times New Roman" w:eastAsia="宋体" w:cs="Times New Roman"/>
                <w:color w:val="auto"/>
                <w:sz w:val="24"/>
                <w:szCs w:val="24"/>
                <w:lang w:val="en-US" w:eastAsia="zh-CN"/>
              </w:rPr>
              <w:t>》（GB</w:t>
            </w:r>
            <w:r>
              <w:rPr>
                <w:rFonts w:hint="eastAsia" w:ascii="Times New Roman" w:hAnsi="Times New Roman" w:eastAsia="宋体" w:cs="Times New Roman"/>
                <w:color w:val="auto"/>
                <w:sz w:val="24"/>
                <w:szCs w:val="24"/>
                <w:lang w:val="en-US" w:eastAsia="zh-CN"/>
              </w:rPr>
              <w:t>31572-2015</w:t>
            </w:r>
            <w:r>
              <w:rPr>
                <w:rFonts w:hint="default" w:ascii="Times New Roman" w:hAnsi="Times New Roman" w:eastAsia="宋体" w:cs="Times New Roman"/>
                <w:color w:val="auto"/>
                <w:sz w:val="24"/>
                <w:szCs w:val="24"/>
                <w:lang w:val="en-US" w:eastAsia="zh-CN"/>
              </w:rPr>
              <w:t>）中表</w:t>
            </w:r>
            <w:r>
              <w:rPr>
                <w:rFonts w:hint="eastAsia" w:ascii="Times New Roman" w:hAnsi="Times New Roman" w:eastAsia="宋体" w:cs="Times New Roman"/>
                <w:color w:val="auto"/>
                <w:sz w:val="24"/>
                <w:szCs w:val="24"/>
                <w:lang w:val="en-US" w:eastAsia="zh-CN"/>
              </w:rPr>
              <w:t>5大气污染物</w:t>
            </w:r>
            <w:r>
              <w:rPr>
                <w:rFonts w:hint="default" w:ascii="Times New Roman" w:hAnsi="Times New Roman" w:eastAsia="宋体" w:cs="Times New Roman"/>
                <w:color w:val="auto"/>
                <w:sz w:val="24"/>
                <w:szCs w:val="24"/>
                <w:lang w:val="en-US" w:eastAsia="zh-CN"/>
              </w:rPr>
              <w:t>特别排放限值要求。</w:t>
            </w:r>
            <w:r>
              <w:rPr>
                <w:rFonts w:hint="eastAsia"/>
                <w:snapToGrid/>
                <w:color w:val="auto"/>
                <w:sz w:val="24"/>
                <w:szCs w:val="24"/>
                <w:lang w:val="en-US" w:eastAsia="zh-CN"/>
              </w:rPr>
              <w:t>符合“</w:t>
            </w:r>
            <w:r>
              <w:rPr>
                <w:rFonts w:eastAsia="宋体"/>
                <w:snapToGrid/>
                <w:color w:val="auto"/>
                <w:sz w:val="24"/>
                <w:szCs w:val="24"/>
              </w:rPr>
              <w:t>所有新建、改建、扩建工业项目执行最严格的大气污染物排放标准</w:t>
            </w:r>
            <w:r>
              <w:rPr>
                <w:rFonts w:hint="eastAsia" w:eastAsia="宋体"/>
                <w:snapToGrid/>
                <w:color w:val="auto"/>
                <w:sz w:val="24"/>
                <w:szCs w:val="24"/>
                <w:lang w:eastAsia="zh-CN"/>
              </w:rPr>
              <w:t>，</w:t>
            </w:r>
            <w:r>
              <w:rPr>
                <w:rFonts w:eastAsia="宋体"/>
                <w:snapToGrid/>
                <w:color w:val="auto"/>
                <w:sz w:val="24"/>
                <w:szCs w:val="24"/>
              </w:rPr>
              <w:t>强化氮氧化物深度治理</w:t>
            </w:r>
            <w:r>
              <w:rPr>
                <w:rFonts w:hint="eastAsia" w:eastAsia="宋体"/>
                <w:snapToGrid/>
                <w:color w:val="auto"/>
                <w:sz w:val="24"/>
                <w:szCs w:val="24"/>
                <w:lang w:eastAsia="zh-CN"/>
              </w:rPr>
              <w:t>，</w:t>
            </w:r>
            <w:r>
              <w:rPr>
                <w:rFonts w:eastAsia="宋体"/>
                <w:snapToGrid/>
                <w:color w:val="auto"/>
                <w:sz w:val="24"/>
                <w:szCs w:val="24"/>
              </w:rPr>
              <w:t>确保区域环境空气质量持续改善。强化挥发性有机物防治措施。</w:t>
            </w:r>
            <w:r>
              <w:rPr>
                <w:rFonts w:hint="eastAsia"/>
                <w:snapToGrid/>
                <w:color w:val="auto"/>
                <w:sz w:val="24"/>
                <w:szCs w:val="24"/>
                <w:lang w:val="en-US" w:eastAsia="zh-CN"/>
              </w:rPr>
              <w:t>”因此本项目符合</w:t>
            </w:r>
            <w:r>
              <w:rPr>
                <w:b w:val="0"/>
                <w:bCs w:val="0"/>
                <w:color w:val="auto"/>
                <w:kern w:val="0"/>
                <w:sz w:val="24"/>
              </w:rPr>
              <w:t>《新疆维吾尔自治区七大片区“三线一单”生态环境分区管控要求》</w:t>
            </w:r>
            <w:r>
              <w:rPr>
                <w:rFonts w:hint="eastAsia"/>
                <w:b w:val="0"/>
                <w:bCs w:val="0"/>
                <w:color w:val="auto"/>
                <w:kern w:val="0"/>
                <w:sz w:val="24"/>
                <w:lang w:val="en-US" w:eastAsia="zh-CN"/>
              </w:rPr>
              <w:t>相关要求。</w:t>
            </w:r>
          </w:p>
          <w:p>
            <w:pPr>
              <w:pStyle w:val="12"/>
              <w:keepNext w:val="0"/>
              <w:keepLines w:val="0"/>
              <w:pageBreakBefore w:val="0"/>
              <w:widowControl w:val="0"/>
              <w:numPr>
                <w:ilvl w:val="0"/>
                <w:numId w:val="6"/>
              </w:numPr>
              <w:kinsoku/>
              <w:wordWrap/>
              <w:overflowPunct/>
              <w:topLinePunct w:val="0"/>
              <w:autoSpaceDE/>
              <w:autoSpaceDN/>
              <w:bidi w:val="0"/>
              <w:adjustRightInd/>
              <w:snapToGrid/>
              <w:spacing w:after="0" w:line="520" w:lineRule="exact"/>
              <w:ind w:left="0" w:leftChars="0" w:firstLine="0" w:firstLineChars="0"/>
              <w:textAlignment w:val="auto"/>
              <w:rPr>
                <w:b/>
                <w:bCs/>
                <w:color w:val="auto"/>
                <w:kern w:val="0"/>
                <w:sz w:val="24"/>
              </w:rPr>
            </w:pPr>
            <w:r>
              <w:rPr>
                <w:b/>
                <w:bCs/>
                <w:color w:val="auto"/>
                <w:kern w:val="0"/>
                <w:sz w:val="24"/>
              </w:rPr>
              <w:t>与《新疆生态环境保护“十四五”规划》的符合性分析</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rPr>
                <w:color w:val="auto"/>
                <w:kern w:val="0"/>
                <w:sz w:val="24"/>
              </w:rPr>
            </w:pPr>
            <w:r>
              <w:rPr>
                <w:color w:val="auto"/>
                <w:kern w:val="0"/>
                <w:sz w:val="24"/>
              </w:rPr>
              <w:t>《新疆生态环境保护“十四五”规划》指出：“实施最严格的生态保护制度。坚决遏制“两高”项目盲目发展，严格执行能源、矿产资源开发自治区人民政府</w:t>
            </w:r>
            <w:r>
              <w:rPr>
                <w:rFonts w:hint="eastAsia"/>
                <w:color w:val="auto"/>
                <w:kern w:val="0"/>
                <w:sz w:val="24"/>
                <w:lang w:eastAsia="zh-CN"/>
              </w:rPr>
              <w:t>“</w:t>
            </w:r>
            <w:r>
              <w:rPr>
                <w:color w:val="auto"/>
                <w:kern w:val="0"/>
                <w:sz w:val="24"/>
              </w:rPr>
              <w:t>一支笔</w:t>
            </w:r>
            <w:r>
              <w:rPr>
                <w:rFonts w:hint="eastAsia"/>
                <w:color w:val="auto"/>
                <w:kern w:val="0"/>
                <w:sz w:val="24"/>
                <w:lang w:eastAsia="zh-CN"/>
              </w:rPr>
              <w:t>”</w:t>
            </w:r>
            <w:r>
              <w:rPr>
                <w:color w:val="auto"/>
                <w:kern w:val="0"/>
                <w:sz w:val="24"/>
              </w:rPr>
              <w:t>审批制度、环境保护</w:t>
            </w:r>
            <w:r>
              <w:rPr>
                <w:rFonts w:hint="eastAsia"/>
                <w:color w:val="auto"/>
                <w:kern w:val="0"/>
                <w:sz w:val="24"/>
                <w:lang w:eastAsia="zh-CN"/>
              </w:rPr>
              <w:t>“</w:t>
            </w:r>
            <w:r>
              <w:rPr>
                <w:color w:val="auto"/>
                <w:kern w:val="0"/>
                <w:sz w:val="24"/>
              </w:rPr>
              <w:t>一票否决</w:t>
            </w:r>
            <w:r>
              <w:rPr>
                <w:rFonts w:hint="eastAsia"/>
                <w:color w:val="auto"/>
                <w:kern w:val="0"/>
                <w:sz w:val="24"/>
                <w:lang w:eastAsia="zh-CN"/>
              </w:rPr>
              <w:t>”</w:t>
            </w:r>
            <w:r>
              <w:rPr>
                <w:color w:val="auto"/>
                <w:kern w:val="0"/>
                <w:sz w:val="24"/>
              </w:rPr>
              <w:t>制度，落实“三线一单”生态环境分区管控要求，守住生态保护红线、环境质量底线和资源利用上线，实施生态环境准入清单管控。”</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rPr>
                <w:color w:val="auto"/>
                <w:kern w:val="0"/>
                <w:sz w:val="24"/>
              </w:rPr>
            </w:pPr>
            <w:r>
              <w:rPr>
                <w:color w:val="auto"/>
                <w:kern w:val="0"/>
                <w:sz w:val="24"/>
              </w:rPr>
              <w:t>“强化区域大气污染联防联控，合理确定产业布局，推动区域内统一产业准入和排放标准。实施钢铁、水泥、焦化等行业季节性生产调控措施，推进散煤整治、挥发性有机污染物</w:t>
            </w:r>
            <w:r>
              <w:rPr>
                <w:rFonts w:hint="eastAsia"/>
                <w:color w:val="auto"/>
                <w:kern w:val="0"/>
                <w:sz w:val="24"/>
                <w:lang w:eastAsia="zh-CN"/>
              </w:rPr>
              <w:t>（</w:t>
            </w:r>
            <w:r>
              <w:rPr>
                <w:color w:val="auto"/>
                <w:kern w:val="0"/>
                <w:sz w:val="24"/>
              </w:rPr>
              <w:t>以下简称“VOCs”</w:t>
            </w:r>
            <w:r>
              <w:rPr>
                <w:rFonts w:hint="eastAsia"/>
                <w:color w:val="auto"/>
                <w:kern w:val="0"/>
                <w:sz w:val="24"/>
                <w:lang w:eastAsia="zh-CN"/>
              </w:rPr>
              <w:t>）</w:t>
            </w:r>
            <w:r>
              <w:rPr>
                <w:color w:val="auto"/>
                <w:kern w:val="0"/>
                <w:sz w:val="24"/>
              </w:rPr>
              <w:t>综合治理、钢铁、水泥、焦化和燃煤工业锅炉行业超低排放改造、燃气锅炉低氮燃烧改造、工业园区内轨道运输</w:t>
            </w:r>
            <w:r>
              <w:rPr>
                <w:rFonts w:hint="eastAsia"/>
                <w:color w:val="auto"/>
                <w:kern w:val="0"/>
                <w:sz w:val="24"/>
                <w:lang w:eastAsia="zh-CN"/>
              </w:rPr>
              <w:t>（</w:t>
            </w:r>
            <w:r>
              <w:rPr>
                <w:color w:val="auto"/>
                <w:kern w:val="0"/>
                <w:sz w:val="24"/>
              </w:rPr>
              <w:t>大宗货物“公转铁”</w:t>
            </w:r>
            <w:r>
              <w:rPr>
                <w:rFonts w:hint="eastAsia"/>
                <w:color w:val="auto"/>
                <w:kern w:val="0"/>
                <w:sz w:val="24"/>
                <w:lang w:eastAsia="zh-CN"/>
              </w:rPr>
              <w:t>）</w:t>
            </w:r>
            <w:r>
              <w:rPr>
                <w:color w:val="auto"/>
                <w:kern w:val="0"/>
                <w:sz w:val="24"/>
              </w:rPr>
              <w:t>、柴油货车治理、锅炉炉窑综合治理等工程项目。全面推行绿色施工，持续推动城市建成区重污染企业搬迁或关闭退出。”</w:t>
            </w:r>
          </w:p>
          <w:p>
            <w:pPr>
              <w:pStyle w:val="36"/>
              <w:keepNext w:val="0"/>
              <w:keepLines w:val="0"/>
              <w:pageBreakBefore w:val="0"/>
              <w:numPr>
                <w:ilvl w:val="0"/>
                <w:numId w:val="0"/>
              </w:numPr>
              <w:kinsoku/>
              <w:wordWrap/>
              <w:overflowPunct/>
              <w:topLinePunct w:val="0"/>
              <w:bidi w:val="0"/>
              <w:spacing w:line="520" w:lineRule="exact"/>
              <w:ind w:firstLine="480" w:firstLineChars="200"/>
              <w:rPr>
                <w:color w:val="auto"/>
                <w:kern w:val="0"/>
                <w:sz w:val="24"/>
              </w:rPr>
            </w:pPr>
            <w:r>
              <w:rPr>
                <w:color w:val="auto"/>
                <w:kern w:val="0"/>
                <w:sz w:val="24"/>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rPr>
                <w:color w:val="auto"/>
                <w:kern w:val="0"/>
                <w:sz w:val="24"/>
              </w:rPr>
            </w:pPr>
            <w:r>
              <w:rPr>
                <w:color w:val="auto"/>
                <w:kern w:val="0"/>
                <w:sz w:val="24"/>
              </w:rPr>
              <w:t>本项目</w:t>
            </w:r>
            <w:r>
              <w:rPr>
                <w:rFonts w:hint="eastAsia"/>
                <w:color w:val="auto"/>
                <w:kern w:val="0"/>
                <w:sz w:val="24"/>
                <w:lang w:val="en-US" w:eastAsia="zh-CN"/>
              </w:rPr>
              <w:t>为塑料再生颗粒生产项目</w:t>
            </w:r>
            <w:r>
              <w:rPr>
                <w:color w:val="auto"/>
                <w:kern w:val="0"/>
                <w:sz w:val="24"/>
              </w:rPr>
              <w:t>属于</w:t>
            </w:r>
            <w:r>
              <w:rPr>
                <w:rFonts w:hint="eastAsia"/>
                <w:color w:val="auto"/>
                <w:kern w:val="0"/>
                <w:sz w:val="24"/>
                <w:lang w:val="en-US" w:eastAsia="zh-CN"/>
              </w:rPr>
              <w:t>非金属废料和碎屑加工处理行业</w:t>
            </w:r>
            <w:r>
              <w:rPr>
                <w:color w:val="auto"/>
                <w:kern w:val="0"/>
                <w:sz w:val="24"/>
              </w:rPr>
              <w:t>，不属于“两高”项目。本项目位于</w:t>
            </w:r>
            <w:r>
              <w:rPr>
                <w:rFonts w:hint="eastAsia"/>
                <w:color w:val="auto"/>
                <w:kern w:val="0"/>
                <w:sz w:val="24"/>
                <w:lang w:val="en-US" w:eastAsia="zh-CN"/>
              </w:rPr>
              <w:t>阜康市苏通小微创业园</w:t>
            </w:r>
            <w:r>
              <w:rPr>
                <w:color w:val="auto"/>
                <w:kern w:val="0"/>
                <w:sz w:val="24"/>
              </w:rPr>
              <w:t>，不在新疆及昌吉州生态保护红线范围内，已落实“三线一单”生态环境分区管控要求。</w:t>
            </w:r>
          </w:p>
          <w:p>
            <w:pPr>
              <w:keepNext w:val="0"/>
              <w:keepLines w:val="0"/>
              <w:pageBreakBefore w:val="0"/>
              <w:kinsoku/>
              <w:wordWrap/>
              <w:overflowPunct/>
              <w:topLinePunct w:val="0"/>
              <w:autoSpaceDE w:val="0"/>
              <w:autoSpaceDN w:val="0"/>
              <w:bidi w:val="0"/>
              <w:adjustRightInd w:val="0"/>
              <w:snapToGrid w:val="0"/>
              <w:spacing w:line="520" w:lineRule="exact"/>
              <w:ind w:firstLine="480" w:firstLineChars="200"/>
              <w:rPr>
                <w:color w:val="auto"/>
                <w:kern w:val="0"/>
                <w:sz w:val="24"/>
              </w:rPr>
            </w:pPr>
            <w:r>
              <w:rPr>
                <w:color w:val="auto"/>
                <w:kern w:val="0"/>
                <w:sz w:val="24"/>
              </w:rPr>
              <w:t>本项目生产产生的</w:t>
            </w:r>
            <w:r>
              <w:rPr>
                <w:rFonts w:hint="eastAsia"/>
                <w:color w:val="auto"/>
                <w:kern w:val="0"/>
                <w:sz w:val="24"/>
                <w:lang w:val="en-US" w:eastAsia="zh-CN"/>
              </w:rPr>
              <w:t>颗粒物</w:t>
            </w:r>
            <w:r>
              <w:rPr>
                <w:color w:val="auto"/>
                <w:kern w:val="0"/>
                <w:sz w:val="24"/>
              </w:rPr>
              <w:t>执行《</w:t>
            </w:r>
            <w:r>
              <w:rPr>
                <w:rFonts w:hint="eastAsia"/>
                <w:color w:val="auto"/>
                <w:kern w:val="0"/>
                <w:sz w:val="24"/>
                <w:lang w:val="en-US" w:eastAsia="zh-CN"/>
              </w:rPr>
              <w:t>合成树脂工业污染物排放标准</w:t>
            </w:r>
            <w:r>
              <w:rPr>
                <w:color w:val="auto"/>
                <w:kern w:val="0"/>
                <w:sz w:val="24"/>
              </w:rPr>
              <w:t>》（GB</w:t>
            </w:r>
            <w:r>
              <w:rPr>
                <w:rFonts w:hint="eastAsia"/>
                <w:color w:val="auto"/>
                <w:kern w:val="0"/>
                <w:sz w:val="24"/>
                <w:lang w:val="en-US" w:eastAsia="zh-CN"/>
              </w:rPr>
              <w:t>31572-2015</w:t>
            </w:r>
            <w:r>
              <w:rPr>
                <w:color w:val="auto"/>
                <w:kern w:val="0"/>
                <w:sz w:val="24"/>
              </w:rPr>
              <w:t>）</w:t>
            </w:r>
            <w:r>
              <w:rPr>
                <w:rFonts w:hint="eastAsia"/>
                <w:color w:val="auto"/>
                <w:kern w:val="0"/>
                <w:sz w:val="24"/>
                <w:lang w:val="en-US" w:eastAsia="zh-CN"/>
              </w:rPr>
              <w:t>中</w:t>
            </w:r>
            <w:r>
              <w:rPr>
                <w:color w:val="auto"/>
                <w:kern w:val="0"/>
                <w:sz w:val="24"/>
              </w:rPr>
              <w:t>表</w:t>
            </w:r>
            <w:r>
              <w:rPr>
                <w:rFonts w:hint="eastAsia"/>
                <w:color w:val="auto"/>
                <w:kern w:val="0"/>
                <w:sz w:val="24"/>
                <w:lang w:val="en-US" w:eastAsia="zh-CN"/>
              </w:rPr>
              <w:t>5</w:t>
            </w:r>
            <w:r>
              <w:rPr>
                <w:color w:val="auto"/>
                <w:kern w:val="0"/>
                <w:sz w:val="24"/>
              </w:rPr>
              <w:t>大气污染物排放限值要求，对周围环境影响较小。本项目施工期全面落实“六个百分之百”，加强道路扬尘整治，提升综合防控水平。因此，与《新疆生态环境保护“十四五”规划》相符合。</w:t>
            </w:r>
          </w:p>
          <w:p>
            <w:pPr>
              <w:pStyle w:val="36"/>
              <w:keepNext w:val="0"/>
              <w:keepLines w:val="0"/>
              <w:pageBreakBefore w:val="0"/>
              <w:numPr>
                <w:ilvl w:val="0"/>
                <w:numId w:val="6"/>
              </w:numPr>
              <w:kinsoku/>
              <w:wordWrap/>
              <w:overflowPunct/>
              <w:topLinePunct w:val="0"/>
              <w:bidi w:val="0"/>
              <w:spacing w:line="520" w:lineRule="exact"/>
              <w:ind w:left="0" w:leftChars="0" w:firstLine="0" w:firstLineChars="0"/>
              <w:rPr>
                <w:rStyle w:val="37"/>
                <w:b/>
                <w:bCs/>
                <w:color w:val="auto"/>
                <w:sz w:val="24"/>
              </w:rPr>
            </w:pPr>
            <w:r>
              <w:rPr>
                <w:rStyle w:val="37"/>
                <w:b/>
                <w:bCs/>
                <w:color w:val="auto"/>
                <w:sz w:val="24"/>
              </w:rPr>
              <w:t>与《关于加强乌鲁木齐、昌吉、石河子、五家渠区域环境同防同治的意见》</w:t>
            </w:r>
            <w:r>
              <w:rPr>
                <w:rStyle w:val="37"/>
                <w:rFonts w:hint="eastAsia"/>
                <w:b/>
                <w:bCs/>
                <w:color w:val="auto"/>
                <w:sz w:val="24"/>
              </w:rPr>
              <w:t>（新政发[2016]140号）</w:t>
            </w:r>
            <w:r>
              <w:rPr>
                <w:rStyle w:val="37"/>
                <w:b/>
                <w:bCs/>
                <w:color w:val="auto"/>
                <w:sz w:val="24"/>
              </w:rPr>
              <w:t>相符性分析</w:t>
            </w:r>
          </w:p>
          <w:p>
            <w:pPr>
              <w:pStyle w:val="38"/>
              <w:keepNext w:val="0"/>
              <w:keepLines w:val="0"/>
              <w:pageBreakBefore w:val="0"/>
              <w:kinsoku/>
              <w:wordWrap/>
              <w:overflowPunct/>
              <w:topLinePunct w:val="0"/>
              <w:bidi w:val="0"/>
              <w:spacing w:line="520" w:lineRule="exact"/>
              <w:ind w:firstLine="480"/>
              <w:rPr>
                <w:color w:val="auto"/>
              </w:rPr>
            </w:pPr>
            <w:r>
              <w:rPr>
                <w:color w:val="auto"/>
              </w:rPr>
              <w:t>乌昌石区域包括乌鲁木齐市七区一县、昌吉市、阜康市、石河子市、五家渠市、玛纳斯县、呼图壁县、沙湾县、生产建设兵团第六师、第八师、第十二师，总面积6.9万km</w:t>
            </w:r>
            <w:r>
              <w:rPr>
                <w:color w:val="auto"/>
                <w:vertAlign w:val="superscript"/>
              </w:rPr>
              <w:t>2</w:t>
            </w:r>
            <w:r>
              <w:rPr>
                <w:color w:val="auto"/>
              </w:rPr>
              <w:t>左右。区域内建成区及周边敏感区域为重点区域，总面积1.7万km</w:t>
            </w:r>
            <w:r>
              <w:rPr>
                <w:color w:val="auto"/>
                <w:vertAlign w:val="superscript"/>
              </w:rPr>
              <w:t>2</w:t>
            </w:r>
            <w:r>
              <w:rPr>
                <w:color w:val="auto"/>
              </w:rPr>
              <w:t>左右。</w:t>
            </w:r>
          </w:p>
          <w:p>
            <w:pPr>
              <w:pStyle w:val="38"/>
              <w:keepNext w:val="0"/>
              <w:keepLines w:val="0"/>
              <w:pageBreakBefore w:val="0"/>
              <w:kinsoku/>
              <w:wordWrap/>
              <w:overflowPunct/>
              <w:topLinePunct w:val="0"/>
              <w:bidi w:val="0"/>
              <w:spacing w:line="520" w:lineRule="exact"/>
              <w:ind w:firstLine="480"/>
              <w:rPr>
                <w:color w:val="auto"/>
              </w:rPr>
            </w:pPr>
            <w:r>
              <w:rPr>
                <w:color w:val="auto"/>
              </w:rPr>
              <w:t>意见要求严格污染物排放浓度，认真落实《重点区域大气污染物排放特别限值的公告》（环保厅2016第45号），钢铁、石化、火电、水泥等行业和燃煤锅炉严格执行重点行业污染物排放特别限值要求。其他工业企业一律执行国家最新污染物排放标准，减少污染物排放总量。</w:t>
            </w:r>
          </w:p>
          <w:p>
            <w:pPr>
              <w:keepNext w:val="0"/>
              <w:keepLines w:val="0"/>
              <w:pageBreakBefore w:val="0"/>
              <w:widowControl/>
              <w:kinsoku/>
              <w:wordWrap/>
              <w:overflowPunct/>
              <w:topLinePunct w:val="0"/>
              <w:bidi w:val="0"/>
              <w:adjustRightInd w:val="0"/>
              <w:snapToGrid w:val="0"/>
              <w:spacing w:line="520" w:lineRule="exact"/>
              <w:ind w:firstLine="480" w:firstLineChars="200"/>
              <w:rPr>
                <w:color w:val="auto"/>
                <w:sz w:val="24"/>
              </w:rPr>
            </w:pPr>
            <w:r>
              <w:rPr>
                <w:color w:val="auto"/>
                <w:sz w:val="24"/>
              </w:rPr>
              <w:t>本项目位于</w:t>
            </w:r>
            <w:r>
              <w:rPr>
                <w:rFonts w:hint="eastAsia"/>
                <w:color w:val="auto"/>
                <w:sz w:val="24"/>
                <w:lang w:eastAsia="zh-CN"/>
              </w:rPr>
              <w:t>阜康苏通小微创业园</w:t>
            </w:r>
            <w:r>
              <w:rPr>
                <w:color w:val="auto"/>
                <w:sz w:val="24"/>
              </w:rPr>
              <w:t>，处于乌鲁木齐、昌吉、石河子、五家渠区域环境同防同治的重点区域。本项目为</w:t>
            </w:r>
            <w:r>
              <w:rPr>
                <w:rFonts w:hint="eastAsia"/>
                <w:color w:val="auto"/>
                <w:sz w:val="24"/>
                <w:lang w:val="en-US" w:eastAsia="zh-CN"/>
              </w:rPr>
              <w:t>塑料再生颗粒</w:t>
            </w:r>
            <w:r>
              <w:rPr>
                <w:color w:val="auto"/>
                <w:sz w:val="24"/>
              </w:rPr>
              <w:t>生产项目，不属于钢铁、石化、火电</w:t>
            </w:r>
            <w:r>
              <w:rPr>
                <w:rFonts w:hint="eastAsia"/>
                <w:color w:val="auto"/>
                <w:sz w:val="24"/>
                <w:lang w:eastAsia="zh-CN"/>
              </w:rPr>
              <w:t>等</w:t>
            </w:r>
            <w:r>
              <w:rPr>
                <w:color w:val="auto"/>
                <w:sz w:val="24"/>
              </w:rPr>
              <w:t>重点行业。项目排放的污染物均达到国家最新污染物排放标准，污染物排放量较少，符合《关于加强乌鲁木齐、昌吉、石河子、五家渠区域环境同防同治的意见》相关要求。</w:t>
            </w:r>
          </w:p>
          <w:p>
            <w:pPr>
              <w:keepNext w:val="0"/>
              <w:keepLines w:val="0"/>
              <w:pageBreakBefore w:val="0"/>
              <w:widowControl w:val="0"/>
              <w:numPr>
                <w:ilvl w:val="0"/>
                <w:numId w:val="6"/>
              </w:numPr>
              <w:kinsoku/>
              <w:wordWrap/>
              <w:overflowPunct/>
              <w:topLinePunct w:val="0"/>
              <w:autoSpaceDE w:val="0"/>
              <w:autoSpaceDN w:val="0"/>
              <w:bidi w:val="0"/>
              <w:adjustRightInd w:val="0"/>
              <w:snapToGrid w:val="0"/>
              <w:spacing w:line="520" w:lineRule="exact"/>
              <w:ind w:left="0" w:leftChars="0" w:firstLine="0" w:firstLineChars="0"/>
              <w:textAlignment w:val="auto"/>
              <w:rPr>
                <w:rFonts w:hint="eastAsia"/>
                <w:b/>
                <w:bCs/>
                <w:color w:val="auto"/>
                <w:sz w:val="24"/>
              </w:rPr>
            </w:pPr>
            <w:r>
              <w:rPr>
                <w:rFonts w:hint="eastAsia"/>
                <w:b/>
                <w:bCs/>
                <w:color w:val="auto"/>
                <w:sz w:val="24"/>
                <w:lang w:val="en-US" w:eastAsia="zh-CN"/>
              </w:rPr>
              <w:t>与《“乌-昌-石”区域大气污染防治三年（2023-2025年方案）》</w:t>
            </w:r>
            <w:r>
              <w:rPr>
                <w:rFonts w:hint="eastAsia"/>
                <w:b/>
                <w:bCs/>
                <w:color w:val="auto"/>
                <w:sz w:val="24"/>
              </w:rPr>
              <w:t>相符性分析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优化调整产业结构和布局。坚决遏制高耗能、高排放、低水平项目盲目发展。严格落实国家产业规划、产业政策、“三线一单”、规划环评以及产能置换、煤炭消费减量替代、区域污染物消减等要求，坚决叫停不符合要求的高耗能、高排放、低水平项目。严把高耗能高排放项目准入关口，严格落实污染物排放区域削减要求。依法依规淘汰落后产能和化解过剩产能。严禁新增钢铁、煤电、电解铝、炭素、硅冶炼、水泥熟料、平板玻璃（压延玻璃除外）、煤化工、焦化产能，严控新增炼油产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推进挥发性有机物综合治理。组织开展涉挥发性有机物（VOCs）企业“一厂一策”精细管控，完成现有VOCs废气收集、治理设施运行率、去除率核查。加强工业企业含VOCs物料储存、转移和输送、设备与管线组件泄漏、敞开液面逸散以及工艺过程等无组织排放收集处理，确保达标排放。强化石化、化工、工业涂装、包装印刷、油品“储运销”等重点行业VOCs治理，提高末端处理设施效率。</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为塑料再生颗粒生产项目，不属于高能耗、高排放、低水平项目，也不属于钢铁、煤电、电解铝、碳素、硅冶炼、水泥熟料、平板玻璃（压延玻璃除外）、煤化工、焦化产能，新增炼油产能。项目设计VOCs排放，采用集气罩收集+活性炭吸附+催化燃烧装置处理，处理后的VOCs满足《合成树脂工业污染物排放标准》（GB31572-2015）中表5大气污染物特别排放限值要求，项目非甲烷总烃总量执行倍量替代。因此本项目符合《“乌-昌-石”区域大气污染防治三年（2023-2025年方案）》相关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b/>
                <w:bCs/>
                <w:color w:val="auto"/>
                <w:sz w:val="24"/>
              </w:rPr>
            </w:pPr>
            <w:r>
              <w:rPr>
                <w:rFonts w:hint="eastAsia"/>
                <w:b/>
                <w:bCs/>
                <w:color w:val="auto"/>
                <w:sz w:val="24"/>
                <w:lang w:val="en-US" w:eastAsia="zh-CN"/>
              </w:rPr>
              <w:t>与《国务院关于印发&lt;空气质量持续改善行动计划&gt;的通知》相符性分析</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宋体" w:hAnsi="宋体" w:eastAsia="宋体" w:cs="宋体"/>
                <w:b w:val="0"/>
                <w:bCs w:val="0"/>
                <w:i w:val="0"/>
                <w:iCs w:val="0"/>
                <w:caps w:val="0"/>
                <w:color w:val="auto"/>
                <w:spacing w:val="0"/>
                <w:sz w:val="24"/>
                <w:szCs w:val="24"/>
                <w:shd w:val="clear" w:fill="FFFFFF"/>
              </w:rPr>
            </w:pPr>
            <w:r>
              <w:rPr>
                <w:rFonts w:hint="eastAsia"/>
                <w:b w:val="0"/>
                <w:bCs w:val="0"/>
                <w:color w:val="auto"/>
                <w:sz w:val="24"/>
                <w:lang w:val="en-US" w:eastAsia="zh-CN"/>
              </w:rPr>
              <w:t>根据《国务院关于印发&lt;空气质量持续改善行动计划&gt;的通知》（国发〔2023〕24号）要求：</w:t>
            </w:r>
            <w:r>
              <w:rPr>
                <w:rFonts w:hint="eastAsia" w:ascii="宋体" w:hAnsi="宋体" w:eastAsia="宋体" w:cs="宋体"/>
                <w:b w:val="0"/>
                <w:bCs w:val="0"/>
                <w:i w:val="0"/>
                <w:iCs w:val="0"/>
                <w:caps w:val="0"/>
                <w:color w:val="auto"/>
                <w:spacing w:val="0"/>
                <w:sz w:val="24"/>
                <w:szCs w:val="24"/>
                <w:shd w:val="clear" w:fill="FFFFFF"/>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重点涉气企业逐步取消烟气和含VOCs废气旁路，因安全生产需要无法取消的，安装在线监控系统及备用处置设施。</w:t>
            </w:r>
          </w:p>
          <w:p>
            <w:pPr>
              <w:pStyle w:val="54"/>
              <w:bidi w:val="0"/>
              <w:rPr>
                <w:rFonts w:hint="default"/>
                <w:color w:val="auto"/>
                <w:lang w:val="en-US" w:eastAsia="zh-CN"/>
              </w:rPr>
            </w:pPr>
            <w:r>
              <w:rPr>
                <w:rFonts w:hint="eastAsia"/>
                <w:color w:val="auto"/>
                <w:lang w:val="en-US" w:eastAsia="zh-CN"/>
              </w:rPr>
              <w:t>本项目为塑料再生颗粒物生产项目，项目不涉及玻璃、石灰、矿棉、有色等行业，不涉及锅炉建设。运营期产生的VOSs废气经过活性炭吸附+催化燃烧装置处理后通过1根15m高排气筒排放，处理后的VOCs满足《</w:t>
            </w:r>
            <w:r>
              <w:rPr>
                <w:rFonts w:hint="default" w:ascii="Times New Roman" w:hAnsi="Times New Roman" w:eastAsia="宋体" w:cs="Times New Roman"/>
                <w:b w:val="0"/>
                <w:bCs w:val="0"/>
                <w:color w:val="auto"/>
                <w:sz w:val="24"/>
                <w:szCs w:val="24"/>
                <w:lang w:val="en-US" w:eastAsia="zh-CN"/>
              </w:rPr>
              <w:t>合成树脂工业污染物排放标准</w:t>
            </w:r>
            <w:r>
              <w:rPr>
                <w:rFonts w:hint="eastAsia"/>
                <w:color w:val="auto"/>
                <w:lang w:val="en-US" w:eastAsia="zh-CN"/>
              </w:rPr>
              <w:t>》（GB31572-2015）中表5大气污染物特别排放限值要求。因此本项目符合《国务院关于印发&lt;空气质量持续改善行动计划&gt;的通知》（国发</w:t>
            </w:r>
            <w:r>
              <w:rPr>
                <w:rFonts w:hint="eastAsia"/>
                <w:b w:val="0"/>
                <w:bCs w:val="0"/>
                <w:color w:val="auto"/>
                <w:sz w:val="24"/>
                <w:lang w:val="en-US" w:eastAsia="zh-CN"/>
              </w:rPr>
              <w:t>〔2023〕24号</w:t>
            </w:r>
            <w:r>
              <w:rPr>
                <w:rFonts w:hint="eastAsia"/>
                <w:color w:val="auto"/>
                <w:lang w:val="en-US" w:eastAsia="zh-CN"/>
              </w:rPr>
              <w:t>）的要求。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rFonts w:hint="eastAsia"/>
                <w:b/>
                <w:bCs/>
                <w:color w:val="auto"/>
                <w:sz w:val="24"/>
                <w:lang w:val="en-US" w:eastAsia="zh-CN"/>
              </w:rPr>
            </w:pPr>
            <w:r>
              <w:rPr>
                <w:rFonts w:hint="eastAsia"/>
                <w:b/>
                <w:bCs/>
                <w:color w:val="auto"/>
                <w:sz w:val="24"/>
                <w:lang w:val="en-US" w:eastAsia="zh-CN"/>
              </w:rPr>
              <w:t>与《关于全面加强生态环境保护坚决打好污染防治攻坚战实施方案》相符性分析</w:t>
            </w:r>
          </w:p>
          <w:p>
            <w:pPr>
              <w:pStyle w:val="54"/>
              <w:bidi w:val="0"/>
              <w:rPr>
                <w:rFonts w:hint="eastAsia"/>
                <w:color w:val="auto"/>
                <w:lang w:val="en-US" w:eastAsia="zh-CN"/>
              </w:rPr>
            </w:pPr>
            <w:r>
              <w:rPr>
                <w:rFonts w:hint="eastAsia"/>
                <w:color w:val="auto"/>
                <w:lang w:val="en-US" w:eastAsia="zh-CN"/>
              </w:rPr>
              <w:t>根据《关于全面加强生态环境保护坚决打好污染防治攻坚战实施方案》要求：加强工业企业大气污染综合治理。重点去也和大气污染严重城市加大钢铁、铸造、炼焦、建材、电解铝等产能压减力度，实施大气污染物特别排放限值。加大排放高、污染重的燃煤电机组淘汰力度，在重点区域加快推进。</w:t>
            </w:r>
          </w:p>
          <w:p>
            <w:pPr>
              <w:pStyle w:val="54"/>
              <w:bidi w:val="0"/>
              <w:rPr>
                <w:rFonts w:hint="default"/>
                <w:color w:val="auto"/>
                <w:lang w:val="en-US" w:eastAsia="zh-CN"/>
              </w:rPr>
            </w:pPr>
            <w:r>
              <w:rPr>
                <w:rFonts w:hint="eastAsia"/>
                <w:color w:val="auto"/>
                <w:lang w:val="en-US" w:eastAsia="zh-CN"/>
              </w:rPr>
              <w:t>本项目为塑料再生颗粒生产项目，不属于钢铁、铸造、炼焦、建材、电解铝等行业，运营期产生的VOCs废气经过活性炭吸附+催化燃烧装置处理后通过1根15m高排气筒排放，处理后的VOCs满足《合成树脂工业污染物排放标准》（GB31572-2015）中表5大气污染物特别排放限值要求。因此本项目满足《关于全面加强生态环境保护坚决打好污染防治攻坚战实施方案》的内容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b/>
                <w:bCs/>
                <w:color w:val="auto"/>
                <w:sz w:val="24"/>
              </w:rPr>
            </w:pPr>
            <w:r>
              <w:rPr>
                <w:rFonts w:hint="eastAsia"/>
                <w:b/>
                <w:bCs/>
                <w:color w:val="auto"/>
                <w:sz w:val="24"/>
                <w:lang w:val="en-US" w:eastAsia="zh-CN"/>
              </w:rPr>
              <w:t>与</w:t>
            </w:r>
            <w:r>
              <w:rPr>
                <w:b/>
                <w:bCs/>
                <w:color w:val="auto"/>
                <w:sz w:val="24"/>
                <w:lang w:val="en-US" w:eastAsia="zh-CN"/>
              </w:rPr>
              <w:t>《重点行业挥发性有机物综合治理方案》</w:t>
            </w:r>
            <w:r>
              <w:rPr>
                <w:rFonts w:hint="eastAsia"/>
                <w:b/>
                <w:bCs/>
                <w:color w:val="auto"/>
                <w:sz w:val="24"/>
                <w:lang w:val="en-US" w:eastAsia="zh-CN"/>
              </w:rPr>
              <w:t>相符性分析</w:t>
            </w:r>
          </w:p>
          <w:p>
            <w:pPr>
              <w:pStyle w:val="54"/>
              <w:bidi w:val="0"/>
              <w:rPr>
                <w:rFonts w:hint="eastAsia"/>
                <w:b w:val="0"/>
                <w:bCs w:val="0"/>
                <w:color w:val="auto"/>
                <w:sz w:val="24"/>
                <w:lang w:val="en-US" w:eastAsia="zh-CN"/>
              </w:rPr>
            </w:pPr>
            <w:r>
              <w:rPr>
                <w:rFonts w:hint="eastAsia"/>
                <w:color w:val="auto"/>
                <w:lang w:val="en-US" w:eastAsia="zh-CN"/>
              </w:rPr>
              <w:t>根据</w:t>
            </w:r>
            <w:r>
              <w:rPr>
                <w:b w:val="0"/>
                <w:bCs w:val="0"/>
                <w:color w:val="auto"/>
                <w:sz w:val="24"/>
                <w:lang w:val="en-US" w:eastAsia="zh-CN"/>
              </w:rPr>
              <w:t>《重点行业挥发性有机物综合治理方案》</w:t>
            </w:r>
            <w:r>
              <w:rPr>
                <w:rFonts w:hint="eastAsia"/>
                <w:b w:val="0"/>
                <w:bCs w:val="0"/>
                <w:color w:val="auto"/>
                <w:sz w:val="24"/>
                <w:lang w:val="en-US" w:eastAsia="zh-CN"/>
              </w:rPr>
              <w:t>中内容要求：推进建设适宜高效的治污设施。企业新建治污设施或对现有治污设施实施改造，应依据排放废气的浓度、组分、风量，温度、适度、压力，以及生产工况等，合理选择治理技术。鼓励企业采用多种技术的组合工艺，提高VOCs治理效率。</w:t>
            </w:r>
          </w:p>
          <w:p>
            <w:pPr>
              <w:pStyle w:val="54"/>
              <w:bidi w:val="0"/>
              <w:rPr>
                <w:rFonts w:hint="eastAsia"/>
                <w:color w:val="auto"/>
                <w:lang w:val="en-US" w:eastAsia="zh-CN"/>
              </w:rPr>
            </w:pPr>
            <w:r>
              <w:rPr>
                <w:rFonts w:hint="eastAsia"/>
                <w:b w:val="0"/>
                <w:bCs w:val="0"/>
                <w:color w:val="auto"/>
                <w:sz w:val="24"/>
                <w:lang w:val="en-US" w:eastAsia="zh-CN"/>
              </w:rPr>
              <w:t>本项目运营期产生的VOCs废气</w:t>
            </w:r>
            <w:r>
              <w:rPr>
                <w:rFonts w:hint="eastAsia"/>
                <w:color w:val="auto"/>
                <w:lang w:val="en-US" w:eastAsia="zh-CN"/>
              </w:rPr>
              <w:t>经过活性炭吸附+催化燃烧装置处理后通过1根15m高排气筒排放，处理后的VOCs满足《</w:t>
            </w:r>
            <w:r>
              <w:rPr>
                <w:rFonts w:hint="default" w:ascii="Times New Roman" w:hAnsi="Times New Roman" w:eastAsia="宋体" w:cs="Times New Roman"/>
                <w:b w:val="0"/>
                <w:bCs w:val="0"/>
                <w:color w:val="auto"/>
                <w:sz w:val="24"/>
                <w:szCs w:val="24"/>
                <w:lang w:val="en-US" w:eastAsia="zh-CN"/>
              </w:rPr>
              <w:t>合成树脂工业污染物排放标准</w:t>
            </w:r>
            <w:r>
              <w:rPr>
                <w:rFonts w:hint="eastAsia"/>
                <w:color w:val="auto"/>
                <w:lang w:val="en-US" w:eastAsia="zh-CN"/>
              </w:rPr>
              <w:t>》（GB31572-2015）中表5大气污染物特别排放限值要求。</w:t>
            </w:r>
          </w:p>
          <w:p>
            <w:pPr>
              <w:pStyle w:val="54"/>
              <w:bidi w:val="0"/>
              <w:rPr>
                <w:rFonts w:hint="default"/>
                <w:color w:val="auto"/>
                <w:lang w:val="en-US" w:eastAsia="zh-CN"/>
              </w:rPr>
            </w:pPr>
            <w:r>
              <w:rPr>
                <w:rFonts w:hint="eastAsia"/>
                <w:color w:val="auto"/>
                <w:lang w:val="en-US" w:eastAsia="zh-CN"/>
              </w:rPr>
              <w:t>因此本项目符合《重点行业挥发性有机物综合治理方案》的内容要求。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b/>
                <w:bCs/>
                <w:color w:val="auto"/>
                <w:sz w:val="24"/>
              </w:rPr>
            </w:pPr>
            <w:r>
              <w:rPr>
                <w:rFonts w:hint="eastAsia"/>
                <w:b/>
                <w:bCs/>
                <w:color w:val="auto"/>
                <w:sz w:val="24"/>
                <w:lang w:val="en-US" w:eastAsia="zh-CN"/>
              </w:rPr>
              <w:t>与《废塑料综合利用行业规范条件》的符合性</w:t>
            </w:r>
          </w:p>
          <w:p>
            <w:pPr>
              <w:pStyle w:val="54"/>
              <w:bidi w:val="0"/>
              <w:rPr>
                <w:rFonts w:hint="eastAsia"/>
                <w:color w:val="auto"/>
                <w:lang w:val="en-US" w:eastAsia="zh-CN"/>
              </w:rPr>
            </w:pPr>
            <w:r>
              <w:rPr>
                <w:rFonts w:hint="eastAsia"/>
                <w:color w:val="auto"/>
                <w:lang w:val="en-US" w:eastAsia="zh-CN"/>
              </w:rPr>
              <w:t>根据《废塑料综合利用行业规范条件》内容要求：废塑料综合利用企业所涉及的热塑性废塑料原料，不包括受到危险化学品、农药等污染的废弃塑料包装物、废弃一次性医疗用塑料制品等塑料类危险废物，以及氟塑料等特种工程塑料。塑料再生造粒类企业：新建企业年废塑料处理能力不低于5000吨；已建企业年废塑料处理能力不低于3000吨。塑料再生造粒企业，应具有与加工利用能力相适应的预处理设备和造粒设备。其中造粒设备应具有强制排气系统，通过集气装置实现废气的集中处理；过滤装置的废弃滤网应按照环境保护有关规定处理，禁止露天焚烧。</w:t>
            </w:r>
          </w:p>
          <w:p>
            <w:pPr>
              <w:pStyle w:val="54"/>
              <w:bidi w:val="0"/>
              <w:rPr>
                <w:rFonts w:hint="default"/>
                <w:color w:val="auto"/>
                <w:lang w:val="en-US" w:eastAsia="zh-CN"/>
              </w:rPr>
            </w:pPr>
            <w:r>
              <w:rPr>
                <w:rFonts w:hint="eastAsia"/>
                <w:color w:val="auto"/>
                <w:lang w:val="en-US" w:eastAsia="zh-CN"/>
              </w:rPr>
              <w:t>本项目拟建设2条塑料再生颗粒生产线，项目建成后年产5400吨再生塑料颗粒，满足新建企业年废塑料处理能力不低于5000吨的要求。项目原料为废旧塑料瓶盖和废旧塑料编织袋（不含受到危险化学品、农药等污染的废弃塑料包装物、废弃一次性医疗用塑料制品等塑料类危险废物，以及氟塑料等特种工程塑料），运营期产生的VOCs采用活性炭吸附+催化燃烧装置处理后通过1根15m高排气筒排放。处理后的VOCs满足《</w:t>
            </w:r>
            <w:r>
              <w:rPr>
                <w:rFonts w:hint="default" w:ascii="Times New Roman" w:hAnsi="Times New Roman" w:eastAsia="宋体" w:cs="Times New Roman"/>
                <w:b w:val="0"/>
                <w:bCs w:val="0"/>
                <w:color w:val="auto"/>
                <w:sz w:val="24"/>
                <w:szCs w:val="24"/>
                <w:lang w:val="en-US" w:eastAsia="zh-CN"/>
              </w:rPr>
              <w:t>合成树脂工业污染物排放标准</w:t>
            </w:r>
            <w:r>
              <w:rPr>
                <w:rFonts w:hint="eastAsia"/>
                <w:color w:val="auto"/>
                <w:lang w:val="en-US" w:eastAsia="zh-CN"/>
              </w:rPr>
              <w:t>》（GB31572-2015）中表5大气污染物特别排放限值要求。故本项目符合《废塑料综合利用行业规范条件》有关内容要求。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b/>
                <w:bCs/>
                <w:color w:val="auto"/>
                <w:sz w:val="24"/>
              </w:rPr>
            </w:pPr>
            <w:r>
              <w:rPr>
                <w:rFonts w:hint="eastAsia"/>
                <w:b/>
                <w:bCs/>
                <w:color w:val="auto"/>
                <w:sz w:val="24"/>
                <w:lang w:val="en-US" w:eastAsia="zh-CN"/>
              </w:rPr>
              <w:t>与《关于促进全区废旧塑料再生利用行业有序发展的指导意见》（新环环评发〔2020〕5号）的符合性分析</w:t>
            </w:r>
          </w:p>
          <w:p>
            <w:pPr>
              <w:pStyle w:val="54"/>
              <w:bidi w:val="0"/>
              <w:rPr>
                <w:rFonts w:hint="eastAsia"/>
                <w:color w:val="auto"/>
                <w:lang w:val="en-US" w:eastAsia="zh-CN"/>
              </w:rPr>
            </w:pPr>
            <w:r>
              <w:rPr>
                <w:rFonts w:hint="eastAsia"/>
                <w:color w:val="auto"/>
                <w:lang w:val="en-US" w:eastAsia="zh-CN"/>
              </w:rPr>
              <w:t>根据《关于促进全区废旧塑料再生利用行业有序发展的指导意见》内容要求：废塑料再生利用项目需满足《废塑料综合利用行业规范条件》。新建和改扩建废塑料再生利用项目，厂址宜靠近废塑料集散地，应符合县级（含）以上人民政府制定的换进保护规划或废塑料行业发展规划。在各级人民政府依法设立的工业区以外进行项目建设的，不得占用农用地，且不得在城乡规划区边界外5公里以内，区控重点河流两岸、高速公路、铁路干线及重要地下管网及其他需严防污染的食品、药品等企业周边1000米以内建设；禁止在生态保护红线内新建废塑料再生利用企业。</w:t>
            </w:r>
          </w:p>
          <w:p>
            <w:pPr>
              <w:pStyle w:val="54"/>
              <w:bidi w:val="0"/>
              <w:rPr>
                <w:rFonts w:hint="default"/>
                <w:color w:val="auto"/>
                <w:lang w:val="en-US" w:eastAsia="zh-CN"/>
              </w:rPr>
            </w:pPr>
            <w:r>
              <w:rPr>
                <w:rFonts w:hint="eastAsia"/>
                <w:color w:val="auto"/>
                <w:lang w:val="en-US" w:eastAsia="zh-CN"/>
              </w:rPr>
              <w:t>本项目所使用原料为废旧塑料瓶盖及废旧塑料编织袋（不含受到危险化学品、农药等污染的废弃塑料包装物、废弃一次性医疗用塑料制品等塑料类危险废物，以及氟塑料等特种工程塑料），根据调查阜康市现有废旧塑料再生行业企业生产加工能力为12.5万t/a，原料主要来源为当地农户农业生产产生的废旧滴灌带及薄膜，本项目主要原料为废旧塑料瓶盖及废旧塑料编织袋，主要来源为阜康市各废品收购站，根据项目可研阶段调查，阜康市废品收购站废旧塑料瓶盖及废旧编织袋年收购量约为2万t/a。因此本项目原料来源可以保证，且项目区位于苏通小微创业园内，符合园区规划要求。故本项目满足《关于促进全区废旧塑料再生利用行业有序发展的指导意见》的要求。</w:t>
            </w:r>
          </w:p>
          <w:p>
            <w:pPr>
              <w:keepNext w:val="0"/>
              <w:keepLines w:val="0"/>
              <w:pageBreakBefore w:val="0"/>
              <w:numPr>
                <w:ilvl w:val="0"/>
                <w:numId w:val="6"/>
              </w:numPr>
              <w:kinsoku/>
              <w:wordWrap/>
              <w:overflowPunct/>
              <w:topLinePunct w:val="0"/>
              <w:autoSpaceDE w:val="0"/>
              <w:autoSpaceDN w:val="0"/>
              <w:bidi w:val="0"/>
              <w:adjustRightInd w:val="0"/>
              <w:snapToGrid w:val="0"/>
              <w:spacing w:line="520" w:lineRule="exact"/>
              <w:ind w:left="0" w:leftChars="0" w:firstLine="0" w:firstLineChars="0"/>
              <w:rPr>
                <w:b/>
                <w:bCs/>
                <w:color w:val="auto"/>
                <w:sz w:val="24"/>
              </w:rPr>
            </w:pPr>
            <w:r>
              <w:rPr>
                <w:rFonts w:hint="eastAsia"/>
                <w:b/>
                <w:bCs/>
                <w:color w:val="auto"/>
                <w:sz w:val="24"/>
              </w:rPr>
              <w:t>选址合理性分析</w:t>
            </w:r>
          </w:p>
          <w:p>
            <w:pPr>
              <w:keepNext w:val="0"/>
              <w:keepLines w:val="0"/>
              <w:pageBreakBefore w:val="0"/>
              <w:widowControl/>
              <w:numPr>
                <w:ilvl w:val="0"/>
                <w:numId w:val="9"/>
              </w:numPr>
              <w:kinsoku/>
              <w:wordWrap/>
              <w:overflowPunct/>
              <w:topLinePunct w:val="0"/>
              <w:bidi w:val="0"/>
              <w:spacing w:line="520" w:lineRule="exact"/>
              <w:ind w:firstLine="480" w:firstLineChars="200"/>
              <w:rPr>
                <w:rFonts w:ascii="宋体" w:hAnsi="宋体" w:cs="宋体"/>
                <w:color w:val="auto"/>
                <w:kern w:val="0"/>
                <w:sz w:val="24"/>
              </w:rPr>
            </w:pPr>
            <w:r>
              <w:rPr>
                <w:rFonts w:hint="eastAsia"/>
                <w:color w:val="auto"/>
                <w:sz w:val="24"/>
              </w:rPr>
              <w:t>本项目选址</w:t>
            </w:r>
            <w:r>
              <w:rPr>
                <w:rFonts w:hint="eastAsia" w:ascii="宋体" w:hAnsi="宋体" w:cs="宋体"/>
                <w:color w:val="auto"/>
                <w:kern w:val="0"/>
                <w:sz w:val="24"/>
              </w:rPr>
              <w:t>合理性体现在以下方面：</w:t>
            </w:r>
          </w:p>
          <w:p>
            <w:pPr>
              <w:keepNext w:val="0"/>
              <w:keepLines w:val="0"/>
              <w:pageBreakBefore w:val="0"/>
              <w:widowControl/>
              <w:kinsoku/>
              <w:wordWrap/>
              <w:overflowPunct/>
              <w:topLinePunct w:val="0"/>
              <w:bidi w:val="0"/>
              <w:spacing w:line="520" w:lineRule="exact"/>
              <w:ind w:firstLine="480" w:firstLineChars="200"/>
              <w:rPr>
                <w:rFonts w:ascii="宋体" w:hAnsi="宋体" w:cs="宋体"/>
                <w:color w:val="auto"/>
                <w:kern w:val="0"/>
                <w:sz w:val="24"/>
              </w:rPr>
            </w:pPr>
            <w:r>
              <w:rPr>
                <w:rFonts w:hint="eastAsia" w:ascii="宋体" w:hAnsi="宋体" w:cs="宋体"/>
                <w:color w:val="auto"/>
                <w:kern w:val="0"/>
                <w:sz w:val="24"/>
              </w:rPr>
              <w:t>①本项目位于</w:t>
            </w:r>
            <w:r>
              <w:rPr>
                <w:rFonts w:hint="eastAsia" w:ascii="宋体" w:hAnsi="宋体" w:cs="宋体"/>
                <w:color w:val="auto"/>
                <w:sz w:val="24"/>
                <w:lang w:eastAsia="zh-CN"/>
              </w:rPr>
              <w:t>阜康苏通小微创业园</w:t>
            </w:r>
            <w:r>
              <w:rPr>
                <w:rFonts w:hint="eastAsia" w:ascii="宋体" w:hAnsi="宋体" w:cs="宋体"/>
                <w:color w:val="auto"/>
                <w:kern w:val="0"/>
                <w:sz w:val="24"/>
              </w:rPr>
              <w:t>，四周无特殊环境敏感点，</w:t>
            </w:r>
            <w:r>
              <w:rPr>
                <w:rFonts w:hint="eastAsia" w:ascii="宋体" w:hAnsi="宋体" w:cs="宋体"/>
                <w:color w:val="auto"/>
                <w:kern w:val="0"/>
                <w:sz w:val="24"/>
                <w:lang w:val="en-US" w:eastAsia="zh-CN"/>
              </w:rPr>
              <w:t>属于园区建材生产加工区，为园区功能定位中鼓励发展的小微企业，符合园区产业空间布局</w:t>
            </w:r>
            <w:r>
              <w:rPr>
                <w:rFonts w:hint="eastAsia" w:ascii="宋体" w:hAnsi="宋体" w:cs="宋体"/>
                <w:color w:val="auto"/>
                <w:kern w:val="0"/>
                <w:sz w:val="24"/>
              </w:rPr>
              <w:t>。</w:t>
            </w:r>
          </w:p>
          <w:p>
            <w:pPr>
              <w:keepNext w:val="0"/>
              <w:keepLines w:val="0"/>
              <w:pageBreakBefore w:val="0"/>
              <w:widowControl/>
              <w:kinsoku/>
              <w:wordWrap/>
              <w:overflowPunct/>
              <w:topLinePunct w:val="0"/>
              <w:bidi w:val="0"/>
              <w:spacing w:line="520" w:lineRule="exact"/>
              <w:ind w:firstLine="480" w:firstLineChars="200"/>
              <w:rPr>
                <w:rFonts w:ascii="宋体" w:hAnsi="宋体" w:cs="宋体"/>
                <w:color w:val="auto"/>
                <w:kern w:val="0"/>
                <w:sz w:val="24"/>
              </w:rPr>
            </w:pPr>
            <w:r>
              <w:rPr>
                <w:rFonts w:hint="eastAsia" w:ascii="宋体" w:hAnsi="宋体" w:cs="宋体"/>
                <w:color w:val="auto"/>
                <w:kern w:val="0"/>
                <w:sz w:val="24"/>
              </w:rPr>
              <w:t>②项目区供水、供电、道路等基础设施已基本完善，为项目的建设提供了较好的基础条件。</w:t>
            </w:r>
          </w:p>
          <w:p>
            <w:pPr>
              <w:keepNext w:val="0"/>
              <w:keepLines w:val="0"/>
              <w:pageBreakBefore w:val="0"/>
              <w:widowControl/>
              <w:kinsoku/>
              <w:wordWrap/>
              <w:overflowPunct/>
              <w:topLinePunct w:val="0"/>
              <w:bidi w:val="0"/>
              <w:spacing w:line="520" w:lineRule="exact"/>
              <w:ind w:firstLine="480" w:firstLineChars="200"/>
              <w:rPr>
                <w:rFonts w:ascii="宋体" w:hAnsi="宋体" w:cs="宋体"/>
                <w:color w:val="auto"/>
                <w:kern w:val="0"/>
                <w:sz w:val="24"/>
              </w:rPr>
            </w:pPr>
            <w:r>
              <w:rPr>
                <w:rFonts w:hint="eastAsia" w:ascii="宋体" w:hAnsi="宋体" w:cs="宋体"/>
                <w:color w:val="auto"/>
                <w:kern w:val="0"/>
                <w:sz w:val="24"/>
              </w:rPr>
              <w:t>③厂区地势平坦，周围无风景名胜区、自然保护区等环境敏感区，项目占地为工业用地，未占用耕地、林地等经济利用价值较高的土地。</w:t>
            </w:r>
          </w:p>
          <w:p>
            <w:pPr>
              <w:keepNext w:val="0"/>
              <w:keepLines w:val="0"/>
              <w:pageBreakBefore w:val="0"/>
              <w:widowControl/>
              <w:kinsoku/>
              <w:wordWrap/>
              <w:overflowPunct/>
              <w:topLinePunct w:val="0"/>
              <w:bidi w:val="0"/>
              <w:spacing w:line="520" w:lineRule="exact"/>
              <w:ind w:firstLine="480" w:firstLineChars="200"/>
              <w:rPr>
                <w:rFonts w:ascii="宋体" w:hAnsi="宋体" w:cs="宋体"/>
                <w:color w:val="auto"/>
                <w:kern w:val="0"/>
                <w:sz w:val="24"/>
              </w:rPr>
            </w:pPr>
            <w:r>
              <w:rPr>
                <w:rFonts w:hint="eastAsia" w:ascii="宋体" w:hAnsi="宋体" w:cs="宋体"/>
                <w:color w:val="auto"/>
                <w:kern w:val="0"/>
                <w:sz w:val="24"/>
              </w:rPr>
              <w:t>④厂址所在地资源量丰富，原料供给充足方便，可保证项目运营期间原料及各种辅助材料的供应。</w:t>
            </w:r>
          </w:p>
          <w:p>
            <w:pPr>
              <w:pStyle w:val="11"/>
              <w:keepNext w:val="0"/>
              <w:keepLines w:val="0"/>
              <w:pageBreakBefore w:val="0"/>
              <w:kinsoku/>
              <w:wordWrap/>
              <w:overflowPunct/>
              <w:topLinePunct w:val="0"/>
              <w:bidi w:val="0"/>
              <w:spacing w:before="0" w:after="0" w:line="520" w:lineRule="exact"/>
              <w:ind w:right="0"/>
              <w:rPr>
                <w:color w:val="auto"/>
                <w:sz w:val="24"/>
                <w:szCs w:val="24"/>
              </w:rPr>
            </w:pPr>
            <w:r>
              <w:rPr>
                <w:rFonts w:hint="eastAsia"/>
                <w:color w:val="auto"/>
                <w:sz w:val="24"/>
                <w:szCs w:val="24"/>
              </w:rPr>
              <w:t>（2）环境相容性</w:t>
            </w:r>
          </w:p>
          <w:p>
            <w:pPr>
              <w:keepNext w:val="0"/>
              <w:keepLines w:val="0"/>
              <w:pageBreakBefore w:val="0"/>
              <w:widowControl/>
              <w:kinsoku/>
              <w:wordWrap/>
              <w:overflowPunct/>
              <w:topLinePunct w:val="0"/>
              <w:bidi w:val="0"/>
              <w:spacing w:line="520" w:lineRule="exact"/>
              <w:ind w:firstLine="480" w:firstLineChars="200"/>
              <w:rPr>
                <w:rFonts w:ascii="宋体" w:hAnsi="宋体" w:cs="宋体"/>
                <w:color w:val="auto"/>
                <w:kern w:val="0"/>
                <w:sz w:val="24"/>
              </w:rPr>
            </w:pPr>
            <w:r>
              <w:rPr>
                <w:rFonts w:hint="eastAsia" w:ascii="宋体" w:hAnsi="宋体" w:cs="宋体"/>
                <w:color w:val="auto"/>
                <w:kern w:val="0"/>
                <w:sz w:val="24"/>
              </w:rPr>
              <w:t>本项目为</w:t>
            </w:r>
            <w:r>
              <w:rPr>
                <w:rFonts w:hint="eastAsia" w:ascii="宋体" w:hAnsi="宋体" w:cs="宋体"/>
                <w:color w:val="auto"/>
                <w:kern w:val="0"/>
                <w:sz w:val="24"/>
                <w:lang w:val="en-US" w:eastAsia="zh-CN"/>
              </w:rPr>
              <w:t>塑料再生颗粒</w:t>
            </w:r>
            <w:r>
              <w:rPr>
                <w:rFonts w:hint="eastAsia" w:ascii="宋体" w:hAnsi="宋体" w:cs="宋体"/>
                <w:color w:val="auto"/>
                <w:kern w:val="0"/>
                <w:sz w:val="24"/>
              </w:rPr>
              <w:t>制造项目，根据现场勘查可知，本项目周边现状无与本项目冲突的企业存在，无对本项目敏感的企业存在。评价建议项目周边后期企业设置时考虑与本项目的相容性。</w:t>
            </w:r>
          </w:p>
          <w:p>
            <w:pPr>
              <w:keepNext w:val="0"/>
              <w:keepLines w:val="0"/>
              <w:pageBreakBefore w:val="0"/>
              <w:kinsoku/>
              <w:wordWrap/>
              <w:overflowPunct/>
              <w:topLinePunct w:val="0"/>
              <w:bidi w:val="0"/>
              <w:spacing w:line="520" w:lineRule="exact"/>
              <w:ind w:firstLine="480" w:firstLineChars="200"/>
              <w:rPr>
                <w:rFonts w:ascii="宋体" w:hAnsi="宋体" w:cs="宋体"/>
                <w:color w:val="auto"/>
                <w:sz w:val="24"/>
              </w:rPr>
            </w:pPr>
            <w:r>
              <w:rPr>
                <w:rFonts w:hint="eastAsia" w:ascii="宋体" w:hAnsi="宋体" w:cs="宋体"/>
                <w:color w:val="auto"/>
                <w:kern w:val="0"/>
                <w:sz w:val="24"/>
              </w:rPr>
              <w:t>因此，项目选址合理，与周边环境相容。</w:t>
            </w:r>
          </w:p>
          <w:p>
            <w:pPr>
              <w:keepNext w:val="0"/>
              <w:keepLines w:val="0"/>
              <w:pageBreakBefore w:val="0"/>
              <w:kinsoku/>
              <w:wordWrap/>
              <w:overflowPunct/>
              <w:topLinePunct w:val="0"/>
              <w:bidi w:val="0"/>
              <w:spacing w:line="520" w:lineRule="exact"/>
              <w:ind w:firstLine="480" w:firstLineChars="200"/>
              <w:rPr>
                <w:color w:val="auto"/>
                <w:sz w:val="24"/>
              </w:rPr>
            </w:pPr>
            <w:r>
              <w:rPr>
                <w:rFonts w:hint="eastAsia" w:ascii="宋体" w:hAnsi="宋体" w:cs="宋体"/>
                <w:color w:val="auto"/>
                <w:sz w:val="24"/>
              </w:rPr>
              <w:t>项目建成后，“三废”污染可以控制在较小的程度，对周边环境影响较小，不会改变区域现有环境功能，从环保角度考虑，本项目选址是可行的。</w:t>
            </w:r>
          </w:p>
          <w:p>
            <w:pPr>
              <w:autoSpaceDE w:val="0"/>
              <w:autoSpaceDN w:val="0"/>
              <w:adjustRightInd w:val="0"/>
              <w:snapToGrid w:val="0"/>
              <w:jc w:val="both"/>
              <w:rPr>
                <w:color w:val="auto"/>
                <w:kern w:val="0"/>
                <w:szCs w:val="21"/>
              </w:rPr>
            </w:pPr>
          </w:p>
        </w:tc>
      </w:tr>
    </w:tbl>
    <w:p>
      <w:pPr>
        <w:spacing w:line="360" w:lineRule="auto"/>
        <w:outlineLvl w:val="0"/>
        <w:rPr>
          <w:rFonts w:eastAsia="黑体"/>
          <w:color w:val="auto"/>
          <w:sz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3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401" w:hRule="atLeast"/>
          <w:jc w:val="center"/>
        </w:trPr>
        <w:tc>
          <w:tcPr>
            <w:tcW w:w="732" w:type="dxa"/>
            <w:vAlign w:val="center"/>
          </w:tcPr>
          <w:p>
            <w:pPr>
              <w:pStyle w:val="24"/>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328" w:type="dxa"/>
          </w:tcPr>
          <w:p>
            <w:pPr>
              <w:pStyle w:val="36"/>
              <w:keepNext w:val="0"/>
              <w:keepLines w:val="0"/>
              <w:pageBreakBefore w:val="0"/>
              <w:widowControl w:val="0"/>
              <w:numPr>
                <w:ilvl w:val="0"/>
                <w:numId w:val="10"/>
              </w:numPr>
              <w:kinsoku/>
              <w:wordWrap/>
              <w:overflowPunct/>
              <w:topLinePunct w:val="0"/>
              <w:autoSpaceDE/>
              <w:autoSpaceDN/>
              <w:bidi w:val="0"/>
              <w:adjustRightInd/>
              <w:snapToGrid/>
              <w:spacing w:line="520" w:lineRule="exact"/>
              <w:rPr>
                <w:rStyle w:val="37"/>
                <w:b/>
                <w:bCs/>
                <w:color w:val="auto"/>
                <w:sz w:val="24"/>
              </w:rPr>
            </w:pPr>
            <w:r>
              <w:rPr>
                <w:rStyle w:val="37"/>
                <w:b/>
                <w:bCs/>
                <w:color w:val="auto"/>
                <w:sz w:val="24"/>
              </w:rPr>
              <w:t>项目基本情况</w:t>
            </w:r>
          </w:p>
          <w:p>
            <w:pPr>
              <w:pStyle w:val="38"/>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rPr>
                <w:rStyle w:val="37"/>
                <w:rFonts w:hint="eastAsia" w:ascii="Times New Roman" w:hAnsi="Times New Roman" w:eastAsia="宋体" w:cs="Times New Roman"/>
                <w:b/>
                <w:bCs/>
                <w:color w:val="auto"/>
                <w:kern w:val="2"/>
                <w:sz w:val="24"/>
                <w:szCs w:val="24"/>
                <w:lang w:val="en-US" w:eastAsia="zh-CN" w:bidi="ar-SA"/>
              </w:rPr>
            </w:pPr>
            <w:r>
              <w:rPr>
                <w:rStyle w:val="37"/>
                <w:rFonts w:hint="eastAsia" w:ascii="Times New Roman" w:hAnsi="Times New Roman" w:eastAsia="宋体" w:cs="Times New Roman"/>
                <w:b/>
                <w:bCs/>
                <w:color w:val="auto"/>
                <w:kern w:val="2"/>
                <w:sz w:val="24"/>
                <w:szCs w:val="24"/>
                <w:lang w:val="en-US" w:eastAsia="zh-CN" w:bidi="ar-SA"/>
              </w:rPr>
              <w:t>1.1</w:t>
            </w:r>
            <w:r>
              <w:rPr>
                <w:rStyle w:val="37"/>
                <w:rFonts w:hint="eastAsia" w:cs="Times New Roman"/>
                <w:b/>
                <w:bCs/>
                <w:color w:val="auto"/>
                <w:kern w:val="2"/>
                <w:sz w:val="24"/>
                <w:szCs w:val="24"/>
                <w:lang w:val="en-US" w:eastAsia="zh-CN" w:bidi="ar-SA"/>
              </w:rPr>
              <w:t xml:space="preserve"> </w:t>
            </w:r>
            <w:r>
              <w:rPr>
                <w:rStyle w:val="37"/>
                <w:rFonts w:hint="eastAsia" w:ascii="Times New Roman" w:hAnsi="Times New Roman" w:eastAsia="宋体" w:cs="Times New Roman"/>
                <w:b/>
                <w:bCs/>
                <w:color w:val="auto"/>
                <w:kern w:val="2"/>
                <w:sz w:val="24"/>
                <w:szCs w:val="24"/>
                <w:lang w:val="en-US" w:eastAsia="zh-CN" w:bidi="ar-SA"/>
              </w:rPr>
              <w:t>项目位置及周边情况</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rFonts w:hint="default" w:eastAsia="宋体"/>
                <w:color w:val="auto"/>
                <w:highlight w:val="yellow"/>
                <w:lang w:val="en-US" w:eastAsia="zh-CN"/>
              </w:rPr>
            </w:pPr>
            <w:r>
              <w:rPr>
                <w:rFonts w:hint="eastAsia"/>
                <w:color w:val="auto"/>
                <w:lang w:val="en-US" w:eastAsia="zh-CN"/>
              </w:rPr>
              <w:t>项目选址位于</w:t>
            </w:r>
            <w:r>
              <w:rPr>
                <w:rFonts w:hint="eastAsia"/>
                <w:color w:val="auto"/>
                <w:sz w:val="24"/>
                <w:highlight w:val="none"/>
                <w:lang w:val="en-US" w:eastAsia="zh-CN"/>
              </w:rPr>
              <w:t>阜康市苏通小微创业园，</w:t>
            </w:r>
            <w:r>
              <w:rPr>
                <w:color w:val="auto"/>
                <w:highlight w:val="none"/>
              </w:rPr>
              <w:t>项目东侧为</w:t>
            </w:r>
            <w:r>
              <w:rPr>
                <w:rFonts w:hint="eastAsia"/>
                <w:color w:val="auto"/>
                <w:highlight w:val="none"/>
                <w:lang w:val="en-US" w:eastAsia="zh-CN"/>
              </w:rPr>
              <w:t>阜旺路，隔路为阜康市银翔钢结构有限公司，西侧为空地，北侧为新疆荣春腾达建材有限公司，南侧为新疆丝路时代新型建材有限公司。项目地理位置图见</w:t>
            </w:r>
            <w:r>
              <w:rPr>
                <w:rFonts w:hint="eastAsia"/>
                <w:b/>
                <w:bCs/>
                <w:color w:val="auto"/>
                <w:highlight w:val="none"/>
                <w:lang w:val="en-US" w:eastAsia="zh-CN"/>
              </w:rPr>
              <w:t>附图1</w:t>
            </w:r>
            <w:r>
              <w:rPr>
                <w:rFonts w:hint="eastAsia"/>
                <w:color w:val="auto"/>
                <w:highlight w:val="none"/>
                <w:lang w:val="en-US" w:eastAsia="zh-CN"/>
              </w:rPr>
              <w:t>，周边关系图见</w:t>
            </w:r>
            <w:r>
              <w:rPr>
                <w:rFonts w:hint="eastAsia"/>
                <w:b/>
                <w:bCs/>
                <w:color w:val="auto"/>
                <w:highlight w:val="none"/>
                <w:lang w:val="en-US" w:eastAsia="zh-CN"/>
              </w:rPr>
              <w:t>附图2</w:t>
            </w:r>
            <w:r>
              <w:rPr>
                <w:rFonts w:hint="eastAsia"/>
                <w:color w:val="auto"/>
                <w:highlight w:val="none"/>
                <w:lang w:val="en-US" w:eastAsia="zh-CN"/>
              </w:rPr>
              <w:t>。</w:t>
            </w:r>
          </w:p>
          <w:p>
            <w:pPr>
              <w:pStyle w:val="38"/>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rPr>
                <w:rStyle w:val="37"/>
                <w:rFonts w:hint="default" w:ascii="Times New Roman" w:hAnsi="Times New Roman" w:eastAsia="宋体" w:cs="Times New Roman"/>
                <w:b/>
                <w:bCs/>
                <w:color w:val="auto"/>
                <w:kern w:val="2"/>
                <w:sz w:val="24"/>
                <w:szCs w:val="24"/>
                <w:lang w:val="en-US" w:eastAsia="zh-CN" w:bidi="ar-SA"/>
              </w:rPr>
            </w:pPr>
            <w:r>
              <w:rPr>
                <w:rStyle w:val="37"/>
                <w:rFonts w:hint="eastAsia" w:ascii="Times New Roman" w:hAnsi="Times New Roman" w:eastAsia="宋体" w:cs="Times New Roman"/>
                <w:b/>
                <w:bCs/>
                <w:color w:val="auto"/>
                <w:kern w:val="2"/>
                <w:sz w:val="24"/>
                <w:szCs w:val="24"/>
                <w:lang w:val="en-US" w:eastAsia="zh-CN" w:bidi="ar-SA"/>
              </w:rPr>
              <w:t>1.2</w:t>
            </w:r>
            <w:r>
              <w:rPr>
                <w:rStyle w:val="37"/>
                <w:rFonts w:hint="eastAsia" w:cs="Times New Roman"/>
                <w:b/>
                <w:bCs/>
                <w:color w:val="auto"/>
                <w:kern w:val="2"/>
                <w:sz w:val="24"/>
                <w:szCs w:val="24"/>
                <w:lang w:val="en-US" w:eastAsia="zh-CN" w:bidi="ar-SA"/>
              </w:rPr>
              <w:t xml:space="preserve"> </w:t>
            </w:r>
            <w:r>
              <w:rPr>
                <w:rStyle w:val="37"/>
                <w:rFonts w:hint="eastAsia" w:ascii="Times New Roman" w:hAnsi="Times New Roman" w:eastAsia="宋体" w:cs="Times New Roman"/>
                <w:b/>
                <w:bCs/>
                <w:color w:val="auto"/>
                <w:kern w:val="2"/>
                <w:sz w:val="24"/>
                <w:szCs w:val="24"/>
                <w:lang w:val="en-US" w:eastAsia="zh-CN" w:bidi="ar-SA"/>
              </w:rPr>
              <w:t>项目建设规模</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rFonts w:hint="default" w:eastAsia="宋体"/>
                <w:color w:val="auto"/>
                <w:lang w:val="en-US" w:eastAsia="zh-CN"/>
              </w:rPr>
            </w:pPr>
            <w:r>
              <w:rPr>
                <w:color w:val="auto"/>
              </w:rPr>
              <w:t>本项目</w:t>
            </w:r>
            <w:r>
              <w:rPr>
                <w:rFonts w:hint="eastAsia"/>
                <w:color w:val="auto"/>
                <w:lang w:val="en-US" w:eastAsia="zh-CN"/>
              </w:rPr>
              <w:t>新建塑料再生颗粒生产线2条，年产塑料再生颗粒5400吨</w:t>
            </w:r>
            <w:r>
              <w:rPr>
                <w:color w:val="auto"/>
              </w:rPr>
              <w:t>。</w:t>
            </w:r>
          </w:p>
          <w:p>
            <w:pPr>
              <w:pStyle w:val="36"/>
              <w:keepNext w:val="0"/>
              <w:keepLines w:val="0"/>
              <w:pageBreakBefore w:val="0"/>
              <w:widowControl w:val="0"/>
              <w:kinsoku/>
              <w:wordWrap/>
              <w:overflowPunct/>
              <w:topLinePunct w:val="0"/>
              <w:autoSpaceDE/>
              <w:autoSpaceDN/>
              <w:bidi w:val="0"/>
              <w:adjustRightInd/>
              <w:snapToGrid/>
              <w:spacing w:line="520" w:lineRule="exact"/>
              <w:rPr>
                <w:rStyle w:val="37"/>
                <w:rFonts w:hint="default" w:eastAsia="宋体"/>
                <w:b/>
                <w:bCs/>
                <w:color w:val="auto"/>
                <w:sz w:val="24"/>
                <w:lang w:val="en-US" w:eastAsia="zh-CN"/>
              </w:rPr>
            </w:pPr>
            <w:r>
              <w:rPr>
                <w:rStyle w:val="37"/>
                <w:b/>
                <w:bCs/>
                <w:color w:val="auto"/>
                <w:sz w:val="24"/>
              </w:rPr>
              <w:t>1.</w:t>
            </w:r>
            <w:r>
              <w:rPr>
                <w:rStyle w:val="37"/>
                <w:rFonts w:hint="eastAsia"/>
                <w:b/>
                <w:bCs/>
                <w:color w:val="auto"/>
                <w:sz w:val="24"/>
                <w:lang w:val="en-US" w:eastAsia="zh-CN"/>
              </w:rPr>
              <w:t>3 主要建设内容</w:t>
            </w:r>
          </w:p>
          <w:p>
            <w:pPr>
              <w:pStyle w:val="38"/>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baseline"/>
              <w:rPr>
                <w:rFonts w:hint="default"/>
                <w:color w:val="auto"/>
                <w:lang w:val="en-US" w:eastAsia="zh-CN"/>
              </w:rPr>
            </w:pPr>
            <w:r>
              <w:rPr>
                <w:color w:val="auto"/>
              </w:rPr>
              <w:t>项目租用</w:t>
            </w:r>
            <w:r>
              <w:rPr>
                <w:rFonts w:hint="eastAsia"/>
                <w:color w:val="auto"/>
                <w:lang w:val="en-US" w:eastAsia="zh-CN"/>
              </w:rPr>
              <w:t>厂房2栋，建筑面积约3200m</w:t>
            </w:r>
            <w:r>
              <w:rPr>
                <w:rFonts w:hint="eastAsia"/>
                <w:color w:val="auto"/>
                <w:vertAlign w:val="superscript"/>
                <w:lang w:val="en-US" w:eastAsia="zh-CN"/>
              </w:rPr>
              <w:t>2</w:t>
            </w:r>
            <w:r>
              <w:rPr>
                <w:rFonts w:hint="eastAsia"/>
                <w:color w:val="auto"/>
                <w:vertAlign w:val="baseline"/>
                <w:lang w:val="en-US" w:eastAsia="zh-CN"/>
              </w:rPr>
              <w:t>，购置及安装塑料再生颗粒生产设备。</w:t>
            </w:r>
            <w:r>
              <w:rPr>
                <w:rFonts w:hint="eastAsia"/>
                <w:color w:val="auto"/>
                <w:lang w:val="en-US" w:eastAsia="zh-CN"/>
              </w:rPr>
              <w:t>主要建设规模为塑料再生颗粒生产线2条，年产塑料再生颗粒5400吨。项目两条生产线同时建设同时投产同时验收。</w:t>
            </w:r>
          </w:p>
          <w:p>
            <w:pPr>
              <w:pStyle w:val="38"/>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rPr>
                <w:rStyle w:val="37"/>
                <w:rFonts w:hint="default" w:ascii="Times New Roman" w:hAnsi="Times New Roman" w:eastAsia="宋体" w:cs="Times New Roman"/>
                <w:b/>
                <w:bCs/>
                <w:color w:val="auto"/>
                <w:kern w:val="2"/>
                <w:sz w:val="24"/>
                <w:szCs w:val="24"/>
                <w:lang w:val="en-US" w:eastAsia="zh-CN" w:bidi="ar-SA"/>
              </w:rPr>
            </w:pPr>
            <w:r>
              <w:rPr>
                <w:rStyle w:val="37"/>
                <w:rFonts w:hint="eastAsia" w:ascii="Times New Roman" w:hAnsi="Times New Roman" w:eastAsia="宋体" w:cs="Times New Roman"/>
                <w:b/>
                <w:bCs/>
                <w:color w:val="auto"/>
                <w:kern w:val="2"/>
                <w:sz w:val="24"/>
                <w:szCs w:val="24"/>
                <w:lang w:val="en-US" w:eastAsia="zh-CN" w:bidi="ar-SA"/>
              </w:rPr>
              <w:t>1.4</w:t>
            </w:r>
            <w:r>
              <w:rPr>
                <w:rStyle w:val="37"/>
                <w:rFonts w:hint="eastAsia" w:cs="Times New Roman"/>
                <w:b/>
                <w:bCs/>
                <w:color w:val="auto"/>
                <w:kern w:val="2"/>
                <w:sz w:val="24"/>
                <w:szCs w:val="24"/>
                <w:lang w:val="en-US" w:eastAsia="zh-CN" w:bidi="ar-SA"/>
              </w:rPr>
              <w:t xml:space="preserve"> </w:t>
            </w:r>
            <w:r>
              <w:rPr>
                <w:rStyle w:val="37"/>
                <w:rFonts w:hint="eastAsia" w:ascii="Times New Roman" w:hAnsi="Times New Roman" w:eastAsia="宋体" w:cs="Times New Roman"/>
                <w:b/>
                <w:bCs/>
                <w:color w:val="auto"/>
                <w:kern w:val="2"/>
                <w:sz w:val="24"/>
                <w:szCs w:val="24"/>
                <w:lang w:val="en-US" w:eastAsia="zh-CN" w:bidi="ar-SA"/>
              </w:rPr>
              <w:t>项目组成</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rPr>
                <w:color w:val="auto"/>
              </w:rPr>
            </w:pPr>
            <w:r>
              <w:rPr>
                <w:color w:val="auto"/>
              </w:rPr>
              <w:t>项目组成见表2-1。</w:t>
            </w:r>
          </w:p>
          <w:p>
            <w:pPr>
              <w:overflowPunct w:val="0"/>
              <w:adjustRightInd w:val="0"/>
              <w:snapToGrid w:val="0"/>
              <w:ind w:firstLine="422" w:firstLineChars="200"/>
              <w:jc w:val="center"/>
              <w:rPr>
                <w:b/>
                <w:bCs/>
                <w:color w:val="auto"/>
                <w:szCs w:val="21"/>
              </w:rPr>
            </w:pPr>
            <w:r>
              <w:rPr>
                <w:b/>
                <w:bCs/>
                <w:color w:val="auto"/>
                <w:szCs w:val="21"/>
              </w:rPr>
              <w:t>表2-1 工程组成一览表</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17"/>
              <w:gridCol w:w="1824"/>
              <w:gridCol w:w="1261"/>
              <w:gridCol w:w="2525"/>
              <w:gridCol w:w="13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1812" w:type="pct"/>
                  <w:gridSpan w:val="2"/>
                  <w:tcBorders>
                    <w:bottom w:val="single" w:color="000000" w:sz="12" w:space="0"/>
                  </w:tcBorders>
                  <w:vAlign w:val="center"/>
                </w:tcPr>
                <w:p>
                  <w:pPr>
                    <w:widowControl/>
                    <w:jc w:val="center"/>
                    <w:textAlignment w:val="center"/>
                    <w:rPr>
                      <w:b/>
                      <w:bCs/>
                      <w:color w:val="auto"/>
                      <w:szCs w:val="21"/>
                    </w:rPr>
                  </w:pPr>
                  <w:r>
                    <w:rPr>
                      <w:b/>
                      <w:bCs/>
                      <w:color w:val="auto"/>
                      <w:szCs w:val="21"/>
                    </w:rPr>
                    <w:t>项目</w:t>
                  </w:r>
                </w:p>
              </w:tc>
              <w:tc>
                <w:tcPr>
                  <w:tcW w:w="2333" w:type="pct"/>
                  <w:gridSpan w:val="2"/>
                  <w:tcBorders>
                    <w:bottom w:val="single" w:color="000000" w:sz="12" w:space="0"/>
                  </w:tcBorders>
                  <w:vAlign w:val="center"/>
                </w:tcPr>
                <w:p>
                  <w:pPr>
                    <w:widowControl/>
                    <w:jc w:val="center"/>
                    <w:textAlignment w:val="center"/>
                    <w:rPr>
                      <w:b/>
                      <w:bCs/>
                      <w:color w:val="auto"/>
                      <w:szCs w:val="21"/>
                    </w:rPr>
                  </w:pPr>
                  <w:r>
                    <w:rPr>
                      <w:b/>
                      <w:bCs/>
                      <w:color w:val="auto"/>
                      <w:szCs w:val="21"/>
                    </w:rPr>
                    <w:t>建设内容</w:t>
                  </w:r>
                </w:p>
              </w:tc>
              <w:tc>
                <w:tcPr>
                  <w:tcW w:w="853" w:type="pct"/>
                  <w:tcBorders>
                    <w:bottom w:val="single" w:color="000000" w:sz="12" w:space="0"/>
                  </w:tcBorders>
                  <w:vAlign w:val="center"/>
                </w:tcPr>
                <w:p>
                  <w:pPr>
                    <w:widowControl/>
                    <w:jc w:val="center"/>
                    <w:textAlignment w:val="center"/>
                    <w:rPr>
                      <w:b/>
                      <w:bCs/>
                      <w:color w:val="auto"/>
                      <w:szCs w:val="21"/>
                    </w:rPr>
                  </w:pPr>
                  <w:r>
                    <w:rPr>
                      <w:b/>
                      <w:bCs/>
                      <w:color w:val="auto"/>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9" w:hRule="atLeast"/>
                <w:jc w:val="center"/>
              </w:trPr>
              <w:tc>
                <w:tcPr>
                  <w:tcW w:w="688" w:type="pct"/>
                  <w:tcBorders>
                    <w:top w:val="single" w:color="000000" w:sz="12" w:space="0"/>
                    <w:tl2br w:val="nil"/>
                    <w:tr2bl w:val="nil"/>
                  </w:tcBorders>
                  <w:vAlign w:val="center"/>
                </w:tcPr>
                <w:p>
                  <w:pPr>
                    <w:widowControl/>
                    <w:jc w:val="center"/>
                    <w:textAlignment w:val="center"/>
                    <w:rPr>
                      <w:color w:val="auto"/>
                      <w:szCs w:val="21"/>
                    </w:rPr>
                  </w:pPr>
                  <w:r>
                    <w:rPr>
                      <w:color w:val="auto"/>
                      <w:szCs w:val="21"/>
                    </w:rPr>
                    <w:t>主体工程</w:t>
                  </w:r>
                </w:p>
              </w:tc>
              <w:tc>
                <w:tcPr>
                  <w:tcW w:w="1124" w:type="pct"/>
                  <w:tcBorders>
                    <w:top w:val="single" w:color="000000" w:sz="12" w:space="0"/>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生产车间</w:t>
                  </w:r>
                </w:p>
              </w:tc>
              <w:tc>
                <w:tcPr>
                  <w:tcW w:w="2333" w:type="pct"/>
                  <w:gridSpan w:val="2"/>
                  <w:tcBorders>
                    <w:top w:val="single" w:color="000000" w:sz="12" w:space="0"/>
                    <w:tl2br w:val="nil"/>
                    <w:tr2bl w:val="nil"/>
                  </w:tcBorders>
                  <w:vAlign w:val="center"/>
                </w:tcPr>
                <w:p>
                  <w:pPr>
                    <w:widowControl/>
                    <w:jc w:val="center"/>
                    <w:textAlignment w:val="center"/>
                    <w:rPr>
                      <w:rFonts w:hint="default"/>
                      <w:color w:val="auto"/>
                      <w:szCs w:val="21"/>
                      <w:lang w:val="en-US"/>
                    </w:rPr>
                  </w:pPr>
                  <w:r>
                    <w:rPr>
                      <w:rFonts w:hint="eastAsia"/>
                      <w:color w:val="auto"/>
                      <w:szCs w:val="21"/>
                      <w:lang w:val="en-US" w:eastAsia="zh-CN"/>
                    </w:rPr>
                    <w:t>租赁2栋厂房，购置安装塑料再生颗粒生产线2条</w:t>
                  </w:r>
                </w:p>
              </w:tc>
              <w:tc>
                <w:tcPr>
                  <w:tcW w:w="853" w:type="pct"/>
                  <w:tcBorders>
                    <w:top w:val="single" w:color="000000" w:sz="12" w:space="0"/>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租赁厂房2间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tcBorders>
                    <w:tl2br w:val="nil"/>
                    <w:tr2bl w:val="nil"/>
                  </w:tcBorders>
                  <w:vAlign w:val="center"/>
                </w:tcPr>
                <w:p>
                  <w:pPr>
                    <w:widowControl/>
                    <w:jc w:val="center"/>
                    <w:textAlignment w:val="center"/>
                    <w:rPr>
                      <w:color w:val="auto"/>
                      <w:szCs w:val="21"/>
                    </w:rPr>
                  </w:pPr>
                  <w:r>
                    <w:rPr>
                      <w:color w:val="auto"/>
                      <w:szCs w:val="21"/>
                    </w:rPr>
                    <w:t>辅助工程</w:t>
                  </w:r>
                </w:p>
              </w:tc>
              <w:tc>
                <w:tcPr>
                  <w:tcW w:w="1124" w:type="pct"/>
                  <w:tcBorders>
                    <w:tl2br w:val="nil"/>
                    <w:tr2bl w:val="nil"/>
                  </w:tcBorders>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color w:val="auto"/>
                      <w:szCs w:val="21"/>
                    </w:rPr>
                    <w:t>生活办公区</w:t>
                  </w:r>
                </w:p>
              </w:tc>
              <w:tc>
                <w:tcPr>
                  <w:tcW w:w="2333" w:type="pct"/>
                  <w:gridSpan w:val="2"/>
                  <w:tcBorders>
                    <w:tl2br w:val="nil"/>
                    <w:tr2bl w:val="nil"/>
                  </w:tcBorders>
                  <w:vAlign w:val="center"/>
                </w:tcPr>
                <w:p>
                  <w:pPr>
                    <w:widowControl/>
                    <w:jc w:val="center"/>
                    <w:textAlignment w:val="center"/>
                    <w:rPr>
                      <w:rFonts w:ascii="Times New Roman" w:hAnsi="Times New Roman" w:eastAsia="宋体" w:cs="Times New Roman"/>
                      <w:color w:val="auto"/>
                      <w:kern w:val="2"/>
                      <w:sz w:val="21"/>
                      <w:szCs w:val="21"/>
                      <w:lang w:val="en-US" w:eastAsia="zh-CN" w:bidi="ar-SA"/>
                    </w:rPr>
                  </w:pPr>
                  <w:r>
                    <w:rPr>
                      <w:color w:val="auto"/>
                      <w:szCs w:val="21"/>
                    </w:rPr>
                    <w:t>位于生产车间东侧，面积</w:t>
                  </w:r>
                  <w:r>
                    <w:rPr>
                      <w:rFonts w:hint="eastAsia"/>
                      <w:color w:val="auto"/>
                      <w:szCs w:val="21"/>
                      <w:lang w:val="en-US" w:eastAsia="zh-CN"/>
                    </w:rPr>
                    <w:t>1157.9</w:t>
                  </w:r>
                  <w:r>
                    <w:rPr>
                      <w:color w:val="auto"/>
                      <w:szCs w:val="21"/>
                    </w:rPr>
                    <w:t>m</w:t>
                  </w:r>
                  <w:r>
                    <w:rPr>
                      <w:color w:val="auto"/>
                      <w:szCs w:val="21"/>
                      <w:vertAlign w:val="superscript"/>
                    </w:rPr>
                    <w:t>2</w:t>
                  </w:r>
                </w:p>
              </w:tc>
              <w:tc>
                <w:tcPr>
                  <w:tcW w:w="853"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租赁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restart"/>
                  <w:tcBorders>
                    <w:tl2br w:val="nil"/>
                    <w:tr2bl w:val="nil"/>
                  </w:tcBorders>
                  <w:vAlign w:val="center"/>
                </w:tcPr>
                <w:p>
                  <w:pPr>
                    <w:jc w:val="center"/>
                    <w:rPr>
                      <w:color w:val="auto"/>
                      <w:szCs w:val="21"/>
                    </w:rPr>
                  </w:pPr>
                  <w:r>
                    <w:rPr>
                      <w:rFonts w:hint="eastAsia"/>
                      <w:color w:val="auto"/>
                      <w:szCs w:val="21"/>
                    </w:rPr>
                    <w:t>公用工程</w:t>
                  </w:r>
                </w:p>
              </w:tc>
              <w:tc>
                <w:tcPr>
                  <w:tcW w:w="1124" w:type="pct"/>
                  <w:tcBorders>
                    <w:tl2br w:val="nil"/>
                    <w:tr2bl w:val="nil"/>
                  </w:tcBorders>
                  <w:vAlign w:val="center"/>
                </w:tcPr>
                <w:p>
                  <w:pPr>
                    <w:widowControl/>
                    <w:jc w:val="center"/>
                    <w:textAlignment w:val="center"/>
                    <w:rPr>
                      <w:color w:val="auto"/>
                      <w:szCs w:val="21"/>
                    </w:rPr>
                  </w:pPr>
                  <w:r>
                    <w:rPr>
                      <w:rFonts w:hint="eastAsia"/>
                      <w:color w:val="auto"/>
                      <w:szCs w:val="21"/>
                    </w:rPr>
                    <w:t>供水工程</w:t>
                  </w:r>
                </w:p>
              </w:tc>
              <w:tc>
                <w:tcPr>
                  <w:tcW w:w="2333" w:type="pct"/>
                  <w:gridSpan w:val="2"/>
                  <w:tcBorders>
                    <w:tl2br w:val="nil"/>
                    <w:tr2bl w:val="nil"/>
                  </w:tcBorders>
                  <w:vAlign w:val="center"/>
                </w:tcPr>
                <w:p>
                  <w:pPr>
                    <w:widowControl/>
                    <w:jc w:val="center"/>
                    <w:textAlignment w:val="center"/>
                    <w:rPr>
                      <w:color w:val="auto"/>
                      <w:szCs w:val="21"/>
                    </w:rPr>
                  </w:pPr>
                  <w:r>
                    <w:rPr>
                      <w:rFonts w:hint="eastAsia"/>
                      <w:color w:val="auto"/>
                      <w:szCs w:val="21"/>
                    </w:rPr>
                    <w:t>依托园区供水管网</w:t>
                  </w:r>
                </w:p>
              </w:tc>
              <w:tc>
                <w:tcPr>
                  <w:tcW w:w="853" w:type="pct"/>
                  <w:vMerge w:val="restart"/>
                  <w:tcBorders>
                    <w:tl2br w:val="nil"/>
                    <w:tr2bl w:val="nil"/>
                  </w:tcBorders>
                  <w:vAlign w:val="center"/>
                </w:tcPr>
                <w:p>
                  <w:pPr>
                    <w:widowControl/>
                    <w:jc w:val="center"/>
                    <w:textAlignment w:val="center"/>
                    <w:rPr>
                      <w:color w:val="auto"/>
                      <w:szCs w:val="21"/>
                    </w:rPr>
                  </w:pPr>
                  <w:r>
                    <w:rPr>
                      <w:rFonts w:hint="eastAsia"/>
                      <w:color w:val="auto"/>
                      <w:szCs w:val="21"/>
                    </w:rPr>
                    <w:t>依托园区已建工程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widowControl/>
                    <w:jc w:val="center"/>
                    <w:textAlignment w:val="center"/>
                    <w:rPr>
                      <w:color w:val="auto"/>
                    </w:rPr>
                  </w:pPr>
                </w:p>
              </w:tc>
              <w:tc>
                <w:tcPr>
                  <w:tcW w:w="1124" w:type="pct"/>
                  <w:tcBorders>
                    <w:tl2br w:val="nil"/>
                    <w:tr2bl w:val="nil"/>
                  </w:tcBorders>
                  <w:vAlign w:val="center"/>
                </w:tcPr>
                <w:p>
                  <w:pPr>
                    <w:widowControl/>
                    <w:jc w:val="center"/>
                    <w:textAlignment w:val="center"/>
                    <w:rPr>
                      <w:color w:val="auto"/>
                      <w:szCs w:val="21"/>
                    </w:rPr>
                  </w:pPr>
                  <w:r>
                    <w:rPr>
                      <w:rFonts w:hint="eastAsia"/>
                      <w:color w:val="auto"/>
                      <w:szCs w:val="21"/>
                    </w:rPr>
                    <w:t>排水工程</w:t>
                  </w:r>
                </w:p>
              </w:tc>
              <w:tc>
                <w:tcPr>
                  <w:tcW w:w="2333" w:type="pct"/>
                  <w:gridSpan w:val="2"/>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依托园区排水管网</w:t>
                  </w:r>
                </w:p>
              </w:tc>
              <w:tc>
                <w:tcPr>
                  <w:tcW w:w="853" w:type="pct"/>
                  <w:vMerge w:val="continue"/>
                  <w:tcBorders>
                    <w:tl2br w:val="nil"/>
                    <w:tr2bl w:val="nil"/>
                  </w:tcBorders>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widowControl/>
                    <w:jc w:val="center"/>
                    <w:textAlignment w:val="center"/>
                    <w:rPr>
                      <w:color w:val="auto"/>
                      <w:szCs w:val="21"/>
                    </w:rPr>
                  </w:pPr>
                </w:p>
              </w:tc>
              <w:tc>
                <w:tcPr>
                  <w:tcW w:w="1124" w:type="pct"/>
                  <w:tcBorders>
                    <w:tl2br w:val="nil"/>
                    <w:tr2bl w:val="nil"/>
                  </w:tcBorders>
                  <w:vAlign w:val="center"/>
                </w:tcPr>
                <w:p>
                  <w:pPr>
                    <w:widowControl/>
                    <w:jc w:val="center"/>
                    <w:textAlignment w:val="center"/>
                    <w:rPr>
                      <w:color w:val="auto"/>
                      <w:szCs w:val="21"/>
                    </w:rPr>
                  </w:pPr>
                  <w:r>
                    <w:rPr>
                      <w:rFonts w:hint="eastAsia"/>
                      <w:color w:val="auto"/>
                      <w:szCs w:val="21"/>
                    </w:rPr>
                    <w:t>供电工程</w:t>
                  </w:r>
                </w:p>
              </w:tc>
              <w:tc>
                <w:tcPr>
                  <w:tcW w:w="2333" w:type="pct"/>
                  <w:gridSpan w:val="2"/>
                  <w:tcBorders>
                    <w:tl2br w:val="nil"/>
                    <w:tr2bl w:val="nil"/>
                  </w:tcBorders>
                  <w:vAlign w:val="center"/>
                </w:tcPr>
                <w:p>
                  <w:pPr>
                    <w:widowControl/>
                    <w:jc w:val="center"/>
                    <w:textAlignment w:val="center"/>
                    <w:rPr>
                      <w:rFonts w:hint="default" w:eastAsia="宋体"/>
                      <w:color w:val="auto"/>
                      <w:lang w:val="en-US" w:eastAsia="zh-CN"/>
                    </w:rPr>
                  </w:pPr>
                  <w:r>
                    <w:rPr>
                      <w:rFonts w:hint="eastAsia"/>
                      <w:color w:val="auto"/>
                      <w:lang w:val="en-US" w:eastAsia="zh-CN"/>
                    </w:rPr>
                    <w:t>依托园区市政电网</w:t>
                  </w:r>
                </w:p>
              </w:tc>
              <w:tc>
                <w:tcPr>
                  <w:tcW w:w="853" w:type="pct"/>
                  <w:vMerge w:val="continue"/>
                  <w:tcBorders>
                    <w:tl2br w:val="nil"/>
                    <w:tr2bl w:val="nil"/>
                  </w:tcBorders>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widowControl/>
                    <w:jc w:val="center"/>
                    <w:textAlignment w:val="center"/>
                    <w:rPr>
                      <w:color w:val="auto"/>
                      <w:szCs w:val="21"/>
                    </w:rPr>
                  </w:pPr>
                </w:p>
              </w:tc>
              <w:tc>
                <w:tcPr>
                  <w:tcW w:w="1124" w:type="pct"/>
                  <w:tcBorders>
                    <w:tl2br w:val="nil"/>
                    <w:tr2bl w:val="nil"/>
                  </w:tcBorders>
                  <w:vAlign w:val="center"/>
                </w:tcPr>
                <w:p>
                  <w:pPr>
                    <w:widowControl/>
                    <w:jc w:val="center"/>
                    <w:textAlignment w:val="center"/>
                    <w:rPr>
                      <w:color w:val="auto"/>
                      <w:szCs w:val="21"/>
                    </w:rPr>
                  </w:pPr>
                  <w:r>
                    <w:rPr>
                      <w:rFonts w:hint="eastAsia"/>
                      <w:color w:val="auto"/>
                      <w:szCs w:val="21"/>
                    </w:rPr>
                    <w:t>供暖工程</w:t>
                  </w:r>
                </w:p>
              </w:tc>
              <w:tc>
                <w:tcPr>
                  <w:tcW w:w="2333" w:type="pct"/>
                  <w:gridSpan w:val="2"/>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冬季不生产，值班人员采暖由园区集中供热管网供给</w:t>
                  </w:r>
                </w:p>
              </w:tc>
              <w:tc>
                <w:tcPr>
                  <w:tcW w:w="853" w:type="pct"/>
                  <w:vMerge w:val="continue"/>
                  <w:tcBorders>
                    <w:tl2br w:val="nil"/>
                    <w:tr2bl w:val="nil"/>
                  </w:tcBorders>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restart"/>
                  <w:tcBorders>
                    <w:tl2br w:val="nil"/>
                    <w:tr2bl w:val="nil"/>
                  </w:tcBorders>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储运工程</w:t>
                  </w:r>
                </w:p>
              </w:tc>
              <w:tc>
                <w:tcPr>
                  <w:tcW w:w="112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原料库</w:t>
                  </w:r>
                </w:p>
              </w:tc>
              <w:tc>
                <w:tcPr>
                  <w:tcW w:w="2333" w:type="pct"/>
                  <w:gridSpan w:val="2"/>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vertAlign w:val="superscript"/>
                      <w:lang w:val="en-US" w:eastAsia="zh-CN" w:bidi="ar-SA"/>
                    </w:rPr>
                  </w:pPr>
                  <w:r>
                    <w:rPr>
                      <w:rFonts w:hint="eastAsia" w:cs="Times New Roman"/>
                      <w:color w:val="auto"/>
                      <w:kern w:val="2"/>
                      <w:sz w:val="21"/>
                      <w:szCs w:val="21"/>
                      <w:vertAlign w:val="baseline"/>
                      <w:lang w:val="en-US" w:eastAsia="zh-CN" w:bidi="ar-SA"/>
                    </w:rPr>
                    <w:t>位于生产车间内，面积为50m</w:t>
                  </w:r>
                  <w:r>
                    <w:rPr>
                      <w:rFonts w:hint="eastAsia" w:cs="Times New Roman"/>
                      <w:color w:val="auto"/>
                      <w:kern w:val="2"/>
                      <w:sz w:val="21"/>
                      <w:szCs w:val="21"/>
                      <w:vertAlign w:val="superscript"/>
                      <w:lang w:val="en-US" w:eastAsia="zh-CN" w:bidi="ar-SA"/>
                    </w:rPr>
                    <w:t>2</w:t>
                  </w:r>
                </w:p>
              </w:tc>
              <w:tc>
                <w:tcPr>
                  <w:tcW w:w="853"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widowControl/>
                    <w:jc w:val="center"/>
                    <w:textAlignment w:val="center"/>
                    <w:rPr>
                      <w:rFonts w:hint="eastAsia"/>
                      <w:color w:val="auto"/>
                      <w:szCs w:val="21"/>
                      <w:lang w:val="en-US" w:eastAsia="zh-CN"/>
                    </w:rPr>
                  </w:pPr>
                </w:p>
              </w:tc>
              <w:tc>
                <w:tcPr>
                  <w:tcW w:w="112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color w:val="auto"/>
                      <w:szCs w:val="21"/>
                    </w:rPr>
                    <w:t>成品库</w:t>
                  </w:r>
                </w:p>
              </w:tc>
              <w:tc>
                <w:tcPr>
                  <w:tcW w:w="2333"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vertAlign w:val="superscript"/>
                      <w:lang w:val="en-US" w:eastAsia="zh-CN" w:bidi="ar-SA"/>
                    </w:rPr>
                  </w:pPr>
                  <w:r>
                    <w:rPr>
                      <w:rFonts w:hint="eastAsia"/>
                      <w:color w:val="auto"/>
                      <w:szCs w:val="21"/>
                      <w:lang w:val="en-US" w:eastAsia="zh-CN"/>
                    </w:rPr>
                    <w:t>位于生产车间内，面积为300m</w:t>
                  </w:r>
                  <w:r>
                    <w:rPr>
                      <w:rFonts w:hint="eastAsia"/>
                      <w:color w:val="auto"/>
                      <w:szCs w:val="21"/>
                      <w:vertAlign w:val="superscript"/>
                      <w:lang w:val="en-US" w:eastAsia="zh-CN"/>
                    </w:rPr>
                    <w:t>2</w:t>
                  </w:r>
                </w:p>
              </w:tc>
              <w:tc>
                <w:tcPr>
                  <w:tcW w:w="85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restart"/>
                  <w:tcBorders>
                    <w:tl2br w:val="nil"/>
                    <w:tr2bl w:val="nil"/>
                  </w:tcBorders>
                  <w:vAlign w:val="center"/>
                </w:tcPr>
                <w:p>
                  <w:pPr>
                    <w:widowControl/>
                    <w:jc w:val="center"/>
                    <w:textAlignment w:val="center"/>
                    <w:rPr>
                      <w:color w:val="auto"/>
                      <w:szCs w:val="21"/>
                    </w:rPr>
                  </w:pPr>
                  <w:r>
                    <w:rPr>
                      <w:color w:val="auto"/>
                      <w:szCs w:val="21"/>
                    </w:rPr>
                    <w:t>环保工程</w:t>
                  </w:r>
                </w:p>
              </w:tc>
              <w:tc>
                <w:tcPr>
                  <w:tcW w:w="1124" w:type="pct"/>
                  <w:tcBorders>
                    <w:tl2br w:val="nil"/>
                    <w:tr2bl w:val="nil"/>
                  </w:tcBorders>
                  <w:vAlign w:val="center"/>
                </w:tcPr>
                <w:p>
                  <w:pPr>
                    <w:widowControl/>
                    <w:jc w:val="center"/>
                    <w:textAlignment w:val="center"/>
                    <w:rPr>
                      <w:color w:val="auto"/>
                      <w:szCs w:val="21"/>
                      <w:highlight w:val="none"/>
                    </w:rPr>
                  </w:pPr>
                  <w:r>
                    <w:rPr>
                      <w:color w:val="auto"/>
                      <w:szCs w:val="21"/>
                      <w:highlight w:val="none"/>
                    </w:rPr>
                    <w:t>废气</w:t>
                  </w:r>
                </w:p>
              </w:tc>
              <w:tc>
                <w:tcPr>
                  <w:tcW w:w="2333" w:type="pct"/>
                  <w:gridSpan w:val="2"/>
                  <w:tcBorders>
                    <w:tl2br w:val="nil"/>
                    <w:tr2bl w:val="nil"/>
                  </w:tcBorders>
                  <w:vAlign w:val="center"/>
                </w:tcPr>
                <w:p>
                  <w:pPr>
                    <w:pStyle w:val="6"/>
                    <w:adjustRightInd w:val="0"/>
                    <w:snapToGrid w:val="0"/>
                    <w:ind w:firstLine="0"/>
                    <w:jc w:val="center"/>
                    <w:rPr>
                      <w:rFonts w:hint="default" w:eastAsia="宋体"/>
                      <w:color w:val="auto"/>
                      <w:sz w:val="24"/>
                      <w:highlight w:val="none"/>
                      <w:lang w:val="en-US" w:eastAsia="zh-CN"/>
                    </w:rPr>
                  </w:pPr>
                  <w:r>
                    <w:rPr>
                      <w:rFonts w:hint="eastAsia"/>
                      <w:color w:val="auto"/>
                      <w:sz w:val="21"/>
                      <w:szCs w:val="21"/>
                      <w:highlight w:val="none"/>
                      <w:lang w:val="en-US" w:eastAsia="zh-CN"/>
                    </w:rPr>
                    <w:t>热熔挤出废气采用活性炭吸附+催化燃烧，破碎废气采用布袋除尘器</w:t>
                  </w:r>
                </w:p>
              </w:tc>
              <w:tc>
                <w:tcPr>
                  <w:tcW w:w="853" w:type="pct"/>
                  <w:tcBorders>
                    <w:tl2br w:val="nil"/>
                    <w:tr2bl w:val="nil"/>
                  </w:tcBorders>
                  <w:vAlign w:val="center"/>
                </w:tcPr>
                <w:p>
                  <w:pPr>
                    <w:widowControl/>
                    <w:jc w:val="center"/>
                    <w:textAlignment w:val="center"/>
                    <w:rPr>
                      <w:color w:val="auto"/>
                      <w:szCs w:val="21"/>
                    </w:rPr>
                  </w:pPr>
                  <w:r>
                    <w:rPr>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tcBorders>
                    <w:tl2br w:val="nil"/>
                    <w:tr2bl w:val="nil"/>
                  </w:tcBorders>
                  <w:vAlign w:val="center"/>
                </w:tcPr>
                <w:p>
                  <w:pPr>
                    <w:widowControl/>
                    <w:jc w:val="center"/>
                    <w:textAlignment w:val="center"/>
                    <w:rPr>
                      <w:color w:val="auto"/>
                      <w:szCs w:val="21"/>
                      <w:highlight w:val="none"/>
                    </w:rPr>
                  </w:pPr>
                  <w:r>
                    <w:rPr>
                      <w:color w:val="auto"/>
                      <w:szCs w:val="21"/>
                      <w:highlight w:val="none"/>
                    </w:rPr>
                    <w:t>废水</w:t>
                  </w:r>
                </w:p>
              </w:tc>
              <w:tc>
                <w:tcPr>
                  <w:tcW w:w="2333" w:type="pct"/>
                  <w:gridSpan w:val="2"/>
                  <w:tcBorders>
                    <w:tl2br w:val="nil"/>
                    <w:tr2bl w:val="nil"/>
                  </w:tcBorders>
                  <w:vAlign w:val="center"/>
                </w:tcPr>
                <w:p>
                  <w:pPr>
                    <w:wordWrap w:val="0"/>
                    <w:jc w:val="center"/>
                    <w:rPr>
                      <w:rFonts w:hint="default" w:eastAsia="宋体"/>
                      <w:color w:val="auto"/>
                      <w:highlight w:val="none"/>
                      <w:lang w:val="en-US" w:eastAsia="zh-CN"/>
                    </w:rPr>
                  </w:pPr>
                  <w:r>
                    <w:rPr>
                      <w:rFonts w:hint="eastAsia"/>
                      <w:color w:val="auto"/>
                      <w:highlight w:val="none"/>
                      <w:lang w:val="en-US" w:eastAsia="zh-CN"/>
                    </w:rPr>
                    <w:t>生活污水直接排入污水管网，清洗废水和冷却水循环使用不外排</w:t>
                  </w:r>
                </w:p>
              </w:tc>
              <w:tc>
                <w:tcPr>
                  <w:tcW w:w="853" w:type="pct"/>
                  <w:tcBorders>
                    <w:tl2br w:val="nil"/>
                    <w:tr2bl w:val="nil"/>
                  </w:tcBorders>
                  <w:vAlign w:val="center"/>
                </w:tcPr>
                <w:p>
                  <w:pPr>
                    <w:widowControl/>
                    <w:jc w:val="center"/>
                    <w:textAlignment w:val="center"/>
                    <w:rPr>
                      <w:color w:val="auto"/>
                      <w:szCs w:val="21"/>
                    </w:rPr>
                  </w:pPr>
                  <w:r>
                    <w:rPr>
                      <w:color w:val="auto"/>
                      <w:szCs w:val="21"/>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tcBorders>
                    <w:tl2br w:val="nil"/>
                    <w:tr2bl w:val="nil"/>
                  </w:tcBorders>
                  <w:vAlign w:val="center"/>
                </w:tcPr>
                <w:p>
                  <w:pPr>
                    <w:widowControl/>
                    <w:jc w:val="center"/>
                    <w:textAlignment w:val="center"/>
                    <w:rPr>
                      <w:color w:val="auto"/>
                      <w:szCs w:val="21"/>
                      <w:highlight w:val="none"/>
                    </w:rPr>
                  </w:pPr>
                  <w:r>
                    <w:rPr>
                      <w:color w:val="auto"/>
                      <w:szCs w:val="21"/>
                      <w:highlight w:val="none"/>
                    </w:rPr>
                    <w:t>噪声</w:t>
                  </w:r>
                </w:p>
              </w:tc>
              <w:tc>
                <w:tcPr>
                  <w:tcW w:w="2333" w:type="pct"/>
                  <w:gridSpan w:val="2"/>
                  <w:tcBorders>
                    <w:tl2br w:val="nil"/>
                    <w:tr2bl w:val="nil"/>
                  </w:tcBorders>
                  <w:vAlign w:val="center"/>
                </w:tcPr>
                <w:p>
                  <w:pPr>
                    <w:widowControl/>
                    <w:jc w:val="center"/>
                    <w:textAlignment w:val="center"/>
                    <w:rPr>
                      <w:color w:val="auto"/>
                      <w:szCs w:val="21"/>
                      <w:highlight w:val="none"/>
                    </w:rPr>
                  </w:pPr>
                  <w:r>
                    <w:rPr>
                      <w:color w:val="auto"/>
                      <w:szCs w:val="21"/>
                      <w:highlight w:val="none"/>
                    </w:rPr>
                    <w:t>采取减振、密闭、隔声、消声等措施</w:t>
                  </w:r>
                </w:p>
              </w:tc>
              <w:tc>
                <w:tcPr>
                  <w:tcW w:w="853" w:type="pct"/>
                  <w:tcBorders>
                    <w:tl2br w:val="nil"/>
                    <w:tr2bl w:val="nil"/>
                  </w:tcBorders>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restart"/>
                  <w:tcBorders>
                    <w:tl2br w:val="nil"/>
                    <w:tr2bl w:val="nil"/>
                  </w:tcBorders>
                  <w:vAlign w:val="center"/>
                </w:tcPr>
                <w:p>
                  <w:pPr>
                    <w:widowControl/>
                    <w:jc w:val="center"/>
                    <w:textAlignment w:val="center"/>
                    <w:rPr>
                      <w:color w:val="auto"/>
                      <w:szCs w:val="21"/>
                      <w:highlight w:val="none"/>
                    </w:rPr>
                  </w:pPr>
                  <w:r>
                    <w:rPr>
                      <w:color w:val="auto"/>
                      <w:szCs w:val="21"/>
                      <w:highlight w:val="none"/>
                    </w:rPr>
                    <w:t>固废</w:t>
                  </w:r>
                </w:p>
                <w:p>
                  <w:pPr>
                    <w:widowControl/>
                    <w:jc w:val="center"/>
                    <w:textAlignment w:val="center"/>
                    <w:rPr>
                      <w:color w:val="auto"/>
                      <w:szCs w:val="21"/>
                      <w:highlight w:val="none"/>
                    </w:rPr>
                  </w:pPr>
                  <w:r>
                    <w:rPr>
                      <w:color w:val="auto"/>
                      <w:szCs w:val="21"/>
                      <w:highlight w:val="none"/>
                    </w:rPr>
                    <w:t>防治</w:t>
                  </w:r>
                </w:p>
              </w:tc>
              <w:tc>
                <w:tcPr>
                  <w:tcW w:w="777" w:type="pct"/>
                  <w:tcBorders>
                    <w:tl2br w:val="nil"/>
                    <w:tr2bl w:val="nil"/>
                  </w:tcBorders>
                  <w:vAlign w:val="center"/>
                </w:tcPr>
                <w:p>
                  <w:pPr>
                    <w:widowControl/>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生活垃圾</w:t>
                  </w:r>
                </w:p>
              </w:tc>
              <w:tc>
                <w:tcPr>
                  <w:tcW w:w="155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集中收集，环卫部门定期清运</w:t>
                  </w:r>
                </w:p>
              </w:tc>
              <w:tc>
                <w:tcPr>
                  <w:tcW w:w="853" w:type="pct"/>
                  <w:tcBorders>
                    <w:tl2br w:val="nil"/>
                    <w:tr2bl w:val="nil"/>
                  </w:tcBorders>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highlight w:val="none"/>
                    </w:rPr>
                  </w:pPr>
                </w:p>
              </w:tc>
              <w:tc>
                <w:tcPr>
                  <w:tcW w:w="77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残次品</w:t>
                  </w:r>
                </w:p>
              </w:tc>
              <w:tc>
                <w:tcPr>
                  <w:tcW w:w="1556" w:type="pct"/>
                  <w:tcBorders>
                    <w:tl2br w:val="nil"/>
                    <w:tr2bl w:val="nil"/>
                  </w:tcBorders>
                  <w:vAlign w:val="center"/>
                </w:tcPr>
                <w:p>
                  <w:pPr>
                    <w:pStyle w:val="11"/>
                    <w:spacing w:before="0" w:after="0" w:line="240" w:lineRule="auto"/>
                    <w:ind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回用于生产</w:t>
                  </w:r>
                </w:p>
              </w:tc>
              <w:tc>
                <w:tcPr>
                  <w:tcW w:w="853" w:type="pct"/>
                  <w:tcBorders>
                    <w:tl2br w:val="nil"/>
                    <w:tr2bl w:val="nil"/>
                  </w:tcBorders>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highlight w:val="none"/>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收集尘</w:t>
                  </w:r>
                </w:p>
              </w:tc>
              <w:tc>
                <w:tcPr>
                  <w:tcW w:w="1556"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回用于生产</w:t>
                  </w:r>
                </w:p>
              </w:tc>
              <w:tc>
                <w:tcPr>
                  <w:tcW w:w="853" w:type="pct"/>
                  <w:tcBorders>
                    <w:tl2br w:val="nil"/>
                    <w:tr2bl w:val="nil"/>
                  </w:tcBorders>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highlight w:val="none"/>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污泥</w:t>
                  </w:r>
                </w:p>
              </w:tc>
              <w:tc>
                <w:tcPr>
                  <w:tcW w:w="1556"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定期清掏，交由生活垃圾填埋场处理。</w:t>
                  </w:r>
                </w:p>
              </w:tc>
              <w:tc>
                <w:tcPr>
                  <w:tcW w:w="853" w:type="pct"/>
                  <w:tcBorders>
                    <w:tl2br w:val="nil"/>
                    <w:tr2bl w:val="nil"/>
                  </w:tcBorders>
                  <w:vAlign w:val="center"/>
                </w:tcPr>
                <w:p>
                  <w:pPr>
                    <w:widowControl/>
                    <w:jc w:val="center"/>
                    <w:textAlignment w:val="center"/>
                    <w:rPr>
                      <w:rFonts w:hint="eastAsia"/>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highlight w:val="none"/>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废滤网</w:t>
                  </w:r>
                </w:p>
              </w:tc>
              <w:tc>
                <w:tcPr>
                  <w:tcW w:w="1556" w:type="pct"/>
                  <w:vMerge w:val="restar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收集后暂存于危废间，定期委托有资质单位处置</w:t>
                  </w:r>
                </w:p>
              </w:tc>
              <w:tc>
                <w:tcPr>
                  <w:tcW w:w="853" w:type="pct"/>
                  <w:tcBorders>
                    <w:tl2br w:val="nil"/>
                    <w:tr2bl w:val="nil"/>
                  </w:tcBorders>
                  <w:vAlign w:val="center"/>
                </w:tcPr>
                <w:p>
                  <w:pPr>
                    <w:widowControl/>
                    <w:jc w:val="center"/>
                    <w:textAlignment w:val="center"/>
                    <w:rPr>
                      <w:rFonts w:hint="eastAsia"/>
                      <w:color w:val="auto"/>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highlight w:val="none"/>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废机油</w:t>
                  </w:r>
                </w:p>
              </w:tc>
              <w:tc>
                <w:tcPr>
                  <w:tcW w:w="1556" w:type="pct"/>
                  <w:vMerge w:val="continue"/>
                  <w:tcBorders>
                    <w:tl2br w:val="nil"/>
                    <w:tr2bl w:val="nil"/>
                  </w:tcBorders>
                  <w:vAlign w:val="center"/>
                </w:tcPr>
                <w:p>
                  <w:pPr>
                    <w:widowControl/>
                    <w:jc w:val="center"/>
                    <w:textAlignment w:val="center"/>
                    <w:rPr>
                      <w:rFonts w:hint="default"/>
                      <w:color w:val="auto"/>
                      <w:szCs w:val="21"/>
                      <w:highlight w:val="none"/>
                      <w:lang w:val="en-US" w:eastAsia="zh-CN"/>
                    </w:rPr>
                  </w:pPr>
                </w:p>
              </w:tc>
              <w:tc>
                <w:tcPr>
                  <w:tcW w:w="853" w:type="pct"/>
                  <w:tcBorders>
                    <w:tl2br w:val="nil"/>
                    <w:tr2bl w:val="nil"/>
                  </w:tcBorders>
                  <w:vAlign w:val="center"/>
                </w:tcPr>
                <w:p>
                  <w:pPr>
                    <w:widowControl/>
                    <w:jc w:val="center"/>
                    <w:textAlignment w:val="center"/>
                    <w:rPr>
                      <w:rFonts w:hint="default"/>
                      <w:color w:val="auto"/>
                      <w:szCs w:val="21"/>
                      <w:lang w:val="en-US"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废活性炭</w:t>
                  </w:r>
                </w:p>
              </w:tc>
              <w:tc>
                <w:tcPr>
                  <w:tcW w:w="1556" w:type="pct"/>
                  <w:vMerge w:val="continue"/>
                  <w:tcBorders>
                    <w:tl2br w:val="nil"/>
                    <w:tr2bl w:val="nil"/>
                  </w:tcBorders>
                  <w:vAlign w:val="center"/>
                </w:tcPr>
                <w:p>
                  <w:pPr>
                    <w:widowControl/>
                    <w:jc w:val="both"/>
                    <w:textAlignment w:val="center"/>
                    <w:rPr>
                      <w:rFonts w:hint="default"/>
                      <w:color w:val="auto"/>
                      <w:szCs w:val="21"/>
                      <w:lang w:val="en-US" w:eastAsia="zh-CN"/>
                    </w:rPr>
                  </w:pPr>
                </w:p>
              </w:tc>
              <w:tc>
                <w:tcPr>
                  <w:tcW w:w="853" w:type="pct"/>
                  <w:tcBorders>
                    <w:tl2br w:val="nil"/>
                    <w:tr2bl w:val="nil"/>
                  </w:tcBorders>
                  <w:vAlign w:val="center"/>
                </w:tcPr>
                <w:p>
                  <w:pPr>
                    <w:widowControl/>
                    <w:jc w:val="center"/>
                    <w:textAlignment w:val="center"/>
                    <w:rPr>
                      <w:rFonts w:hint="default"/>
                      <w:color w:val="auto"/>
                      <w:szCs w:val="21"/>
                      <w:lang w:val="en-US" w:eastAsia="zh-CN"/>
                    </w:rPr>
                  </w:pPr>
                  <w:r>
                    <w:rPr>
                      <w:rFonts w:hint="eastAsia"/>
                      <w:color w:val="auto"/>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688" w:type="pct"/>
                  <w:vMerge w:val="continue"/>
                  <w:tcBorders>
                    <w:tl2br w:val="nil"/>
                    <w:tr2bl w:val="nil"/>
                  </w:tcBorders>
                  <w:vAlign w:val="center"/>
                </w:tcPr>
                <w:p>
                  <w:pPr>
                    <w:jc w:val="center"/>
                    <w:rPr>
                      <w:color w:val="auto"/>
                      <w:szCs w:val="21"/>
                    </w:rPr>
                  </w:pPr>
                </w:p>
              </w:tc>
              <w:tc>
                <w:tcPr>
                  <w:tcW w:w="1124" w:type="pct"/>
                  <w:vMerge w:val="continue"/>
                  <w:tcBorders>
                    <w:tl2br w:val="nil"/>
                    <w:tr2bl w:val="nil"/>
                  </w:tcBorders>
                  <w:vAlign w:val="center"/>
                </w:tcPr>
                <w:p>
                  <w:pPr>
                    <w:jc w:val="center"/>
                    <w:rPr>
                      <w:color w:val="auto"/>
                      <w:szCs w:val="21"/>
                    </w:rPr>
                  </w:pPr>
                </w:p>
              </w:tc>
              <w:tc>
                <w:tcPr>
                  <w:tcW w:w="777" w:type="pct"/>
                  <w:tcBorders>
                    <w:tl2br w:val="nil"/>
                    <w:tr2bl w:val="nil"/>
                  </w:tcBorders>
                  <w:vAlign w:val="center"/>
                </w:tcPr>
                <w:p>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废催化剂</w:t>
                  </w:r>
                </w:p>
              </w:tc>
              <w:tc>
                <w:tcPr>
                  <w:tcW w:w="1556" w:type="pct"/>
                  <w:vMerge w:val="continue"/>
                  <w:tcBorders>
                    <w:tl2br w:val="nil"/>
                    <w:tr2bl w:val="nil"/>
                  </w:tcBorders>
                  <w:vAlign w:val="center"/>
                </w:tcPr>
                <w:p>
                  <w:pPr>
                    <w:widowControl/>
                    <w:jc w:val="center"/>
                    <w:textAlignment w:val="center"/>
                    <w:rPr>
                      <w:rFonts w:hint="default"/>
                      <w:color w:val="auto"/>
                      <w:szCs w:val="21"/>
                      <w:lang w:val="en-US" w:eastAsia="zh-CN"/>
                    </w:rPr>
                  </w:pPr>
                </w:p>
              </w:tc>
              <w:tc>
                <w:tcPr>
                  <w:tcW w:w="853" w:type="pct"/>
                  <w:tcBorders>
                    <w:tl2br w:val="nil"/>
                    <w:tr2bl w:val="nil"/>
                  </w:tcBorders>
                  <w:vAlign w:val="center"/>
                </w:tcPr>
                <w:p>
                  <w:pPr>
                    <w:widowControl/>
                    <w:jc w:val="center"/>
                    <w:textAlignment w:val="center"/>
                    <w:rPr>
                      <w:rFonts w:hint="default"/>
                      <w:color w:val="auto"/>
                      <w:szCs w:val="21"/>
                      <w:lang w:val="en-US" w:eastAsia="zh-CN"/>
                    </w:rPr>
                  </w:pPr>
                  <w:r>
                    <w:rPr>
                      <w:rFonts w:hint="eastAsia"/>
                      <w:color w:val="auto"/>
                      <w:szCs w:val="21"/>
                      <w:lang w:val="en-US" w:eastAsia="zh-CN"/>
                    </w:rPr>
                    <w:t>/</w:t>
                  </w:r>
                </w:p>
              </w:tc>
            </w:tr>
          </w:tbl>
          <w:p>
            <w:pPr>
              <w:pStyle w:val="38"/>
              <w:keepNext w:val="0"/>
              <w:keepLines w:val="0"/>
              <w:pageBreakBefore w:val="0"/>
              <w:widowControl w:val="0"/>
              <w:numPr>
                <w:ilvl w:val="0"/>
                <w:numId w:val="10"/>
              </w:numPr>
              <w:kinsoku/>
              <w:wordWrap/>
              <w:overflowPunct/>
              <w:topLinePunct w:val="0"/>
              <w:autoSpaceDE/>
              <w:autoSpaceDN/>
              <w:bidi w:val="0"/>
              <w:adjustRightInd/>
              <w:snapToGrid/>
              <w:spacing w:line="520" w:lineRule="exact"/>
              <w:ind w:left="0" w:leftChars="0" w:firstLine="0" w:firstLineChars="0"/>
              <w:textAlignment w:val="baseline"/>
              <w:rPr>
                <w:b/>
                <w:bCs/>
                <w:color w:val="auto"/>
              </w:rPr>
            </w:pPr>
            <w:r>
              <w:rPr>
                <w:b/>
                <w:bCs/>
                <w:color w:val="auto"/>
              </w:rPr>
              <w:t>主要生产设备</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color w:val="auto"/>
              </w:rPr>
            </w:pPr>
            <w:r>
              <w:rPr>
                <w:color w:val="auto"/>
              </w:rPr>
              <w:t>主要设备见表2-2</w:t>
            </w:r>
          </w:p>
          <w:p>
            <w:pPr>
              <w:pStyle w:val="40"/>
              <w:spacing w:line="240" w:lineRule="auto"/>
              <w:ind w:firstLine="0" w:firstLineChars="0"/>
              <w:jc w:val="center"/>
              <w:rPr>
                <w:color w:val="auto"/>
              </w:rPr>
            </w:pPr>
            <w:r>
              <w:rPr>
                <w:b/>
                <w:bCs/>
                <w:color w:val="auto"/>
                <w:sz w:val="21"/>
                <w:szCs w:val="21"/>
              </w:rPr>
              <w:t>表2-2   项目生产设备配置表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4916"/>
              <w:gridCol w:w="1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bottom w:val="single" w:color="auto" w:sz="12" w:space="0"/>
                  </w:tcBorders>
                  <w:vAlign w:val="center"/>
                </w:tcPr>
                <w:p>
                  <w:pPr>
                    <w:jc w:val="center"/>
                    <w:rPr>
                      <w:rFonts w:hint="default" w:eastAsia="宋体"/>
                      <w:b/>
                      <w:bCs/>
                      <w:color w:val="auto"/>
                      <w:szCs w:val="21"/>
                      <w:lang w:val="en-US" w:eastAsia="zh-CN"/>
                    </w:rPr>
                  </w:pPr>
                  <w:r>
                    <w:rPr>
                      <w:rFonts w:hint="eastAsia"/>
                      <w:b/>
                      <w:bCs/>
                      <w:color w:val="auto"/>
                      <w:szCs w:val="21"/>
                      <w:lang w:val="en-US" w:eastAsia="zh-CN"/>
                    </w:rPr>
                    <w:t>保温板生产设备配置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tcBorders>
                    <w:top w:val="single" w:color="auto" w:sz="12" w:space="0"/>
                    <w:tl2br w:val="nil"/>
                    <w:tr2bl w:val="nil"/>
                  </w:tcBorders>
                  <w:vAlign w:val="center"/>
                </w:tcPr>
                <w:p>
                  <w:pPr>
                    <w:jc w:val="center"/>
                    <w:rPr>
                      <w:b/>
                      <w:bCs/>
                      <w:color w:val="auto"/>
                      <w:szCs w:val="21"/>
                    </w:rPr>
                  </w:pPr>
                  <w:r>
                    <w:rPr>
                      <w:b/>
                      <w:bCs/>
                      <w:color w:val="auto"/>
                      <w:szCs w:val="21"/>
                    </w:rPr>
                    <w:t>序号</w:t>
                  </w:r>
                </w:p>
              </w:tc>
              <w:tc>
                <w:tcPr>
                  <w:tcW w:w="3031" w:type="pct"/>
                  <w:tcBorders>
                    <w:top w:val="single" w:color="auto" w:sz="12" w:space="0"/>
                    <w:tl2br w:val="nil"/>
                    <w:tr2bl w:val="nil"/>
                  </w:tcBorders>
                  <w:vAlign w:val="center"/>
                </w:tcPr>
                <w:p>
                  <w:pPr>
                    <w:jc w:val="center"/>
                    <w:rPr>
                      <w:b/>
                      <w:bCs/>
                      <w:color w:val="auto"/>
                      <w:szCs w:val="21"/>
                    </w:rPr>
                  </w:pPr>
                  <w:r>
                    <w:rPr>
                      <w:b/>
                      <w:bCs/>
                      <w:color w:val="auto"/>
                      <w:szCs w:val="21"/>
                    </w:rPr>
                    <w:t>设备名称</w:t>
                  </w:r>
                </w:p>
              </w:tc>
              <w:tc>
                <w:tcPr>
                  <w:tcW w:w="1154" w:type="pct"/>
                  <w:tcBorders>
                    <w:top w:val="single" w:color="auto" w:sz="12" w:space="0"/>
                    <w:tl2br w:val="nil"/>
                    <w:tr2bl w:val="nil"/>
                  </w:tcBorders>
                  <w:vAlign w:val="center"/>
                </w:tcPr>
                <w:p>
                  <w:pPr>
                    <w:jc w:val="center"/>
                    <w:rPr>
                      <w:b/>
                      <w:bCs/>
                      <w:color w:val="auto"/>
                      <w:szCs w:val="21"/>
                    </w:rPr>
                  </w:pPr>
                  <w:r>
                    <w:rPr>
                      <w:b/>
                      <w:bCs/>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tcBorders>
                    <w:tl2br w:val="nil"/>
                    <w:tr2bl w:val="nil"/>
                  </w:tcBorders>
                  <w:vAlign w:val="center"/>
                </w:tcPr>
                <w:p>
                  <w:pPr>
                    <w:jc w:val="center"/>
                    <w:rPr>
                      <w:color w:val="auto"/>
                      <w:szCs w:val="21"/>
                    </w:rPr>
                  </w:pPr>
                  <w:r>
                    <w:rPr>
                      <w:color w:val="auto"/>
                      <w:szCs w:val="21"/>
                    </w:rPr>
                    <w:t>1</w:t>
                  </w:r>
                </w:p>
              </w:tc>
              <w:tc>
                <w:tcPr>
                  <w:tcW w:w="3031" w:type="pc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加料机</w:t>
                  </w:r>
                </w:p>
              </w:tc>
              <w:tc>
                <w:tcPr>
                  <w:tcW w:w="115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tcBorders>
                    <w:tl2br w:val="nil"/>
                    <w:tr2bl w:val="nil"/>
                  </w:tcBorders>
                  <w:vAlign w:val="center"/>
                </w:tcPr>
                <w:p>
                  <w:pPr>
                    <w:jc w:val="center"/>
                    <w:rPr>
                      <w:color w:val="auto"/>
                      <w:szCs w:val="21"/>
                    </w:rPr>
                  </w:pPr>
                  <w:r>
                    <w:rPr>
                      <w:color w:val="auto"/>
                      <w:szCs w:val="21"/>
                    </w:rPr>
                    <w:t>2</w:t>
                  </w:r>
                </w:p>
              </w:tc>
              <w:tc>
                <w:tcPr>
                  <w:tcW w:w="3031"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送料机</w:t>
                  </w:r>
                </w:p>
              </w:tc>
              <w:tc>
                <w:tcPr>
                  <w:tcW w:w="115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tcBorders>
                    <w:tl2br w:val="nil"/>
                    <w:tr2bl w:val="nil"/>
                  </w:tcBorders>
                  <w:vAlign w:val="center"/>
                </w:tcPr>
                <w:p>
                  <w:pPr>
                    <w:jc w:val="center"/>
                    <w:rPr>
                      <w:color w:val="auto"/>
                      <w:szCs w:val="21"/>
                    </w:rPr>
                  </w:pPr>
                  <w:r>
                    <w:rPr>
                      <w:color w:val="auto"/>
                      <w:szCs w:val="21"/>
                    </w:rPr>
                    <w:t>3</w:t>
                  </w:r>
                </w:p>
              </w:tc>
              <w:tc>
                <w:tcPr>
                  <w:tcW w:w="3031" w:type="pc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挤塑机</w:t>
                  </w:r>
                </w:p>
              </w:tc>
              <w:tc>
                <w:tcPr>
                  <w:tcW w:w="115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tcBorders>
                    <w:tl2br w:val="nil"/>
                    <w:tr2bl w:val="nil"/>
                  </w:tcBorders>
                  <w:vAlign w:val="center"/>
                </w:tcPr>
                <w:p>
                  <w:pPr>
                    <w:jc w:val="center"/>
                    <w:rPr>
                      <w:color w:val="auto"/>
                      <w:szCs w:val="21"/>
                    </w:rPr>
                  </w:pPr>
                  <w:r>
                    <w:rPr>
                      <w:color w:val="auto"/>
                      <w:szCs w:val="21"/>
                    </w:rPr>
                    <w:t>4</w:t>
                  </w:r>
                </w:p>
              </w:tc>
              <w:tc>
                <w:tcPr>
                  <w:tcW w:w="3031" w:type="pc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切割机</w:t>
                  </w:r>
                </w:p>
              </w:tc>
              <w:tc>
                <w:tcPr>
                  <w:tcW w:w="1154"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5</w:t>
                  </w:r>
                </w:p>
              </w:tc>
              <w:tc>
                <w:tcPr>
                  <w:tcW w:w="3031"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破碎机</w:t>
                  </w:r>
                </w:p>
              </w:tc>
              <w:tc>
                <w:tcPr>
                  <w:tcW w:w="1154"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6</w:t>
                  </w:r>
                </w:p>
              </w:tc>
              <w:tc>
                <w:tcPr>
                  <w:tcW w:w="3031"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甩干机</w:t>
                  </w:r>
                </w:p>
              </w:tc>
              <w:tc>
                <w:tcPr>
                  <w:tcW w:w="1154"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2台</w:t>
                  </w:r>
                </w:p>
              </w:tc>
            </w:tr>
          </w:tbl>
          <w:p>
            <w:pPr>
              <w:pStyle w:val="40"/>
              <w:keepNext w:val="0"/>
              <w:keepLines w:val="0"/>
              <w:pageBreakBefore w:val="0"/>
              <w:widowControl w:val="0"/>
              <w:numPr>
                <w:ilvl w:val="0"/>
                <w:numId w:val="11"/>
              </w:numPr>
              <w:kinsoku/>
              <w:wordWrap/>
              <w:overflowPunct/>
              <w:topLinePunct w:val="0"/>
              <w:autoSpaceDE/>
              <w:autoSpaceDN/>
              <w:bidi w:val="0"/>
              <w:adjustRightInd/>
              <w:snapToGrid/>
              <w:spacing w:line="520" w:lineRule="exact"/>
              <w:ind w:firstLine="0" w:firstLineChars="0"/>
              <w:textAlignment w:val="auto"/>
              <w:rPr>
                <w:rFonts w:hint="default" w:ascii="Times New Roman" w:hAnsi="Times New Roman" w:eastAsia="宋体" w:cs="Times New Roman"/>
                <w:b/>
                <w:bCs/>
                <w:snapToGrid w:val="0"/>
                <w:color w:val="auto"/>
                <w:kern w:val="0"/>
                <w:sz w:val="24"/>
                <w:szCs w:val="24"/>
                <w:lang w:val="en-US" w:eastAsia="zh-CN" w:bidi="ar-SA"/>
              </w:rPr>
            </w:pPr>
            <w:r>
              <w:rPr>
                <w:rFonts w:hint="eastAsia" w:ascii="Times New Roman" w:hAnsi="Times New Roman" w:eastAsia="宋体" w:cs="Times New Roman"/>
                <w:b/>
                <w:bCs/>
                <w:snapToGrid w:val="0"/>
                <w:color w:val="auto"/>
                <w:kern w:val="0"/>
                <w:sz w:val="24"/>
                <w:szCs w:val="24"/>
                <w:lang w:val="en-US" w:eastAsia="zh-CN" w:bidi="ar-SA"/>
              </w:rPr>
              <w:t>项目原辅材料消耗情况</w:t>
            </w:r>
          </w:p>
          <w:p>
            <w:pPr>
              <w:pStyle w:val="12"/>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b/>
                <w:bCs/>
                <w:color w:val="auto"/>
                <w:szCs w:val="21"/>
              </w:rPr>
            </w:pPr>
            <w:r>
              <w:rPr>
                <w:rFonts w:hint="eastAsia"/>
                <w:color w:val="auto"/>
                <w:sz w:val="24"/>
                <w:lang w:val="en-US" w:eastAsia="zh-CN"/>
              </w:rPr>
              <w:t>本项目所使用原料为废旧塑料瓶盖及废旧塑料编织袋（不含受到危险化学品、农药等污染的废弃塑料包装物、废弃一次性医疗用塑料制品等塑料类危险废物，以及氟塑料等特种工程塑料）主要来源为阜康市各废品收购站，</w:t>
            </w:r>
            <w:r>
              <w:rPr>
                <w:color w:val="auto"/>
                <w:sz w:val="24"/>
              </w:rPr>
              <w:t>项目主要原辅材料能源消耗见表2-3。</w:t>
            </w:r>
          </w:p>
          <w:p>
            <w:pPr>
              <w:pStyle w:val="40"/>
              <w:spacing w:line="240" w:lineRule="auto"/>
              <w:ind w:firstLine="0" w:firstLineChars="0"/>
              <w:jc w:val="center"/>
              <w:rPr>
                <w:b/>
                <w:bCs/>
                <w:color w:val="auto"/>
                <w:sz w:val="21"/>
                <w:szCs w:val="21"/>
              </w:rPr>
            </w:pPr>
            <w:r>
              <w:rPr>
                <w:b/>
                <w:bCs/>
                <w:color w:val="auto"/>
                <w:sz w:val="21"/>
                <w:szCs w:val="21"/>
              </w:rPr>
              <w:t>表2-3   项目主要原辅材料及能源消耗表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autofit"/>
              <w:tblCellMar>
                <w:top w:w="0" w:type="dxa"/>
                <w:left w:w="108" w:type="dxa"/>
                <w:bottom w:w="0" w:type="dxa"/>
                <w:right w:w="108" w:type="dxa"/>
              </w:tblCellMar>
            </w:tblPr>
            <w:tblGrid>
              <w:gridCol w:w="1276"/>
              <w:gridCol w:w="2092"/>
              <w:gridCol w:w="957"/>
              <w:gridCol w:w="1259"/>
              <w:gridCol w:w="1823"/>
              <w:gridCol w:w="699"/>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jc w:val="center"/>
              </w:trPr>
              <w:tc>
                <w:tcPr>
                  <w:tcW w:w="787" w:type="pct"/>
                  <w:tcBorders>
                    <w:tl2br w:val="nil"/>
                    <w:tr2bl w:val="nil"/>
                  </w:tcBorders>
                  <w:vAlign w:val="center"/>
                </w:tcPr>
                <w:p>
                  <w:pPr>
                    <w:pStyle w:val="40"/>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lang w:val="en-US" w:eastAsia="zh-CN"/>
                    </w:rPr>
                    <w:t>生产线</w:t>
                  </w:r>
                </w:p>
              </w:tc>
              <w:tc>
                <w:tcPr>
                  <w:tcW w:w="1290" w:type="pct"/>
                  <w:tcBorders>
                    <w:tl2br w:val="nil"/>
                    <w:tr2bl w:val="nil"/>
                  </w:tcBorders>
                  <w:vAlign w:val="center"/>
                </w:tcPr>
                <w:p>
                  <w:pPr>
                    <w:pStyle w:val="40"/>
                    <w:spacing w:line="240" w:lineRule="auto"/>
                    <w:ind w:firstLine="0" w:firstLineChars="0"/>
                    <w:jc w:val="center"/>
                    <w:rPr>
                      <w:b/>
                      <w:bCs/>
                      <w:color w:val="auto"/>
                      <w:sz w:val="21"/>
                      <w:szCs w:val="21"/>
                    </w:rPr>
                  </w:pPr>
                  <w:r>
                    <w:rPr>
                      <w:b/>
                      <w:bCs/>
                      <w:color w:val="auto"/>
                      <w:sz w:val="21"/>
                      <w:szCs w:val="21"/>
                    </w:rPr>
                    <w:t>原料</w:t>
                  </w:r>
                </w:p>
              </w:tc>
              <w:tc>
                <w:tcPr>
                  <w:tcW w:w="590" w:type="pct"/>
                  <w:tcBorders>
                    <w:tl2br w:val="nil"/>
                    <w:tr2bl w:val="nil"/>
                  </w:tcBorders>
                  <w:vAlign w:val="center"/>
                </w:tcPr>
                <w:p>
                  <w:pPr>
                    <w:pStyle w:val="40"/>
                    <w:spacing w:line="240" w:lineRule="auto"/>
                    <w:ind w:firstLine="0" w:firstLineChars="0"/>
                    <w:jc w:val="center"/>
                    <w:rPr>
                      <w:b/>
                      <w:bCs/>
                      <w:color w:val="auto"/>
                      <w:sz w:val="21"/>
                      <w:szCs w:val="21"/>
                    </w:rPr>
                  </w:pPr>
                  <w:r>
                    <w:rPr>
                      <w:b/>
                      <w:bCs/>
                      <w:color w:val="auto"/>
                      <w:sz w:val="21"/>
                      <w:szCs w:val="21"/>
                    </w:rPr>
                    <w:t>单位</w:t>
                  </w:r>
                </w:p>
              </w:tc>
              <w:tc>
                <w:tcPr>
                  <w:tcW w:w="776" w:type="pct"/>
                  <w:tcBorders>
                    <w:tl2br w:val="nil"/>
                    <w:tr2bl w:val="nil"/>
                  </w:tcBorders>
                  <w:vAlign w:val="center"/>
                </w:tcPr>
                <w:p>
                  <w:pPr>
                    <w:pStyle w:val="40"/>
                    <w:spacing w:line="240" w:lineRule="auto"/>
                    <w:ind w:firstLine="0" w:firstLineChars="0"/>
                    <w:jc w:val="center"/>
                    <w:rPr>
                      <w:b/>
                      <w:bCs/>
                      <w:color w:val="auto"/>
                      <w:sz w:val="21"/>
                      <w:szCs w:val="21"/>
                    </w:rPr>
                  </w:pPr>
                  <w:r>
                    <w:rPr>
                      <w:b/>
                      <w:bCs/>
                      <w:color w:val="auto"/>
                      <w:sz w:val="21"/>
                      <w:szCs w:val="21"/>
                    </w:rPr>
                    <w:t>消耗量</w:t>
                  </w:r>
                </w:p>
              </w:tc>
              <w:tc>
                <w:tcPr>
                  <w:tcW w:w="1124" w:type="pct"/>
                  <w:tcBorders>
                    <w:tl2br w:val="nil"/>
                    <w:tr2bl w:val="nil"/>
                  </w:tcBorders>
                  <w:vAlign w:val="center"/>
                </w:tcPr>
                <w:p>
                  <w:pPr>
                    <w:pStyle w:val="40"/>
                    <w:spacing w:line="240" w:lineRule="auto"/>
                    <w:ind w:firstLine="0" w:firstLineChars="0"/>
                    <w:jc w:val="center"/>
                    <w:rPr>
                      <w:rFonts w:hint="default"/>
                      <w:b/>
                      <w:bCs/>
                      <w:color w:val="auto"/>
                      <w:sz w:val="21"/>
                      <w:szCs w:val="21"/>
                      <w:lang w:val="en-US" w:eastAsia="zh-CN"/>
                    </w:rPr>
                  </w:pPr>
                  <w:r>
                    <w:rPr>
                      <w:rFonts w:hint="eastAsia"/>
                      <w:b/>
                      <w:bCs/>
                      <w:color w:val="auto"/>
                      <w:sz w:val="21"/>
                      <w:szCs w:val="21"/>
                      <w:lang w:val="en-US" w:eastAsia="zh-CN"/>
                    </w:rPr>
                    <w:t>贮存方式</w:t>
                  </w:r>
                </w:p>
              </w:tc>
              <w:tc>
                <w:tcPr>
                  <w:tcW w:w="431" w:type="pct"/>
                  <w:tcBorders>
                    <w:tl2br w:val="nil"/>
                    <w:tr2bl w:val="nil"/>
                  </w:tcBorders>
                  <w:vAlign w:val="center"/>
                </w:tcPr>
                <w:p>
                  <w:pPr>
                    <w:pStyle w:val="40"/>
                    <w:spacing w:line="240" w:lineRule="auto"/>
                    <w:ind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90" w:hRule="atLeast"/>
                <w:jc w:val="center"/>
              </w:trPr>
              <w:tc>
                <w:tcPr>
                  <w:tcW w:w="787" w:type="pct"/>
                  <w:tcBorders>
                    <w:tl2br w:val="nil"/>
                    <w:tr2bl w:val="nil"/>
                  </w:tcBorders>
                  <w:vAlign w:val="center"/>
                </w:tcPr>
                <w:p>
                  <w:pPr>
                    <w:pStyle w:val="4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塑料再生颗粒</w:t>
                  </w:r>
                </w:p>
              </w:tc>
              <w:tc>
                <w:tcPr>
                  <w:tcW w:w="1290" w:type="pct"/>
                  <w:tcBorders>
                    <w:tl2br w:val="nil"/>
                    <w:tr2bl w:val="nil"/>
                  </w:tcBorders>
                  <w:vAlign w:val="center"/>
                </w:tcPr>
                <w:p>
                  <w:pPr>
                    <w:pStyle w:val="4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废旧塑料编织袋、废旧塑料瓶盖</w:t>
                  </w:r>
                </w:p>
              </w:tc>
              <w:tc>
                <w:tcPr>
                  <w:tcW w:w="590" w:type="pct"/>
                  <w:tcBorders>
                    <w:tl2br w:val="nil"/>
                    <w:tr2bl w:val="nil"/>
                  </w:tcBorders>
                  <w:vAlign w:val="center"/>
                </w:tcPr>
                <w:p>
                  <w:pPr>
                    <w:pStyle w:val="4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t/a</w:t>
                  </w:r>
                </w:p>
              </w:tc>
              <w:tc>
                <w:tcPr>
                  <w:tcW w:w="776" w:type="pct"/>
                  <w:tcBorders>
                    <w:tl2br w:val="nil"/>
                    <w:tr2bl w:val="nil"/>
                  </w:tcBorders>
                  <w:vAlign w:val="center"/>
                </w:tcPr>
                <w:p>
                  <w:pPr>
                    <w:pStyle w:val="4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5500</w:t>
                  </w:r>
                </w:p>
              </w:tc>
              <w:tc>
                <w:tcPr>
                  <w:tcW w:w="1124" w:type="pct"/>
                  <w:tcBorders>
                    <w:tl2br w:val="nil"/>
                    <w:tr2bl w:val="nil"/>
                  </w:tcBorders>
                  <w:vAlign w:val="center"/>
                </w:tcPr>
                <w:p>
                  <w:pPr>
                    <w:pStyle w:val="4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散装</w:t>
                  </w:r>
                </w:p>
              </w:tc>
              <w:tc>
                <w:tcPr>
                  <w:tcW w:w="431" w:type="pct"/>
                  <w:tcBorders>
                    <w:tl2br w:val="nil"/>
                    <w:tr2bl w:val="nil"/>
                  </w:tcBorders>
                  <w:vAlign w:val="center"/>
                </w:tcPr>
                <w:p>
                  <w:pPr>
                    <w:pStyle w:val="4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外购</w:t>
                  </w:r>
                </w:p>
              </w:tc>
            </w:tr>
          </w:tbl>
          <w:p>
            <w:pPr>
              <w:pStyle w:val="12"/>
              <w:keepNext w:val="0"/>
              <w:keepLines w:val="0"/>
              <w:pageBreakBefore w:val="0"/>
              <w:widowControl w:val="0"/>
              <w:numPr>
                <w:ilvl w:val="0"/>
                <w:numId w:val="12"/>
              </w:numPr>
              <w:kinsoku/>
              <w:wordWrap/>
              <w:overflowPunct/>
              <w:topLinePunct w:val="0"/>
              <w:autoSpaceDE/>
              <w:autoSpaceDN/>
              <w:bidi w:val="0"/>
              <w:adjustRightInd/>
              <w:snapToGrid/>
              <w:spacing w:after="0" w:line="520" w:lineRule="exact"/>
              <w:textAlignment w:val="auto"/>
              <w:rPr>
                <w:rFonts w:ascii="Times New Roman" w:hAnsi="Times New Roman" w:eastAsia="宋体" w:cs="Times New Roman"/>
                <w:b/>
                <w:bCs/>
                <w:snapToGrid w:val="0"/>
                <w:color w:val="auto"/>
                <w:kern w:val="0"/>
                <w:sz w:val="24"/>
                <w:szCs w:val="24"/>
                <w:lang w:val="en-US" w:eastAsia="zh-CN" w:bidi="ar-SA"/>
              </w:rPr>
            </w:pPr>
            <w:r>
              <w:rPr>
                <w:rFonts w:ascii="Times New Roman" w:hAnsi="Times New Roman" w:eastAsia="宋体" w:cs="Times New Roman"/>
                <w:b/>
                <w:bCs/>
                <w:snapToGrid w:val="0"/>
                <w:color w:val="auto"/>
                <w:kern w:val="0"/>
                <w:sz w:val="24"/>
                <w:szCs w:val="24"/>
                <w:lang w:val="en-US" w:eastAsia="zh-CN" w:bidi="ar-SA"/>
              </w:rPr>
              <w:t>产品方案</w:t>
            </w:r>
          </w:p>
          <w:p>
            <w:pPr>
              <w:keepNext w:val="0"/>
              <w:keepLines w:val="0"/>
              <w:pageBreakBefore w:val="0"/>
              <w:widowControl/>
              <w:kinsoku/>
              <w:wordWrap/>
              <w:overflowPunct/>
              <w:topLinePunct w:val="0"/>
              <w:autoSpaceDE/>
              <w:autoSpaceDN/>
              <w:bidi w:val="0"/>
              <w:adjustRightInd w:val="0"/>
              <w:snapToGrid/>
              <w:spacing w:line="520" w:lineRule="exact"/>
              <w:ind w:firstLine="480" w:firstLineChars="200"/>
              <w:jc w:val="left"/>
              <w:textAlignment w:val="auto"/>
              <w:rPr>
                <w:color w:val="auto"/>
                <w:sz w:val="24"/>
              </w:rPr>
            </w:pPr>
            <w:r>
              <w:rPr>
                <w:color w:val="auto"/>
                <w:sz w:val="24"/>
              </w:rPr>
              <w:t>本项目具体产品方案见表2-</w:t>
            </w:r>
            <w:r>
              <w:rPr>
                <w:rFonts w:hint="eastAsia"/>
                <w:color w:val="auto"/>
                <w:sz w:val="24"/>
                <w:lang w:val="en-US" w:eastAsia="zh-CN"/>
              </w:rPr>
              <w:t>4</w:t>
            </w:r>
            <w:r>
              <w:rPr>
                <w:color w:val="auto"/>
                <w:sz w:val="24"/>
              </w:rPr>
              <w:t>。</w:t>
            </w:r>
          </w:p>
          <w:p>
            <w:pPr>
              <w:widowControl/>
              <w:jc w:val="center"/>
              <w:rPr>
                <w:b/>
                <w:bCs/>
                <w:color w:val="auto"/>
                <w:szCs w:val="21"/>
              </w:rPr>
            </w:pPr>
            <w:r>
              <w:rPr>
                <w:b/>
                <w:bCs/>
                <w:color w:val="auto"/>
                <w:kern w:val="0"/>
                <w:szCs w:val="21"/>
                <w:lang w:bidi="ar"/>
              </w:rPr>
              <w:t>表 2-</w:t>
            </w:r>
            <w:r>
              <w:rPr>
                <w:rFonts w:hint="eastAsia"/>
                <w:b/>
                <w:bCs/>
                <w:color w:val="auto"/>
                <w:kern w:val="0"/>
                <w:szCs w:val="21"/>
                <w:lang w:val="en-US" w:eastAsia="zh-CN" w:bidi="ar"/>
              </w:rPr>
              <w:t>4</w:t>
            </w:r>
            <w:r>
              <w:rPr>
                <w:b/>
                <w:bCs/>
                <w:color w:val="auto"/>
                <w:kern w:val="0"/>
                <w:szCs w:val="21"/>
                <w:lang w:bidi="ar"/>
              </w:rPr>
              <w:t xml:space="preserve">    产品方案一览表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3770"/>
              <w:gridCol w:w="28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7" w:type="pct"/>
                  <w:tcBorders>
                    <w:bottom w:val="single" w:color="auto" w:sz="12" w:space="0"/>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b/>
                      <w:bCs/>
                      <w:color w:val="auto"/>
                      <w:szCs w:val="21"/>
                    </w:rPr>
                  </w:pPr>
                  <w:r>
                    <w:rPr>
                      <w:b/>
                      <w:bCs/>
                      <w:color w:val="auto"/>
                      <w:szCs w:val="21"/>
                    </w:rPr>
                    <w:t>序号</w:t>
                  </w:r>
                </w:p>
              </w:tc>
              <w:tc>
                <w:tcPr>
                  <w:tcW w:w="2324" w:type="pct"/>
                  <w:tcBorders>
                    <w:bottom w:val="single" w:color="auto" w:sz="12" w:space="0"/>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b/>
                      <w:bCs/>
                      <w:color w:val="auto"/>
                      <w:szCs w:val="21"/>
                    </w:rPr>
                  </w:pPr>
                  <w:r>
                    <w:rPr>
                      <w:b/>
                      <w:bCs/>
                      <w:color w:val="auto"/>
                      <w:szCs w:val="21"/>
                    </w:rPr>
                    <w:t>产品名称</w:t>
                  </w:r>
                </w:p>
              </w:tc>
              <w:tc>
                <w:tcPr>
                  <w:tcW w:w="1757" w:type="pct"/>
                  <w:tcBorders>
                    <w:bottom w:val="single" w:color="auto" w:sz="12" w:space="0"/>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b/>
                      <w:bCs/>
                      <w:color w:val="auto"/>
                      <w:szCs w:val="21"/>
                    </w:rPr>
                  </w:pPr>
                  <w:r>
                    <w:rPr>
                      <w:b/>
                      <w:bCs/>
                      <w:color w:val="auto"/>
                      <w:szCs w:val="21"/>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17" w:type="pct"/>
                  <w:tcBorders>
                    <w:top w:val="single" w:color="auto" w:sz="12" w:space="0"/>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color w:val="auto"/>
                      <w:szCs w:val="21"/>
                    </w:rPr>
                  </w:pPr>
                  <w:r>
                    <w:rPr>
                      <w:color w:val="auto"/>
                      <w:szCs w:val="21"/>
                    </w:rPr>
                    <w:t>1</w:t>
                  </w:r>
                </w:p>
              </w:tc>
              <w:tc>
                <w:tcPr>
                  <w:tcW w:w="2324" w:type="pct"/>
                  <w:tcBorders>
                    <w:top w:val="single" w:color="auto" w:sz="12" w:space="0"/>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eastAsia="宋体"/>
                      <w:color w:val="auto"/>
                      <w:szCs w:val="21"/>
                      <w:lang w:val="en-US" w:eastAsia="zh-CN"/>
                    </w:rPr>
                  </w:pPr>
                  <w:r>
                    <w:rPr>
                      <w:rFonts w:hint="eastAsia"/>
                      <w:color w:val="auto"/>
                      <w:szCs w:val="21"/>
                      <w:lang w:val="en-US" w:eastAsia="zh-CN" w:bidi="ar"/>
                    </w:rPr>
                    <w:t>塑料再生颗粒</w:t>
                  </w:r>
                </w:p>
              </w:tc>
              <w:tc>
                <w:tcPr>
                  <w:tcW w:w="1757" w:type="pct"/>
                  <w:tcBorders>
                    <w:top w:val="single" w:color="auto" w:sz="12" w:space="0"/>
                    <w:tl2br w:val="nil"/>
                    <w:tr2bl w:val="nil"/>
                  </w:tcBorders>
                  <w:vAlign w:val="center"/>
                </w:tcPr>
                <w:p>
                  <w:pPr>
                    <w:pStyle w:val="7"/>
                    <w:keepNext w:val="0"/>
                    <w:keepLines w:val="0"/>
                    <w:pageBreakBefore w:val="0"/>
                    <w:widowControl w:val="0"/>
                    <w:kinsoku/>
                    <w:wordWrap/>
                    <w:overflowPunct/>
                    <w:topLinePunct w:val="0"/>
                    <w:autoSpaceDE/>
                    <w:autoSpaceDN/>
                    <w:bidi w:val="0"/>
                    <w:adjustRightInd/>
                    <w:snapToGrid/>
                    <w:spacing w:after="0"/>
                    <w:ind w:left="0" w:leftChars="0" w:firstLine="0"/>
                    <w:jc w:val="center"/>
                    <w:textAlignment w:val="auto"/>
                    <w:rPr>
                      <w:rFonts w:hint="default"/>
                      <w:color w:val="auto"/>
                      <w:szCs w:val="21"/>
                      <w:lang w:val="en-US"/>
                    </w:rPr>
                  </w:pPr>
                  <w:r>
                    <w:rPr>
                      <w:rFonts w:hint="eastAsia"/>
                      <w:color w:val="auto"/>
                      <w:szCs w:val="21"/>
                      <w:lang w:val="en-US" w:eastAsia="zh-CN"/>
                    </w:rPr>
                    <w:t>5400吨</w:t>
                  </w:r>
                </w:p>
              </w:tc>
            </w:tr>
          </w:tbl>
          <w:p>
            <w:pPr>
              <w:pStyle w:val="12"/>
              <w:keepNext w:val="0"/>
              <w:keepLines w:val="0"/>
              <w:pageBreakBefore w:val="0"/>
              <w:widowControl w:val="0"/>
              <w:numPr>
                <w:ilvl w:val="0"/>
                <w:numId w:val="12"/>
              </w:numPr>
              <w:kinsoku/>
              <w:wordWrap/>
              <w:overflowPunct/>
              <w:topLinePunct w:val="0"/>
              <w:autoSpaceDE/>
              <w:autoSpaceDN/>
              <w:bidi w:val="0"/>
              <w:adjustRightInd/>
              <w:snapToGrid/>
              <w:spacing w:after="0" w:line="520" w:lineRule="exact"/>
              <w:ind w:left="0" w:leftChars="0" w:firstLine="0" w:firstLineChars="0"/>
              <w:textAlignment w:val="auto"/>
              <w:rPr>
                <w:b/>
                <w:bCs/>
                <w:color w:val="auto"/>
                <w:sz w:val="24"/>
              </w:rPr>
            </w:pPr>
            <w:r>
              <w:rPr>
                <w:b/>
                <w:bCs/>
                <w:color w:val="auto"/>
                <w:sz w:val="24"/>
              </w:rPr>
              <w:t>生产制度及劳动定员</w:t>
            </w:r>
          </w:p>
          <w:p>
            <w:pPr>
              <w:keepNext w:val="0"/>
              <w:keepLines w:val="0"/>
              <w:pageBreakBefore w:val="0"/>
              <w:widowControl w:val="0"/>
              <w:kinsoku/>
              <w:wordWrap/>
              <w:overflowPunct w:val="0"/>
              <w:topLinePunct w:val="0"/>
              <w:autoSpaceDE/>
              <w:autoSpaceDN/>
              <w:bidi w:val="0"/>
              <w:adjustRightInd w:val="0"/>
              <w:snapToGrid w:val="0"/>
              <w:spacing w:line="520" w:lineRule="exact"/>
              <w:ind w:firstLine="480" w:firstLineChars="200"/>
              <w:rPr>
                <w:color w:val="auto"/>
                <w:sz w:val="24"/>
                <w:highlight w:val="none"/>
              </w:rPr>
            </w:pPr>
            <w:r>
              <w:rPr>
                <w:color w:val="auto"/>
                <w:sz w:val="24"/>
                <w:highlight w:val="none"/>
              </w:rPr>
              <w:t>本项目劳动定员共</w:t>
            </w:r>
            <w:r>
              <w:rPr>
                <w:rFonts w:hint="eastAsia"/>
                <w:color w:val="auto"/>
                <w:sz w:val="24"/>
                <w:highlight w:val="none"/>
                <w:lang w:val="en-US" w:eastAsia="zh-CN"/>
              </w:rPr>
              <w:t>24</w:t>
            </w:r>
            <w:r>
              <w:rPr>
                <w:color w:val="auto"/>
                <w:sz w:val="24"/>
                <w:highlight w:val="none"/>
              </w:rPr>
              <w:t>人，年工作</w:t>
            </w:r>
            <w:r>
              <w:rPr>
                <w:rFonts w:hint="eastAsia"/>
                <w:color w:val="auto"/>
                <w:sz w:val="24"/>
                <w:highlight w:val="none"/>
                <w:lang w:val="en-US" w:eastAsia="zh-CN"/>
              </w:rPr>
              <w:t>210</w:t>
            </w:r>
            <w:r>
              <w:rPr>
                <w:color w:val="auto"/>
                <w:sz w:val="24"/>
                <w:highlight w:val="none"/>
              </w:rPr>
              <w:t>天，</w:t>
            </w:r>
            <w:r>
              <w:rPr>
                <w:rFonts w:hint="eastAsia"/>
                <w:color w:val="auto"/>
                <w:sz w:val="24"/>
                <w:highlight w:val="none"/>
                <w:lang w:val="en-US" w:eastAsia="zh-CN"/>
              </w:rPr>
              <w:t>单班制</w:t>
            </w:r>
            <w:r>
              <w:rPr>
                <w:color w:val="auto"/>
                <w:sz w:val="24"/>
                <w:highlight w:val="none"/>
              </w:rPr>
              <w:t>，每班</w:t>
            </w:r>
            <w:r>
              <w:rPr>
                <w:rFonts w:hint="eastAsia"/>
                <w:color w:val="auto"/>
                <w:sz w:val="24"/>
                <w:highlight w:val="none"/>
                <w:lang w:val="en-US" w:eastAsia="zh-CN"/>
              </w:rPr>
              <w:t>8</w:t>
            </w:r>
            <w:r>
              <w:rPr>
                <w:color w:val="auto"/>
                <w:sz w:val="24"/>
                <w:highlight w:val="none"/>
              </w:rPr>
              <w:t>小时，年工作</w:t>
            </w:r>
            <w:r>
              <w:rPr>
                <w:rFonts w:hint="eastAsia"/>
                <w:color w:val="auto"/>
                <w:sz w:val="24"/>
                <w:highlight w:val="none"/>
                <w:lang w:val="en-US" w:eastAsia="zh-CN"/>
              </w:rPr>
              <w:t>1680</w:t>
            </w:r>
            <w:r>
              <w:rPr>
                <w:color w:val="auto"/>
                <w:sz w:val="24"/>
                <w:highlight w:val="none"/>
              </w:rPr>
              <w:t>小时。</w:t>
            </w:r>
          </w:p>
          <w:p>
            <w:pPr>
              <w:keepNext w:val="0"/>
              <w:keepLines w:val="0"/>
              <w:pageBreakBefore w:val="0"/>
              <w:widowControl w:val="0"/>
              <w:numPr>
                <w:ilvl w:val="0"/>
                <w:numId w:val="12"/>
              </w:numPr>
              <w:kinsoku/>
              <w:wordWrap/>
              <w:topLinePunct w:val="0"/>
              <w:autoSpaceDE/>
              <w:autoSpaceDN/>
              <w:bidi w:val="0"/>
              <w:adjustRightInd w:val="0"/>
              <w:snapToGrid w:val="0"/>
              <w:spacing w:line="520" w:lineRule="exact"/>
              <w:ind w:left="0" w:leftChars="0" w:firstLine="0" w:firstLineChars="0"/>
              <w:rPr>
                <w:b/>
                <w:bCs/>
                <w:color w:val="auto"/>
                <w:sz w:val="24"/>
              </w:rPr>
            </w:pPr>
            <w:r>
              <w:rPr>
                <w:b/>
                <w:bCs/>
                <w:color w:val="auto"/>
                <w:sz w:val="24"/>
              </w:rPr>
              <w:t>公用工程</w:t>
            </w:r>
          </w:p>
          <w:p>
            <w:pPr>
              <w:keepNext w:val="0"/>
              <w:keepLines w:val="0"/>
              <w:pageBreakBefore w:val="0"/>
              <w:widowControl w:val="0"/>
              <w:kinsoku/>
              <w:wordWrap/>
              <w:topLinePunct w:val="0"/>
              <w:autoSpaceDE/>
              <w:autoSpaceDN/>
              <w:bidi w:val="0"/>
              <w:spacing w:line="520" w:lineRule="exact"/>
              <w:rPr>
                <w:b/>
                <w:bCs/>
                <w:color w:val="auto"/>
                <w:sz w:val="24"/>
              </w:rPr>
            </w:pPr>
            <w:r>
              <w:rPr>
                <w:rFonts w:hint="eastAsia"/>
                <w:b/>
                <w:bCs/>
                <w:color w:val="auto"/>
                <w:sz w:val="24"/>
                <w:lang w:val="en-US" w:eastAsia="zh-CN"/>
              </w:rPr>
              <w:t>6</w:t>
            </w:r>
            <w:r>
              <w:rPr>
                <w:b/>
                <w:bCs/>
                <w:color w:val="auto"/>
                <w:sz w:val="24"/>
              </w:rPr>
              <w:t>.1</w:t>
            </w:r>
            <w:r>
              <w:rPr>
                <w:rFonts w:hint="eastAsia"/>
                <w:b/>
                <w:bCs/>
                <w:color w:val="auto"/>
                <w:sz w:val="24"/>
                <w:lang w:val="en-US" w:eastAsia="zh-CN"/>
              </w:rPr>
              <w:t xml:space="preserve"> </w:t>
            </w:r>
            <w:r>
              <w:rPr>
                <w:b/>
                <w:bCs/>
                <w:color w:val="auto"/>
                <w:sz w:val="24"/>
              </w:rPr>
              <w:t>供水</w:t>
            </w:r>
          </w:p>
          <w:p>
            <w:pPr>
              <w:pStyle w:val="38"/>
              <w:keepNext w:val="0"/>
              <w:keepLines w:val="0"/>
              <w:pageBreakBefore w:val="0"/>
              <w:widowControl w:val="0"/>
              <w:kinsoku/>
              <w:wordWrap/>
              <w:topLinePunct w:val="0"/>
              <w:autoSpaceDE/>
              <w:autoSpaceDN/>
              <w:bidi w:val="0"/>
              <w:spacing w:line="520" w:lineRule="exact"/>
              <w:ind w:firstLine="480"/>
              <w:rPr>
                <w:color w:val="auto"/>
              </w:rPr>
            </w:pPr>
            <w:r>
              <w:rPr>
                <w:color w:val="auto"/>
              </w:rPr>
              <w:t>给水：本项目用水主要为生活用水</w:t>
            </w:r>
            <w:r>
              <w:rPr>
                <w:rFonts w:hint="eastAsia"/>
                <w:color w:val="auto"/>
                <w:lang w:eastAsia="zh-CN"/>
              </w:rPr>
              <w:t>、</w:t>
            </w:r>
            <w:r>
              <w:rPr>
                <w:rFonts w:hint="eastAsia"/>
                <w:color w:val="auto"/>
                <w:lang w:val="en-US" w:eastAsia="zh-CN"/>
              </w:rPr>
              <w:t>冷却补充水和清洗补充水</w:t>
            </w:r>
            <w:r>
              <w:rPr>
                <w:color w:val="auto"/>
              </w:rPr>
              <w:t>，用水接自园区给水管道，可满足项目区用水需求。</w:t>
            </w:r>
          </w:p>
          <w:p>
            <w:pPr>
              <w:pStyle w:val="38"/>
              <w:keepNext w:val="0"/>
              <w:keepLines w:val="0"/>
              <w:pageBreakBefore w:val="0"/>
              <w:widowControl w:val="0"/>
              <w:kinsoku/>
              <w:wordWrap/>
              <w:topLinePunct w:val="0"/>
              <w:autoSpaceDE/>
              <w:autoSpaceDN/>
              <w:bidi w:val="0"/>
              <w:spacing w:line="520" w:lineRule="exact"/>
              <w:ind w:firstLine="480"/>
              <w:rPr>
                <w:color w:val="auto"/>
              </w:rPr>
            </w:pPr>
            <w:r>
              <w:rPr>
                <w:color w:val="auto"/>
              </w:rPr>
              <w:t>（1）生活用水</w:t>
            </w: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r>
              <w:rPr>
                <w:color w:val="auto"/>
                <w:highlight w:val="none"/>
              </w:rPr>
              <w:t>员工共</w:t>
            </w:r>
            <w:r>
              <w:rPr>
                <w:rFonts w:hint="eastAsia"/>
                <w:color w:val="auto"/>
                <w:highlight w:val="none"/>
                <w:lang w:val="en-US" w:eastAsia="zh-CN"/>
              </w:rPr>
              <w:t>24</w:t>
            </w:r>
            <w:r>
              <w:rPr>
                <w:color w:val="auto"/>
                <w:highlight w:val="none"/>
              </w:rPr>
              <w:t>人，根据《新疆维吾尔自治区生活用水定额》，运营期本项目职工用水定额计为</w:t>
            </w:r>
            <w:r>
              <w:rPr>
                <w:rFonts w:hint="eastAsia"/>
                <w:color w:val="auto"/>
                <w:highlight w:val="none"/>
              </w:rPr>
              <w:t>100</w:t>
            </w:r>
            <w:r>
              <w:rPr>
                <w:color w:val="auto"/>
                <w:highlight w:val="none"/>
              </w:rPr>
              <w:t>L/人·日，则用水量为</w:t>
            </w:r>
            <w:r>
              <w:rPr>
                <w:rFonts w:hint="eastAsia"/>
                <w:color w:val="auto"/>
                <w:highlight w:val="none"/>
                <w:lang w:val="en-US" w:eastAsia="zh-CN"/>
              </w:rPr>
              <w:t>2.4</w:t>
            </w:r>
            <w:r>
              <w:rPr>
                <w:color w:val="auto"/>
                <w:highlight w:val="none"/>
              </w:rPr>
              <w:t>m³/d（</w:t>
            </w:r>
            <w:r>
              <w:rPr>
                <w:rFonts w:hint="eastAsia"/>
                <w:color w:val="auto"/>
                <w:highlight w:val="none"/>
                <w:lang w:val="en-US" w:eastAsia="zh-CN"/>
              </w:rPr>
              <w:t>504</w:t>
            </w:r>
            <w:r>
              <w:rPr>
                <w:color w:val="auto"/>
                <w:highlight w:val="none"/>
              </w:rPr>
              <w:t>m³/a）。</w:t>
            </w:r>
          </w:p>
          <w:p>
            <w:pPr>
              <w:pStyle w:val="38"/>
              <w:keepNext w:val="0"/>
              <w:keepLines w:val="0"/>
              <w:pageBreakBefore w:val="0"/>
              <w:widowControl w:val="0"/>
              <w:numPr>
                <w:ilvl w:val="0"/>
                <w:numId w:val="13"/>
              </w:numPr>
              <w:kinsoku/>
              <w:wordWrap/>
              <w:topLinePunct w:val="0"/>
              <w:autoSpaceDE/>
              <w:autoSpaceDN/>
              <w:bidi w:val="0"/>
              <w:spacing w:line="520" w:lineRule="exact"/>
              <w:ind w:firstLine="480"/>
              <w:rPr>
                <w:color w:val="auto"/>
              </w:rPr>
            </w:pPr>
            <w:r>
              <w:rPr>
                <w:rFonts w:hint="eastAsia"/>
                <w:color w:val="auto"/>
                <w:lang w:val="en-US" w:eastAsia="zh-CN"/>
              </w:rPr>
              <w:t>清洗补充用水</w:t>
            </w: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r>
              <w:rPr>
                <w:rFonts w:hint="eastAsia"/>
                <w:color w:val="auto"/>
                <w:highlight w:val="none"/>
                <w:lang w:val="en-US" w:eastAsia="zh-CN"/>
              </w:rPr>
              <w:t>本项目所使用的废旧塑料编织袋和废旧塑料瓶盖在热熔前需进行水洗，水洗过程中会产生清洗废水，产生的清洗废水经沉淀池沉淀后循环使用。根据建设单位提供资料，本项目清洗补水量为5.5m</w:t>
            </w:r>
            <w:r>
              <w:rPr>
                <w:rFonts w:hint="eastAsia"/>
                <w:color w:val="auto"/>
                <w:highlight w:val="none"/>
                <w:vertAlign w:val="superscript"/>
                <w:lang w:val="en-US" w:eastAsia="zh-CN"/>
              </w:rPr>
              <w:t>3</w:t>
            </w:r>
            <w:r>
              <w:rPr>
                <w:rFonts w:hint="eastAsia"/>
                <w:color w:val="auto"/>
                <w:highlight w:val="none"/>
                <w:vertAlign w:val="baseline"/>
                <w:lang w:val="en-US" w:eastAsia="zh-CN"/>
              </w:rPr>
              <w:t>/d（1155m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color w:val="auto"/>
                <w:highlight w:val="none"/>
              </w:rPr>
              <w:t>。</w:t>
            </w:r>
          </w:p>
          <w:p>
            <w:pPr>
              <w:pStyle w:val="38"/>
              <w:keepNext w:val="0"/>
              <w:keepLines w:val="0"/>
              <w:pageBreakBefore w:val="0"/>
              <w:widowControl w:val="0"/>
              <w:numPr>
                <w:ilvl w:val="0"/>
                <w:numId w:val="13"/>
              </w:numPr>
              <w:kinsoku/>
              <w:wordWrap/>
              <w:topLinePunct w:val="0"/>
              <w:autoSpaceDE/>
              <w:autoSpaceDN/>
              <w:bidi w:val="0"/>
              <w:spacing w:line="520" w:lineRule="exact"/>
              <w:ind w:left="0" w:leftChars="0" w:firstLine="480" w:firstLineChars="200"/>
              <w:rPr>
                <w:rFonts w:hint="eastAsia"/>
                <w:color w:val="auto"/>
                <w:highlight w:val="none"/>
                <w:lang w:val="en-US" w:eastAsia="zh-CN"/>
              </w:rPr>
            </w:pPr>
            <w:r>
              <w:rPr>
                <w:rFonts w:hint="eastAsia"/>
                <w:color w:val="auto"/>
                <w:highlight w:val="none"/>
                <w:lang w:val="en-US" w:eastAsia="zh-CN"/>
              </w:rPr>
              <w:t>冷却水补水</w:t>
            </w:r>
          </w:p>
          <w:p>
            <w:pPr>
              <w:pStyle w:val="38"/>
              <w:keepNext w:val="0"/>
              <w:keepLines w:val="0"/>
              <w:pageBreakBefore w:val="0"/>
              <w:widowControl w:val="0"/>
              <w:kinsoku/>
              <w:wordWrap/>
              <w:topLinePunct w:val="0"/>
              <w:autoSpaceDE/>
              <w:autoSpaceDN/>
              <w:bidi w:val="0"/>
              <w:spacing w:line="520" w:lineRule="exact"/>
              <w:ind w:firstLine="480"/>
              <w:rPr>
                <w:rFonts w:hint="default"/>
                <w:color w:val="auto"/>
                <w:highlight w:val="none"/>
                <w:lang w:val="en-US" w:eastAsia="zh-CN"/>
              </w:rPr>
            </w:pPr>
            <w:r>
              <w:rPr>
                <w:rFonts w:hint="eastAsia"/>
                <w:color w:val="auto"/>
                <w:highlight w:val="none"/>
                <w:lang w:val="en-US" w:eastAsia="zh-CN"/>
              </w:rPr>
              <w:t>本项目生产过程中冷却水会蒸发产生损耗，需定期补水。项目冷却水补水量为1.90m</w:t>
            </w:r>
            <w:r>
              <w:rPr>
                <w:rFonts w:hint="eastAsia"/>
                <w:color w:val="auto"/>
                <w:highlight w:val="none"/>
                <w:vertAlign w:val="superscript"/>
                <w:lang w:val="en-US" w:eastAsia="zh-CN"/>
              </w:rPr>
              <w:t>3</w:t>
            </w:r>
            <w:r>
              <w:rPr>
                <w:rFonts w:hint="eastAsia"/>
                <w:color w:val="auto"/>
                <w:highlight w:val="none"/>
                <w:lang w:val="en-US" w:eastAsia="zh-CN"/>
              </w:rPr>
              <w:t>/d（400m</w:t>
            </w:r>
            <w:r>
              <w:rPr>
                <w:rFonts w:hint="eastAsia"/>
                <w:color w:val="auto"/>
                <w:highlight w:val="none"/>
                <w:vertAlign w:val="superscript"/>
                <w:lang w:val="en-US" w:eastAsia="zh-CN"/>
              </w:rPr>
              <w:t>3</w:t>
            </w:r>
            <w:r>
              <w:rPr>
                <w:rFonts w:hint="eastAsia"/>
                <w:color w:val="auto"/>
                <w:highlight w:val="none"/>
                <w:vertAlign w:val="baseline"/>
                <w:lang w:val="en-US" w:eastAsia="zh-CN"/>
              </w:rPr>
              <w:t>/a</w:t>
            </w:r>
            <w:r>
              <w:rPr>
                <w:rFonts w:hint="eastAsia"/>
                <w:color w:val="auto"/>
                <w:highlight w:val="none"/>
                <w:lang w:val="en-US" w:eastAsia="zh-CN"/>
              </w:rPr>
              <w:t>）。</w:t>
            </w:r>
          </w:p>
          <w:p>
            <w:pPr>
              <w:pStyle w:val="38"/>
              <w:keepNext w:val="0"/>
              <w:keepLines w:val="0"/>
              <w:pageBreakBefore w:val="0"/>
              <w:widowControl w:val="0"/>
              <w:kinsoku/>
              <w:wordWrap/>
              <w:topLinePunct w:val="0"/>
              <w:autoSpaceDE/>
              <w:autoSpaceDN/>
              <w:bidi w:val="0"/>
              <w:spacing w:line="520" w:lineRule="exact"/>
              <w:ind w:firstLine="0" w:firstLineChars="0"/>
              <w:rPr>
                <w:b/>
                <w:bCs/>
                <w:color w:val="auto"/>
              </w:rPr>
            </w:pPr>
            <w:r>
              <w:rPr>
                <w:rFonts w:hint="eastAsia"/>
                <w:b/>
                <w:bCs/>
                <w:color w:val="auto"/>
                <w:lang w:val="en-US" w:eastAsia="zh-CN"/>
              </w:rPr>
              <w:t>6</w:t>
            </w:r>
            <w:r>
              <w:rPr>
                <w:b/>
                <w:bCs/>
                <w:color w:val="auto"/>
              </w:rPr>
              <w:t>.2</w:t>
            </w:r>
            <w:r>
              <w:rPr>
                <w:rFonts w:hint="eastAsia"/>
                <w:b/>
                <w:bCs/>
                <w:color w:val="auto"/>
                <w:lang w:val="en-US" w:eastAsia="zh-CN"/>
              </w:rPr>
              <w:t xml:space="preserve"> </w:t>
            </w:r>
            <w:r>
              <w:rPr>
                <w:b/>
                <w:bCs/>
                <w:color w:val="auto"/>
              </w:rPr>
              <w:t>排水</w:t>
            </w: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r>
              <w:rPr>
                <w:color w:val="auto"/>
                <w:highlight w:val="none"/>
              </w:rPr>
              <w:t>本项目</w:t>
            </w:r>
            <w:r>
              <w:rPr>
                <w:rFonts w:hint="eastAsia"/>
                <w:color w:val="auto"/>
                <w:highlight w:val="none"/>
                <w:lang w:val="en-US" w:eastAsia="zh-CN"/>
              </w:rPr>
              <w:t>生产过程中无外排生产废水，清洗废水和脱水废水经沉淀池沉淀处理后循环利用不外排，冷却水循环利用不外排</w:t>
            </w:r>
            <w:r>
              <w:rPr>
                <w:color w:val="auto"/>
                <w:highlight w:val="none"/>
              </w:rPr>
              <w:t>。</w:t>
            </w:r>
          </w:p>
          <w:p>
            <w:pPr>
              <w:pStyle w:val="38"/>
              <w:keepNext w:val="0"/>
              <w:keepLines w:val="0"/>
              <w:pageBreakBefore w:val="0"/>
              <w:widowControl w:val="0"/>
              <w:kinsoku/>
              <w:wordWrap/>
              <w:topLinePunct w:val="0"/>
              <w:autoSpaceDE/>
              <w:autoSpaceDN/>
              <w:bidi w:val="0"/>
              <w:spacing w:line="520" w:lineRule="exact"/>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生活污水</w:t>
            </w:r>
          </w:p>
          <w:p>
            <w:pPr>
              <w:pStyle w:val="38"/>
              <w:keepNext w:val="0"/>
              <w:keepLines w:val="0"/>
              <w:pageBreakBefore w:val="0"/>
              <w:widowControl w:val="0"/>
              <w:kinsoku/>
              <w:wordWrap/>
              <w:topLinePunct w:val="0"/>
              <w:autoSpaceDE/>
              <w:autoSpaceDN/>
              <w:bidi w:val="0"/>
              <w:spacing w:line="520" w:lineRule="exact"/>
              <w:ind w:firstLine="480"/>
              <w:rPr>
                <w:color w:val="auto"/>
              </w:rPr>
            </w:pPr>
            <w:r>
              <w:rPr>
                <w:color w:val="auto"/>
              </w:rPr>
              <w:t>员工共</w:t>
            </w:r>
            <w:r>
              <w:rPr>
                <w:rFonts w:hint="eastAsia"/>
                <w:color w:val="auto"/>
                <w:lang w:val="en-US" w:eastAsia="zh-CN"/>
              </w:rPr>
              <w:t>24</w:t>
            </w:r>
            <w:r>
              <w:rPr>
                <w:color w:val="auto"/>
              </w:rPr>
              <w:t>人，运营期项目生活污水产生量约为用水量的80%，则产生</w:t>
            </w:r>
            <w:r>
              <w:rPr>
                <w:rFonts w:hint="eastAsia"/>
                <w:color w:val="auto"/>
              </w:rPr>
              <w:t>污水</w:t>
            </w:r>
            <w:r>
              <w:rPr>
                <w:color w:val="auto"/>
              </w:rPr>
              <w:t>约</w:t>
            </w:r>
            <w:r>
              <w:rPr>
                <w:rFonts w:hint="eastAsia"/>
                <w:color w:val="auto"/>
                <w:lang w:val="en-US" w:eastAsia="zh-CN"/>
              </w:rPr>
              <w:t>1.92</w:t>
            </w:r>
            <w:r>
              <w:rPr>
                <w:color w:val="auto"/>
              </w:rPr>
              <w:t>m³/d</w:t>
            </w:r>
            <w:r>
              <w:rPr>
                <w:rFonts w:hint="eastAsia"/>
                <w:color w:val="auto"/>
                <w:lang w:eastAsia="zh-CN"/>
              </w:rPr>
              <w:t>（</w:t>
            </w:r>
            <w:r>
              <w:rPr>
                <w:rFonts w:hint="eastAsia"/>
                <w:color w:val="auto"/>
                <w:lang w:val="en-US" w:eastAsia="zh-CN"/>
              </w:rPr>
              <w:t>403.2m</w:t>
            </w:r>
            <w:r>
              <w:rPr>
                <w:rFonts w:hint="eastAsia"/>
                <w:color w:val="auto"/>
                <w:vertAlign w:val="superscript"/>
                <w:lang w:val="en-US" w:eastAsia="zh-CN"/>
              </w:rPr>
              <w:t>3</w:t>
            </w:r>
            <w:r>
              <w:rPr>
                <w:rFonts w:hint="eastAsia"/>
                <w:color w:val="auto"/>
                <w:vertAlign w:val="baseline"/>
                <w:lang w:val="en-US" w:eastAsia="zh-CN"/>
              </w:rPr>
              <w:t>/a</w:t>
            </w:r>
            <w:r>
              <w:rPr>
                <w:rFonts w:hint="eastAsia"/>
                <w:color w:val="auto"/>
                <w:lang w:eastAsia="zh-CN"/>
              </w:rPr>
              <w:t>）</w:t>
            </w:r>
            <w:r>
              <w:rPr>
                <w:color w:val="auto"/>
              </w:rPr>
              <w:t>，生活污水排入园区污水管网。</w:t>
            </w: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r>
              <w:rPr>
                <w:color w:val="auto"/>
                <w:highlight w:val="none"/>
              </w:rPr>
              <w:t>本项目水平衡见图1。</w:t>
            </w: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p>
          <w:p>
            <w:pPr>
              <w:pStyle w:val="38"/>
              <w:keepNext w:val="0"/>
              <w:keepLines w:val="0"/>
              <w:pageBreakBefore w:val="0"/>
              <w:widowControl w:val="0"/>
              <w:kinsoku/>
              <w:wordWrap/>
              <w:topLinePunct w:val="0"/>
              <w:autoSpaceDE/>
              <w:autoSpaceDN/>
              <w:bidi w:val="0"/>
              <w:spacing w:line="520" w:lineRule="exact"/>
              <w:ind w:firstLine="480"/>
              <w:rPr>
                <w:color w:val="auto"/>
                <w:highlight w:val="none"/>
              </w:rPr>
            </w:pPr>
          </w:p>
          <w:p>
            <w:pPr>
              <w:pStyle w:val="38"/>
              <w:ind w:left="0" w:leftChars="0" w:firstLine="0" w:firstLineChars="0"/>
              <w:jc w:val="center"/>
              <w:rPr>
                <w:rFonts w:hint="eastAsia" w:eastAsia="宋体"/>
                <w:color w:val="auto"/>
                <w:highlight w:val="yellow"/>
                <w:lang w:eastAsia="zh-CN"/>
              </w:rPr>
            </w:pPr>
            <w:r>
              <w:rPr>
                <w:rFonts w:hint="eastAsia" w:eastAsia="宋体"/>
                <w:color w:val="auto"/>
                <w:highlight w:val="yellow"/>
                <w:lang w:eastAsia="zh-CN"/>
              </w:rPr>
              <w:drawing>
                <wp:inline distT="0" distB="0" distL="114300" distR="114300">
                  <wp:extent cx="4555490" cy="3996055"/>
                  <wp:effectExtent l="0" t="0" r="16510" b="4445"/>
                  <wp:docPr id="6" name="ECB019B1-382A-4266-B25C-5B523AA43C14-1" descr="C:/Users/Administrator/AppData/Local/Temp/wps.bFjCE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C:/Users/Administrator/AppData/Local/Temp/wps.bFjCEawps"/>
                          <pic:cNvPicPr>
                            <a:picLocks noChangeAspect="1"/>
                          </pic:cNvPicPr>
                        </pic:nvPicPr>
                        <pic:blipFill>
                          <a:blip r:embed="rId9"/>
                          <a:stretch>
                            <a:fillRect/>
                          </a:stretch>
                        </pic:blipFill>
                        <pic:spPr>
                          <a:xfrm>
                            <a:off x="0" y="0"/>
                            <a:ext cx="4555490" cy="3996055"/>
                          </a:xfrm>
                          <a:prstGeom prst="rect">
                            <a:avLst/>
                          </a:prstGeom>
                        </pic:spPr>
                      </pic:pic>
                    </a:graphicData>
                  </a:graphic>
                </wp:inline>
              </w:drawing>
            </w:r>
          </w:p>
          <w:p>
            <w:pPr>
              <w:pStyle w:val="38"/>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baseline"/>
              <w:rPr>
                <w:b/>
                <w:bCs/>
                <w:color w:val="auto"/>
                <w:sz w:val="21"/>
                <w:szCs w:val="21"/>
                <w:highlight w:val="none"/>
              </w:rPr>
            </w:pPr>
            <w:r>
              <w:rPr>
                <w:b/>
                <w:bCs/>
                <w:color w:val="auto"/>
                <w:sz w:val="21"/>
                <w:szCs w:val="21"/>
                <w:highlight w:val="none"/>
              </w:rPr>
              <w:t>图</w:t>
            </w:r>
            <w:r>
              <w:rPr>
                <w:rFonts w:hint="eastAsia"/>
                <w:b/>
                <w:bCs/>
                <w:color w:val="auto"/>
                <w:sz w:val="21"/>
                <w:szCs w:val="21"/>
                <w:highlight w:val="none"/>
              </w:rPr>
              <w:t>1</w:t>
            </w:r>
            <w:r>
              <w:rPr>
                <w:b/>
                <w:bCs/>
                <w:color w:val="auto"/>
                <w:sz w:val="21"/>
                <w:szCs w:val="21"/>
                <w:highlight w:val="none"/>
              </w:rPr>
              <w:t xml:space="preserve">    项目水平衡图（单位m³/a）</w:t>
            </w:r>
          </w:p>
          <w:p>
            <w:pPr>
              <w:pStyle w:val="38"/>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baseline"/>
              <w:rPr>
                <w:b/>
                <w:bCs/>
                <w:color w:val="auto"/>
              </w:rPr>
            </w:pPr>
            <w:r>
              <w:rPr>
                <w:rFonts w:hint="eastAsia"/>
                <w:b/>
                <w:bCs/>
                <w:color w:val="auto"/>
                <w:lang w:val="en-US" w:eastAsia="zh-CN"/>
              </w:rPr>
              <w:t>6</w:t>
            </w:r>
            <w:r>
              <w:rPr>
                <w:b/>
                <w:bCs/>
                <w:color w:val="auto"/>
              </w:rPr>
              <w:t>.3</w:t>
            </w:r>
            <w:r>
              <w:rPr>
                <w:rFonts w:hint="eastAsia"/>
                <w:b/>
                <w:bCs/>
                <w:color w:val="auto"/>
                <w:lang w:val="en-US" w:eastAsia="zh-CN"/>
              </w:rPr>
              <w:t xml:space="preserve"> </w:t>
            </w:r>
            <w:r>
              <w:rPr>
                <w:b/>
                <w:bCs/>
                <w:color w:val="auto"/>
              </w:rPr>
              <w:t>供电</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color w:val="auto"/>
              </w:rPr>
            </w:pPr>
            <w:r>
              <w:rPr>
                <w:rFonts w:hint="eastAsia"/>
                <w:color w:val="auto"/>
              </w:rPr>
              <w:t>本项目用电</w:t>
            </w:r>
            <w:r>
              <w:rPr>
                <w:color w:val="auto"/>
              </w:rPr>
              <w:t>由园区电网供给。</w:t>
            </w:r>
          </w:p>
          <w:p>
            <w:pPr>
              <w:pStyle w:val="38"/>
              <w:keepNext w:val="0"/>
              <w:keepLines w:val="0"/>
              <w:pageBreakBefore w:val="0"/>
              <w:widowControl w:val="0"/>
              <w:kinsoku/>
              <w:wordWrap/>
              <w:overflowPunct/>
              <w:topLinePunct w:val="0"/>
              <w:autoSpaceDE/>
              <w:autoSpaceDN/>
              <w:bidi w:val="0"/>
              <w:adjustRightInd/>
              <w:snapToGrid/>
              <w:spacing w:line="520" w:lineRule="exact"/>
              <w:ind w:firstLine="0" w:firstLineChars="0"/>
              <w:jc w:val="left"/>
              <w:textAlignment w:val="baseline"/>
              <w:rPr>
                <w:b/>
                <w:bCs/>
                <w:color w:val="auto"/>
              </w:rPr>
            </w:pPr>
            <w:r>
              <w:rPr>
                <w:rFonts w:hint="eastAsia"/>
                <w:b/>
                <w:bCs/>
                <w:color w:val="auto"/>
                <w:lang w:val="en-US" w:eastAsia="zh-CN"/>
              </w:rPr>
              <w:t>6</w:t>
            </w:r>
            <w:r>
              <w:rPr>
                <w:b/>
                <w:bCs/>
                <w:color w:val="auto"/>
              </w:rPr>
              <w:t>.4</w:t>
            </w:r>
            <w:r>
              <w:rPr>
                <w:rFonts w:hint="eastAsia"/>
                <w:b/>
                <w:bCs/>
                <w:color w:val="auto"/>
                <w:lang w:val="en-US" w:eastAsia="zh-CN"/>
              </w:rPr>
              <w:t xml:space="preserve"> </w:t>
            </w:r>
            <w:r>
              <w:rPr>
                <w:b/>
                <w:bCs/>
                <w:color w:val="auto"/>
              </w:rPr>
              <w:t>采暖与供热</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rFonts w:hint="eastAsia" w:eastAsia="宋体"/>
                <w:color w:val="auto"/>
                <w:highlight w:val="none"/>
                <w:lang w:eastAsia="zh-CN"/>
              </w:rPr>
            </w:pPr>
            <w:r>
              <w:rPr>
                <w:rFonts w:hint="eastAsia"/>
                <w:color w:val="auto"/>
                <w:highlight w:val="none"/>
                <w:lang w:val="en-US" w:eastAsia="zh-CN"/>
              </w:rPr>
              <w:t>本项目冬季不生产，值班人员采暖由园区</w:t>
            </w:r>
            <w:r>
              <w:rPr>
                <w:color w:val="auto"/>
                <w:highlight w:val="none"/>
              </w:rPr>
              <w:t>集中供暖</w:t>
            </w:r>
            <w:r>
              <w:rPr>
                <w:rFonts w:hint="eastAsia"/>
                <w:color w:val="auto"/>
                <w:highlight w:val="none"/>
                <w:lang w:eastAsia="zh-CN"/>
              </w:rPr>
              <w:t>。</w:t>
            </w:r>
          </w:p>
          <w:p>
            <w:pPr>
              <w:pStyle w:val="38"/>
              <w:keepNext w:val="0"/>
              <w:keepLines w:val="0"/>
              <w:pageBreakBefore w:val="0"/>
              <w:widowControl w:val="0"/>
              <w:numPr>
                <w:ilvl w:val="0"/>
                <w:numId w:val="12"/>
              </w:numPr>
              <w:kinsoku/>
              <w:wordWrap/>
              <w:overflowPunct/>
              <w:topLinePunct w:val="0"/>
              <w:autoSpaceDE/>
              <w:autoSpaceDN/>
              <w:bidi w:val="0"/>
              <w:adjustRightInd/>
              <w:snapToGrid/>
              <w:spacing w:line="520" w:lineRule="exact"/>
              <w:ind w:left="0" w:leftChars="0" w:firstLine="0" w:firstLineChars="0"/>
              <w:jc w:val="left"/>
              <w:textAlignment w:val="baseline"/>
              <w:rPr>
                <w:b/>
                <w:bCs/>
                <w:color w:val="auto"/>
              </w:rPr>
            </w:pPr>
            <w:r>
              <w:rPr>
                <w:b/>
                <w:bCs/>
                <w:color w:val="auto"/>
              </w:rPr>
              <w:t>平面布置合理性</w:t>
            </w:r>
          </w:p>
          <w:p>
            <w:pPr>
              <w:pStyle w:val="38"/>
              <w:keepNext w:val="0"/>
              <w:keepLines w:val="0"/>
              <w:pageBreakBefore w:val="0"/>
              <w:widowControl w:val="0"/>
              <w:kinsoku/>
              <w:wordWrap/>
              <w:overflowPunct/>
              <w:topLinePunct w:val="0"/>
              <w:autoSpaceDE/>
              <w:autoSpaceDN/>
              <w:bidi w:val="0"/>
              <w:adjustRightInd/>
              <w:snapToGrid/>
              <w:spacing w:line="520" w:lineRule="exact"/>
              <w:ind w:firstLine="480"/>
              <w:textAlignment w:val="baseline"/>
              <w:rPr>
                <w:color w:val="auto"/>
                <w:highlight w:val="none"/>
              </w:rPr>
            </w:pPr>
            <w:r>
              <w:rPr>
                <w:color w:val="auto"/>
                <w:highlight w:val="none"/>
              </w:rPr>
              <w:t>本项目位于</w:t>
            </w:r>
            <w:r>
              <w:rPr>
                <w:rFonts w:hint="eastAsia"/>
                <w:color w:val="auto"/>
                <w:highlight w:val="none"/>
                <w:lang w:val="en-US" w:eastAsia="zh-CN"/>
              </w:rPr>
              <w:t>阜康市苏通小微创业园</w:t>
            </w:r>
            <w:r>
              <w:rPr>
                <w:color w:val="auto"/>
                <w:highlight w:val="none"/>
              </w:rPr>
              <w:t>内，</w:t>
            </w:r>
            <w:r>
              <w:rPr>
                <w:rFonts w:hint="eastAsia"/>
                <w:color w:val="auto"/>
                <w:highlight w:val="none"/>
                <w:lang w:val="en-US" w:eastAsia="zh-CN"/>
              </w:rPr>
              <w:t>项目租用</w:t>
            </w:r>
            <w:r>
              <w:rPr>
                <w:rFonts w:hint="eastAsia"/>
                <w:color w:val="auto"/>
                <w:highlight w:val="none"/>
              </w:rPr>
              <w:t>在满足生产工艺要求的前提下，力求布置紧凑合理</w:t>
            </w:r>
            <w:r>
              <w:rPr>
                <w:rFonts w:hint="eastAsia"/>
                <w:color w:val="auto"/>
                <w:highlight w:val="none"/>
                <w:lang w:eastAsia="zh-CN"/>
              </w:rPr>
              <w:t>，</w:t>
            </w:r>
            <w:r>
              <w:rPr>
                <w:rFonts w:hint="eastAsia"/>
                <w:color w:val="auto"/>
                <w:highlight w:val="none"/>
              </w:rPr>
              <w:t>充分利用场地现状</w:t>
            </w:r>
            <w:r>
              <w:rPr>
                <w:rFonts w:hint="eastAsia"/>
                <w:color w:val="auto"/>
                <w:highlight w:val="none"/>
                <w:lang w:eastAsia="zh-CN"/>
              </w:rPr>
              <w:t>，</w:t>
            </w:r>
            <w:r>
              <w:rPr>
                <w:rFonts w:hint="eastAsia"/>
                <w:color w:val="auto"/>
                <w:highlight w:val="none"/>
                <w:lang w:val="en-US" w:eastAsia="zh-CN"/>
              </w:rPr>
              <w:t>项目两栋车间内分别建设安装一条生产线</w:t>
            </w:r>
            <w:r>
              <w:rPr>
                <w:rFonts w:hint="eastAsia"/>
                <w:color w:val="auto"/>
                <w:highlight w:val="none"/>
              </w:rPr>
              <w:t>。</w:t>
            </w:r>
            <w:r>
              <w:rPr>
                <w:rFonts w:hint="eastAsia"/>
                <w:color w:val="auto"/>
                <w:highlight w:val="none"/>
                <w:lang w:val="en-US" w:eastAsia="zh-CN"/>
              </w:rPr>
              <w:t>项目区设置1个出入口，人货分流，</w:t>
            </w:r>
            <w:r>
              <w:rPr>
                <w:color w:val="auto"/>
                <w:highlight w:val="none"/>
              </w:rPr>
              <w:t>功能分区明确，交通顺畅，其中生产加工区主要布置在厂区的</w:t>
            </w:r>
            <w:r>
              <w:rPr>
                <w:rFonts w:hint="eastAsia"/>
                <w:color w:val="auto"/>
                <w:highlight w:val="none"/>
                <w:lang w:val="en-US" w:eastAsia="zh-CN"/>
              </w:rPr>
              <w:t>西</w:t>
            </w:r>
            <w:r>
              <w:rPr>
                <w:color w:val="auto"/>
                <w:highlight w:val="none"/>
              </w:rPr>
              <w:t>侧，</w:t>
            </w:r>
            <w:r>
              <w:rPr>
                <w:rFonts w:hint="eastAsia"/>
                <w:color w:val="auto"/>
                <w:highlight w:val="none"/>
              </w:rPr>
              <w:t>依托</w:t>
            </w:r>
            <w:r>
              <w:rPr>
                <w:rFonts w:hint="eastAsia"/>
                <w:color w:val="auto"/>
                <w:highlight w:val="none"/>
                <w:lang w:val="en-US" w:eastAsia="zh-CN"/>
              </w:rPr>
              <w:t>的</w:t>
            </w:r>
            <w:r>
              <w:rPr>
                <w:color w:val="auto"/>
                <w:highlight w:val="none"/>
              </w:rPr>
              <w:t>生活办公区设置在</w:t>
            </w:r>
            <w:r>
              <w:rPr>
                <w:rFonts w:hint="eastAsia"/>
                <w:color w:val="auto"/>
                <w:highlight w:val="none"/>
                <w:lang w:val="en-US" w:eastAsia="zh-CN"/>
              </w:rPr>
              <w:t>项目区东侧</w:t>
            </w:r>
            <w:r>
              <w:rPr>
                <w:color w:val="auto"/>
                <w:highlight w:val="none"/>
              </w:rPr>
              <w:t>。生活办公区为上风向，</w:t>
            </w:r>
            <w:r>
              <w:rPr>
                <w:rFonts w:hint="eastAsia"/>
                <w:color w:val="auto"/>
                <w:highlight w:val="none"/>
                <w:lang w:eastAsia="zh-CN"/>
              </w:rPr>
              <w:t>可以有效地避免</w:t>
            </w:r>
            <w:r>
              <w:rPr>
                <w:color w:val="auto"/>
                <w:highlight w:val="none"/>
              </w:rPr>
              <w:t>生产加工废气的影响。</w:t>
            </w:r>
          </w:p>
          <w:p>
            <w:pPr>
              <w:pStyle w:val="38"/>
              <w:ind w:firstLine="480"/>
              <w:rPr>
                <w:rFonts w:hint="eastAsia"/>
                <w:color w:val="auto"/>
                <w:lang w:eastAsia="zh-CN"/>
              </w:rPr>
            </w:pPr>
          </w:p>
          <w:p>
            <w:pPr>
              <w:pStyle w:val="38"/>
              <w:ind w:firstLine="480"/>
              <w:rPr>
                <w:rFonts w:hint="eastAsia"/>
                <w:color w:val="auto"/>
                <w:lang w:eastAsia="zh-CN"/>
              </w:rPr>
            </w:pPr>
          </w:p>
          <w:p>
            <w:pPr>
              <w:pStyle w:val="38"/>
              <w:ind w:left="0" w:leftChars="0" w:firstLine="0" w:firstLineChars="0"/>
              <w:rPr>
                <w:rFonts w:hint="eastAsia"/>
                <w:color w:val="auto"/>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732" w:type="dxa"/>
            <w:vAlign w:val="center"/>
          </w:tcPr>
          <w:p>
            <w:pPr>
              <w:pStyle w:val="24"/>
              <w:adjustRightInd w:val="0"/>
              <w:snapToGrid w:val="0"/>
              <w:spacing w:before="0" w:beforeAutospacing="0" w:after="0" w:afterAutospacing="0" w:line="360" w:lineRule="auto"/>
              <w:jc w:val="center"/>
              <w:rPr>
                <w:rFonts w:ascii="Times New Roman" w:hAnsi="Times New Roman"/>
                <w:color w:val="auto"/>
                <w:sz w:val="21"/>
                <w:szCs w:val="21"/>
              </w:rPr>
            </w:pPr>
            <w:r>
              <w:rPr>
                <w:rFonts w:ascii="Times New Roman" w:hAnsi="Times New Roman"/>
                <w:color w:val="auto"/>
                <w:sz w:val="24"/>
                <w:szCs w:val="24"/>
              </w:rPr>
              <w:t>工艺流程和产排污环节</w:t>
            </w:r>
          </w:p>
        </w:tc>
        <w:tc>
          <w:tcPr>
            <w:tcW w:w="8328" w:type="dxa"/>
          </w:tcPr>
          <w:p>
            <w:pPr>
              <w:keepNext w:val="0"/>
              <w:keepLines w:val="0"/>
              <w:pageBreakBefore w:val="0"/>
              <w:widowControl w:val="0"/>
              <w:numPr>
                <w:ilvl w:val="0"/>
                <w:numId w:val="14"/>
              </w:numPr>
              <w:kinsoku/>
              <w:wordWrap/>
              <w:overflowPunct/>
              <w:topLinePunct w:val="0"/>
              <w:autoSpaceDE/>
              <w:autoSpaceDN/>
              <w:bidi w:val="0"/>
              <w:adjustRightInd/>
              <w:snapToGrid/>
              <w:spacing w:line="520" w:lineRule="exact"/>
              <w:textAlignment w:val="auto"/>
              <w:rPr>
                <w:b/>
                <w:bCs/>
                <w:color w:val="auto"/>
                <w:sz w:val="24"/>
              </w:rPr>
            </w:pPr>
            <w:r>
              <w:rPr>
                <w:b/>
                <w:bCs/>
                <w:color w:val="auto"/>
                <w:sz w:val="24"/>
              </w:rPr>
              <w:t>工艺流程</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textAlignment w:val="auto"/>
              <w:rPr>
                <w:b/>
                <w:bCs/>
                <w:color w:val="auto"/>
                <w:sz w:val="24"/>
                <w:szCs w:val="24"/>
              </w:rPr>
            </w:pPr>
            <w:r>
              <w:rPr>
                <w:b/>
                <w:bCs/>
                <w:color w:val="auto"/>
                <w:sz w:val="24"/>
                <w:szCs w:val="24"/>
              </w:rPr>
              <w:t>1.1</w:t>
            </w:r>
            <w:r>
              <w:rPr>
                <w:rFonts w:hint="eastAsia"/>
                <w:b/>
                <w:bCs/>
                <w:color w:val="auto"/>
                <w:sz w:val="24"/>
                <w:szCs w:val="24"/>
                <w:lang w:val="en-US" w:eastAsia="zh-CN"/>
              </w:rPr>
              <w:t xml:space="preserve"> 塑料再生颗粒</w:t>
            </w:r>
            <w:r>
              <w:rPr>
                <w:b/>
                <w:bCs/>
                <w:color w:val="auto"/>
                <w:sz w:val="24"/>
                <w:szCs w:val="24"/>
              </w:rPr>
              <w:t>工艺流程</w:t>
            </w:r>
          </w:p>
          <w:p>
            <w:pPr>
              <w:pStyle w:val="12"/>
              <w:jc w:val="center"/>
              <w:rPr>
                <w:rFonts w:hint="eastAsia" w:eastAsia="宋体"/>
                <w:b/>
                <w:bCs/>
                <w:color w:val="auto"/>
                <w:sz w:val="24"/>
                <w:szCs w:val="24"/>
                <w:lang w:eastAsia="zh-CN"/>
              </w:rPr>
            </w:pPr>
            <w:r>
              <w:rPr>
                <w:rFonts w:hint="eastAsia" w:eastAsia="宋体"/>
                <w:b/>
                <w:bCs/>
                <w:color w:val="auto"/>
                <w:sz w:val="24"/>
                <w:szCs w:val="24"/>
                <w:lang w:eastAsia="zh-CN"/>
              </w:rPr>
              <w:drawing>
                <wp:inline distT="0" distB="0" distL="114300" distR="114300">
                  <wp:extent cx="3629660" cy="5255895"/>
                  <wp:effectExtent l="0" t="0" r="0" b="0"/>
                  <wp:docPr id="9" name="ECB019B1-382A-4266-B25C-5B523AA43C14-2" descr="C:/Users/Administrator/AppData/Local/Temp/wps.jMXOb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Administrator/AppData/Local/Temp/wps.jMXObfwps"/>
                          <pic:cNvPicPr>
                            <a:picLocks noChangeAspect="1"/>
                          </pic:cNvPicPr>
                        </pic:nvPicPr>
                        <pic:blipFill>
                          <a:blip r:embed="rId10"/>
                          <a:stretch>
                            <a:fillRect/>
                          </a:stretch>
                        </pic:blipFill>
                        <pic:spPr>
                          <a:xfrm>
                            <a:off x="0" y="0"/>
                            <a:ext cx="3629660" cy="5255895"/>
                          </a:xfrm>
                          <a:prstGeom prst="rect">
                            <a:avLst/>
                          </a:prstGeom>
                        </pic:spPr>
                      </pic:pic>
                    </a:graphicData>
                  </a:graphic>
                </wp:inline>
              </w:drawing>
            </w:r>
          </w:p>
          <w:p>
            <w:pPr>
              <w:pStyle w:val="11"/>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b/>
                <w:bCs/>
                <w:color w:val="auto"/>
                <w:sz w:val="21"/>
                <w:szCs w:val="21"/>
              </w:rPr>
            </w:pPr>
            <w:r>
              <w:rPr>
                <w:b/>
                <w:bCs/>
                <w:color w:val="auto"/>
                <w:sz w:val="21"/>
                <w:szCs w:val="21"/>
              </w:rPr>
              <w:t xml:space="preserve">图3    </w:t>
            </w:r>
            <w:r>
              <w:rPr>
                <w:rFonts w:hint="eastAsia"/>
                <w:b/>
                <w:bCs/>
                <w:color w:val="auto"/>
                <w:sz w:val="21"/>
                <w:szCs w:val="21"/>
                <w:lang w:val="en-US" w:eastAsia="zh-CN"/>
              </w:rPr>
              <w:t>塑料再生颗粒</w:t>
            </w:r>
            <w:r>
              <w:rPr>
                <w:b/>
                <w:bCs/>
                <w:color w:val="auto"/>
                <w:sz w:val="21"/>
                <w:szCs w:val="21"/>
              </w:rPr>
              <w:t>工艺流程及产污环节图</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textAlignment w:val="auto"/>
              <w:rPr>
                <w:b/>
                <w:bCs/>
                <w:color w:val="auto"/>
                <w:sz w:val="24"/>
                <w:szCs w:val="24"/>
              </w:rPr>
            </w:pPr>
            <w:r>
              <w:rPr>
                <w:b/>
                <w:bCs/>
                <w:color w:val="auto"/>
                <w:sz w:val="24"/>
                <w:szCs w:val="24"/>
              </w:rPr>
              <w:t>1.2</w:t>
            </w:r>
            <w:r>
              <w:rPr>
                <w:rFonts w:hint="eastAsia"/>
                <w:b/>
                <w:bCs/>
                <w:color w:val="auto"/>
                <w:sz w:val="24"/>
                <w:szCs w:val="24"/>
                <w:lang w:val="en-US" w:eastAsia="zh-CN"/>
              </w:rPr>
              <w:t xml:space="preserve"> 塑料再生颗粒</w:t>
            </w:r>
            <w:r>
              <w:rPr>
                <w:b/>
                <w:bCs/>
                <w:color w:val="auto"/>
                <w:sz w:val="24"/>
                <w:szCs w:val="24"/>
              </w:rPr>
              <w:t>工艺说明</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2"/>
                <w:sz w:val="24"/>
                <w:szCs w:val="24"/>
                <w:highlight w:val="none"/>
                <w:lang w:val="en-US" w:eastAsia="zh-CN" w:bidi="ar-SA"/>
              </w:rPr>
              <w:t>1）</w:t>
            </w:r>
            <w:r>
              <w:rPr>
                <w:rFonts w:hint="eastAsia" w:cs="Times New Roman"/>
                <w:color w:val="auto"/>
                <w:kern w:val="2"/>
                <w:sz w:val="24"/>
                <w:szCs w:val="24"/>
                <w:highlight w:val="none"/>
                <w:lang w:val="en-US" w:eastAsia="zh-CN" w:bidi="ar-SA"/>
              </w:rPr>
              <w:t>分拣：项目采用人工进行分拣，按塑料种类进行人工分类和分离，同时清除混在其中的可能存在的其它夹杂物，该过程会产生分拣废物（S1）。</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（2）破碎</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将废塑料投入破碎机中进行破碎处理，废塑料被破碎成小块切片。该过程有破碎机噪声（N1）和粉尘（G1）产生</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机械清洗</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破碎后废塑料进行清洗预处理，不需要添加清洗剂，去除原料中的小杂质。该工序产生噪声（N2）和清洗废水（W1），废水通过处理后回用于清洗</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脱水</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对清洗后的废旧塑料进行脱水。该工序产生噪声（N3）和少量废水（W2），废水通过处理后回用于清洗。脱水机工作原理：塑料切片经清洗后进入自动提料并脱水的设备，以代替一般的人工捞取，通过自动高速离心脱水功能完成脱水处理。脱水后的切片会残留极少量的水分。</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热熔挤出</w:t>
            </w:r>
            <w:r>
              <w:rPr>
                <w:rFonts w:hint="default" w:ascii="Times New Roman" w:hAnsi="Times New Roman" w:eastAsia="宋体" w:cs="Times New Roman"/>
                <w:color w:val="auto"/>
                <w:kern w:val="0"/>
                <w:sz w:val="24"/>
                <w:szCs w:val="24"/>
                <w:lang w:val="en-US" w:eastAsia="zh-CN" w:bidi="ar"/>
              </w:rPr>
              <w:t>：造粒机工作原理：采用电加热方式，塑料切片加入料斗后，由料斗顺利地落到螺杆上，被螺杆螺纹咬住，随着螺杆的旋转被螺纹强制往机头方向推进，构成一个机械输送的过程。塑料自加料口往机头运行时，由于螺杆的螺纹深度逐渐减小，也由于分流板和机头等阻力的存在，在塑料塑化过程中形成了很高的压力，把物料压得很密实，改善了它的传热导性，有助于塑料很快熔化，同时逐渐增高的压力以使原来存在于料粒之间的气体从排气孔排出。在压力升高的同时，塑料一方面被外部加热，另一方面塑料本身在压缩、剪切、搅拌的运动过程中，由于内</w:t>
            </w:r>
            <w:r>
              <w:rPr>
                <w:rFonts w:hint="eastAsia" w:cs="Times New Roman"/>
                <w:color w:val="auto"/>
                <w:kern w:val="0"/>
                <w:sz w:val="24"/>
                <w:szCs w:val="24"/>
                <w:lang w:val="en-US" w:eastAsia="zh-CN" w:bidi="ar"/>
              </w:rPr>
              <w:t>摩擦力</w:t>
            </w:r>
            <w:r>
              <w:rPr>
                <w:rFonts w:hint="default" w:ascii="Times New Roman" w:hAnsi="Times New Roman" w:eastAsia="宋体" w:cs="Times New Roman"/>
                <w:color w:val="auto"/>
                <w:kern w:val="0"/>
                <w:sz w:val="24"/>
                <w:szCs w:val="24"/>
                <w:lang w:val="en-US" w:eastAsia="zh-CN" w:bidi="ar"/>
              </w:rPr>
              <w:t>也产生了大量的热，在外力和内力的联合作用下，塑料温度逐渐增高，其物理状态也经历了玻璃态--高弹态-粘流态的变化，一般地说来，在加料段中主要是玻璃态，在螺杆螺纹逐渐减少的中间部分压缩段中，物料主要处于高弹状态，同时也逐渐的熔融，而物料到压缩段后部塑化段主要处于粘流态，塑料已完全塑化，由螺杆推力作用将塑化的塑料定压定量的从机头中挤出。该过程有少量有机废气（NMHC）</w:t>
            </w:r>
            <w:r>
              <w:rPr>
                <w:rFonts w:hint="eastAsia" w:cs="Times New Roman"/>
                <w:color w:val="auto"/>
                <w:kern w:val="0"/>
                <w:sz w:val="24"/>
                <w:szCs w:val="24"/>
                <w:lang w:val="en-US" w:eastAsia="zh-CN" w:bidi="ar"/>
              </w:rPr>
              <w:t>（G2）</w:t>
            </w:r>
            <w:r>
              <w:rPr>
                <w:rFonts w:hint="default" w:ascii="Times New Roman" w:hAnsi="Times New Roman" w:eastAsia="宋体" w:cs="Times New Roman"/>
                <w:color w:val="auto"/>
                <w:kern w:val="0"/>
                <w:sz w:val="24"/>
                <w:szCs w:val="24"/>
                <w:lang w:val="en-US" w:eastAsia="zh-CN" w:bidi="ar"/>
              </w:rPr>
              <w:t>、造粒机噪声、</w:t>
            </w:r>
            <w:r>
              <w:rPr>
                <w:rFonts w:hint="eastAsia" w:cs="Times New Roman"/>
                <w:color w:val="auto"/>
                <w:kern w:val="0"/>
                <w:sz w:val="24"/>
                <w:szCs w:val="24"/>
                <w:lang w:val="en-US" w:eastAsia="zh-CN" w:bidi="ar"/>
              </w:rPr>
              <w:t>残次品（S2）</w:t>
            </w:r>
            <w:r>
              <w:rPr>
                <w:rFonts w:hint="default" w:ascii="Times New Roman" w:hAnsi="Times New Roman" w:eastAsia="宋体" w:cs="Times New Roman"/>
                <w:color w:val="auto"/>
                <w:kern w:val="0"/>
                <w:sz w:val="24"/>
                <w:szCs w:val="24"/>
                <w:lang w:val="en-US" w:eastAsia="zh-CN" w:bidi="ar"/>
              </w:rPr>
              <w:t>，挤出过程中产生的挤出物通过设备上装罝的滤网过滤后得到粒子，滤网板上会吸附有塑料聚合物凝结而成的有机渣，使用一段时间后需更换滤网，产生废滤网</w:t>
            </w:r>
            <w:r>
              <w:rPr>
                <w:rFonts w:hint="eastAsia" w:cs="Times New Roman"/>
                <w:color w:val="auto"/>
                <w:kern w:val="0"/>
                <w:sz w:val="24"/>
                <w:szCs w:val="24"/>
                <w:lang w:val="en-US" w:eastAsia="zh-CN" w:bidi="ar"/>
              </w:rPr>
              <w:t>（S3）</w:t>
            </w:r>
            <w:r>
              <w:rPr>
                <w:rFonts w:hint="default" w:ascii="Times New Roman" w:hAnsi="Times New Roman" w:eastAsia="宋体" w:cs="Times New Roman"/>
                <w:color w:val="auto"/>
                <w:kern w:val="0"/>
                <w:sz w:val="24"/>
                <w:szCs w:val="24"/>
                <w:lang w:val="en-US" w:eastAsia="zh-CN" w:bidi="ar"/>
              </w:rPr>
              <w:t>，该废气处理工艺将产生一定量的废活性炭</w:t>
            </w:r>
            <w:r>
              <w:rPr>
                <w:rFonts w:hint="eastAsia" w:cs="Times New Roman"/>
                <w:color w:val="auto"/>
                <w:kern w:val="0"/>
                <w:sz w:val="24"/>
                <w:szCs w:val="24"/>
                <w:lang w:val="en-US" w:eastAsia="zh-CN" w:bidi="ar"/>
              </w:rPr>
              <w:t>（S4）和废催化剂（S5）</w:t>
            </w:r>
            <w:r>
              <w:rPr>
                <w:rFonts w:hint="default"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）冷却：造粒机配备冷却水槽，挤出的丝状塑料品通过机械传动</w:t>
            </w:r>
            <w:r>
              <w:rPr>
                <w:rFonts w:hint="eastAsia" w:cs="Times New Roman"/>
                <w:color w:val="auto"/>
                <w:kern w:val="0"/>
                <w:sz w:val="24"/>
                <w:szCs w:val="24"/>
                <w:lang w:val="en-US" w:eastAsia="zh-CN" w:bidi="ar"/>
              </w:rPr>
              <w:t>装置</w:t>
            </w:r>
            <w:r>
              <w:rPr>
                <w:rFonts w:hint="default" w:ascii="Times New Roman" w:hAnsi="Times New Roman" w:eastAsia="宋体" w:cs="Times New Roman"/>
                <w:color w:val="auto"/>
                <w:kern w:val="0"/>
                <w:sz w:val="24"/>
                <w:szCs w:val="24"/>
                <w:lang w:val="en-US" w:eastAsia="zh-CN" w:bidi="ar"/>
              </w:rPr>
              <w:t>，直接浸入冷却水槽进行冷却，冷却水经冷却水池</w:t>
            </w:r>
            <w:r>
              <w:rPr>
                <w:rFonts w:hint="eastAsia" w:cs="Times New Roman"/>
                <w:color w:val="auto"/>
                <w:kern w:val="0"/>
                <w:sz w:val="24"/>
                <w:szCs w:val="24"/>
                <w:lang w:val="en-US" w:eastAsia="zh-CN" w:bidi="ar"/>
              </w:rPr>
              <w:t>冷却</w:t>
            </w:r>
            <w:r>
              <w:rPr>
                <w:rFonts w:hint="default" w:ascii="Times New Roman" w:hAnsi="Times New Roman" w:eastAsia="宋体" w:cs="Times New Roman"/>
                <w:color w:val="auto"/>
                <w:kern w:val="0"/>
                <w:sz w:val="24"/>
                <w:szCs w:val="24"/>
                <w:lang w:val="en-US" w:eastAsia="zh-CN" w:bidi="ar"/>
              </w:rPr>
              <w:t>后循环使用；冷却后丝状塑料品在传输</w:t>
            </w:r>
            <w:r>
              <w:rPr>
                <w:rFonts w:hint="eastAsia" w:cs="Times New Roman"/>
                <w:color w:val="auto"/>
                <w:kern w:val="0"/>
                <w:sz w:val="24"/>
                <w:szCs w:val="24"/>
                <w:lang w:val="en-US" w:eastAsia="zh-CN" w:bidi="ar"/>
              </w:rPr>
              <w:t>装置</w:t>
            </w:r>
            <w:r>
              <w:rPr>
                <w:rFonts w:hint="default" w:ascii="Times New Roman" w:hAnsi="Times New Roman" w:eastAsia="宋体" w:cs="Times New Roman"/>
                <w:color w:val="auto"/>
                <w:kern w:val="0"/>
                <w:sz w:val="24"/>
                <w:szCs w:val="24"/>
                <w:lang w:val="en-US" w:eastAsia="zh-CN" w:bidi="ar"/>
              </w:rPr>
              <w:t>自然干燥。</w:t>
            </w:r>
          </w:p>
          <w:p>
            <w:pPr>
              <w:pStyle w:val="7"/>
              <w:keepNext w:val="0"/>
              <w:keepLines w:val="0"/>
              <w:pageBreakBefore w:val="0"/>
              <w:widowControl w:val="0"/>
              <w:kinsoku/>
              <w:wordWrap/>
              <w:overflowPunct/>
              <w:topLinePunct w:val="0"/>
              <w:autoSpaceDE/>
              <w:autoSpaceDN/>
              <w:bidi w:val="0"/>
              <w:adjustRightInd/>
              <w:snapToGrid/>
              <w:spacing w:after="0" w:line="520" w:lineRule="exact"/>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7</w:t>
            </w:r>
            <w:r>
              <w:rPr>
                <w:rFonts w:hint="eastAsia" w:ascii="Times New Roman" w:hAnsi="Times New Roman" w:eastAsia="宋体" w:cs="Times New Roman"/>
                <w:color w:val="auto"/>
                <w:kern w:val="0"/>
                <w:sz w:val="24"/>
                <w:szCs w:val="24"/>
                <w:lang w:val="en-US" w:eastAsia="zh-CN" w:bidi="ar"/>
              </w:rPr>
              <w:t>）切粒：利用切粒机将丝状半成品切割成粒状产品。该过程有切割机噪声</w:t>
            </w:r>
            <w:r>
              <w:rPr>
                <w:rFonts w:hint="eastAsia" w:cs="Times New Roman"/>
                <w:color w:val="auto"/>
                <w:kern w:val="0"/>
                <w:sz w:val="24"/>
                <w:szCs w:val="24"/>
                <w:lang w:val="en-US" w:eastAsia="zh-CN" w:bidi="ar"/>
              </w:rPr>
              <w:t>（N5）</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val="0"/>
              <w:numPr>
                <w:ilvl w:val="0"/>
                <w:numId w:val="14"/>
              </w:numPr>
              <w:kinsoku/>
              <w:wordWrap/>
              <w:overflowPunct/>
              <w:topLinePunct w:val="0"/>
              <w:autoSpaceDE/>
              <w:autoSpaceDN/>
              <w:bidi w:val="0"/>
              <w:adjustRightInd/>
              <w:snapToGrid/>
              <w:spacing w:line="520" w:lineRule="exact"/>
              <w:textAlignment w:val="auto"/>
              <w:rPr>
                <w:rFonts w:hint="eastAsia"/>
                <w:b/>
                <w:bCs/>
                <w:color w:val="auto"/>
                <w:sz w:val="24"/>
                <w:lang w:val="en-US" w:eastAsia="zh-CN"/>
              </w:rPr>
            </w:pPr>
            <w:r>
              <w:rPr>
                <w:rFonts w:hint="eastAsia"/>
                <w:b/>
                <w:bCs/>
                <w:color w:val="auto"/>
                <w:sz w:val="24"/>
                <w:lang w:val="en-US" w:eastAsia="zh-CN"/>
              </w:rPr>
              <w:t>污染物产排情况</w:t>
            </w:r>
          </w:p>
          <w:p>
            <w:pPr>
              <w:pStyle w:val="3"/>
              <w:keepNext/>
              <w:keepLines/>
              <w:pageBreakBefore w:val="0"/>
              <w:widowControl w:val="0"/>
              <w:numPr>
                <w:ilvl w:val="1"/>
                <w:numId w:val="14"/>
              </w:numPr>
              <w:kinsoku/>
              <w:wordWrap/>
              <w:overflowPunct/>
              <w:topLinePunct w:val="0"/>
              <w:autoSpaceDE/>
              <w:autoSpaceDN/>
              <w:bidi w:val="0"/>
              <w:adjustRightInd/>
              <w:snapToGrid/>
              <w:spacing w:line="520" w:lineRule="exact"/>
              <w:ind w:leftChars="0"/>
              <w:textAlignment w:val="auto"/>
              <w:rPr>
                <w:rFonts w:hint="eastAsia"/>
                <w:b/>
                <w:bCs/>
                <w:color w:val="auto"/>
                <w:sz w:val="24"/>
                <w:szCs w:val="24"/>
                <w:lang w:val="en-US" w:eastAsia="zh-CN"/>
              </w:rPr>
            </w:pPr>
            <w:r>
              <w:rPr>
                <w:rFonts w:hint="eastAsia"/>
                <w:b/>
                <w:bCs/>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本项目废气污染物主要为运营期原材料破碎产生的粉尘（G1）、热熔</w:t>
            </w:r>
            <w:r>
              <w:rPr>
                <w:rFonts w:hint="eastAsia"/>
                <w:color w:val="auto"/>
                <w:lang w:val="en-US" w:eastAsia="zh-CN"/>
              </w:rPr>
              <w:t>挤出</w:t>
            </w:r>
            <w:r>
              <w:rPr>
                <w:rFonts w:hint="eastAsia"/>
                <w:b w:val="0"/>
                <w:bCs w:val="0"/>
                <w:color w:val="auto"/>
                <w:sz w:val="24"/>
                <w:szCs w:val="24"/>
                <w:lang w:val="en-US" w:eastAsia="zh-CN"/>
              </w:rPr>
              <w:t>过程产生的挥发性有机物以非甲烷总烃计（G2）和员工食堂产生的食堂油烟（G3）。</w:t>
            </w:r>
          </w:p>
          <w:p>
            <w:pPr>
              <w:pStyle w:val="3"/>
              <w:keepNext/>
              <w:keepLines/>
              <w:pageBreakBefore w:val="0"/>
              <w:widowControl w:val="0"/>
              <w:numPr>
                <w:ilvl w:val="1"/>
                <w:numId w:val="14"/>
              </w:numPr>
              <w:kinsoku/>
              <w:wordWrap/>
              <w:overflowPunct/>
              <w:topLinePunct w:val="0"/>
              <w:autoSpaceDE/>
              <w:autoSpaceDN/>
              <w:bidi w:val="0"/>
              <w:adjustRightInd/>
              <w:snapToGrid/>
              <w:spacing w:line="520" w:lineRule="exact"/>
              <w:ind w:leftChars="0"/>
              <w:textAlignment w:val="auto"/>
              <w:rPr>
                <w:rFonts w:hint="default"/>
                <w:b/>
                <w:bCs/>
                <w:color w:val="auto"/>
                <w:sz w:val="24"/>
                <w:szCs w:val="24"/>
                <w:lang w:val="en-US" w:eastAsia="zh-CN"/>
              </w:rPr>
            </w:pPr>
            <w:r>
              <w:rPr>
                <w:rFonts w:hint="eastAsia"/>
                <w:b/>
                <w:bCs/>
                <w:color w:val="auto"/>
                <w:sz w:val="24"/>
                <w:szCs w:val="24"/>
                <w:lang w:val="en-US" w:eastAsia="zh-CN"/>
              </w:rPr>
              <w:t>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本项目废水主要为清洗、脱水废水（W1、W2）和员工日常生活中产生的生活污水（W3）。</w:t>
            </w:r>
          </w:p>
          <w:p>
            <w:pPr>
              <w:pStyle w:val="3"/>
              <w:keepNext/>
              <w:keepLines/>
              <w:pageBreakBefore w:val="0"/>
              <w:widowControl w:val="0"/>
              <w:numPr>
                <w:ilvl w:val="1"/>
                <w:numId w:val="14"/>
              </w:numPr>
              <w:kinsoku/>
              <w:wordWrap/>
              <w:overflowPunct/>
              <w:topLinePunct w:val="0"/>
              <w:autoSpaceDE/>
              <w:autoSpaceDN/>
              <w:bidi w:val="0"/>
              <w:adjustRightInd/>
              <w:snapToGrid/>
              <w:spacing w:line="520" w:lineRule="exact"/>
              <w:ind w:leftChars="0"/>
              <w:textAlignment w:val="auto"/>
              <w:rPr>
                <w:rFonts w:hint="eastAsia"/>
                <w:b/>
                <w:bCs/>
                <w:color w:val="auto"/>
                <w:sz w:val="24"/>
                <w:szCs w:val="24"/>
                <w:lang w:val="en-US" w:eastAsia="zh-CN"/>
              </w:rPr>
            </w:pPr>
            <w:r>
              <w:rPr>
                <w:rFonts w:hint="eastAsia"/>
                <w:b/>
                <w:bCs/>
                <w:color w:val="auto"/>
                <w:sz w:val="24"/>
                <w:szCs w:val="24"/>
                <w:lang w:val="en-US" w:eastAsia="zh-CN"/>
              </w:rPr>
              <w:t>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本项目噪声主要来源于生产过程中设备运行产生的机械噪声（N1、N2、N3、N4、N5），其声源强度为65~80dB。</w:t>
            </w:r>
          </w:p>
          <w:p>
            <w:pPr>
              <w:pStyle w:val="3"/>
              <w:keepNext/>
              <w:keepLines/>
              <w:pageBreakBefore w:val="0"/>
              <w:widowControl w:val="0"/>
              <w:numPr>
                <w:ilvl w:val="1"/>
                <w:numId w:val="14"/>
              </w:numPr>
              <w:kinsoku/>
              <w:wordWrap/>
              <w:overflowPunct/>
              <w:topLinePunct w:val="0"/>
              <w:autoSpaceDE/>
              <w:autoSpaceDN/>
              <w:bidi w:val="0"/>
              <w:adjustRightInd/>
              <w:snapToGrid/>
              <w:spacing w:line="520" w:lineRule="exact"/>
              <w:ind w:leftChars="0"/>
              <w:textAlignment w:val="auto"/>
              <w:rPr>
                <w:rFonts w:hint="default"/>
                <w:b/>
                <w:bCs/>
                <w:color w:val="auto"/>
                <w:sz w:val="24"/>
                <w:szCs w:val="24"/>
                <w:lang w:val="en-US" w:eastAsia="zh-CN"/>
              </w:rPr>
            </w:pPr>
            <w:r>
              <w:rPr>
                <w:rFonts w:hint="eastAsia"/>
                <w:b/>
                <w:bCs/>
                <w:color w:val="auto"/>
                <w:sz w:val="24"/>
                <w:szCs w:val="24"/>
                <w:lang w:val="en-US" w:eastAsia="zh-CN"/>
              </w:rPr>
              <w:t>固废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b w:val="0"/>
                <w:bCs w:val="0"/>
                <w:color w:val="auto"/>
                <w:sz w:val="24"/>
                <w:szCs w:val="24"/>
                <w:lang w:val="en-US" w:eastAsia="zh-CN"/>
              </w:rPr>
            </w:pPr>
            <w:r>
              <w:rPr>
                <w:rFonts w:hint="eastAsia"/>
                <w:b w:val="0"/>
                <w:bCs w:val="0"/>
                <w:color w:val="auto"/>
                <w:sz w:val="24"/>
                <w:szCs w:val="24"/>
                <w:lang w:val="en-US" w:eastAsia="zh-CN"/>
              </w:rPr>
              <w:t>本项目固体废物主要有分拣废物（S1）、残次品（S2）、废滤网（S3）、废气处理设备产生的废活性炭（S4）、废催化剂（S5）、收集尘（S6）、设备维修保养产生的废机油（S7）、沉淀池污泥（S8）、生活垃圾（S9）。</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auto"/>
                <w:sz w:val="24"/>
              </w:rPr>
            </w:pPr>
            <w:r>
              <w:rPr>
                <w:rFonts w:hint="eastAsia"/>
                <w:color w:val="auto"/>
                <w:sz w:val="24"/>
              </w:rPr>
              <w:t>本项目产排污情况见下表。</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cs="Times New Roman"/>
                <w:b/>
                <w:bCs/>
                <w:color w:val="auto"/>
                <w:kern w:val="2"/>
                <w:sz w:val="21"/>
                <w:szCs w:val="21"/>
                <w:highlight w:val="none"/>
                <w:lang w:val="en-US" w:eastAsia="zh-CN" w:bidi="ar-SA"/>
              </w:rPr>
            </w:pPr>
            <w:r>
              <w:rPr>
                <w:rFonts w:hint="eastAsia" w:cs="Times New Roman"/>
                <w:b/>
                <w:bCs/>
                <w:color w:val="auto"/>
                <w:kern w:val="2"/>
                <w:sz w:val="21"/>
                <w:szCs w:val="21"/>
                <w:highlight w:val="none"/>
                <w:lang w:val="en-US" w:eastAsia="zh-CN" w:bidi="ar-SA"/>
              </w:rPr>
              <w:t>表2-5    产排污情况一览表</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5"/>
              <w:gridCol w:w="1070"/>
              <w:gridCol w:w="1660"/>
              <w:gridCol w:w="2650"/>
              <w:gridCol w:w="21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bottom w:val="single" w:color="auto" w:sz="12" w:space="0"/>
                  </w:tcBorders>
                  <w:vAlign w:val="center"/>
                </w:tcPr>
                <w:p>
                  <w:pPr>
                    <w:pStyle w:val="51"/>
                    <w:jc w:val="center"/>
                    <w:rPr>
                      <w:b/>
                      <w:color w:val="auto"/>
                      <w:sz w:val="21"/>
                      <w:szCs w:val="21"/>
                    </w:rPr>
                  </w:pPr>
                  <w:r>
                    <w:rPr>
                      <w:rFonts w:hint="eastAsia"/>
                      <w:b/>
                      <w:color w:val="auto"/>
                      <w:sz w:val="21"/>
                      <w:szCs w:val="21"/>
                    </w:rPr>
                    <w:t>序号</w:t>
                  </w:r>
                </w:p>
              </w:tc>
              <w:tc>
                <w:tcPr>
                  <w:tcW w:w="659" w:type="pct"/>
                  <w:tcBorders>
                    <w:bottom w:val="single" w:color="auto" w:sz="12" w:space="0"/>
                  </w:tcBorders>
                  <w:vAlign w:val="center"/>
                </w:tcPr>
                <w:p>
                  <w:pPr>
                    <w:pStyle w:val="51"/>
                    <w:jc w:val="center"/>
                    <w:rPr>
                      <w:b/>
                      <w:color w:val="auto"/>
                      <w:sz w:val="21"/>
                      <w:szCs w:val="21"/>
                    </w:rPr>
                  </w:pPr>
                  <w:r>
                    <w:rPr>
                      <w:rFonts w:hint="eastAsia"/>
                      <w:b/>
                      <w:color w:val="auto"/>
                      <w:sz w:val="21"/>
                      <w:szCs w:val="21"/>
                    </w:rPr>
                    <w:t>污染物类别</w:t>
                  </w:r>
                </w:p>
              </w:tc>
              <w:tc>
                <w:tcPr>
                  <w:tcW w:w="1023" w:type="pct"/>
                  <w:tcBorders>
                    <w:bottom w:val="single" w:color="auto" w:sz="12" w:space="0"/>
                  </w:tcBorders>
                  <w:vAlign w:val="center"/>
                </w:tcPr>
                <w:p>
                  <w:pPr>
                    <w:pStyle w:val="51"/>
                    <w:jc w:val="center"/>
                    <w:rPr>
                      <w:b/>
                      <w:color w:val="auto"/>
                      <w:sz w:val="21"/>
                      <w:szCs w:val="21"/>
                    </w:rPr>
                  </w:pPr>
                  <w:r>
                    <w:rPr>
                      <w:rFonts w:hint="eastAsia"/>
                      <w:b/>
                      <w:color w:val="auto"/>
                      <w:sz w:val="21"/>
                      <w:szCs w:val="21"/>
                    </w:rPr>
                    <w:t>产排污环节</w:t>
                  </w:r>
                </w:p>
              </w:tc>
              <w:tc>
                <w:tcPr>
                  <w:tcW w:w="1633" w:type="pct"/>
                  <w:tcBorders>
                    <w:bottom w:val="single" w:color="auto" w:sz="12" w:space="0"/>
                  </w:tcBorders>
                  <w:vAlign w:val="center"/>
                </w:tcPr>
                <w:p>
                  <w:pPr>
                    <w:pStyle w:val="51"/>
                    <w:jc w:val="center"/>
                    <w:rPr>
                      <w:b/>
                      <w:color w:val="auto"/>
                      <w:sz w:val="21"/>
                      <w:szCs w:val="21"/>
                    </w:rPr>
                  </w:pPr>
                  <w:r>
                    <w:rPr>
                      <w:rFonts w:hint="eastAsia"/>
                      <w:b/>
                      <w:color w:val="auto"/>
                      <w:sz w:val="21"/>
                      <w:szCs w:val="21"/>
                    </w:rPr>
                    <w:t>污染物名称</w:t>
                  </w:r>
                </w:p>
              </w:tc>
              <w:tc>
                <w:tcPr>
                  <w:tcW w:w="1298" w:type="pct"/>
                  <w:tcBorders>
                    <w:bottom w:val="single" w:color="auto" w:sz="12" w:space="0"/>
                  </w:tcBorders>
                  <w:vAlign w:val="center"/>
                </w:tcPr>
                <w:p>
                  <w:pPr>
                    <w:pStyle w:val="51"/>
                    <w:jc w:val="center"/>
                    <w:rPr>
                      <w:b/>
                      <w:color w:val="auto"/>
                      <w:sz w:val="21"/>
                      <w:szCs w:val="21"/>
                    </w:rPr>
                  </w:pPr>
                  <w:r>
                    <w:rPr>
                      <w:rFonts w:hint="eastAsia"/>
                      <w:b/>
                      <w:color w:val="auto"/>
                      <w:sz w:val="21"/>
                      <w:szCs w:val="21"/>
                    </w:rPr>
                    <w:t>污染因子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385" w:type="pct"/>
                  <w:tcBorders>
                    <w:top w:val="single" w:color="auto" w:sz="12" w:space="0"/>
                    <w:tl2br w:val="nil"/>
                    <w:tr2bl w:val="nil"/>
                  </w:tcBorders>
                  <w:vAlign w:val="center"/>
                </w:tcPr>
                <w:p>
                  <w:pPr>
                    <w:pStyle w:val="51"/>
                    <w:jc w:val="center"/>
                    <w:rPr>
                      <w:bCs/>
                      <w:color w:val="auto"/>
                      <w:sz w:val="21"/>
                      <w:szCs w:val="21"/>
                    </w:rPr>
                  </w:pPr>
                  <w:r>
                    <w:rPr>
                      <w:rFonts w:hint="eastAsia"/>
                      <w:bCs/>
                      <w:color w:val="auto"/>
                      <w:sz w:val="21"/>
                      <w:szCs w:val="21"/>
                    </w:rPr>
                    <w:t>1</w:t>
                  </w:r>
                </w:p>
              </w:tc>
              <w:tc>
                <w:tcPr>
                  <w:tcW w:w="659" w:type="pct"/>
                  <w:vMerge w:val="restart"/>
                  <w:tcBorders>
                    <w:top w:val="single" w:color="auto" w:sz="12" w:space="0"/>
                    <w:tl2br w:val="nil"/>
                    <w:tr2bl w:val="nil"/>
                  </w:tcBorders>
                  <w:vAlign w:val="center"/>
                </w:tcPr>
                <w:p>
                  <w:pPr>
                    <w:pStyle w:val="51"/>
                    <w:jc w:val="center"/>
                    <w:rPr>
                      <w:bCs/>
                      <w:color w:val="auto"/>
                      <w:sz w:val="21"/>
                      <w:szCs w:val="21"/>
                    </w:rPr>
                  </w:pPr>
                  <w:r>
                    <w:rPr>
                      <w:rFonts w:hint="eastAsia"/>
                      <w:bCs/>
                      <w:color w:val="auto"/>
                      <w:sz w:val="21"/>
                      <w:szCs w:val="21"/>
                    </w:rPr>
                    <w:t>废气</w:t>
                  </w:r>
                </w:p>
              </w:tc>
              <w:tc>
                <w:tcPr>
                  <w:tcW w:w="1023" w:type="pct"/>
                  <w:tcBorders>
                    <w:top w:val="single" w:color="auto" w:sz="12" w:space="0"/>
                    <w:tl2br w:val="nil"/>
                    <w:tr2bl w:val="nil"/>
                  </w:tcBorders>
                  <w:vAlign w:val="center"/>
                </w:tcPr>
                <w:p>
                  <w:pPr>
                    <w:jc w:val="center"/>
                    <w:rPr>
                      <w:rFonts w:hint="default" w:eastAsia="宋体"/>
                      <w:bCs/>
                      <w:color w:val="auto"/>
                      <w:szCs w:val="21"/>
                      <w:lang w:val="en-US" w:eastAsia="zh-CN"/>
                    </w:rPr>
                  </w:pPr>
                  <w:r>
                    <w:rPr>
                      <w:rFonts w:hint="eastAsia"/>
                      <w:bCs/>
                      <w:color w:val="auto"/>
                      <w:szCs w:val="21"/>
                      <w:lang w:val="en-US" w:eastAsia="zh-CN"/>
                    </w:rPr>
                    <w:t>破碎工序</w:t>
                  </w:r>
                </w:p>
              </w:tc>
              <w:tc>
                <w:tcPr>
                  <w:tcW w:w="1633" w:type="pct"/>
                  <w:tcBorders>
                    <w:top w:val="single" w:color="auto" w:sz="12" w:space="0"/>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rPr>
                    <w:t>G</w:t>
                  </w:r>
                  <w:r>
                    <w:rPr>
                      <w:rFonts w:hint="eastAsia"/>
                      <w:bCs/>
                      <w:color w:val="auto"/>
                      <w:sz w:val="21"/>
                      <w:szCs w:val="21"/>
                      <w:lang w:val="en-US" w:eastAsia="zh-CN"/>
                    </w:rPr>
                    <w:t>1</w:t>
                  </w:r>
                  <w:r>
                    <w:rPr>
                      <w:rFonts w:hint="eastAsia"/>
                      <w:bCs/>
                      <w:color w:val="auto"/>
                      <w:sz w:val="21"/>
                      <w:szCs w:val="21"/>
                    </w:rPr>
                    <w:t>：</w:t>
                  </w:r>
                  <w:r>
                    <w:rPr>
                      <w:rFonts w:hint="eastAsia"/>
                      <w:bCs/>
                      <w:color w:val="auto"/>
                      <w:sz w:val="21"/>
                      <w:szCs w:val="21"/>
                      <w:lang w:val="en-US" w:eastAsia="zh-CN"/>
                    </w:rPr>
                    <w:t>破碎废气</w:t>
                  </w:r>
                </w:p>
              </w:tc>
              <w:tc>
                <w:tcPr>
                  <w:tcW w:w="1298" w:type="pct"/>
                  <w:tcBorders>
                    <w:top w:val="single" w:color="auto" w:sz="12" w:space="0"/>
                    <w:bottom w:val="single" w:color="auto" w:sz="4" w:space="0"/>
                  </w:tcBorders>
                  <w:vAlign w:val="center"/>
                </w:tcPr>
                <w:p>
                  <w:pPr>
                    <w:pStyle w:val="51"/>
                    <w:jc w:val="center"/>
                    <w:rPr>
                      <w:rFonts w:hint="eastAsia" w:eastAsia="宋体"/>
                      <w:bCs/>
                      <w:color w:val="auto"/>
                      <w:sz w:val="21"/>
                      <w:szCs w:val="21"/>
                      <w:lang w:val="en-US" w:eastAsia="zh-CN"/>
                    </w:rPr>
                  </w:pPr>
                  <w:r>
                    <w:rPr>
                      <w:rFonts w:hint="eastAsia"/>
                      <w:bCs/>
                      <w:color w:val="auto"/>
                      <w:sz w:val="21"/>
                      <w:szCs w:val="21"/>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bCs/>
                      <w:color w:val="auto"/>
                      <w:sz w:val="21"/>
                      <w:szCs w:val="21"/>
                    </w:rPr>
                  </w:pPr>
                  <w:r>
                    <w:rPr>
                      <w:rFonts w:hint="eastAsia"/>
                      <w:bCs/>
                      <w:color w:val="auto"/>
                      <w:sz w:val="21"/>
                      <w:szCs w:val="21"/>
                    </w:rPr>
                    <w:t>2</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热熔工序</w:t>
                  </w:r>
                </w:p>
              </w:tc>
              <w:tc>
                <w:tcPr>
                  <w:tcW w:w="1633" w:type="pct"/>
                  <w:tcBorders>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G2：热熔废气</w:t>
                  </w:r>
                </w:p>
              </w:tc>
              <w:tc>
                <w:tcPr>
                  <w:tcW w:w="1298" w:type="pct"/>
                  <w:tcBorders>
                    <w:top w:val="single" w:color="auto" w:sz="4" w:space="0"/>
                    <w:tl2br w:val="nil"/>
                    <w:tr2bl w:val="nil"/>
                  </w:tcBorders>
                  <w:vAlign w:val="center"/>
                </w:tcPr>
                <w:p>
                  <w:pPr>
                    <w:pStyle w:val="51"/>
                    <w:jc w:val="center"/>
                    <w:rPr>
                      <w:rFonts w:hint="eastAsia" w:eastAsia="宋体"/>
                      <w:bCs/>
                      <w:color w:val="auto"/>
                      <w:sz w:val="21"/>
                      <w:szCs w:val="21"/>
                      <w:lang w:eastAsia="zh-CN"/>
                    </w:rPr>
                  </w:pPr>
                  <w:r>
                    <w:rPr>
                      <w:rFonts w:hint="eastAsia"/>
                      <w:bCs/>
                      <w:color w:val="auto"/>
                      <w:sz w:val="21"/>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3</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员工食堂</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G3：食堂油烟</w:t>
                  </w:r>
                </w:p>
              </w:tc>
              <w:tc>
                <w:tcPr>
                  <w:tcW w:w="1298" w:type="pct"/>
                  <w:tcBorders>
                    <w:top w:val="single" w:color="auto" w:sz="4" w:space="0"/>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油烟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385" w:type="pct"/>
                  <w:tcBorders>
                    <w:top w:val="single" w:color="auto" w:sz="6" w:space="0"/>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4</w:t>
                  </w:r>
                </w:p>
              </w:tc>
              <w:tc>
                <w:tcPr>
                  <w:tcW w:w="659" w:type="pct"/>
                  <w:vMerge w:val="restart"/>
                  <w:tcBorders>
                    <w:top w:val="single" w:color="auto" w:sz="6" w:space="0"/>
                  </w:tcBorders>
                  <w:vAlign w:val="center"/>
                </w:tcPr>
                <w:p>
                  <w:pPr>
                    <w:pStyle w:val="51"/>
                    <w:jc w:val="center"/>
                    <w:rPr>
                      <w:bCs/>
                      <w:color w:val="auto"/>
                      <w:sz w:val="21"/>
                      <w:szCs w:val="21"/>
                    </w:rPr>
                  </w:pPr>
                  <w:r>
                    <w:rPr>
                      <w:rFonts w:hint="eastAsia"/>
                      <w:bCs/>
                      <w:color w:val="auto"/>
                      <w:sz w:val="21"/>
                      <w:szCs w:val="21"/>
                    </w:rPr>
                    <w:t>废水</w:t>
                  </w:r>
                </w:p>
              </w:tc>
              <w:tc>
                <w:tcPr>
                  <w:tcW w:w="1023" w:type="pct"/>
                  <w:tcBorders>
                    <w:top w:val="single" w:color="auto" w:sz="6" w:space="0"/>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清洗、甩干</w:t>
                  </w:r>
                </w:p>
              </w:tc>
              <w:tc>
                <w:tcPr>
                  <w:tcW w:w="1633" w:type="pct"/>
                  <w:tcBorders>
                    <w:top w:val="single" w:color="auto" w:sz="6" w:space="0"/>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W1、W2：清洗废水</w:t>
                  </w:r>
                </w:p>
              </w:tc>
              <w:tc>
                <w:tcPr>
                  <w:tcW w:w="1298" w:type="pct"/>
                  <w:tcBorders>
                    <w:top w:val="single" w:color="auto" w:sz="6" w:space="0"/>
                  </w:tcBorders>
                  <w:vAlign w:val="center"/>
                </w:tcPr>
                <w:p>
                  <w:pPr>
                    <w:widowControl/>
                    <w:snapToGrid w:val="0"/>
                    <w:jc w:val="center"/>
                    <w:rPr>
                      <w:rFonts w:hint="default" w:eastAsia="宋体"/>
                      <w:color w:val="auto"/>
                      <w:kern w:val="0"/>
                      <w:szCs w:val="21"/>
                      <w:vertAlign w:val="baseline"/>
                      <w:lang w:val="en-US" w:eastAsia="zh-CN"/>
                    </w:rPr>
                  </w:pPr>
                  <w:r>
                    <w:rPr>
                      <w:rFonts w:hint="eastAsia"/>
                      <w:color w:val="auto"/>
                      <w:kern w:val="0"/>
                      <w:szCs w:val="21"/>
                      <w:lang w:val="en-US" w:eastAsia="zh-CN"/>
                    </w:rPr>
                    <w:t>COD、NH</w:t>
                  </w:r>
                  <w:r>
                    <w:rPr>
                      <w:rFonts w:hint="eastAsia"/>
                      <w:color w:val="auto"/>
                      <w:kern w:val="0"/>
                      <w:szCs w:val="21"/>
                      <w:vertAlign w:val="subscript"/>
                      <w:lang w:val="en-US" w:eastAsia="zh-CN"/>
                    </w:rPr>
                    <w:t>3</w:t>
                  </w:r>
                  <w:r>
                    <w:rPr>
                      <w:rFonts w:hint="eastAsia"/>
                      <w:color w:val="auto"/>
                      <w:kern w:val="0"/>
                      <w:szCs w:val="21"/>
                      <w:vertAlign w:val="baseline"/>
                      <w:lang w:val="en-US" w:eastAsia="zh-CN"/>
                    </w:rPr>
                    <w:t>-N、TN、TP、石油类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atLeast"/>
              </w:trPr>
              <w:tc>
                <w:tcPr>
                  <w:tcW w:w="385" w:type="pct"/>
                  <w:tcBorders>
                    <w:top w:val="single" w:color="auto" w:sz="6" w:space="0"/>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5</w:t>
                  </w:r>
                </w:p>
              </w:tc>
              <w:tc>
                <w:tcPr>
                  <w:tcW w:w="659" w:type="pct"/>
                  <w:vMerge w:val="continue"/>
                  <w:vAlign w:val="center"/>
                </w:tcPr>
                <w:p>
                  <w:pPr>
                    <w:pStyle w:val="51"/>
                    <w:jc w:val="center"/>
                    <w:rPr>
                      <w:rFonts w:hint="eastAsia"/>
                      <w:bCs/>
                      <w:color w:val="auto"/>
                      <w:sz w:val="21"/>
                      <w:szCs w:val="21"/>
                    </w:rPr>
                  </w:pPr>
                </w:p>
              </w:tc>
              <w:tc>
                <w:tcPr>
                  <w:tcW w:w="1023" w:type="pct"/>
                  <w:tcBorders>
                    <w:top w:val="single" w:color="auto" w:sz="6" w:space="0"/>
                  </w:tcBorders>
                  <w:vAlign w:val="center"/>
                </w:tcPr>
                <w:p>
                  <w:pPr>
                    <w:pStyle w:val="51"/>
                    <w:jc w:val="center"/>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生活污水</w:t>
                  </w:r>
                </w:p>
              </w:tc>
              <w:tc>
                <w:tcPr>
                  <w:tcW w:w="1633" w:type="pct"/>
                  <w:tcBorders>
                    <w:top w:val="single" w:color="auto" w:sz="6" w:space="0"/>
                  </w:tcBorders>
                  <w:vAlign w:val="center"/>
                </w:tcPr>
                <w:p>
                  <w:pPr>
                    <w:pStyle w:val="51"/>
                    <w:jc w:val="both"/>
                    <w:rPr>
                      <w:rFonts w:hint="eastAsia" w:ascii="Times New Roman" w:hAnsi="Times New Roman" w:eastAsia="宋体" w:cs="Times New Roman"/>
                      <w:bCs/>
                      <w:color w:val="auto"/>
                      <w:sz w:val="21"/>
                      <w:szCs w:val="21"/>
                      <w:lang w:val="en-US" w:eastAsia="zh-CN" w:bidi="ar-SA"/>
                    </w:rPr>
                  </w:pPr>
                  <w:r>
                    <w:rPr>
                      <w:rFonts w:hint="eastAsia"/>
                      <w:bCs/>
                      <w:color w:val="auto"/>
                      <w:sz w:val="21"/>
                      <w:szCs w:val="21"/>
                      <w:lang w:val="en-US" w:eastAsia="zh-CN"/>
                    </w:rPr>
                    <w:t>W3：生活污水</w:t>
                  </w:r>
                </w:p>
              </w:tc>
              <w:tc>
                <w:tcPr>
                  <w:tcW w:w="1298" w:type="pct"/>
                  <w:tcBorders>
                    <w:top w:val="single" w:color="auto" w:sz="6" w:space="0"/>
                  </w:tcBorders>
                  <w:vAlign w:val="center"/>
                </w:tcPr>
                <w:p>
                  <w:pPr>
                    <w:widowControl/>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COD、</w:t>
                  </w:r>
                  <w:r>
                    <w:rPr>
                      <w:color w:val="auto"/>
                      <w:kern w:val="0"/>
                      <w:szCs w:val="21"/>
                    </w:rPr>
                    <w:t>BOD</w:t>
                  </w:r>
                  <w:r>
                    <w:rPr>
                      <w:color w:val="auto"/>
                      <w:kern w:val="0"/>
                      <w:szCs w:val="21"/>
                      <w:vertAlign w:val="subscript"/>
                    </w:rPr>
                    <w:t>5</w:t>
                  </w:r>
                  <w:r>
                    <w:rPr>
                      <w:rFonts w:hint="eastAsia"/>
                      <w:color w:val="auto"/>
                      <w:kern w:val="0"/>
                      <w:szCs w:val="21"/>
                    </w:rPr>
                    <w:t>、</w:t>
                  </w:r>
                  <w:r>
                    <w:rPr>
                      <w:color w:val="auto"/>
                      <w:kern w:val="0"/>
                      <w:szCs w:val="21"/>
                    </w:rPr>
                    <w:t>NH</w:t>
                  </w:r>
                  <w:r>
                    <w:rPr>
                      <w:color w:val="auto"/>
                      <w:kern w:val="0"/>
                      <w:szCs w:val="21"/>
                      <w:vertAlign w:val="subscript"/>
                    </w:rPr>
                    <w:t>3</w:t>
                  </w:r>
                  <w:r>
                    <w:rPr>
                      <w:color w:val="auto"/>
                      <w:kern w:val="0"/>
                      <w:szCs w:val="21"/>
                    </w:rPr>
                    <w:t>-N</w:t>
                  </w:r>
                  <w:r>
                    <w:rPr>
                      <w:rFonts w:hint="eastAsia"/>
                      <w:color w:val="auto"/>
                      <w:kern w:val="0"/>
                      <w:szCs w:val="21"/>
                    </w:rPr>
                    <w:t>、</w:t>
                  </w:r>
                  <w:r>
                    <w:rPr>
                      <w:color w:val="auto"/>
                      <w:kern w:val="0"/>
                      <w:szCs w:val="21"/>
                    </w:rP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op w:val="single" w:color="auto" w:sz="6" w:space="0"/>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6</w:t>
                  </w:r>
                </w:p>
              </w:tc>
              <w:tc>
                <w:tcPr>
                  <w:tcW w:w="659" w:type="pct"/>
                  <w:tcBorders>
                    <w:top w:val="single" w:color="auto" w:sz="6" w:space="0"/>
                  </w:tcBorders>
                  <w:vAlign w:val="center"/>
                </w:tcPr>
                <w:p>
                  <w:pPr>
                    <w:pStyle w:val="51"/>
                    <w:jc w:val="center"/>
                    <w:rPr>
                      <w:bCs/>
                      <w:color w:val="auto"/>
                      <w:sz w:val="21"/>
                      <w:szCs w:val="21"/>
                    </w:rPr>
                  </w:pPr>
                  <w:r>
                    <w:rPr>
                      <w:rFonts w:hint="eastAsia"/>
                      <w:bCs/>
                      <w:color w:val="auto"/>
                      <w:sz w:val="21"/>
                      <w:szCs w:val="21"/>
                    </w:rPr>
                    <w:t>噪声</w:t>
                  </w:r>
                </w:p>
              </w:tc>
              <w:tc>
                <w:tcPr>
                  <w:tcW w:w="1023" w:type="pct"/>
                  <w:tcBorders>
                    <w:top w:val="single" w:color="auto" w:sz="6" w:space="0"/>
                  </w:tcBorders>
                  <w:vAlign w:val="center"/>
                </w:tcPr>
                <w:p>
                  <w:pPr>
                    <w:pStyle w:val="51"/>
                    <w:jc w:val="center"/>
                    <w:rPr>
                      <w:bCs/>
                      <w:color w:val="auto"/>
                      <w:sz w:val="21"/>
                      <w:szCs w:val="21"/>
                    </w:rPr>
                  </w:pPr>
                  <w:r>
                    <w:rPr>
                      <w:rFonts w:hint="eastAsia"/>
                      <w:bCs/>
                      <w:color w:val="auto"/>
                      <w:sz w:val="21"/>
                      <w:szCs w:val="21"/>
                    </w:rPr>
                    <w:t>生产设备</w:t>
                  </w:r>
                </w:p>
              </w:tc>
              <w:tc>
                <w:tcPr>
                  <w:tcW w:w="1633" w:type="pct"/>
                  <w:tcBorders>
                    <w:top w:val="single" w:color="auto" w:sz="6" w:space="0"/>
                  </w:tcBorders>
                  <w:vAlign w:val="center"/>
                </w:tcPr>
                <w:p>
                  <w:pPr>
                    <w:pStyle w:val="51"/>
                    <w:jc w:val="center"/>
                    <w:rPr>
                      <w:bCs/>
                      <w:color w:val="auto"/>
                      <w:sz w:val="21"/>
                      <w:szCs w:val="21"/>
                    </w:rPr>
                  </w:pPr>
                  <w:r>
                    <w:rPr>
                      <w:rFonts w:hint="eastAsia"/>
                      <w:bCs/>
                      <w:color w:val="auto"/>
                      <w:sz w:val="21"/>
                      <w:szCs w:val="21"/>
                    </w:rPr>
                    <w:t>N1、N2、N3：设备噪声</w:t>
                  </w:r>
                </w:p>
              </w:tc>
              <w:tc>
                <w:tcPr>
                  <w:tcW w:w="1298" w:type="pct"/>
                  <w:tcBorders>
                    <w:top w:val="single" w:color="auto" w:sz="6" w:space="0"/>
                  </w:tcBorders>
                  <w:vAlign w:val="center"/>
                </w:tcPr>
                <w:p>
                  <w:pPr>
                    <w:widowControl/>
                    <w:snapToGrid w:val="0"/>
                    <w:jc w:val="center"/>
                    <w:rPr>
                      <w:rFonts w:hint="eastAsia" w:eastAsia="宋体"/>
                      <w:color w:val="auto"/>
                      <w:kern w:val="0"/>
                      <w:szCs w:val="21"/>
                      <w:lang w:eastAsia="zh-CN"/>
                    </w:rPr>
                  </w:pPr>
                  <w:r>
                    <w:rPr>
                      <w:rFonts w:hint="eastAsia"/>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7</w:t>
                  </w:r>
                </w:p>
              </w:tc>
              <w:tc>
                <w:tcPr>
                  <w:tcW w:w="659" w:type="pct"/>
                  <w:vMerge w:val="restart"/>
                  <w:tcBorders>
                    <w:tl2br w:val="nil"/>
                    <w:tr2bl w:val="nil"/>
                  </w:tcBorders>
                  <w:vAlign w:val="center"/>
                </w:tcPr>
                <w:p>
                  <w:pPr>
                    <w:pStyle w:val="51"/>
                    <w:jc w:val="center"/>
                    <w:rPr>
                      <w:rFonts w:hint="eastAsia" w:eastAsia="宋体"/>
                      <w:bCs/>
                      <w:color w:val="auto"/>
                      <w:sz w:val="21"/>
                      <w:szCs w:val="21"/>
                      <w:lang w:val="en-US" w:eastAsia="zh-CN"/>
                    </w:rPr>
                  </w:pPr>
                  <w:r>
                    <w:rPr>
                      <w:rFonts w:hint="eastAsia"/>
                      <w:bCs/>
                      <w:color w:val="auto"/>
                      <w:sz w:val="21"/>
                      <w:szCs w:val="21"/>
                    </w:rPr>
                    <w:t>固</w:t>
                  </w:r>
                  <w:r>
                    <w:rPr>
                      <w:rFonts w:hint="eastAsia"/>
                      <w:bCs/>
                      <w:color w:val="auto"/>
                      <w:sz w:val="21"/>
                      <w:szCs w:val="21"/>
                      <w:lang w:val="en-US" w:eastAsia="zh-CN"/>
                    </w:rPr>
                    <w:t>废</w:t>
                  </w:r>
                </w:p>
              </w:tc>
              <w:tc>
                <w:tcPr>
                  <w:tcW w:w="1023"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分拣工序</w:t>
                  </w:r>
                </w:p>
              </w:tc>
              <w:tc>
                <w:tcPr>
                  <w:tcW w:w="1633" w:type="pct"/>
                  <w:tcBorders>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S1：分拣废物</w:t>
                  </w:r>
                </w:p>
              </w:tc>
              <w:tc>
                <w:tcPr>
                  <w:tcW w:w="1298" w:type="pct"/>
                  <w:tcBorders>
                    <w:tl2br w:val="nil"/>
                    <w:tr2bl w:val="nil"/>
                  </w:tcBorders>
                  <w:vAlign w:val="center"/>
                </w:tcPr>
                <w:p>
                  <w:pPr>
                    <w:widowControl/>
                    <w:snapToGrid w:val="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8</w:t>
                  </w:r>
                </w:p>
              </w:tc>
              <w:tc>
                <w:tcPr>
                  <w:tcW w:w="659" w:type="pct"/>
                  <w:vMerge w:val="continue"/>
                  <w:tcBorders>
                    <w:tl2br w:val="nil"/>
                    <w:tr2bl w:val="nil"/>
                  </w:tcBorders>
                  <w:vAlign w:val="center"/>
                </w:tcPr>
                <w:p>
                  <w:pPr>
                    <w:pStyle w:val="51"/>
                    <w:jc w:val="center"/>
                    <w:rPr>
                      <w:rFonts w:hint="eastAsia"/>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生产过程</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S2：残次品</w:t>
                  </w:r>
                </w:p>
              </w:tc>
              <w:tc>
                <w:tcPr>
                  <w:tcW w:w="1298" w:type="pct"/>
                  <w:tcBorders>
                    <w:tl2br w:val="nil"/>
                    <w:tr2bl w:val="nil"/>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9</w:t>
                  </w:r>
                </w:p>
              </w:tc>
              <w:tc>
                <w:tcPr>
                  <w:tcW w:w="659" w:type="pct"/>
                  <w:vMerge w:val="continue"/>
                  <w:tcBorders>
                    <w:tl2br w:val="nil"/>
                    <w:tr2bl w:val="nil"/>
                  </w:tcBorders>
                  <w:vAlign w:val="center"/>
                </w:tcPr>
                <w:p>
                  <w:pPr>
                    <w:pStyle w:val="51"/>
                    <w:jc w:val="center"/>
                    <w:rPr>
                      <w:rFonts w:hint="eastAsia"/>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生产过程</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S3：废滤网</w:t>
                  </w:r>
                </w:p>
              </w:tc>
              <w:tc>
                <w:tcPr>
                  <w:tcW w:w="1298" w:type="pct"/>
                  <w:tcBorders>
                    <w:tl2br w:val="nil"/>
                    <w:tr2bl w:val="nil"/>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10</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废气处理设备</w:t>
                  </w:r>
                </w:p>
              </w:tc>
              <w:tc>
                <w:tcPr>
                  <w:tcW w:w="1633" w:type="pct"/>
                  <w:tcBorders>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S4：废活性炭</w:t>
                  </w:r>
                </w:p>
              </w:tc>
              <w:tc>
                <w:tcPr>
                  <w:tcW w:w="1298" w:type="pct"/>
                  <w:tcBorders>
                    <w:tl2br w:val="nil"/>
                    <w:tr2bl w:val="nil"/>
                  </w:tcBorders>
                  <w:vAlign w:val="center"/>
                </w:tcPr>
                <w:p>
                  <w:pPr>
                    <w:widowControl/>
                    <w:snapToGrid w:val="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11</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eastAsia" w:eastAsia="宋体"/>
                      <w:bCs/>
                      <w:color w:val="auto"/>
                      <w:sz w:val="21"/>
                      <w:szCs w:val="21"/>
                      <w:lang w:eastAsia="zh-CN"/>
                    </w:rPr>
                  </w:pPr>
                  <w:r>
                    <w:rPr>
                      <w:rFonts w:hint="eastAsia"/>
                      <w:bCs/>
                      <w:color w:val="auto"/>
                      <w:sz w:val="21"/>
                      <w:szCs w:val="21"/>
                      <w:lang w:val="en-US" w:eastAsia="zh-CN"/>
                    </w:rPr>
                    <w:t>废气处理设施</w:t>
                  </w:r>
                </w:p>
              </w:tc>
              <w:tc>
                <w:tcPr>
                  <w:tcW w:w="1633" w:type="pct"/>
                  <w:tcBorders>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S5：废催化剂</w:t>
                  </w:r>
                </w:p>
              </w:tc>
              <w:tc>
                <w:tcPr>
                  <w:tcW w:w="1298" w:type="pct"/>
                  <w:tcBorders>
                    <w:tl2br w:val="nil"/>
                    <w:tr2bl w:val="nil"/>
                  </w:tcBorders>
                  <w:vAlign w:val="center"/>
                </w:tcPr>
                <w:p>
                  <w:pPr>
                    <w:widowControl/>
                    <w:snapToGrid w:val="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12</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eastAsia="宋体"/>
                      <w:bCs/>
                      <w:color w:val="auto"/>
                      <w:sz w:val="21"/>
                      <w:szCs w:val="21"/>
                      <w:lang w:val="en-US" w:eastAsia="zh-CN"/>
                    </w:rPr>
                  </w:pPr>
                  <w:r>
                    <w:rPr>
                      <w:rFonts w:hint="eastAsia"/>
                      <w:bCs/>
                      <w:color w:val="auto"/>
                      <w:sz w:val="21"/>
                      <w:szCs w:val="21"/>
                      <w:lang w:val="en-US" w:eastAsia="zh-CN"/>
                    </w:rPr>
                    <w:t>废气处理设施</w:t>
                  </w:r>
                </w:p>
              </w:tc>
              <w:tc>
                <w:tcPr>
                  <w:tcW w:w="1633" w:type="pct"/>
                  <w:tcBorders>
                    <w:tl2br w:val="nil"/>
                    <w:tr2bl w:val="nil"/>
                  </w:tcBorders>
                  <w:vAlign w:val="center"/>
                </w:tcPr>
                <w:p>
                  <w:pPr>
                    <w:pStyle w:val="51"/>
                    <w:jc w:val="both"/>
                    <w:rPr>
                      <w:rFonts w:hint="default" w:eastAsia="宋体"/>
                      <w:bCs/>
                      <w:color w:val="auto"/>
                      <w:sz w:val="21"/>
                      <w:szCs w:val="21"/>
                      <w:lang w:val="en-US" w:eastAsia="zh-CN"/>
                    </w:rPr>
                  </w:pPr>
                  <w:r>
                    <w:rPr>
                      <w:rFonts w:hint="eastAsia"/>
                      <w:bCs/>
                      <w:color w:val="auto"/>
                      <w:sz w:val="21"/>
                      <w:szCs w:val="21"/>
                      <w:lang w:val="en-US" w:eastAsia="zh-CN"/>
                    </w:rPr>
                    <w:t>S6：收集尘</w:t>
                  </w:r>
                </w:p>
              </w:tc>
              <w:tc>
                <w:tcPr>
                  <w:tcW w:w="1298" w:type="pct"/>
                  <w:tcBorders>
                    <w:tl2br w:val="nil"/>
                    <w:tr2bl w:val="nil"/>
                  </w:tcBorders>
                  <w:vAlign w:val="center"/>
                </w:tcPr>
                <w:p>
                  <w:pPr>
                    <w:widowControl/>
                    <w:snapToGrid w:val="0"/>
                    <w:jc w:val="center"/>
                    <w:rPr>
                      <w:color w:val="auto"/>
                      <w:kern w:val="0"/>
                      <w:szCs w:val="21"/>
                    </w:rPr>
                  </w:pP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13</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设备保养</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S7：废机油</w:t>
                  </w:r>
                </w:p>
              </w:tc>
              <w:tc>
                <w:tcPr>
                  <w:tcW w:w="1298" w:type="pct"/>
                  <w:tcBorders>
                    <w:tl2br w:val="nil"/>
                    <w:tr2bl w:val="nil"/>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14</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沉淀池</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S8：污泥</w:t>
                  </w:r>
                </w:p>
              </w:tc>
              <w:tc>
                <w:tcPr>
                  <w:tcW w:w="1298" w:type="pct"/>
                  <w:tcBorders>
                    <w:tl2br w:val="nil"/>
                    <w:tr2bl w:val="nil"/>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385"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15</w:t>
                  </w:r>
                </w:p>
              </w:tc>
              <w:tc>
                <w:tcPr>
                  <w:tcW w:w="659" w:type="pct"/>
                  <w:vMerge w:val="continue"/>
                  <w:tcBorders>
                    <w:tl2br w:val="nil"/>
                    <w:tr2bl w:val="nil"/>
                  </w:tcBorders>
                  <w:vAlign w:val="center"/>
                </w:tcPr>
                <w:p>
                  <w:pPr>
                    <w:pStyle w:val="51"/>
                    <w:jc w:val="center"/>
                    <w:rPr>
                      <w:bCs/>
                      <w:color w:val="auto"/>
                      <w:sz w:val="21"/>
                      <w:szCs w:val="21"/>
                    </w:rPr>
                  </w:pPr>
                </w:p>
              </w:tc>
              <w:tc>
                <w:tcPr>
                  <w:tcW w:w="1023" w:type="pct"/>
                  <w:tcBorders>
                    <w:tl2br w:val="nil"/>
                    <w:tr2bl w:val="nil"/>
                  </w:tcBorders>
                  <w:vAlign w:val="center"/>
                </w:tcPr>
                <w:p>
                  <w:pPr>
                    <w:pStyle w:val="51"/>
                    <w:jc w:val="center"/>
                    <w:rPr>
                      <w:rFonts w:hint="default"/>
                      <w:bCs/>
                      <w:color w:val="auto"/>
                      <w:sz w:val="21"/>
                      <w:szCs w:val="21"/>
                      <w:lang w:val="en-US" w:eastAsia="zh-CN"/>
                    </w:rPr>
                  </w:pPr>
                  <w:r>
                    <w:rPr>
                      <w:rFonts w:hint="eastAsia"/>
                      <w:bCs/>
                      <w:color w:val="auto"/>
                      <w:sz w:val="21"/>
                      <w:szCs w:val="21"/>
                      <w:lang w:val="en-US" w:eastAsia="zh-CN"/>
                    </w:rPr>
                    <w:t>员工生活</w:t>
                  </w:r>
                </w:p>
              </w:tc>
              <w:tc>
                <w:tcPr>
                  <w:tcW w:w="1633" w:type="pct"/>
                  <w:tcBorders>
                    <w:tl2br w:val="nil"/>
                    <w:tr2bl w:val="nil"/>
                  </w:tcBorders>
                  <w:vAlign w:val="center"/>
                </w:tcPr>
                <w:p>
                  <w:pPr>
                    <w:pStyle w:val="51"/>
                    <w:jc w:val="both"/>
                    <w:rPr>
                      <w:rFonts w:hint="default"/>
                      <w:bCs/>
                      <w:color w:val="auto"/>
                      <w:sz w:val="21"/>
                      <w:szCs w:val="21"/>
                      <w:lang w:val="en-US" w:eastAsia="zh-CN"/>
                    </w:rPr>
                  </w:pPr>
                  <w:r>
                    <w:rPr>
                      <w:rFonts w:hint="eastAsia"/>
                      <w:bCs/>
                      <w:color w:val="auto"/>
                      <w:sz w:val="21"/>
                      <w:szCs w:val="21"/>
                      <w:lang w:val="en-US" w:eastAsia="zh-CN"/>
                    </w:rPr>
                    <w:t>S9：生活垃圾</w:t>
                  </w:r>
                </w:p>
              </w:tc>
              <w:tc>
                <w:tcPr>
                  <w:tcW w:w="1298" w:type="pct"/>
                  <w:tcBorders>
                    <w:tl2br w:val="nil"/>
                    <w:tr2bl w:val="nil"/>
                  </w:tcBorders>
                  <w:vAlign w:val="center"/>
                </w:tcPr>
                <w:p>
                  <w:pPr>
                    <w:widowControl/>
                    <w:snapToGrid w:val="0"/>
                    <w:jc w:val="center"/>
                    <w:rPr>
                      <w:rFonts w:hint="eastAsia" w:eastAsia="宋体"/>
                      <w:color w:val="auto"/>
                      <w:kern w:val="0"/>
                      <w:szCs w:val="21"/>
                      <w:lang w:val="en-US" w:eastAsia="zh-CN"/>
                    </w:rPr>
                  </w:pPr>
                  <w:r>
                    <w:rPr>
                      <w:rFonts w:hint="eastAsia"/>
                      <w:color w:val="auto"/>
                      <w:kern w:val="0"/>
                      <w:szCs w:val="21"/>
                      <w:lang w:val="en-US" w:eastAsia="zh-CN"/>
                    </w:rPr>
                    <w:t>/</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20" w:hRule="atLeast"/>
          <w:jc w:val="center"/>
        </w:trPr>
        <w:tc>
          <w:tcPr>
            <w:tcW w:w="732" w:type="dxa"/>
            <w:vAlign w:val="center"/>
          </w:tcPr>
          <w:p>
            <w:pPr>
              <w:pStyle w:val="24"/>
              <w:adjustRightInd w:val="0"/>
              <w:snapToGrid w:val="0"/>
              <w:spacing w:before="0" w:beforeAutospacing="0" w:after="0" w:afterAutospacing="0" w:line="360" w:lineRule="auto"/>
              <w:jc w:val="center"/>
              <w:rPr>
                <w:rFonts w:ascii="Times New Roman" w:hAnsi="Times New Roman"/>
                <w:color w:val="auto"/>
                <w:sz w:val="21"/>
                <w:szCs w:val="21"/>
              </w:rPr>
            </w:pPr>
            <w:r>
              <w:rPr>
                <w:rFonts w:ascii="Times New Roman" w:hAnsi="Times New Roman"/>
                <w:bCs/>
                <w:color w:val="auto"/>
                <w:kern w:val="2"/>
                <w:sz w:val="24"/>
                <w:szCs w:val="24"/>
              </w:rPr>
              <w:t>与项目有关的原有环境污染问题</w:t>
            </w:r>
          </w:p>
        </w:tc>
        <w:tc>
          <w:tcPr>
            <w:tcW w:w="8328" w:type="dxa"/>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bCs/>
                <w:color w:val="auto"/>
                <w:szCs w:val="21"/>
              </w:rPr>
            </w:pPr>
            <w:r>
              <w:rPr>
                <w:color w:val="auto"/>
                <w:sz w:val="24"/>
              </w:rPr>
              <w:t>本项目位于新疆维吾尔自治区昌吉回族自治州</w:t>
            </w:r>
            <w:r>
              <w:rPr>
                <w:rFonts w:hint="eastAsia"/>
                <w:color w:val="auto"/>
                <w:sz w:val="24"/>
                <w:lang w:val="en-US" w:eastAsia="zh-CN"/>
              </w:rPr>
              <w:t>阜康市苏通小微创业园</w:t>
            </w:r>
            <w:r>
              <w:rPr>
                <w:color w:val="auto"/>
                <w:sz w:val="24"/>
              </w:rPr>
              <w:t>，</w:t>
            </w:r>
            <w:r>
              <w:rPr>
                <w:rFonts w:hint="eastAsia"/>
                <w:color w:val="auto"/>
                <w:sz w:val="24"/>
                <w:lang w:val="en-US" w:eastAsia="zh-CN"/>
              </w:rPr>
              <w:t>项目租用新疆安居超越建材有限公司闲置空厂房，购置安装2条塑料再生颗粒生产线</w:t>
            </w:r>
            <w:r>
              <w:rPr>
                <w:color w:val="auto"/>
                <w:sz w:val="24"/>
              </w:rPr>
              <w:t>，不存在原有污染问题。</w:t>
            </w:r>
          </w:p>
        </w:tc>
      </w:tr>
    </w:tbl>
    <w:p>
      <w:pPr>
        <w:pStyle w:val="24"/>
        <w:jc w:val="center"/>
        <w:rPr>
          <w:rFonts w:ascii="Times New Roman" w:hAnsi="Times New Roman"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rPr>
      </w:pPr>
    </w:p>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8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spacing w:line="360" w:lineRule="auto"/>
              <w:jc w:val="center"/>
              <w:rPr>
                <w:color w:val="auto"/>
                <w:kern w:val="0"/>
                <w:sz w:val="24"/>
                <w:szCs w:val="24"/>
              </w:rPr>
            </w:pPr>
            <w:r>
              <w:rPr>
                <w:color w:val="auto"/>
                <w:kern w:val="0"/>
                <w:sz w:val="24"/>
                <w:szCs w:val="24"/>
              </w:rPr>
              <w:t>区域</w:t>
            </w:r>
          </w:p>
          <w:p>
            <w:pPr>
              <w:adjustRightInd w:val="0"/>
              <w:snapToGrid w:val="0"/>
              <w:spacing w:line="360" w:lineRule="auto"/>
              <w:jc w:val="center"/>
              <w:rPr>
                <w:color w:val="auto"/>
                <w:kern w:val="0"/>
                <w:sz w:val="24"/>
                <w:szCs w:val="24"/>
              </w:rPr>
            </w:pPr>
            <w:r>
              <w:rPr>
                <w:color w:val="auto"/>
                <w:kern w:val="0"/>
                <w:sz w:val="24"/>
                <w:szCs w:val="24"/>
              </w:rPr>
              <w:t>环境</w:t>
            </w:r>
          </w:p>
          <w:p>
            <w:pPr>
              <w:adjustRightInd w:val="0"/>
              <w:snapToGrid w:val="0"/>
              <w:spacing w:line="360" w:lineRule="auto"/>
              <w:jc w:val="center"/>
              <w:rPr>
                <w:color w:val="auto"/>
                <w:kern w:val="0"/>
                <w:sz w:val="24"/>
                <w:szCs w:val="24"/>
              </w:rPr>
            </w:pPr>
            <w:r>
              <w:rPr>
                <w:color w:val="auto"/>
                <w:kern w:val="0"/>
                <w:sz w:val="24"/>
                <w:szCs w:val="24"/>
              </w:rPr>
              <w:t>质量</w:t>
            </w:r>
          </w:p>
          <w:p>
            <w:pPr>
              <w:adjustRightInd w:val="0"/>
              <w:snapToGrid w:val="0"/>
              <w:spacing w:line="360" w:lineRule="auto"/>
              <w:jc w:val="center"/>
              <w:rPr>
                <w:color w:val="auto"/>
                <w:kern w:val="0"/>
                <w:szCs w:val="21"/>
              </w:rPr>
            </w:pPr>
            <w:r>
              <w:rPr>
                <w:color w:val="auto"/>
                <w:kern w:val="0"/>
                <w:sz w:val="24"/>
                <w:szCs w:val="24"/>
              </w:rPr>
              <w:t>现状</w:t>
            </w:r>
          </w:p>
        </w:tc>
        <w:tc>
          <w:tcPr>
            <w:tcW w:w="8190" w:type="dxa"/>
          </w:tcPr>
          <w:p>
            <w:pPr>
              <w:pStyle w:val="3"/>
              <w:keepNext/>
              <w:keepLines/>
              <w:pageBreakBefore w:val="0"/>
              <w:widowControl w:val="0"/>
              <w:numPr>
                <w:ilvl w:val="0"/>
                <w:numId w:val="15"/>
              </w:numPr>
              <w:tabs>
                <w:tab w:val="left" w:pos="1080"/>
              </w:tabs>
              <w:kinsoku/>
              <w:wordWrap/>
              <w:overflowPunct/>
              <w:topLinePunct w:val="0"/>
              <w:autoSpaceDE/>
              <w:autoSpaceDN/>
              <w:bidi w:val="0"/>
              <w:adjustRightInd/>
              <w:snapToGrid/>
              <w:spacing w:line="520" w:lineRule="exact"/>
              <w:jc w:val="both"/>
              <w:textAlignment w:val="auto"/>
              <w:rPr>
                <w:b/>
                <w:bCs/>
                <w:color w:val="auto"/>
                <w:sz w:val="24"/>
              </w:rPr>
            </w:pPr>
            <w:r>
              <w:rPr>
                <w:b/>
                <w:bCs/>
                <w:color w:val="auto"/>
                <w:sz w:val="24"/>
              </w:rPr>
              <w:t>环境空气质量现状</w:t>
            </w:r>
          </w:p>
          <w:p>
            <w:pPr>
              <w:pageBreakBefore w:val="0"/>
              <w:widowControl w:val="0"/>
              <w:kinsoku/>
              <w:wordWrap/>
              <w:overflowPunct/>
              <w:topLinePunct w:val="0"/>
              <w:autoSpaceDE/>
              <w:autoSpaceDN/>
              <w:bidi w:val="0"/>
              <w:adjustRightInd w:val="0"/>
              <w:snapToGrid w:val="0"/>
              <w:spacing w:line="520" w:lineRule="exact"/>
              <w:jc w:val="left"/>
              <w:textAlignment w:val="auto"/>
              <w:rPr>
                <w:color w:val="auto"/>
              </w:rPr>
            </w:pPr>
            <w:r>
              <w:rPr>
                <w:b/>
                <w:bCs/>
                <w:color w:val="auto"/>
                <w:sz w:val="24"/>
              </w:rPr>
              <w:t>1.1 基本污染物环境质量现状评价</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color w:val="auto"/>
                <w:sz w:val="24"/>
              </w:rPr>
              <w:t>根据《建设项目环境影响报告表编制技术指南（污染影响类）》的要求，本项目基本污染物环境质量现状评价采用环境专业知识服务系统发布的202</w:t>
            </w:r>
            <w:r>
              <w:rPr>
                <w:rFonts w:hint="eastAsia"/>
                <w:color w:val="auto"/>
                <w:sz w:val="24"/>
                <w:lang w:val="en-US" w:eastAsia="zh-CN"/>
              </w:rPr>
              <w:t>2</w:t>
            </w:r>
            <w:r>
              <w:rPr>
                <w:color w:val="auto"/>
                <w:sz w:val="24"/>
              </w:rPr>
              <w:t>年1月1日至202</w:t>
            </w:r>
            <w:r>
              <w:rPr>
                <w:rFonts w:hint="eastAsia"/>
                <w:color w:val="auto"/>
                <w:sz w:val="24"/>
                <w:lang w:val="en-US" w:eastAsia="zh-CN"/>
              </w:rPr>
              <w:t>2</w:t>
            </w:r>
            <w:r>
              <w:rPr>
                <w:color w:val="auto"/>
                <w:sz w:val="24"/>
              </w:rPr>
              <w:t>年12月31日昌吉州城市空气质量数据，</w:t>
            </w:r>
            <w:r>
              <w:rPr>
                <w:rFonts w:hint="default"/>
                <w:color w:val="auto"/>
                <w:sz w:val="24"/>
              </w:rPr>
              <w:t>本次评价选取阜康市监测站202</w:t>
            </w:r>
            <w:r>
              <w:rPr>
                <w:rFonts w:hint="eastAsia"/>
                <w:color w:val="auto"/>
                <w:sz w:val="24"/>
                <w:lang w:val="en-US" w:eastAsia="zh-CN"/>
              </w:rPr>
              <w:t>2</w:t>
            </w:r>
            <w:r>
              <w:rPr>
                <w:rFonts w:hint="default"/>
                <w:color w:val="auto"/>
                <w:sz w:val="24"/>
              </w:rPr>
              <w:t>年的监测数据，作为本项目环境空气现状评价基本污染物SO</w:t>
            </w:r>
            <w:r>
              <w:rPr>
                <w:rFonts w:hint="default"/>
                <w:color w:val="auto"/>
                <w:sz w:val="24"/>
                <w:vertAlign w:val="subscript"/>
              </w:rPr>
              <w:t>2</w:t>
            </w:r>
            <w:r>
              <w:rPr>
                <w:rFonts w:hint="default"/>
                <w:color w:val="auto"/>
                <w:sz w:val="24"/>
              </w:rPr>
              <w:t>、NO</w:t>
            </w:r>
            <w:r>
              <w:rPr>
                <w:rFonts w:hint="default"/>
                <w:color w:val="auto"/>
                <w:sz w:val="24"/>
                <w:vertAlign w:val="subscript"/>
              </w:rPr>
              <w:t>2</w:t>
            </w:r>
            <w:r>
              <w:rPr>
                <w:rFonts w:hint="default"/>
                <w:color w:val="auto"/>
                <w:sz w:val="24"/>
              </w:rPr>
              <w:t>、PM</w:t>
            </w:r>
            <w:r>
              <w:rPr>
                <w:rFonts w:hint="default"/>
                <w:color w:val="auto"/>
                <w:sz w:val="24"/>
                <w:vertAlign w:val="subscript"/>
              </w:rPr>
              <w:t>10</w:t>
            </w:r>
            <w:r>
              <w:rPr>
                <w:rFonts w:hint="default"/>
                <w:color w:val="auto"/>
                <w:sz w:val="24"/>
              </w:rPr>
              <w:t>、PM</w:t>
            </w:r>
            <w:r>
              <w:rPr>
                <w:rFonts w:hint="default"/>
                <w:color w:val="auto"/>
                <w:sz w:val="24"/>
                <w:vertAlign w:val="subscript"/>
              </w:rPr>
              <w:t>2.5</w:t>
            </w:r>
            <w:r>
              <w:rPr>
                <w:rFonts w:hint="default"/>
                <w:color w:val="auto"/>
                <w:sz w:val="24"/>
              </w:rPr>
              <w:t>、CO和O</w:t>
            </w:r>
            <w:r>
              <w:rPr>
                <w:rFonts w:hint="default"/>
                <w:color w:val="auto"/>
                <w:sz w:val="24"/>
                <w:vertAlign w:val="subscript"/>
              </w:rPr>
              <w:t>3</w:t>
            </w:r>
            <w:r>
              <w:rPr>
                <w:rFonts w:hint="default"/>
                <w:color w:val="auto"/>
                <w:sz w:val="24"/>
              </w:rPr>
              <w:t>的数据来源。</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color w:val="auto"/>
                <w:sz w:val="24"/>
              </w:rPr>
            </w:pPr>
            <w:r>
              <w:rPr>
                <w:color w:val="auto"/>
                <w:sz w:val="24"/>
              </w:rPr>
              <w:t>（1）评价标准</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项目所在区域环境空气质量执行《环境空气质量标准》（GB3095-2012）二级标准。</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（2）评价结果统计</w:t>
            </w:r>
          </w:p>
          <w:p>
            <w:pPr>
              <w:keepNext w:val="0"/>
              <w:keepLines w:val="0"/>
              <w:pageBreakBefore w:val="0"/>
              <w:widowControl w:val="0"/>
              <w:kinsoku/>
              <w:wordWrap/>
              <w:overflowPunct/>
              <w:topLinePunct w:val="0"/>
              <w:autoSpaceDE/>
              <w:autoSpaceDN/>
              <w:bidi w:val="0"/>
              <w:adjustRightInd/>
              <w:spacing w:line="520" w:lineRule="exact"/>
              <w:ind w:firstLine="480" w:firstLineChars="200"/>
              <w:textAlignment w:val="auto"/>
              <w:rPr>
                <w:color w:val="auto"/>
                <w:sz w:val="24"/>
              </w:rPr>
            </w:pPr>
            <w:r>
              <w:rPr>
                <w:color w:val="auto"/>
                <w:sz w:val="24"/>
              </w:rPr>
              <w:t>区域环境空气质量现状评价结果见表3-1。</w:t>
            </w:r>
          </w:p>
          <w:p>
            <w:pPr>
              <w:pStyle w:val="13"/>
              <w:keepNext w:val="0"/>
              <w:keepLines w:val="0"/>
              <w:pageBreakBefore w:val="0"/>
              <w:widowControl w:val="0"/>
              <w:kinsoku/>
              <w:wordWrap/>
              <w:overflowPunct/>
              <w:topLinePunct w:val="0"/>
              <w:autoSpaceDE/>
              <w:autoSpaceDN/>
              <w:bidi w:val="0"/>
              <w:adjustRightInd/>
              <w:snapToGrid w:val="0"/>
              <w:spacing w:before="0" w:after="0" w:line="520" w:lineRule="exact"/>
              <w:textAlignment w:val="auto"/>
              <w:rPr>
                <w:b/>
                <w:bCs/>
                <w:color w:val="auto"/>
                <w:sz w:val="21"/>
                <w:szCs w:val="21"/>
              </w:rPr>
            </w:pPr>
            <w:r>
              <w:rPr>
                <w:b/>
                <w:bCs/>
                <w:color w:val="auto"/>
                <w:sz w:val="21"/>
                <w:szCs w:val="21"/>
              </w:rPr>
              <w:t>表3-1  区域环境空气质量现状评价结果表</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49"/>
              <w:gridCol w:w="16"/>
              <w:gridCol w:w="3162"/>
              <w:gridCol w:w="1105"/>
              <w:gridCol w:w="20"/>
              <w:gridCol w:w="1161"/>
              <w:gridCol w:w="843"/>
              <w:gridCol w:w="76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699" w:type="pct"/>
                  <w:vMerge w:val="restart"/>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评价因子</w:t>
                  </w:r>
                </w:p>
              </w:tc>
              <w:tc>
                <w:tcPr>
                  <w:tcW w:w="1932" w:type="pct"/>
                  <w:gridSpan w:val="2"/>
                  <w:vMerge w:val="restart"/>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平均时段</w:t>
                  </w:r>
                </w:p>
              </w:tc>
              <w:tc>
                <w:tcPr>
                  <w:tcW w:w="684" w:type="pct"/>
                  <w:gridSpan w:val="2"/>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评价标准</w:t>
                  </w:r>
                </w:p>
              </w:tc>
              <w:tc>
                <w:tcPr>
                  <w:tcW w:w="706" w:type="pct"/>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现状浓度</w:t>
                  </w:r>
                </w:p>
              </w:tc>
              <w:tc>
                <w:tcPr>
                  <w:tcW w:w="513" w:type="pct"/>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占标</w:t>
                  </w:r>
                </w:p>
              </w:tc>
              <w:tc>
                <w:tcPr>
                  <w:tcW w:w="463" w:type="pct"/>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699" w:type="pct"/>
                  <w:vMerge w:val="continue"/>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p>
              </w:tc>
              <w:tc>
                <w:tcPr>
                  <w:tcW w:w="1932" w:type="pct"/>
                  <w:gridSpan w:val="2"/>
                  <w:vMerge w:val="continue"/>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p>
              </w:tc>
              <w:tc>
                <w:tcPr>
                  <w:tcW w:w="684" w:type="pct"/>
                  <w:gridSpan w:val="2"/>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6" w:type="pct"/>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13" w:type="pct"/>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率(%)</w:t>
                  </w:r>
                </w:p>
              </w:tc>
              <w:tc>
                <w:tcPr>
                  <w:tcW w:w="463" w:type="pct"/>
                  <w:tcBorders>
                    <w:bottom w:val="single" w:color="000000" w:sz="12" w:space="0"/>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9" w:type="pct"/>
                  <w:vMerge w:val="restart"/>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932" w:type="pct"/>
                  <w:gridSpan w:val="2"/>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24h平均第98百分位数</w:t>
                  </w:r>
                </w:p>
              </w:tc>
              <w:tc>
                <w:tcPr>
                  <w:tcW w:w="684" w:type="pct"/>
                  <w:gridSpan w:val="2"/>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706" w:type="pct"/>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513" w:type="pct"/>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13.33</w:t>
                  </w:r>
                </w:p>
              </w:tc>
              <w:tc>
                <w:tcPr>
                  <w:tcW w:w="463" w:type="pct"/>
                  <w:tcBorders>
                    <w:top w:val="single" w:color="000000" w:sz="12" w:space="0"/>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92" w:hRule="atLeast"/>
                <w:jc w:val="center"/>
              </w:trPr>
              <w:tc>
                <w:tcPr>
                  <w:tcW w:w="699" w:type="pct"/>
                  <w:vMerge w:val="continue"/>
                  <w:tcBorders>
                    <w:tl2br w:val="nil"/>
                    <w:tr2bl w:val="nil"/>
                  </w:tcBorders>
                  <w:noWrap w:val="0"/>
                  <w:vAlign w:val="center"/>
                </w:tcPr>
                <w:p>
                  <w:pPr>
                    <w:pStyle w:val="50"/>
                    <w:rPr>
                      <w:rFonts w:hint="default" w:ascii="Times New Roman" w:hAnsi="Times New Roman" w:eastAsia="宋体" w:cs="Times New Roman"/>
                      <w:color w:val="auto"/>
                      <w:sz w:val="21"/>
                      <w:szCs w:val="21"/>
                    </w:rPr>
                  </w:pP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706" w:type="pct"/>
                  <w:tcBorders>
                    <w:tl2br w:val="nil"/>
                    <w:tr2bl w:val="nil"/>
                  </w:tcBorders>
                  <w:noWrap w:val="0"/>
                  <w:vAlign w:val="center"/>
                </w:tcPr>
                <w:p>
                  <w:pPr>
                    <w:pStyle w:val="5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9</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9" w:type="pct"/>
                  <w:vMerge w:val="restar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24h平均第98百分位数</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76</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95.00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77" w:hRule="atLeast"/>
                <w:jc w:val="center"/>
              </w:trPr>
              <w:tc>
                <w:tcPr>
                  <w:tcW w:w="699" w:type="pct"/>
                  <w:vMerge w:val="continue"/>
                  <w:tcBorders>
                    <w:tl2br w:val="nil"/>
                    <w:tr2bl w:val="nil"/>
                  </w:tcBorders>
                  <w:noWrap w:val="0"/>
                  <w:vAlign w:val="center"/>
                </w:tcPr>
                <w:p>
                  <w:pPr>
                    <w:pStyle w:val="50"/>
                    <w:rPr>
                      <w:rFonts w:hint="default" w:ascii="Times New Roman" w:hAnsi="Times New Roman" w:eastAsia="宋体" w:cs="Times New Roman"/>
                      <w:color w:val="auto"/>
                      <w:sz w:val="21"/>
                      <w:szCs w:val="21"/>
                    </w:rPr>
                  </w:pP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65.00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92" w:hRule="atLeast"/>
                <w:jc w:val="center"/>
              </w:trPr>
              <w:tc>
                <w:tcPr>
                  <w:tcW w:w="699" w:type="pct"/>
                  <w:vMerge w:val="restar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24h平均第95百分位数</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435</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290.00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92" w:hRule="atLeast"/>
                <w:jc w:val="center"/>
              </w:trPr>
              <w:tc>
                <w:tcPr>
                  <w:tcW w:w="699" w:type="pct"/>
                  <w:vMerge w:val="continue"/>
                  <w:tcBorders>
                    <w:tl2br w:val="nil"/>
                    <w:tr2bl w:val="nil"/>
                  </w:tcBorders>
                  <w:noWrap w:val="0"/>
                  <w:vAlign w:val="center"/>
                </w:tcPr>
                <w:p>
                  <w:pPr>
                    <w:pStyle w:val="50"/>
                    <w:rPr>
                      <w:rFonts w:hint="default" w:ascii="Times New Roman" w:hAnsi="Times New Roman" w:eastAsia="宋体" w:cs="Times New Roman"/>
                      <w:color w:val="auto"/>
                      <w:sz w:val="21"/>
                      <w:szCs w:val="21"/>
                    </w:rPr>
                  </w:pP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82</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117.14</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2" w:hRule="atLeast"/>
                <w:jc w:val="center"/>
              </w:trPr>
              <w:tc>
                <w:tcPr>
                  <w:tcW w:w="699" w:type="pct"/>
                  <w:vMerge w:val="restar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24h平均第95百分位数</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354</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472.00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9" w:type="pct"/>
                  <w:vMerge w:val="continue"/>
                  <w:tcBorders>
                    <w:tl2br w:val="nil"/>
                    <w:tr2bl w:val="nil"/>
                  </w:tcBorders>
                  <w:noWrap w:val="0"/>
                  <w:vAlign w:val="center"/>
                </w:tcPr>
                <w:p>
                  <w:pPr>
                    <w:pStyle w:val="50"/>
                    <w:rPr>
                      <w:rFonts w:hint="default" w:ascii="Times New Roman" w:hAnsi="Times New Roman" w:eastAsia="宋体" w:cs="Times New Roman"/>
                      <w:color w:val="auto"/>
                      <w:sz w:val="21"/>
                      <w:szCs w:val="21"/>
                    </w:rPr>
                  </w:pP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年平均浓度</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142.</w:t>
                  </w:r>
                  <w:r>
                    <w:rPr>
                      <w:rFonts w:hint="eastAsia" w:cs="Times New Roman"/>
                      <w:color w:val="auto"/>
                      <w:sz w:val="21"/>
                      <w:szCs w:val="21"/>
                      <w:lang w:val="en-US" w:eastAsia="zh-CN"/>
                    </w:rPr>
                    <w:t>86</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超标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07" w:hRule="atLeast"/>
                <w:jc w:val="center"/>
              </w:trPr>
              <w:tc>
                <w:tcPr>
                  <w:tcW w:w="699"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932"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24h平均第95百分位数</w:t>
                  </w:r>
                </w:p>
              </w:tc>
              <w:tc>
                <w:tcPr>
                  <w:tcW w:w="684"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4mg/m</w:t>
                  </w:r>
                  <w:r>
                    <w:rPr>
                      <w:rFonts w:hint="default" w:ascii="Times New Roman" w:hAnsi="Times New Roman" w:eastAsia="宋体" w:cs="Times New Roman"/>
                      <w:color w:val="auto"/>
                      <w:sz w:val="21"/>
                      <w:szCs w:val="21"/>
                      <w:vertAlign w:val="superscript"/>
                    </w:rPr>
                    <w:t>3</w:t>
                  </w:r>
                </w:p>
              </w:tc>
              <w:tc>
                <w:tcPr>
                  <w:tcW w:w="706"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2.9</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72.50</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09"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92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日最大8h滑动平均值的</w:t>
                  </w:r>
                </w:p>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第90百分位数</w:t>
                  </w:r>
                </w:p>
              </w:tc>
              <w:tc>
                <w:tcPr>
                  <w:tcW w:w="672"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718" w:type="pct"/>
                  <w:gridSpan w:val="2"/>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126</w:t>
                  </w:r>
                </w:p>
              </w:tc>
              <w:tc>
                <w:tcPr>
                  <w:tcW w:w="513" w:type="pct"/>
                  <w:tcBorders>
                    <w:tl2br w:val="nil"/>
                    <w:tr2bl w:val="nil"/>
                  </w:tcBorders>
                  <w:noWrap w:val="0"/>
                  <w:vAlign w:val="center"/>
                </w:tcPr>
                <w:p>
                  <w:pPr>
                    <w:pStyle w:val="5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78.75</w:t>
                  </w:r>
                </w:p>
              </w:tc>
              <w:tc>
                <w:tcPr>
                  <w:tcW w:w="463" w:type="pct"/>
                  <w:tcBorders>
                    <w:tl2br w:val="nil"/>
                    <w:tr2bl w:val="nil"/>
                  </w:tcBorders>
                  <w:noWrap w:val="0"/>
                  <w:vAlign w:val="center"/>
                </w:tcPr>
                <w:p>
                  <w:pPr>
                    <w:pStyle w:val="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color w:val="auto"/>
                <w:kern w:val="2"/>
                <w:sz w:val="24"/>
                <w:szCs w:val="24"/>
              </w:rPr>
            </w:pPr>
            <w:r>
              <w:rPr>
                <w:color w:val="auto"/>
                <w:kern w:val="2"/>
                <w:sz w:val="24"/>
                <w:szCs w:val="24"/>
              </w:rPr>
              <w:t>由上表可知，本项目所在区域SO</w:t>
            </w:r>
            <w:r>
              <w:rPr>
                <w:color w:val="auto"/>
                <w:kern w:val="2"/>
                <w:sz w:val="24"/>
                <w:szCs w:val="24"/>
                <w:vertAlign w:val="subscript"/>
              </w:rPr>
              <w:t>2</w:t>
            </w:r>
            <w:r>
              <w:rPr>
                <w:color w:val="auto"/>
                <w:kern w:val="2"/>
                <w:sz w:val="24"/>
                <w:szCs w:val="24"/>
              </w:rPr>
              <w:t>、NO</w:t>
            </w:r>
            <w:r>
              <w:rPr>
                <w:color w:val="auto"/>
                <w:kern w:val="2"/>
                <w:sz w:val="24"/>
                <w:szCs w:val="24"/>
                <w:vertAlign w:val="subscript"/>
              </w:rPr>
              <w:t>2</w:t>
            </w:r>
            <w:r>
              <w:rPr>
                <w:color w:val="auto"/>
                <w:kern w:val="2"/>
                <w:sz w:val="24"/>
                <w:szCs w:val="24"/>
              </w:rPr>
              <w:t>、CO、O</w:t>
            </w:r>
            <w:r>
              <w:rPr>
                <w:color w:val="auto"/>
                <w:kern w:val="2"/>
                <w:sz w:val="24"/>
                <w:szCs w:val="24"/>
                <w:vertAlign w:val="subscript"/>
              </w:rPr>
              <w:t>3</w:t>
            </w:r>
            <w:r>
              <w:rPr>
                <w:color w:val="auto"/>
                <w:kern w:val="2"/>
                <w:sz w:val="24"/>
                <w:szCs w:val="24"/>
              </w:rPr>
              <w:t>的浓度均可满足《环境空气质量标准》（GB3095-2012）二级浓度限值，PM</w:t>
            </w:r>
            <w:r>
              <w:rPr>
                <w:color w:val="auto"/>
                <w:kern w:val="2"/>
                <w:sz w:val="24"/>
                <w:szCs w:val="24"/>
                <w:vertAlign w:val="subscript"/>
              </w:rPr>
              <w:t>10</w:t>
            </w:r>
            <w:r>
              <w:rPr>
                <w:color w:val="auto"/>
                <w:kern w:val="2"/>
                <w:sz w:val="24"/>
                <w:szCs w:val="24"/>
              </w:rPr>
              <w:t>、PM</w:t>
            </w:r>
            <w:r>
              <w:rPr>
                <w:color w:val="auto"/>
                <w:kern w:val="2"/>
                <w:sz w:val="24"/>
                <w:szCs w:val="24"/>
                <w:vertAlign w:val="subscript"/>
              </w:rPr>
              <w:t>2.5</w:t>
            </w:r>
            <w:r>
              <w:rPr>
                <w:color w:val="auto"/>
                <w:kern w:val="2"/>
                <w:sz w:val="24"/>
                <w:szCs w:val="24"/>
              </w:rPr>
              <w:t>浓度超过《环境空气质量标准》（GB3095-2012）二级浓度限值。</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textAlignment w:val="auto"/>
              <w:rPr>
                <w:b/>
                <w:bCs/>
                <w:color w:val="auto"/>
                <w:kern w:val="2"/>
                <w:sz w:val="24"/>
                <w:szCs w:val="24"/>
                <w:highlight w:val="none"/>
              </w:rPr>
            </w:pPr>
            <w:r>
              <w:rPr>
                <w:b/>
                <w:bCs/>
                <w:color w:val="auto"/>
                <w:kern w:val="2"/>
                <w:sz w:val="24"/>
                <w:szCs w:val="24"/>
              </w:rPr>
              <w:t>1.2</w:t>
            </w:r>
            <w:r>
              <w:rPr>
                <w:b/>
                <w:bCs/>
                <w:color w:val="auto"/>
                <w:kern w:val="2"/>
                <w:sz w:val="24"/>
                <w:szCs w:val="24"/>
                <w:highlight w:val="none"/>
              </w:rPr>
              <w:t xml:space="preserve"> 其他污染物环境质量现状</w:t>
            </w:r>
          </w:p>
          <w:p>
            <w:pPr>
              <w:pStyle w:val="11"/>
              <w:keepNext w:val="0"/>
              <w:keepLines w:val="0"/>
              <w:pageBreakBefore w:val="0"/>
              <w:kinsoku/>
              <w:wordWrap/>
              <w:overflowPunct/>
              <w:autoSpaceDE/>
              <w:autoSpaceDN/>
              <w:bidi w:val="0"/>
              <w:spacing w:after="0" w:line="520" w:lineRule="exact"/>
              <w:ind w:right="0" w:firstLine="480" w:firstLineChars="200"/>
              <w:textAlignment w:val="auto"/>
              <w:rPr>
                <w:rFonts w:hint="default" w:ascii="Times New Roman" w:hAnsi="Times New Roman" w:cs="Times New Roman"/>
                <w:color w:val="auto"/>
                <w:kern w:val="2"/>
                <w:sz w:val="24"/>
                <w:szCs w:val="24"/>
                <w:highlight w:val="yellow"/>
              </w:rPr>
            </w:pPr>
            <w:r>
              <w:rPr>
                <w:rFonts w:hint="default" w:ascii="Times New Roman" w:hAnsi="Times New Roman" w:cs="Times New Roman"/>
                <w:color w:val="auto"/>
                <w:kern w:val="2"/>
                <w:sz w:val="24"/>
                <w:szCs w:val="24"/>
                <w:highlight w:val="none"/>
              </w:rPr>
              <w:t>根据《建设项目环境影响报告表编制技术指南（污染影响类）》（试行），本项目环境空气污染物其他项目选取《环境空气质量标准》（GB3095-2012）表2中的TSP作为特征污染物来评价项目区域环境空气质量现状，其数据引用自</w:t>
            </w:r>
            <w:r>
              <w:rPr>
                <w:rFonts w:hint="eastAsia" w:cs="Times New Roman"/>
                <w:color w:val="auto"/>
                <w:kern w:val="2"/>
                <w:sz w:val="24"/>
                <w:szCs w:val="24"/>
                <w:highlight w:val="none"/>
                <w:lang w:val="en-US" w:eastAsia="zh-CN"/>
              </w:rPr>
              <w:t>新疆国泰民康职业环境检测评价有限责任公司</w:t>
            </w:r>
            <w:r>
              <w:rPr>
                <w:rFonts w:hint="default" w:ascii="Times New Roman" w:hAnsi="Times New Roman" w:cs="Times New Roman"/>
                <w:color w:val="auto"/>
                <w:kern w:val="2"/>
                <w:sz w:val="24"/>
                <w:szCs w:val="24"/>
                <w:highlight w:val="none"/>
              </w:rPr>
              <w:t>对《</w:t>
            </w:r>
            <w:r>
              <w:rPr>
                <w:rFonts w:hint="eastAsia" w:cs="Times New Roman"/>
                <w:color w:val="auto"/>
                <w:kern w:val="2"/>
                <w:sz w:val="24"/>
                <w:szCs w:val="24"/>
                <w:highlight w:val="none"/>
                <w:lang w:val="en-US" w:eastAsia="zh-CN"/>
              </w:rPr>
              <w:t>新疆汇通路桥机械设备制造有限公司年产20000吨高延性冷轧带肋钢筋网片、70000吨高强度组合钢模板、2000吨桥梁伸缩装置、金属波纹管生产线项目</w:t>
            </w:r>
            <w:r>
              <w:rPr>
                <w:rFonts w:hint="default" w:ascii="Times New Roman" w:hAnsi="Times New Roman" w:cs="Times New Roman"/>
                <w:color w:val="auto"/>
                <w:kern w:val="2"/>
                <w:sz w:val="24"/>
                <w:szCs w:val="24"/>
                <w:highlight w:val="none"/>
              </w:rPr>
              <w:t>》的现状监测，</w:t>
            </w:r>
            <w:r>
              <w:rPr>
                <w:rFonts w:hint="eastAsia" w:cs="Times New Roman"/>
                <w:color w:val="auto"/>
                <w:kern w:val="2"/>
                <w:sz w:val="24"/>
                <w:szCs w:val="24"/>
                <w:highlight w:val="none"/>
                <w:lang w:val="en-US" w:eastAsia="zh-CN"/>
              </w:rPr>
              <w:t>监测点位于项目区东侧4.9km，</w:t>
            </w:r>
            <w:r>
              <w:rPr>
                <w:rFonts w:hint="default" w:ascii="Times New Roman" w:hAnsi="Times New Roman" w:cs="Times New Roman"/>
                <w:color w:val="auto"/>
                <w:kern w:val="2"/>
                <w:sz w:val="24"/>
                <w:szCs w:val="24"/>
                <w:highlight w:val="none"/>
              </w:rPr>
              <w:t>监测时间为</w:t>
            </w:r>
            <w:r>
              <w:rPr>
                <w:rFonts w:hint="eastAsia" w:cs="Times New Roman"/>
                <w:color w:val="auto"/>
                <w:kern w:val="2"/>
                <w:sz w:val="24"/>
                <w:szCs w:val="24"/>
                <w:highlight w:val="none"/>
                <w:lang w:val="en-US" w:eastAsia="zh-CN"/>
              </w:rPr>
              <w:t>2023</w:t>
            </w:r>
            <w:r>
              <w:rPr>
                <w:rFonts w:hint="default" w:ascii="Times New Roman" w:hAnsi="Times New Roman" w:cs="Times New Roman"/>
                <w:color w:val="auto"/>
                <w:kern w:val="2"/>
                <w:sz w:val="24"/>
                <w:szCs w:val="24"/>
                <w:highlight w:val="none"/>
              </w:rPr>
              <w:t>年</w:t>
            </w:r>
            <w:r>
              <w:rPr>
                <w:rFonts w:hint="eastAsia" w:cs="Times New Roman"/>
                <w:color w:val="auto"/>
                <w:kern w:val="2"/>
                <w:sz w:val="24"/>
                <w:szCs w:val="24"/>
                <w:highlight w:val="none"/>
                <w:lang w:val="en-US" w:eastAsia="zh-CN"/>
              </w:rPr>
              <w:t>9</w:t>
            </w:r>
            <w:r>
              <w:rPr>
                <w:rFonts w:hint="default" w:ascii="Times New Roman" w:hAnsi="Times New Roman" w:cs="Times New Roman"/>
                <w:color w:val="auto"/>
                <w:kern w:val="2"/>
                <w:sz w:val="24"/>
                <w:szCs w:val="24"/>
                <w:highlight w:val="none"/>
              </w:rPr>
              <w:t>月</w:t>
            </w:r>
            <w:r>
              <w:rPr>
                <w:rFonts w:hint="eastAsia" w:cs="Times New Roman"/>
                <w:color w:val="auto"/>
                <w:kern w:val="2"/>
                <w:sz w:val="24"/>
                <w:szCs w:val="24"/>
                <w:highlight w:val="none"/>
                <w:lang w:val="en-US" w:eastAsia="zh-CN"/>
              </w:rPr>
              <w:t>25</w:t>
            </w:r>
            <w:r>
              <w:rPr>
                <w:rFonts w:hint="default" w:ascii="Times New Roman" w:hAnsi="Times New Roman" w:cs="Times New Roman"/>
                <w:color w:val="auto"/>
                <w:kern w:val="2"/>
                <w:sz w:val="24"/>
                <w:szCs w:val="24"/>
                <w:highlight w:val="none"/>
              </w:rPr>
              <w:t>日</w:t>
            </w:r>
            <w:r>
              <w:rPr>
                <w:rFonts w:hint="default" w:ascii="Times New Roman" w:hAnsi="Times New Roman" w:cs="Times New Roman"/>
                <w:color w:val="auto"/>
                <w:kern w:val="2"/>
                <w:sz w:val="24"/>
                <w:szCs w:val="24"/>
                <w:highlight w:val="none"/>
                <w:lang w:eastAsia="zh-CN"/>
              </w:rPr>
              <w:t>～</w:t>
            </w:r>
            <w:r>
              <w:rPr>
                <w:rFonts w:hint="eastAsia" w:cs="Times New Roman"/>
                <w:color w:val="auto"/>
                <w:kern w:val="2"/>
                <w:sz w:val="24"/>
                <w:szCs w:val="24"/>
                <w:highlight w:val="none"/>
                <w:lang w:val="en-US" w:eastAsia="zh-CN"/>
              </w:rPr>
              <w:t>9</w:t>
            </w:r>
            <w:r>
              <w:rPr>
                <w:rFonts w:hint="default" w:ascii="Times New Roman" w:hAnsi="Times New Roman" w:cs="Times New Roman"/>
                <w:color w:val="auto"/>
                <w:kern w:val="2"/>
                <w:sz w:val="24"/>
                <w:szCs w:val="24"/>
                <w:highlight w:val="none"/>
              </w:rPr>
              <w:t>月</w:t>
            </w:r>
            <w:r>
              <w:rPr>
                <w:rFonts w:hint="eastAsia" w:cs="Times New Roman"/>
                <w:color w:val="auto"/>
                <w:kern w:val="2"/>
                <w:sz w:val="24"/>
                <w:szCs w:val="24"/>
                <w:highlight w:val="none"/>
                <w:lang w:val="en-US" w:eastAsia="zh-CN"/>
              </w:rPr>
              <w:t>28</w:t>
            </w:r>
            <w:r>
              <w:rPr>
                <w:rFonts w:hint="default" w:ascii="Times New Roman" w:hAnsi="Times New Roman" w:cs="Times New Roman"/>
                <w:color w:val="auto"/>
                <w:kern w:val="2"/>
                <w:sz w:val="24"/>
                <w:szCs w:val="24"/>
                <w:highlight w:val="none"/>
              </w:rPr>
              <w:t>日。</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（1）监测项目及频率</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监测项目：TSP。</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监测频率：连续3天监测。</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（2）监测分析方法</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分析方法按照国家环保局颁布的《环境监测技术规范（大气部分）》和《空气和废气监测分析方法》中有关规定进行监测。</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（3）评价标准</w:t>
            </w:r>
          </w:p>
          <w:p>
            <w:pPr>
              <w:pStyle w:val="16"/>
              <w:keepNext w:val="0"/>
              <w:keepLines w:val="0"/>
              <w:pageBreakBefore w:val="0"/>
              <w:kinsoku/>
              <w:wordWrap/>
              <w:overflowPunct/>
              <w:topLinePunct/>
              <w:autoSpaceDE/>
              <w:autoSpaceDN/>
              <w:bidi w:val="0"/>
              <w:spacing w:line="520" w:lineRule="exact"/>
              <w:ind w:right="0"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本次评价执行《环境空气质量标准》（GB3095-2012）二级标准，</w:t>
            </w:r>
            <w:r>
              <w:rPr>
                <w:rFonts w:hint="eastAsia" w:ascii="Times New Roman" w:hAnsi="Times New Roman" w:eastAsia="宋体"/>
                <w:color w:val="auto"/>
                <w:sz w:val="24"/>
                <w:highlight w:val="none"/>
                <w:lang w:eastAsia="zh-CN"/>
              </w:rPr>
              <w:t>标准值</w:t>
            </w:r>
            <w:r>
              <w:rPr>
                <w:rFonts w:ascii="Times New Roman" w:hAnsi="Times New Roman" w:eastAsia="宋体"/>
                <w:color w:val="auto"/>
                <w:sz w:val="24"/>
                <w:highlight w:val="none"/>
              </w:rPr>
              <w:t>详见表3-2。</w:t>
            </w:r>
          </w:p>
          <w:p>
            <w:pPr>
              <w:keepNext w:val="0"/>
              <w:keepLines w:val="0"/>
              <w:pageBreakBefore w:val="0"/>
              <w:kinsoku/>
              <w:wordWrap/>
              <w:overflowPunct/>
              <w:autoSpaceDE/>
              <w:autoSpaceDN/>
              <w:bidi w:val="0"/>
              <w:adjustRightInd w:val="0"/>
              <w:snapToGrid w:val="0"/>
              <w:spacing w:line="520" w:lineRule="exact"/>
              <w:ind w:right="0"/>
              <w:jc w:val="center"/>
              <w:textAlignment w:val="auto"/>
              <w:rPr>
                <w:color w:val="auto"/>
                <w:highlight w:val="none"/>
              </w:rPr>
            </w:pPr>
            <w:r>
              <w:rPr>
                <w:b/>
                <w:snapToGrid w:val="0"/>
                <w:color w:val="auto"/>
                <w:highlight w:val="none"/>
              </w:rPr>
              <w:t>表3-2      环境空气质量标准</w:t>
            </w:r>
          </w:p>
          <w:tbl>
            <w:tblPr>
              <w:tblStyle w:val="25"/>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17"/>
              <w:gridCol w:w="1210"/>
              <w:gridCol w:w="1760"/>
              <w:gridCol w:w="413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pPr>
                    <w:adjustRightInd w:val="0"/>
                    <w:snapToGrid w:val="0"/>
                    <w:jc w:val="center"/>
                    <w:rPr>
                      <w:b/>
                      <w:bCs/>
                      <w:color w:val="auto"/>
                      <w:highlight w:val="none"/>
                    </w:rPr>
                  </w:pPr>
                  <w:r>
                    <w:rPr>
                      <w:b/>
                      <w:bCs/>
                      <w:color w:val="auto"/>
                      <w:highlight w:val="none"/>
                    </w:rPr>
                    <w:t>污染物</w:t>
                  </w:r>
                </w:p>
              </w:tc>
              <w:tc>
                <w:tcPr>
                  <w:tcW w:w="1210" w:type="dxa"/>
                  <w:tcBorders>
                    <w:top w:val="single" w:color="000000" w:sz="12" w:space="0"/>
                    <w:bottom w:val="single" w:color="000000" w:sz="12" w:space="0"/>
                  </w:tcBorders>
                  <w:vAlign w:val="center"/>
                </w:tcPr>
                <w:p>
                  <w:pPr>
                    <w:adjustRightInd w:val="0"/>
                    <w:snapToGrid w:val="0"/>
                    <w:jc w:val="center"/>
                    <w:rPr>
                      <w:b/>
                      <w:bCs/>
                      <w:color w:val="auto"/>
                      <w:highlight w:val="none"/>
                    </w:rPr>
                  </w:pPr>
                  <w:r>
                    <w:rPr>
                      <w:b/>
                      <w:bCs/>
                      <w:color w:val="auto"/>
                      <w:highlight w:val="none"/>
                    </w:rPr>
                    <w:t>年平均</w:t>
                  </w:r>
                </w:p>
              </w:tc>
              <w:tc>
                <w:tcPr>
                  <w:tcW w:w="1760" w:type="dxa"/>
                  <w:tcBorders>
                    <w:top w:val="single" w:color="000000" w:sz="12" w:space="0"/>
                    <w:bottom w:val="single" w:color="000000" w:sz="12" w:space="0"/>
                  </w:tcBorders>
                  <w:vAlign w:val="center"/>
                </w:tcPr>
                <w:p>
                  <w:pPr>
                    <w:adjustRightInd w:val="0"/>
                    <w:snapToGrid w:val="0"/>
                    <w:jc w:val="center"/>
                    <w:rPr>
                      <w:b/>
                      <w:bCs/>
                      <w:color w:val="auto"/>
                      <w:highlight w:val="none"/>
                    </w:rPr>
                  </w:pPr>
                  <w:r>
                    <w:rPr>
                      <w:b/>
                      <w:bCs/>
                      <w:color w:val="auto"/>
                      <w:highlight w:val="none"/>
                    </w:rPr>
                    <w:t>24小时平均</w:t>
                  </w:r>
                </w:p>
              </w:tc>
              <w:tc>
                <w:tcPr>
                  <w:tcW w:w="4130" w:type="dxa"/>
                  <w:tcBorders>
                    <w:top w:val="single" w:color="000000" w:sz="12" w:space="0"/>
                    <w:bottom w:val="single" w:color="000000" w:sz="12" w:space="0"/>
                  </w:tcBorders>
                  <w:vAlign w:val="center"/>
                </w:tcPr>
                <w:p>
                  <w:pPr>
                    <w:adjustRightInd w:val="0"/>
                    <w:snapToGrid w:val="0"/>
                    <w:jc w:val="center"/>
                    <w:rPr>
                      <w:b/>
                      <w:bCs/>
                      <w:color w:val="auto"/>
                      <w:highlight w:val="none"/>
                    </w:rPr>
                  </w:pPr>
                  <w:r>
                    <w:rPr>
                      <w:b/>
                      <w:bCs/>
                      <w:color w:val="auto"/>
                      <w:highlight w:val="none"/>
                    </w:rPr>
                    <w:t>标准来源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1017" w:type="dxa"/>
                  <w:tcBorders>
                    <w:top w:val="single" w:color="000000" w:sz="12" w:space="0"/>
                    <w:bottom w:val="single" w:color="000000" w:sz="12" w:space="0"/>
                  </w:tcBorders>
                  <w:vAlign w:val="center"/>
                </w:tcPr>
                <w:p>
                  <w:pPr>
                    <w:adjustRightInd w:val="0"/>
                    <w:snapToGrid w:val="0"/>
                    <w:jc w:val="center"/>
                    <w:rPr>
                      <w:color w:val="auto"/>
                      <w:highlight w:val="none"/>
                    </w:rPr>
                  </w:pPr>
                  <w:r>
                    <w:rPr>
                      <w:color w:val="auto"/>
                      <w:szCs w:val="21"/>
                      <w:highlight w:val="none"/>
                    </w:rPr>
                    <w:t>TSP</w:t>
                  </w:r>
                </w:p>
              </w:tc>
              <w:tc>
                <w:tcPr>
                  <w:tcW w:w="1210" w:type="dxa"/>
                  <w:tcBorders>
                    <w:top w:val="single" w:color="000000" w:sz="12" w:space="0"/>
                    <w:bottom w:val="single" w:color="000000" w:sz="12" w:space="0"/>
                  </w:tcBorders>
                  <w:vAlign w:val="center"/>
                </w:tcPr>
                <w:p>
                  <w:pPr>
                    <w:adjustRightInd w:val="0"/>
                    <w:snapToGrid w:val="0"/>
                    <w:jc w:val="center"/>
                    <w:rPr>
                      <w:color w:val="auto"/>
                      <w:highlight w:val="none"/>
                    </w:rPr>
                  </w:pPr>
                  <w:r>
                    <w:rPr>
                      <w:color w:val="auto"/>
                      <w:szCs w:val="21"/>
                      <w:highlight w:val="none"/>
                    </w:rPr>
                    <w:t>0.2mg/m</w:t>
                  </w:r>
                  <w:r>
                    <w:rPr>
                      <w:color w:val="auto"/>
                      <w:szCs w:val="21"/>
                      <w:highlight w:val="none"/>
                      <w:vertAlign w:val="superscript"/>
                    </w:rPr>
                    <w:t>3</w:t>
                  </w:r>
                </w:p>
              </w:tc>
              <w:tc>
                <w:tcPr>
                  <w:tcW w:w="1760" w:type="dxa"/>
                  <w:tcBorders>
                    <w:top w:val="single" w:color="000000" w:sz="12" w:space="0"/>
                    <w:bottom w:val="single" w:color="000000" w:sz="12" w:space="0"/>
                  </w:tcBorders>
                  <w:vAlign w:val="center"/>
                </w:tcPr>
                <w:p>
                  <w:pPr>
                    <w:adjustRightInd w:val="0"/>
                    <w:snapToGrid w:val="0"/>
                    <w:jc w:val="center"/>
                    <w:rPr>
                      <w:color w:val="auto"/>
                      <w:highlight w:val="none"/>
                    </w:rPr>
                  </w:pPr>
                  <w:r>
                    <w:rPr>
                      <w:color w:val="auto"/>
                      <w:szCs w:val="21"/>
                      <w:highlight w:val="none"/>
                    </w:rPr>
                    <w:t>0.3mg/m</w:t>
                  </w:r>
                  <w:r>
                    <w:rPr>
                      <w:color w:val="auto"/>
                      <w:szCs w:val="21"/>
                      <w:highlight w:val="none"/>
                      <w:vertAlign w:val="superscript"/>
                    </w:rPr>
                    <w:t>3</w:t>
                  </w:r>
                </w:p>
              </w:tc>
              <w:tc>
                <w:tcPr>
                  <w:tcW w:w="4130" w:type="dxa"/>
                  <w:tcBorders>
                    <w:top w:val="single" w:color="000000" w:sz="12" w:space="0"/>
                    <w:bottom w:val="single" w:color="000000" w:sz="12" w:space="0"/>
                  </w:tcBorders>
                  <w:vAlign w:val="center"/>
                </w:tcPr>
                <w:p>
                  <w:pPr>
                    <w:adjustRightInd w:val="0"/>
                    <w:snapToGrid w:val="0"/>
                    <w:jc w:val="center"/>
                    <w:rPr>
                      <w:color w:val="auto"/>
                      <w:highlight w:val="none"/>
                    </w:rPr>
                  </w:pPr>
                  <w:r>
                    <w:rPr>
                      <w:color w:val="auto"/>
                      <w:highlight w:val="none"/>
                    </w:rPr>
                    <w:t>《环境空气质量标准》（GB3095-2012）</w:t>
                  </w:r>
                </w:p>
              </w:tc>
            </w:tr>
          </w:tbl>
          <w:p>
            <w:pPr>
              <w:pStyle w:val="16"/>
              <w:keepNext w:val="0"/>
              <w:keepLines w:val="0"/>
              <w:pageBreakBefore w:val="0"/>
              <w:widowControl w:val="0"/>
              <w:kinsoku/>
              <w:wordWrap/>
              <w:overflowPunct/>
              <w:topLinePunct/>
              <w:autoSpaceDE/>
              <w:autoSpaceDN/>
              <w:bidi w:val="0"/>
              <w:adjustRightInd/>
              <w:snapToGrid/>
              <w:spacing w:line="520" w:lineRule="exact"/>
              <w:ind w:firstLine="482"/>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（4）评价结果</w:t>
            </w:r>
          </w:p>
          <w:p>
            <w:pPr>
              <w:pStyle w:val="16"/>
              <w:keepNext w:val="0"/>
              <w:keepLines w:val="0"/>
              <w:pageBreakBefore w:val="0"/>
              <w:widowControl w:val="0"/>
              <w:kinsoku/>
              <w:wordWrap/>
              <w:overflowPunct/>
              <w:topLinePunct/>
              <w:autoSpaceDE/>
              <w:autoSpaceDN/>
              <w:bidi w:val="0"/>
              <w:adjustRightInd/>
              <w:snapToGrid/>
              <w:spacing w:line="520" w:lineRule="exact"/>
              <w:ind w:firstLine="480"/>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监测及评价结果统计，详见表3-3。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highlight w:val="none"/>
              </w:rPr>
            </w:pPr>
            <w:r>
              <w:rPr>
                <w:b/>
                <w:bCs/>
                <w:color w:val="auto"/>
                <w:szCs w:val="21"/>
                <w:highlight w:val="none"/>
              </w:rPr>
              <w:t>表3-3   环境空气质量结果汇总表（TSP，日均值）单位：mg/m</w:t>
            </w:r>
            <w:r>
              <w:rPr>
                <w:b/>
                <w:bCs/>
                <w:color w:val="auto"/>
                <w:szCs w:val="21"/>
                <w:highlight w:val="none"/>
                <w:vertAlign w:val="superscript"/>
              </w:rPr>
              <w:t>3</w:t>
            </w:r>
          </w:p>
          <w:tbl>
            <w:tblPr>
              <w:tblStyle w:val="25"/>
              <w:tblW w:w="0" w:type="auto"/>
              <w:jc w:val="center"/>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Layout w:type="autofit"/>
              <w:tblCellMar>
                <w:top w:w="0" w:type="dxa"/>
                <w:left w:w="108" w:type="dxa"/>
                <w:bottom w:w="0" w:type="dxa"/>
                <w:right w:w="108" w:type="dxa"/>
              </w:tblCellMar>
            </w:tblPr>
            <w:tblGrid>
              <w:gridCol w:w="1271"/>
              <w:gridCol w:w="2398"/>
              <w:gridCol w:w="1732"/>
              <w:gridCol w:w="1359"/>
              <w:gridCol w:w="1450"/>
            </w:tblGrid>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339" w:hRule="atLeast"/>
                <w:jc w:val="center"/>
              </w:trPr>
              <w:tc>
                <w:tcPr>
                  <w:tcW w:w="1271" w:type="dxa"/>
                  <w:vMerge w:val="restart"/>
                  <w:tcBorders>
                    <w:tl2br w:val="nil"/>
                    <w:tr2bl w:val="nil"/>
                  </w:tcBorders>
                  <w:vAlign w:val="center"/>
                </w:tcPr>
                <w:p>
                  <w:pPr>
                    <w:pStyle w:val="11"/>
                    <w:spacing w:after="0" w:line="240" w:lineRule="auto"/>
                    <w:jc w:val="center"/>
                    <w:rPr>
                      <w:b/>
                      <w:bCs/>
                      <w:color w:val="auto"/>
                      <w:sz w:val="21"/>
                      <w:szCs w:val="21"/>
                      <w:highlight w:val="none"/>
                    </w:rPr>
                  </w:pPr>
                  <w:r>
                    <w:rPr>
                      <w:rFonts w:hint="eastAsia"/>
                      <w:b/>
                      <w:bCs/>
                      <w:color w:val="auto"/>
                      <w:sz w:val="21"/>
                      <w:szCs w:val="21"/>
                      <w:highlight w:val="none"/>
                      <w:lang w:eastAsia="zh-CN"/>
                    </w:rPr>
                    <w:t>监测点位</w:t>
                  </w:r>
                </w:p>
              </w:tc>
              <w:tc>
                <w:tcPr>
                  <w:tcW w:w="2398" w:type="dxa"/>
                  <w:vMerge w:val="restart"/>
                  <w:tcBorders>
                    <w:tl2br w:val="nil"/>
                    <w:tr2bl w:val="nil"/>
                  </w:tcBorders>
                  <w:vAlign w:val="center"/>
                </w:tcPr>
                <w:p>
                  <w:pPr>
                    <w:pStyle w:val="11"/>
                    <w:spacing w:after="0" w:line="240" w:lineRule="auto"/>
                    <w:jc w:val="center"/>
                    <w:rPr>
                      <w:b/>
                      <w:bCs/>
                      <w:color w:val="auto"/>
                      <w:sz w:val="21"/>
                      <w:szCs w:val="21"/>
                      <w:highlight w:val="none"/>
                    </w:rPr>
                  </w:pPr>
                  <w:r>
                    <w:rPr>
                      <w:b/>
                      <w:bCs/>
                      <w:color w:val="auto"/>
                      <w:sz w:val="21"/>
                      <w:szCs w:val="21"/>
                      <w:highlight w:val="none"/>
                    </w:rPr>
                    <w:t>采样时间</w:t>
                  </w:r>
                </w:p>
              </w:tc>
              <w:tc>
                <w:tcPr>
                  <w:tcW w:w="1732" w:type="dxa"/>
                  <w:tcBorders>
                    <w:tl2br w:val="nil"/>
                    <w:tr2bl w:val="nil"/>
                  </w:tcBorders>
                </w:tcPr>
                <w:p>
                  <w:pPr>
                    <w:pStyle w:val="11"/>
                    <w:spacing w:after="0" w:line="240" w:lineRule="auto"/>
                    <w:jc w:val="center"/>
                    <w:rPr>
                      <w:b/>
                      <w:bCs/>
                      <w:color w:val="auto"/>
                      <w:sz w:val="21"/>
                      <w:szCs w:val="21"/>
                      <w:highlight w:val="none"/>
                    </w:rPr>
                  </w:pPr>
                  <w:r>
                    <w:rPr>
                      <w:b/>
                      <w:bCs/>
                      <w:color w:val="auto"/>
                      <w:sz w:val="21"/>
                      <w:szCs w:val="21"/>
                      <w:highlight w:val="none"/>
                    </w:rPr>
                    <w:t>检测结果</w:t>
                  </w:r>
                </w:p>
              </w:tc>
              <w:tc>
                <w:tcPr>
                  <w:tcW w:w="1359" w:type="dxa"/>
                  <w:tcBorders>
                    <w:tl2br w:val="nil"/>
                    <w:tr2bl w:val="nil"/>
                  </w:tcBorders>
                </w:tcPr>
                <w:p>
                  <w:pPr>
                    <w:pStyle w:val="11"/>
                    <w:spacing w:after="0" w:line="240" w:lineRule="auto"/>
                    <w:jc w:val="center"/>
                    <w:rPr>
                      <w:b/>
                      <w:bCs/>
                      <w:color w:val="auto"/>
                      <w:sz w:val="21"/>
                      <w:szCs w:val="21"/>
                      <w:highlight w:val="none"/>
                    </w:rPr>
                  </w:pPr>
                  <w:r>
                    <w:rPr>
                      <w:b/>
                      <w:bCs/>
                      <w:color w:val="auto"/>
                      <w:sz w:val="21"/>
                      <w:szCs w:val="21"/>
                      <w:highlight w:val="none"/>
                    </w:rPr>
                    <w:t>标准值</w:t>
                  </w:r>
                </w:p>
              </w:tc>
              <w:tc>
                <w:tcPr>
                  <w:tcW w:w="1450" w:type="dxa"/>
                  <w:tcBorders>
                    <w:tl2br w:val="nil"/>
                    <w:tr2bl w:val="nil"/>
                  </w:tcBorders>
                </w:tcPr>
                <w:p>
                  <w:pPr>
                    <w:pStyle w:val="11"/>
                    <w:spacing w:after="0" w:line="240" w:lineRule="auto"/>
                    <w:jc w:val="center"/>
                    <w:rPr>
                      <w:b/>
                      <w:bCs/>
                      <w:color w:val="auto"/>
                      <w:sz w:val="21"/>
                      <w:szCs w:val="21"/>
                      <w:highlight w:val="none"/>
                    </w:rPr>
                  </w:pPr>
                  <w:r>
                    <w:rPr>
                      <w:b/>
                      <w:bCs/>
                      <w:color w:val="auto"/>
                      <w:sz w:val="21"/>
                      <w:szCs w:val="21"/>
                      <w:highlight w:val="none"/>
                    </w:rPr>
                    <w:t>占标率</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320" w:hRule="atLeast"/>
                <w:jc w:val="center"/>
              </w:trPr>
              <w:tc>
                <w:tcPr>
                  <w:tcW w:w="1271" w:type="dxa"/>
                  <w:vMerge w:val="continue"/>
                  <w:tcBorders>
                    <w:tl2br w:val="nil"/>
                    <w:tr2bl w:val="nil"/>
                  </w:tcBorders>
                </w:tcPr>
                <w:p>
                  <w:pPr>
                    <w:pStyle w:val="11"/>
                    <w:spacing w:after="0" w:line="240" w:lineRule="auto"/>
                    <w:jc w:val="center"/>
                    <w:rPr>
                      <w:b/>
                      <w:bCs/>
                      <w:color w:val="auto"/>
                      <w:sz w:val="21"/>
                      <w:szCs w:val="21"/>
                      <w:highlight w:val="none"/>
                    </w:rPr>
                  </w:pPr>
                </w:p>
              </w:tc>
              <w:tc>
                <w:tcPr>
                  <w:tcW w:w="2398" w:type="dxa"/>
                  <w:vMerge w:val="continue"/>
                  <w:tcBorders>
                    <w:tl2br w:val="nil"/>
                    <w:tr2bl w:val="nil"/>
                  </w:tcBorders>
                </w:tcPr>
                <w:p>
                  <w:pPr>
                    <w:pStyle w:val="11"/>
                    <w:spacing w:after="0" w:line="240" w:lineRule="auto"/>
                    <w:jc w:val="center"/>
                    <w:rPr>
                      <w:b/>
                      <w:bCs/>
                      <w:color w:val="auto"/>
                      <w:sz w:val="21"/>
                      <w:szCs w:val="21"/>
                      <w:highlight w:val="none"/>
                    </w:rPr>
                  </w:pPr>
                </w:p>
              </w:tc>
              <w:tc>
                <w:tcPr>
                  <w:tcW w:w="4541" w:type="dxa"/>
                  <w:gridSpan w:val="3"/>
                  <w:tcBorders>
                    <w:tl2br w:val="nil"/>
                    <w:tr2bl w:val="nil"/>
                  </w:tcBorders>
                </w:tcPr>
                <w:p>
                  <w:pPr>
                    <w:pStyle w:val="11"/>
                    <w:spacing w:after="0" w:line="240" w:lineRule="auto"/>
                    <w:jc w:val="center"/>
                    <w:rPr>
                      <w:b/>
                      <w:bCs/>
                      <w:color w:val="auto"/>
                      <w:sz w:val="21"/>
                      <w:szCs w:val="21"/>
                      <w:highlight w:val="none"/>
                    </w:rPr>
                  </w:pPr>
                  <w:r>
                    <w:rPr>
                      <w:b/>
                      <w:bCs/>
                      <w:color w:val="auto"/>
                      <w:sz w:val="21"/>
                      <w:szCs w:val="21"/>
                      <w:highlight w:val="none"/>
                    </w:rPr>
                    <w:t>TSP</w:t>
                  </w:r>
                </w:p>
              </w:tc>
            </w:tr>
            <w:tr>
              <w:tblPrEx>
                <w:tblBorders>
                  <w:top w:val="single" w:color="000000" w:sz="12" w:space="0"/>
                  <w:left w:val="none" w:color="auto" w:sz="0" w:space="0"/>
                  <w:bottom w:val="single" w:color="000000" w:sz="12" w:space="0"/>
                  <w:right w:val="none" w:color="auto" w:sz="0" w:space="0"/>
                  <w:insideH w:val="single" w:color="000000" w:sz="12" w:space="0"/>
                  <w:insideV w:val="single" w:color="000000" w:sz="4" w:space="0"/>
                </w:tblBorders>
                <w:tblCellMar>
                  <w:top w:w="0" w:type="dxa"/>
                  <w:left w:w="108" w:type="dxa"/>
                  <w:bottom w:w="0" w:type="dxa"/>
                  <w:right w:w="108" w:type="dxa"/>
                </w:tblCellMar>
              </w:tblPrEx>
              <w:trPr>
                <w:trHeight w:val="260" w:hRule="atLeast"/>
                <w:jc w:val="center"/>
              </w:trPr>
              <w:tc>
                <w:tcPr>
                  <w:tcW w:w="1271" w:type="dxa"/>
                  <w:tcBorders>
                    <w:tl2br w:val="nil"/>
                    <w:tr2bl w:val="nil"/>
                  </w:tcBorders>
                  <w:vAlign w:val="center"/>
                </w:tcPr>
                <w:p>
                  <w:pPr>
                    <w:pStyle w:val="11"/>
                    <w:spacing w:after="0" w:line="240" w:lineRule="auto"/>
                    <w:jc w:val="center"/>
                    <w:rPr>
                      <w:color w:val="auto"/>
                      <w:sz w:val="21"/>
                      <w:szCs w:val="21"/>
                      <w:highlight w:val="none"/>
                    </w:rPr>
                  </w:pPr>
                  <w:r>
                    <w:rPr>
                      <w:color w:val="auto"/>
                      <w:sz w:val="21"/>
                      <w:szCs w:val="21"/>
                      <w:highlight w:val="none"/>
                    </w:rPr>
                    <w:t>项目区内下风向</w:t>
                  </w:r>
                </w:p>
              </w:tc>
              <w:tc>
                <w:tcPr>
                  <w:tcW w:w="2398" w:type="dxa"/>
                  <w:tcBorders>
                    <w:tl2br w:val="nil"/>
                    <w:tr2bl w:val="nil"/>
                  </w:tcBorders>
                  <w:vAlign w:val="center"/>
                </w:tcPr>
                <w:p>
                  <w:pPr>
                    <w:jc w:val="center"/>
                    <w:rPr>
                      <w:rFonts w:hint="default" w:eastAsia="宋体"/>
                      <w:color w:val="auto"/>
                      <w:sz w:val="21"/>
                      <w:szCs w:val="21"/>
                      <w:highlight w:val="none"/>
                      <w:lang w:val="en-US" w:eastAsia="zh-CN"/>
                    </w:rPr>
                  </w:pPr>
                  <w:r>
                    <w:rPr>
                      <w:bCs/>
                      <w:color w:val="auto"/>
                      <w:sz w:val="21"/>
                      <w:szCs w:val="21"/>
                      <w:highlight w:val="none"/>
                    </w:rPr>
                    <w:t>2021.</w:t>
                  </w:r>
                  <w:r>
                    <w:rPr>
                      <w:rFonts w:hint="eastAsia"/>
                      <w:bCs/>
                      <w:color w:val="auto"/>
                      <w:sz w:val="21"/>
                      <w:szCs w:val="21"/>
                      <w:highlight w:val="none"/>
                      <w:lang w:val="en-US" w:eastAsia="zh-CN"/>
                    </w:rPr>
                    <w:t>9.15-9.118</w:t>
                  </w:r>
                </w:p>
              </w:tc>
              <w:tc>
                <w:tcPr>
                  <w:tcW w:w="1732" w:type="dxa"/>
                  <w:tcBorders>
                    <w:tl2br w:val="nil"/>
                    <w:tr2bl w:val="nil"/>
                  </w:tcBorders>
                  <w:vAlign w:val="center"/>
                </w:tcPr>
                <w:p>
                  <w:pPr>
                    <w:jc w:val="center"/>
                    <w:rPr>
                      <w:rFonts w:hint="default" w:eastAsia="宋体"/>
                      <w:bCs/>
                      <w:color w:val="auto"/>
                      <w:sz w:val="21"/>
                      <w:szCs w:val="21"/>
                      <w:highlight w:val="none"/>
                      <w:lang w:val="en-US" w:eastAsia="zh-CN"/>
                    </w:rPr>
                  </w:pPr>
                  <w:r>
                    <w:rPr>
                      <w:rFonts w:hint="eastAsia"/>
                      <w:bCs/>
                      <w:color w:val="auto"/>
                      <w:sz w:val="21"/>
                      <w:szCs w:val="21"/>
                      <w:highlight w:val="none"/>
                      <w:lang w:val="en-US" w:eastAsia="zh-CN"/>
                    </w:rPr>
                    <w:t>0.205~0.217</w:t>
                  </w:r>
                </w:p>
              </w:tc>
              <w:tc>
                <w:tcPr>
                  <w:tcW w:w="1359" w:type="dxa"/>
                  <w:tcBorders>
                    <w:tl2br w:val="nil"/>
                    <w:tr2bl w:val="nil"/>
                  </w:tcBorders>
                  <w:vAlign w:val="center"/>
                </w:tcPr>
                <w:p>
                  <w:pPr>
                    <w:jc w:val="center"/>
                    <w:rPr>
                      <w:bCs/>
                      <w:color w:val="auto"/>
                      <w:sz w:val="21"/>
                      <w:szCs w:val="21"/>
                      <w:highlight w:val="none"/>
                    </w:rPr>
                  </w:pPr>
                  <w:r>
                    <w:rPr>
                      <w:bCs/>
                      <w:color w:val="auto"/>
                      <w:sz w:val="21"/>
                      <w:szCs w:val="21"/>
                      <w:highlight w:val="none"/>
                    </w:rPr>
                    <w:t>0.3</w:t>
                  </w:r>
                </w:p>
              </w:tc>
              <w:tc>
                <w:tcPr>
                  <w:tcW w:w="1450" w:type="dxa"/>
                  <w:tcBorders>
                    <w:tl2br w:val="nil"/>
                    <w:tr2bl w:val="nil"/>
                  </w:tcBorders>
                  <w:vAlign w:val="center"/>
                </w:tcPr>
                <w:p>
                  <w:pPr>
                    <w:jc w:val="center"/>
                    <w:rPr>
                      <w:bCs/>
                      <w:color w:val="auto"/>
                      <w:sz w:val="21"/>
                      <w:szCs w:val="21"/>
                      <w:highlight w:val="none"/>
                    </w:rPr>
                  </w:pPr>
                  <w:r>
                    <w:rPr>
                      <w:rFonts w:hint="eastAsia"/>
                      <w:bCs/>
                      <w:color w:val="auto"/>
                      <w:sz w:val="21"/>
                      <w:szCs w:val="21"/>
                      <w:highlight w:val="none"/>
                      <w:lang w:val="en-US" w:eastAsia="zh-CN"/>
                    </w:rPr>
                    <w:t>68.33~72.33</w:t>
                  </w:r>
                  <w:r>
                    <w:rPr>
                      <w:bCs/>
                      <w:color w:val="auto"/>
                      <w:sz w:val="21"/>
                      <w:szCs w:val="21"/>
                      <w:highlight w:val="none"/>
                    </w:rPr>
                    <w:t>%</w:t>
                  </w:r>
                </w:p>
              </w:tc>
            </w:tr>
          </w:tbl>
          <w:p>
            <w:pPr>
              <w:pStyle w:val="16"/>
              <w:keepNext w:val="0"/>
              <w:keepLines w:val="0"/>
              <w:pageBreakBefore w:val="0"/>
              <w:widowControl w:val="0"/>
              <w:kinsoku/>
              <w:wordWrap/>
              <w:overflowPunct/>
              <w:topLinePunct/>
              <w:autoSpaceDE/>
              <w:autoSpaceDN/>
              <w:bidi w:val="0"/>
              <w:adjustRightInd/>
              <w:snapToGrid/>
              <w:spacing w:line="520" w:lineRule="exact"/>
              <w:ind w:firstLine="482"/>
              <w:textAlignment w:val="auto"/>
              <w:rPr>
                <w:rFonts w:ascii="Times New Roman" w:hAnsi="Times New Roman" w:eastAsia="宋体"/>
                <w:color w:val="auto"/>
                <w:sz w:val="24"/>
                <w:highlight w:val="none"/>
              </w:rPr>
            </w:pPr>
            <w:r>
              <w:rPr>
                <w:rFonts w:ascii="Times New Roman" w:hAnsi="Times New Roman" w:eastAsia="宋体"/>
                <w:color w:val="auto"/>
                <w:sz w:val="24"/>
                <w:highlight w:val="none"/>
              </w:rPr>
              <w:t>由上述列表可知，项目区TSP满足《环境空气质量标准》（GB3095-2012）二级标准，项目所在区域监测期间大气环境空气质量达标。</w:t>
            </w:r>
          </w:p>
          <w:p>
            <w:pPr>
              <w:keepNext/>
              <w:keepLines/>
              <w:pageBreakBefore w:val="0"/>
              <w:numPr>
                <w:ilvl w:val="0"/>
                <w:numId w:val="15"/>
              </w:numPr>
              <w:kinsoku/>
              <w:wordWrap/>
              <w:topLinePunct w:val="0"/>
              <w:autoSpaceDE/>
              <w:autoSpaceDN/>
              <w:bidi w:val="0"/>
              <w:adjustRightInd w:val="0"/>
              <w:snapToGrid w:val="0"/>
              <w:spacing w:line="520" w:lineRule="exact"/>
              <w:ind w:left="0" w:leftChars="0" w:firstLine="0" w:firstLineChars="0"/>
              <w:textAlignment w:val="auto"/>
              <w:outlineLvl w:val="1"/>
              <w:rPr>
                <w:b/>
                <w:color w:val="auto"/>
                <w:sz w:val="24"/>
              </w:rPr>
            </w:pPr>
            <w:r>
              <w:rPr>
                <w:b/>
                <w:color w:val="auto"/>
                <w:sz w:val="24"/>
              </w:rPr>
              <w:t>地表水环境质量现状</w:t>
            </w:r>
          </w:p>
          <w:p>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outlineLvl w:val="9"/>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阜康市域内共计有河流7条，自西向东分别为水磨河、三工河、四工河、甘河子河、白杨河、西沟河和黄山河，各河流均发源自山区、流逝于平原，河流主要补给为天山山区的降水和冰雪融水</w:t>
            </w:r>
          </w:p>
          <w:p>
            <w:pPr>
              <w:keepNext w:val="0"/>
              <w:keepLines w:val="0"/>
              <w:pageBreakBefore w:val="0"/>
              <w:widowControl w:val="0"/>
              <w:kinsoku/>
              <w:wordWrap/>
              <w:overflowPunct/>
              <w:topLinePunct w:val="0"/>
              <w:autoSpaceDE/>
              <w:autoSpaceDN/>
              <w:bidi w:val="0"/>
              <w:adjustRightInd/>
              <w:snapToGrid w:val="0"/>
              <w:spacing w:after="0" w:line="360" w:lineRule="auto"/>
              <w:ind w:firstLine="480" w:firstLineChars="200"/>
              <w:textAlignment w:val="auto"/>
              <w:outlineLvl w:val="9"/>
              <w:rPr>
                <w:rFonts w:hint="eastAsia" w:ascii="Times New Roman" w:hAnsi="Times New Roman" w:eastAsia="宋体" w:cs="Times New Roman"/>
                <w:b w:val="0"/>
                <w:color w:val="auto"/>
                <w:kern w:val="2"/>
                <w:sz w:val="24"/>
                <w:szCs w:val="24"/>
                <w:lang w:val="en-US" w:eastAsia="zh-CN" w:bidi="ar-SA"/>
              </w:rPr>
            </w:pPr>
            <w:r>
              <w:rPr>
                <w:rFonts w:hint="eastAsia" w:ascii="Times New Roman" w:hAnsi="Times New Roman" w:eastAsia="宋体" w:cs="Times New Roman"/>
                <w:b w:val="0"/>
                <w:color w:val="auto"/>
                <w:kern w:val="2"/>
                <w:sz w:val="24"/>
                <w:szCs w:val="24"/>
                <w:lang w:val="en-US" w:eastAsia="zh-CN" w:bidi="ar-SA"/>
              </w:rPr>
              <w:t>该区由于山高坡降大、山区面积小，又处于干旱地区，河流流程短、径流量小，年径流量在各季节内差异很大，7条河流总计年均径流量1.94亿m</w:t>
            </w:r>
            <w:r>
              <w:rPr>
                <w:rFonts w:hint="eastAsia" w:ascii="Times New Roman" w:hAnsi="Times New Roman" w:eastAsia="宋体" w:cs="Times New Roman"/>
                <w:b w:val="0"/>
                <w:color w:val="auto"/>
                <w:kern w:val="2"/>
                <w:sz w:val="24"/>
                <w:szCs w:val="24"/>
                <w:vertAlign w:val="superscript"/>
                <w:lang w:val="en-US" w:eastAsia="zh-CN" w:bidi="ar-SA"/>
              </w:rPr>
              <w:t>3</w:t>
            </w:r>
            <w:r>
              <w:rPr>
                <w:rFonts w:hint="eastAsia" w:ascii="Times New Roman" w:hAnsi="Times New Roman" w:eastAsia="宋体" w:cs="Times New Roman"/>
                <w:b w:val="0"/>
                <w:color w:val="auto"/>
                <w:kern w:val="2"/>
                <w:sz w:val="24"/>
                <w:szCs w:val="24"/>
                <w:lang w:val="en-US" w:eastAsia="zh-CN" w:bidi="ar-SA"/>
              </w:rPr>
              <w:t>，平均流量6.16m</w:t>
            </w:r>
            <w:r>
              <w:rPr>
                <w:rFonts w:hint="eastAsia" w:ascii="Times New Roman" w:hAnsi="Times New Roman" w:eastAsia="宋体" w:cs="Times New Roman"/>
                <w:b w:val="0"/>
                <w:color w:val="auto"/>
                <w:kern w:val="2"/>
                <w:sz w:val="24"/>
                <w:szCs w:val="24"/>
                <w:vertAlign w:val="superscript"/>
                <w:lang w:val="en-US" w:eastAsia="zh-CN" w:bidi="ar-SA"/>
              </w:rPr>
              <w:t>3</w:t>
            </w:r>
            <w:r>
              <w:rPr>
                <w:rFonts w:hint="eastAsia" w:ascii="Times New Roman" w:hAnsi="Times New Roman" w:eastAsia="宋体" w:cs="Times New Roman"/>
                <w:b w:val="0"/>
                <w:color w:val="auto"/>
                <w:kern w:val="2"/>
                <w:sz w:val="24"/>
                <w:szCs w:val="24"/>
                <w:lang w:val="en-US" w:eastAsia="zh-CN" w:bidi="ar-SA"/>
              </w:rPr>
              <w:t>/s，年径流量丰枯变幅1.84~1.92倍。河系水文特征参数见表</w:t>
            </w:r>
            <w:r>
              <w:rPr>
                <w:rFonts w:hint="eastAsia" w:cs="Times New Roman"/>
                <w:b w:val="0"/>
                <w:color w:val="auto"/>
                <w:kern w:val="2"/>
                <w:sz w:val="24"/>
                <w:szCs w:val="24"/>
                <w:lang w:val="en-US" w:eastAsia="zh-CN" w:bidi="ar-SA"/>
              </w:rPr>
              <w:t>3-4</w:t>
            </w:r>
            <w:r>
              <w:rPr>
                <w:rFonts w:hint="eastAsia" w:ascii="Times New Roman" w:hAnsi="Times New Roman" w:eastAsia="宋体" w:cs="Times New Roman"/>
                <w:b w:val="0"/>
                <w:color w:val="auto"/>
                <w:kern w:val="2"/>
                <w:sz w:val="24"/>
                <w:szCs w:val="24"/>
                <w:lang w:val="en-US" w:eastAsia="zh-CN" w:bidi="ar-SA"/>
              </w:rPr>
              <w:t>。</w:t>
            </w:r>
          </w:p>
          <w:p>
            <w:pPr>
              <w:pStyle w:val="46"/>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eastAsia"/>
                <w:color w:val="auto"/>
                <w:lang w:val="en-US" w:eastAsia="zh-CN"/>
              </w:rPr>
            </w:pPr>
            <w:r>
              <w:rPr>
                <w:rFonts w:hint="eastAsia"/>
                <w:color w:val="auto"/>
                <w:lang w:val="en-US" w:eastAsia="zh-CN"/>
              </w:rPr>
              <w:t>表3-4    阜康市各水系水文特征</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000"/>
              <w:gridCol w:w="1018"/>
              <w:gridCol w:w="1009"/>
              <w:gridCol w:w="1020"/>
              <w:gridCol w:w="976"/>
              <w:gridCol w:w="1024"/>
              <w:gridCol w:w="1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6"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河流</w:t>
                  </w:r>
                </w:p>
              </w:tc>
              <w:tc>
                <w:tcPr>
                  <w:tcW w:w="2050" w:type="dxa"/>
                  <w:gridSpan w:val="2"/>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河源冰川</w:t>
                  </w:r>
                </w:p>
              </w:tc>
              <w:tc>
                <w:tcPr>
                  <w:tcW w:w="1026"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河道长度（km）</w:t>
                  </w:r>
                </w:p>
              </w:tc>
              <w:tc>
                <w:tcPr>
                  <w:tcW w:w="1027"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流域面积（km</w:t>
                  </w:r>
                  <w:r>
                    <w:rPr>
                      <w:rFonts w:hint="default" w:ascii="Times New Roman" w:hAnsi="Times New Roman" w:eastAsia="宋体" w:cs="Times New Roman"/>
                      <w:b w:val="0"/>
                      <w:bCs/>
                      <w:color w:val="auto"/>
                      <w:vertAlign w:val="superscript"/>
                      <w:lang w:val="en-US" w:eastAsia="zh-CN"/>
                    </w:rPr>
                    <w:t>2</w:t>
                  </w:r>
                  <w:r>
                    <w:rPr>
                      <w:rFonts w:hint="default" w:ascii="Times New Roman" w:hAnsi="Times New Roman" w:eastAsia="宋体" w:cs="Times New Roman"/>
                      <w:b w:val="0"/>
                      <w:bCs/>
                      <w:color w:val="auto"/>
                      <w:vertAlign w:val="baseline"/>
                      <w:lang w:val="en-US" w:eastAsia="zh-CN"/>
                    </w:rPr>
                    <w:t>）</w:t>
                  </w:r>
                </w:p>
              </w:tc>
              <w:tc>
                <w:tcPr>
                  <w:tcW w:w="1027"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年径流量（万m</w:t>
                  </w:r>
                  <w:r>
                    <w:rPr>
                      <w:rFonts w:hint="default" w:ascii="Times New Roman" w:hAnsi="Times New Roman" w:eastAsia="宋体" w:cs="Times New Roman"/>
                      <w:b w:val="0"/>
                      <w:bCs/>
                      <w:color w:val="auto"/>
                      <w:vertAlign w:val="superscript"/>
                      <w:lang w:val="en-US" w:eastAsia="zh-CN"/>
                    </w:rPr>
                    <w:t>3</w:t>
                  </w:r>
                  <w:r>
                    <w:rPr>
                      <w:rFonts w:hint="default" w:ascii="Times New Roman" w:hAnsi="Times New Roman" w:eastAsia="宋体" w:cs="Times New Roman"/>
                      <w:b w:val="0"/>
                      <w:bCs/>
                      <w:color w:val="auto"/>
                      <w:vertAlign w:val="baseline"/>
                      <w:lang w:val="en-US" w:eastAsia="zh-CN"/>
                    </w:rPr>
                    <w:t>）</w:t>
                  </w:r>
                </w:p>
              </w:tc>
              <w:tc>
                <w:tcPr>
                  <w:tcW w:w="1027"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年平均流量（m</w:t>
                  </w:r>
                  <w:r>
                    <w:rPr>
                      <w:rFonts w:hint="default" w:ascii="Times New Roman" w:hAnsi="Times New Roman" w:eastAsia="宋体" w:cs="Times New Roman"/>
                      <w:b w:val="0"/>
                      <w:bCs/>
                      <w:color w:val="auto"/>
                      <w:vertAlign w:val="superscript"/>
                      <w:lang w:val="en-US" w:eastAsia="zh-CN"/>
                    </w:rPr>
                    <w:t>3</w:t>
                  </w:r>
                  <w:r>
                    <w:rPr>
                      <w:rFonts w:hint="default" w:ascii="Times New Roman" w:hAnsi="Times New Roman" w:eastAsia="宋体" w:cs="Times New Roman"/>
                      <w:b w:val="0"/>
                      <w:bCs/>
                      <w:color w:val="auto"/>
                      <w:vertAlign w:val="baseline"/>
                      <w:lang w:val="en-US" w:eastAsia="zh-CN"/>
                    </w:rPr>
                    <w:t>/s）</w:t>
                  </w:r>
                </w:p>
              </w:tc>
              <w:tc>
                <w:tcPr>
                  <w:tcW w:w="1027" w:type="dxa"/>
                  <w:vMerge w:val="restart"/>
                  <w:tcBorders>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年径流模数（l/s/km</w:t>
                  </w:r>
                  <w:r>
                    <w:rPr>
                      <w:rFonts w:hint="default" w:ascii="Times New Roman" w:hAnsi="Times New Roman" w:eastAsia="宋体" w:cs="Times New Roman"/>
                      <w:b w:val="0"/>
                      <w:bCs/>
                      <w:color w:val="auto"/>
                      <w:vertAlign w:val="superscript"/>
                      <w:lang w:val="en-US" w:eastAsia="zh-CN"/>
                    </w:rPr>
                    <w:t>2</w:t>
                  </w:r>
                  <w:r>
                    <w:rPr>
                      <w:rFonts w:hint="default" w:ascii="Times New Roman" w:hAnsi="Times New Roman" w:eastAsia="宋体" w:cs="Times New Roman"/>
                      <w:b w:val="0"/>
                      <w:bCs/>
                      <w:color w:val="auto"/>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026" w:type="dxa"/>
                  <w:vMerge w:val="continue"/>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rPr>
                  </w:pPr>
                </w:p>
              </w:tc>
              <w:tc>
                <w:tcPr>
                  <w:tcW w:w="1025" w:type="dxa"/>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条数（条）</w:t>
                  </w:r>
                </w:p>
              </w:tc>
              <w:tc>
                <w:tcPr>
                  <w:tcW w:w="1025" w:type="dxa"/>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面积（km</w:t>
                  </w:r>
                  <w:r>
                    <w:rPr>
                      <w:rFonts w:hint="default" w:ascii="Times New Roman" w:hAnsi="Times New Roman" w:eastAsia="宋体" w:cs="Times New Roman"/>
                      <w:b w:val="0"/>
                      <w:bCs/>
                      <w:color w:val="auto"/>
                      <w:vertAlign w:val="superscript"/>
                      <w:lang w:val="en-US" w:eastAsia="zh-CN"/>
                    </w:rPr>
                    <w:t>2</w:t>
                  </w:r>
                  <w:r>
                    <w:rPr>
                      <w:rFonts w:hint="default" w:ascii="Times New Roman" w:hAnsi="Times New Roman" w:eastAsia="宋体" w:cs="Times New Roman"/>
                      <w:b w:val="0"/>
                      <w:bCs/>
                      <w:color w:val="auto"/>
                      <w:vertAlign w:val="baseline"/>
                      <w:lang w:val="en-US" w:eastAsia="zh-CN"/>
                    </w:rPr>
                    <w:t>）</w:t>
                  </w:r>
                </w:p>
              </w:tc>
              <w:tc>
                <w:tcPr>
                  <w:tcW w:w="1026" w:type="dxa"/>
                  <w:vMerge w:val="continue"/>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c>
                <w:tcPr>
                  <w:tcW w:w="1027" w:type="dxa"/>
                  <w:vMerge w:val="continue"/>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c>
                <w:tcPr>
                  <w:tcW w:w="1027" w:type="dxa"/>
                  <w:vMerge w:val="continue"/>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c>
                <w:tcPr>
                  <w:tcW w:w="1027" w:type="dxa"/>
                  <w:vMerge w:val="continue"/>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c>
                <w:tcPr>
                  <w:tcW w:w="1027" w:type="dxa"/>
                  <w:vMerge w:val="continue"/>
                  <w:tcBorders>
                    <w:top w:val="single" w:color="auto" w:sz="12" w:space="0"/>
                    <w:bottom w:val="single" w:color="auto" w:sz="12" w:space="0"/>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水磨河</w:t>
                  </w:r>
                </w:p>
              </w:tc>
              <w:tc>
                <w:tcPr>
                  <w:tcW w:w="1025"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w:t>
                  </w:r>
                </w:p>
              </w:tc>
              <w:tc>
                <w:tcPr>
                  <w:tcW w:w="1025"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0.73</w:t>
                  </w:r>
                </w:p>
              </w:tc>
              <w:tc>
                <w:tcPr>
                  <w:tcW w:w="1026"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40</w:t>
                  </w:r>
                </w:p>
              </w:tc>
              <w:tc>
                <w:tcPr>
                  <w:tcW w:w="1027"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228</w:t>
                  </w:r>
                </w:p>
              </w:tc>
              <w:tc>
                <w:tcPr>
                  <w:tcW w:w="1027"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2032</w:t>
                  </w:r>
                </w:p>
              </w:tc>
              <w:tc>
                <w:tcPr>
                  <w:tcW w:w="1027"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0.64</w:t>
                  </w:r>
                </w:p>
              </w:tc>
              <w:tc>
                <w:tcPr>
                  <w:tcW w:w="1027" w:type="dxa"/>
                  <w:tcBorders>
                    <w:top w:val="single" w:color="auto" w:sz="12" w:space="0"/>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三工河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19</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9.79</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48</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304</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5199</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1.65</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5.42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四工河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4</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8.13</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40</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159</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2613</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0.83</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5.21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甘河子河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11</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8.9</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70</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234</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2672</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0.85</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白杨河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13</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24.5</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60</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252</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6016</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1.91</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7.57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西沟河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2</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30</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197</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0.06</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黄山河</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w:t>
                  </w:r>
                </w:p>
              </w:tc>
              <w:tc>
                <w:tcPr>
                  <w:tcW w:w="1025"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w:t>
                  </w:r>
                </w:p>
              </w:tc>
              <w:tc>
                <w:tcPr>
                  <w:tcW w:w="1026"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30</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122</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688</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0.22</w:t>
                  </w:r>
                </w:p>
              </w:tc>
              <w:tc>
                <w:tcPr>
                  <w:tcW w:w="1027" w:type="dxa"/>
                  <w:tcBorders>
                    <w:tl2br w:val="nil"/>
                    <w:tr2bl w:val="nil"/>
                  </w:tcBorders>
                  <w:vAlign w:val="center"/>
                </w:tcPr>
                <w:p>
                  <w:pPr>
                    <w:pStyle w:val="46"/>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vertAlign w:val="baseline"/>
                      <w:lang w:val="en-US" w:eastAsia="zh-CN"/>
                    </w:rPr>
                  </w:pPr>
                  <w:r>
                    <w:rPr>
                      <w:rFonts w:hint="default" w:ascii="Times New Roman" w:hAnsi="Times New Roman" w:eastAsia="宋体" w:cs="Times New Roman"/>
                      <w:b w:val="0"/>
                      <w:bCs/>
                      <w:color w:val="auto"/>
                      <w:vertAlign w:val="baseline"/>
                      <w:lang w:val="en-US" w:eastAsia="zh-CN"/>
                    </w:rPr>
                    <w:t>1.79</w:t>
                  </w:r>
                </w:p>
              </w:tc>
            </w:tr>
          </w:tbl>
          <w:p>
            <w:pPr>
              <w:pStyle w:val="54"/>
              <w:bidi w:val="0"/>
              <w:rPr>
                <w:rFonts w:hint="default"/>
                <w:color w:val="auto"/>
                <w:lang w:val="en-US" w:eastAsia="zh-CN"/>
              </w:rPr>
            </w:pPr>
            <w:r>
              <w:rPr>
                <w:rFonts w:hint="eastAsia"/>
                <w:color w:val="auto"/>
                <w:lang w:val="en-US" w:eastAsia="zh-CN"/>
              </w:rPr>
              <w:t>市域内山区和平原均由泉水分布。山区泉水分布在低山及山口一带，泉水以深层裂隙水和河床潜流出露为主要形式。平原泉水以潜水溢出为主要形式，由于地下水的大量开采，部分泉眼干枯或流量减少。</w:t>
            </w:r>
          </w:p>
          <w:p>
            <w:pPr>
              <w:pageBreakBefore w:val="0"/>
              <w:kinsoku/>
              <w:wordWrap/>
              <w:topLinePunct w:val="0"/>
              <w:autoSpaceDE/>
              <w:autoSpaceDN/>
              <w:bidi w:val="0"/>
              <w:adjustRightInd w:val="0"/>
              <w:snapToGrid w:val="0"/>
              <w:spacing w:line="520" w:lineRule="exact"/>
              <w:ind w:firstLine="480" w:firstLineChars="200"/>
              <w:textAlignment w:val="auto"/>
              <w:rPr>
                <w:color w:val="auto"/>
                <w:sz w:val="24"/>
              </w:rPr>
            </w:pPr>
            <w:r>
              <w:rPr>
                <w:rFonts w:hint="eastAsia"/>
                <w:color w:val="auto"/>
                <w:sz w:val="24"/>
              </w:rPr>
              <w:t>根据《建设项目环境影响报告表编制技术指南 （污染影响类）》（试行）地表水环境质量现状“引用与建设项目距离近的有效数据，包括近3年的规划环境影响评价的监测数据，所在流域控制单元内国家、地方控制断面监测数据，生态环境主管部门发布的水环境质量数据或地表水达标情况的结论”要求。根据《新疆准东供水近期二步工程</w:t>
            </w:r>
            <w:r>
              <w:rPr>
                <w:color w:val="auto"/>
                <w:sz w:val="24"/>
              </w:rPr>
              <w:t>“500”水库～10#闸段建设项目环境影响报告表</w:t>
            </w:r>
            <w:r>
              <w:rPr>
                <w:rFonts w:hint="eastAsia"/>
                <w:color w:val="auto"/>
                <w:sz w:val="24"/>
              </w:rPr>
              <w:t>》，可知距项目北侧约</w:t>
            </w:r>
            <w:r>
              <w:rPr>
                <w:rFonts w:hint="eastAsia"/>
                <w:color w:val="auto"/>
                <w:sz w:val="24"/>
                <w:lang w:val="en-US" w:eastAsia="zh-CN"/>
              </w:rPr>
              <w:t>3.3</w:t>
            </w:r>
            <w:r>
              <w:rPr>
                <w:rFonts w:hint="eastAsia"/>
                <w:color w:val="auto"/>
                <w:sz w:val="24"/>
              </w:rPr>
              <w:t>km处500水库地表水水质满足《地表水环境质量标准》（GB3838-2002）中</w:t>
            </w:r>
            <w:r>
              <w:rPr>
                <w:color w:val="auto"/>
                <w:sz w:val="24"/>
              </w:rPr>
              <w:t>Ⅲ</w:t>
            </w:r>
            <w:r>
              <w:rPr>
                <w:rFonts w:hint="eastAsia"/>
                <w:color w:val="auto"/>
                <w:sz w:val="24"/>
              </w:rPr>
              <w:t>类标准。</w:t>
            </w:r>
          </w:p>
          <w:p>
            <w:pPr>
              <w:pStyle w:val="2"/>
              <w:pageBreakBefore w:val="0"/>
              <w:numPr>
                <w:ilvl w:val="0"/>
                <w:numId w:val="15"/>
              </w:numPr>
              <w:kinsoku/>
              <w:wordWrap/>
              <w:topLinePunct w:val="0"/>
              <w:autoSpaceDE/>
              <w:autoSpaceDN/>
              <w:bidi w:val="0"/>
              <w:adjustRightInd w:val="0"/>
              <w:spacing w:before="0" w:after="0" w:line="520" w:lineRule="exact"/>
              <w:ind w:left="0" w:leftChars="0" w:firstLine="0" w:firstLineChars="0"/>
              <w:textAlignment w:val="auto"/>
              <w:rPr>
                <w:rFonts w:eastAsia="宋体"/>
                <w:color w:val="auto"/>
                <w:sz w:val="24"/>
                <w:szCs w:val="24"/>
              </w:rPr>
            </w:pPr>
            <w:r>
              <w:rPr>
                <w:rFonts w:eastAsia="宋体"/>
                <w:color w:val="auto"/>
                <w:sz w:val="24"/>
                <w:szCs w:val="24"/>
              </w:rPr>
              <w:t>声环境质量现状</w:t>
            </w:r>
          </w:p>
          <w:p>
            <w:pPr>
              <w:pageBreakBefore w:val="0"/>
              <w:kinsoku/>
              <w:wordWrap/>
              <w:topLinePunct w:val="0"/>
              <w:autoSpaceDE/>
              <w:autoSpaceDN/>
              <w:bidi w:val="0"/>
              <w:spacing w:line="520" w:lineRule="exact"/>
              <w:ind w:firstLine="480" w:firstLineChars="200"/>
              <w:textAlignment w:val="auto"/>
              <w:rPr>
                <w:color w:val="auto"/>
                <w:sz w:val="24"/>
              </w:rPr>
            </w:pPr>
            <w:r>
              <w:rPr>
                <w:color w:val="auto"/>
                <w:sz w:val="24"/>
              </w:rPr>
              <w:t>根据《建设项目环境影响报告表编制技术指南（污染影响类）》（试行）中区域环境质量现状评价要求，</w:t>
            </w:r>
            <w:r>
              <w:rPr>
                <w:rFonts w:hint="eastAsia"/>
                <w:color w:val="auto"/>
                <w:sz w:val="24"/>
                <w:lang w:val="en-US" w:eastAsia="zh-CN"/>
              </w:rPr>
              <w:t>本</w:t>
            </w:r>
            <w:r>
              <w:rPr>
                <w:color w:val="auto"/>
                <w:sz w:val="24"/>
              </w:rPr>
              <w:t>项目厂界外周边50m范围内无声环境保护目标，因此，可不开展声环境现状调查与评价。</w:t>
            </w:r>
          </w:p>
          <w:p>
            <w:pPr>
              <w:pStyle w:val="2"/>
              <w:pageBreakBefore w:val="0"/>
              <w:numPr>
                <w:ilvl w:val="0"/>
                <w:numId w:val="15"/>
              </w:numPr>
              <w:kinsoku/>
              <w:wordWrap/>
              <w:topLinePunct w:val="0"/>
              <w:autoSpaceDE/>
              <w:autoSpaceDN/>
              <w:bidi w:val="0"/>
              <w:adjustRightInd w:val="0"/>
              <w:spacing w:before="0" w:after="0" w:line="520" w:lineRule="exact"/>
              <w:ind w:left="0" w:leftChars="0" w:firstLine="0" w:firstLineChars="0"/>
              <w:textAlignment w:val="auto"/>
              <w:rPr>
                <w:rFonts w:eastAsia="宋体"/>
                <w:color w:val="auto"/>
                <w:sz w:val="24"/>
                <w:szCs w:val="24"/>
              </w:rPr>
            </w:pPr>
            <w:r>
              <w:rPr>
                <w:rFonts w:eastAsia="宋体"/>
                <w:color w:val="auto"/>
                <w:sz w:val="24"/>
                <w:szCs w:val="24"/>
              </w:rPr>
              <w:t>生态环境</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color w:val="auto"/>
                <w:kern w:val="2"/>
                <w:sz w:val="24"/>
                <w:szCs w:val="24"/>
              </w:rPr>
            </w:pPr>
            <w:r>
              <w:rPr>
                <w:color w:val="auto"/>
                <w:kern w:val="2"/>
                <w:sz w:val="24"/>
                <w:szCs w:val="24"/>
              </w:rPr>
              <w:t>根据《建设项目环境影响报告表编制技术指南（污染影响类）》（试行）中规定，产业园区外建设项目新增用地且用地范围内含有生态环境保护目标</w:t>
            </w:r>
            <w:r>
              <w:rPr>
                <w:color w:val="auto"/>
                <w:kern w:val="2"/>
                <w:sz w:val="24"/>
                <w:szCs w:val="24"/>
                <w:lang w:eastAsia="zh-Hans"/>
              </w:rPr>
              <w:t>的</w:t>
            </w:r>
            <w:r>
              <w:rPr>
                <w:color w:val="auto"/>
                <w:kern w:val="2"/>
                <w:sz w:val="24"/>
                <w:szCs w:val="24"/>
              </w:rPr>
              <w:t>应进行生态现状调查。本项目位于</w:t>
            </w:r>
            <w:r>
              <w:rPr>
                <w:rFonts w:hint="eastAsia"/>
                <w:color w:val="auto"/>
                <w:kern w:val="2"/>
                <w:sz w:val="24"/>
                <w:szCs w:val="24"/>
                <w:lang w:eastAsia="zh-CN"/>
              </w:rPr>
              <w:t>阜康苏通小微创业园</w:t>
            </w:r>
            <w:r>
              <w:rPr>
                <w:color w:val="auto"/>
                <w:kern w:val="2"/>
                <w:sz w:val="24"/>
                <w:szCs w:val="24"/>
              </w:rPr>
              <w:t>新材料产业园，项目区内不存在生态环境保护目标，故本项目可不开展生态环境现状调查。</w:t>
            </w:r>
          </w:p>
          <w:p>
            <w:pPr>
              <w:keepNext/>
              <w:keepLines/>
              <w:pageBreakBefore w:val="0"/>
              <w:widowControl w:val="0"/>
              <w:numPr>
                <w:ilvl w:val="0"/>
                <w:numId w:val="15"/>
              </w:numPr>
              <w:kinsoku/>
              <w:wordWrap/>
              <w:overflowPunct/>
              <w:topLinePunct w:val="0"/>
              <w:autoSpaceDE/>
              <w:autoSpaceDN/>
              <w:bidi w:val="0"/>
              <w:adjustRightInd/>
              <w:snapToGrid/>
              <w:spacing w:line="520" w:lineRule="exact"/>
              <w:ind w:left="0" w:leftChars="0" w:firstLine="0" w:firstLineChars="0"/>
              <w:textAlignment w:val="auto"/>
              <w:outlineLvl w:val="1"/>
              <w:rPr>
                <w:b/>
                <w:color w:val="auto"/>
                <w:sz w:val="24"/>
              </w:rPr>
            </w:pPr>
            <w:r>
              <w:rPr>
                <w:b/>
                <w:color w:val="auto"/>
                <w:sz w:val="24"/>
              </w:rPr>
              <w:t>地下水</w:t>
            </w:r>
            <w:r>
              <w:rPr>
                <w:rFonts w:hint="eastAsia"/>
                <w:b/>
                <w:color w:val="auto"/>
                <w:sz w:val="24"/>
                <w:lang w:eastAsia="zh-CN"/>
              </w:rPr>
              <w:t>、</w:t>
            </w:r>
            <w:r>
              <w:rPr>
                <w:rFonts w:hint="eastAsia"/>
                <w:b/>
                <w:color w:val="auto"/>
                <w:sz w:val="24"/>
                <w:lang w:val="en-US" w:eastAsia="zh-CN"/>
              </w:rPr>
              <w:t>土壤</w:t>
            </w:r>
            <w:r>
              <w:rPr>
                <w:b/>
                <w:color w:val="auto"/>
                <w:sz w:val="24"/>
              </w:rPr>
              <w:t>环境质量现状</w:t>
            </w:r>
          </w:p>
          <w:p>
            <w:pPr>
              <w:pStyle w:val="54"/>
              <w:bidi w:val="0"/>
              <w:rPr>
                <w:rFonts w:hint="eastAsia"/>
                <w:color w:val="auto"/>
                <w:lang w:val="en-US" w:eastAsia="zh-CN"/>
              </w:rPr>
            </w:pPr>
            <w:r>
              <w:rPr>
                <w:rFonts w:hint="eastAsia"/>
                <w:color w:val="auto"/>
                <w:lang w:val="en-US" w:eastAsia="zh-CN"/>
              </w:rPr>
              <w:t>阜康市境内地下水分布较广，地下水补给源主要为河流的渗漏补给，其次是山区裂隙水和大气降水补给，地下水位埋深随地形坡度南深北浅。地下水随南部、中部、北部地质构造带不同，按分布地区及埋藏情况可划分为裂隙水区、潜水区、承压水区。</w:t>
            </w:r>
          </w:p>
          <w:p>
            <w:pPr>
              <w:pStyle w:val="54"/>
              <w:bidi w:val="0"/>
              <w:rPr>
                <w:rFonts w:hint="eastAsia"/>
                <w:color w:val="auto"/>
                <w:lang w:val="en-US" w:eastAsia="zh-CN"/>
              </w:rPr>
            </w:pPr>
            <w:r>
              <w:rPr>
                <w:rFonts w:hint="eastAsia"/>
                <w:color w:val="auto"/>
                <w:lang w:val="en-US" w:eastAsia="zh-CN"/>
              </w:rPr>
              <w:t>裂隙水区位于基岩地区，在高山带由冰川消融水渗漏形成地下潜流，在中下游通过裂隙流出补给河水；在中山带地下水多呈泉流形式补给河流；在低山丘陵带，二迭系砂岩裂隙十分发育，裂隙泉较多。</w:t>
            </w:r>
          </w:p>
          <w:p>
            <w:pPr>
              <w:pStyle w:val="54"/>
              <w:bidi w:val="0"/>
              <w:rPr>
                <w:rFonts w:hint="eastAsia"/>
                <w:color w:val="auto"/>
                <w:lang w:val="en-US" w:eastAsia="zh-CN"/>
              </w:rPr>
            </w:pPr>
            <w:r>
              <w:rPr>
                <w:rFonts w:hint="eastAsia"/>
                <w:color w:val="auto"/>
                <w:lang w:val="en-US" w:eastAsia="zh-CN"/>
              </w:rPr>
              <w:t>潜水区位于冲积洪积平原内，地下水埋藏深度由南向北逐步变浅，矿化度逐渐增高，由碳酸盐性水渐变为硫酸盐性水或氯化物性水。其含水层颗粒由上部（山前）卵砾石渐变成中部的粗砾石，到下部（北部平原）为细砾和粗、中、细、粉砂。随着含水层颗粒物的变小，渗透系数也随之变小。地下水埋藏深度南部最深处达100m以上，北部最浅处不足1m或成沼泽。该区域是阜康市地下水源的重点开发区，70年代以来，大量提取地下水，地下水位降低，矿化度下降，水质变好。承压水区位于平原北部，沙漠以南，含水层厚40～60m，由中砂、细砂组成。往沙漠方向，含水层逐渐变薄以至尖灭。</w:t>
            </w:r>
          </w:p>
          <w:p>
            <w:pPr>
              <w:pStyle w:val="54"/>
              <w:bidi w:val="0"/>
              <w:rPr>
                <w:rFonts w:hint="eastAsia"/>
                <w:color w:val="auto"/>
                <w:lang w:val="en-US" w:eastAsia="zh-CN"/>
              </w:rPr>
            </w:pPr>
            <w:r>
              <w:rPr>
                <w:rFonts w:hint="eastAsia"/>
                <w:color w:val="auto"/>
                <w:lang w:val="en-US" w:eastAsia="zh-CN"/>
              </w:rPr>
              <w:t>承压水区分布于潜水溢出带以北，北沙漠以南的广大冲洪积平原，主要靠上游潜水侧向补给。其富水性及水质较好，向沙漠方向上，含水层逐渐变薄以至尖灭，富水性减弱，水头降低，在近沙漠地段，有部分承压水不能自流，只能越层补给潜水，排泄以蒸发为主。</w:t>
            </w:r>
          </w:p>
          <w:p>
            <w:pPr>
              <w:pStyle w:val="54"/>
              <w:bidi w:val="0"/>
              <w:rPr>
                <w:color w:val="auto"/>
              </w:rPr>
            </w:pPr>
            <w:r>
              <w:rPr>
                <w:rFonts w:hint="eastAsia"/>
                <w:color w:val="auto"/>
                <w:lang w:val="en-US" w:eastAsia="zh-CN"/>
              </w:rPr>
              <w:t>根据《阜康市地下水资源评价暨开发利用保护规划》中对地下水的评价，阜康市平原区地下水资源现状可开采量9206万m</w:t>
            </w:r>
            <w:r>
              <w:rPr>
                <w:rFonts w:hint="eastAsia"/>
                <w:color w:val="auto"/>
                <w:vertAlign w:val="superscript"/>
                <w:lang w:val="en-US" w:eastAsia="zh-CN"/>
              </w:rPr>
              <w:t>3</w:t>
            </w:r>
            <w:r>
              <w:rPr>
                <w:rFonts w:hint="eastAsia"/>
                <w:color w:val="auto"/>
                <w:lang w:val="en-US" w:eastAsia="zh-CN"/>
              </w:rPr>
              <w:t>。</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eastAsia="宋体"/>
                <w:color w:val="auto"/>
                <w:lang w:val="en-US" w:eastAsia="zh-CN"/>
              </w:rPr>
            </w:pPr>
            <w:r>
              <w:rPr>
                <w:color w:val="auto"/>
                <w:sz w:val="24"/>
              </w:rPr>
              <w:t>根据《建设项目环境影响报告表编制技术指南（污染影响类）》（试行），</w:t>
            </w:r>
            <w:r>
              <w:rPr>
                <w:rFonts w:hint="eastAsia"/>
                <w:color w:val="auto"/>
                <w:sz w:val="24"/>
                <w:lang w:val="en-US" w:eastAsia="zh-CN"/>
              </w:rPr>
              <w:t>原则上不开展环境质量现状调查，建设项目存在土壤、地下水环境污染途径的，应结合污染源、保护目标分布情况开展现状调查以留作背景值，本项目无生产废水产生，生活污水排入园区污水管网，项目不存在地下水、土壤污染途径，因此本次评价不开展对地下水、土壤环境质量现状调查与评价</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环境</w:t>
            </w:r>
          </w:p>
          <w:p>
            <w:pPr>
              <w:adjustRightInd w:val="0"/>
              <w:snapToGrid w:val="0"/>
              <w:spacing w:line="360" w:lineRule="auto"/>
              <w:jc w:val="center"/>
              <w:rPr>
                <w:rFonts w:ascii="宋体" w:hAnsi="宋体" w:cs="宋体"/>
                <w:color w:val="auto"/>
                <w:kern w:val="0"/>
                <w:sz w:val="24"/>
                <w:szCs w:val="24"/>
              </w:rPr>
            </w:pPr>
            <w:r>
              <w:rPr>
                <w:rFonts w:hint="eastAsia" w:ascii="宋体" w:hAnsi="宋体" w:cs="宋体"/>
                <w:color w:val="auto"/>
                <w:kern w:val="0"/>
                <w:sz w:val="24"/>
                <w:szCs w:val="24"/>
              </w:rPr>
              <w:t>保护</w:t>
            </w:r>
          </w:p>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目标</w:t>
            </w:r>
          </w:p>
        </w:tc>
        <w:tc>
          <w:tcPr>
            <w:tcW w:w="8190" w:type="dxa"/>
            <w:vAlign w:val="center"/>
          </w:tcPr>
          <w:p>
            <w:pPr>
              <w:pStyle w:val="2"/>
              <w:keepNext/>
              <w:keepLines w:val="0"/>
              <w:pageBreakBefore w:val="0"/>
              <w:widowControl w:val="0"/>
              <w:numPr>
                <w:ilvl w:val="0"/>
                <w:numId w:val="16"/>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p>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根据《环境空气质量标准》（GB3095-2012）中的二级标准保护要求，项目场地厂界外500米范围内无自然保护区、风景名胜区、居住区、文化区和农村地区中人群较集中的区域等保护目标，无敏感目标。</w:t>
            </w:r>
          </w:p>
          <w:p>
            <w:pPr>
              <w:pStyle w:val="2"/>
              <w:keepNext/>
              <w:keepLines w:val="0"/>
              <w:pageBreakBefore w:val="0"/>
              <w:widowControl w:val="0"/>
              <w:numPr>
                <w:ilvl w:val="0"/>
                <w:numId w:val="16"/>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p>
            <w:pPr>
              <w:pStyle w:val="3"/>
              <w:pageBreakBefore w:val="0"/>
              <w:widowControl w:val="0"/>
              <w:tabs>
                <w:tab w:val="left" w:pos="1080"/>
              </w:tabs>
              <w:kinsoku/>
              <w:wordWrap/>
              <w:topLinePunct w:val="0"/>
              <w:autoSpaceDE/>
              <w:autoSpaceDN/>
              <w:bidi w:val="0"/>
              <w:adjustRightInd/>
              <w:snapToGrid/>
              <w:spacing w:line="520" w:lineRule="exact"/>
              <w:ind w:lef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根据《声环境质量标准》（GB3096-2008）中的3类标准保护要求，项目周边为企业，项目场地厂界外50米范围内无声环境保护目标。</w:t>
            </w:r>
          </w:p>
          <w:p>
            <w:pPr>
              <w:pStyle w:val="2"/>
              <w:keepNext/>
              <w:keepLines w:val="0"/>
              <w:pageBreakBefore w:val="0"/>
              <w:widowControl w:val="0"/>
              <w:numPr>
                <w:ilvl w:val="0"/>
                <w:numId w:val="16"/>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地下水环境</w:t>
            </w:r>
          </w:p>
          <w:p>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根据《地下水质量标准》（GB/T14848-2017）中的III类标准保护要求，本项目厂界外500米范围内的无地下水集中式饮用水水源和热水、矿泉水、温泉等特殊地下水资源，无敏感目标。</w:t>
            </w:r>
          </w:p>
          <w:p>
            <w:pPr>
              <w:pStyle w:val="2"/>
              <w:keepNext/>
              <w:keepLines w:val="0"/>
              <w:pageBreakBefore w:val="0"/>
              <w:widowControl w:val="0"/>
              <w:numPr>
                <w:ilvl w:val="0"/>
                <w:numId w:val="16"/>
              </w:numPr>
              <w:kinsoku/>
              <w:wordWrap/>
              <w:overflowPunct w:val="0"/>
              <w:topLinePunct w:val="0"/>
              <w:autoSpaceDE/>
              <w:autoSpaceDN/>
              <w:bidi w:val="0"/>
              <w:adjustRightInd/>
              <w:snapToGrid/>
              <w:spacing w:before="0" w:after="0" w:line="520" w:lineRule="exact"/>
              <w:ind w:left="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生态环境</w:t>
            </w:r>
          </w:p>
          <w:p>
            <w:pPr>
              <w:pageBreakBefore w:val="0"/>
              <w:widowControl w:val="0"/>
              <w:kinsoku/>
              <w:wordWrap/>
              <w:topLinePunct w:val="0"/>
              <w:autoSpaceDE/>
              <w:autoSpaceDN/>
              <w:bidi w:val="0"/>
              <w:adjustRightInd/>
              <w:snapToGrid/>
              <w:spacing w:line="520" w:lineRule="exact"/>
              <w:ind w:left="0" w:firstLine="48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 w:val="24"/>
              </w:rPr>
              <w:t>本项目位于</w:t>
            </w:r>
            <w:r>
              <w:rPr>
                <w:rFonts w:hint="eastAsia" w:cs="Times New Roman"/>
                <w:color w:val="auto"/>
                <w:sz w:val="24"/>
                <w:lang w:eastAsia="zh-CN"/>
              </w:rPr>
              <w:t>阜康苏通小微创业园</w:t>
            </w:r>
            <w:r>
              <w:rPr>
                <w:rFonts w:hint="default" w:ascii="Times New Roman" w:hAnsi="Times New Roman" w:eastAsia="宋体" w:cs="Times New Roman"/>
                <w:color w:val="auto"/>
                <w:sz w:val="24"/>
              </w:rPr>
              <w:t>，项目选址占地为工业用地，项目周边均为企业，项目周边无居民区，水源保护地等敏感目标。根据《建设项目环境影响报告表编制技术指南》（污染影响类），项目占地场地厂界外500m范围内无敏感目标。周围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污染物排放控制标准</w:t>
            </w:r>
          </w:p>
        </w:tc>
        <w:tc>
          <w:tcPr>
            <w:tcW w:w="8190" w:type="dxa"/>
            <w:vAlign w:val="center"/>
          </w:tcPr>
          <w:p>
            <w:pPr>
              <w:pStyle w:val="2"/>
              <w:keepNext/>
              <w:keepLines w:val="0"/>
              <w:pageBreakBefore w:val="0"/>
              <w:widowControl w:val="0"/>
              <w:numPr>
                <w:ilvl w:val="0"/>
                <w:numId w:val="17"/>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w:t>
            </w:r>
          </w:p>
          <w:p>
            <w:pPr>
              <w:keepLines w:val="0"/>
              <w:pageBreakBefore w:val="0"/>
              <w:widowControl w:val="0"/>
              <w:kinsoku/>
              <w:wordWrap/>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有组织破碎废气和热熔废气</w:t>
            </w:r>
            <w:r>
              <w:rPr>
                <w:rFonts w:hint="default" w:ascii="Times New Roman" w:hAnsi="Times New Roman" w:eastAsia="宋体" w:cs="Times New Roman"/>
                <w:color w:val="auto"/>
                <w:sz w:val="24"/>
              </w:rPr>
              <w:t>执行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合成树脂工业污染物排放标准</w:t>
            </w:r>
            <w:r>
              <w:rPr>
                <w:rFonts w:hint="default" w:ascii="Times New Roman" w:hAnsi="Times New Roman" w:eastAsia="宋体" w:cs="Times New Roman"/>
                <w:color w:val="auto"/>
                <w:sz w:val="24"/>
                <w:szCs w:val="24"/>
                <w:lang w:val="en-US" w:eastAsia="zh-CN"/>
              </w:rPr>
              <w:t>》（GB</w:t>
            </w:r>
            <w:r>
              <w:rPr>
                <w:rFonts w:hint="eastAsia" w:ascii="Times New Roman" w:hAnsi="Times New Roman" w:eastAsia="宋体" w:cs="Times New Roman"/>
                <w:color w:val="auto"/>
                <w:sz w:val="24"/>
                <w:szCs w:val="24"/>
                <w:lang w:val="en-US" w:eastAsia="zh-CN"/>
              </w:rPr>
              <w:t>31572-2015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lang w:eastAsia="zh-CN"/>
              </w:rPr>
              <w:t>中表</w:t>
            </w:r>
            <w:r>
              <w:rPr>
                <w:rFonts w:hint="eastAsia" w:cs="Times New Roman"/>
                <w:color w:val="auto"/>
                <w:sz w:val="24"/>
                <w:lang w:val="en-US" w:eastAsia="zh-CN"/>
              </w:rPr>
              <w:t>5大气污染物</w:t>
            </w:r>
            <w:r>
              <w:rPr>
                <w:rFonts w:hint="default" w:ascii="Times New Roman" w:hAnsi="Times New Roman" w:eastAsia="宋体" w:cs="Times New Roman"/>
                <w:color w:val="auto"/>
                <w:sz w:val="24"/>
                <w:lang w:eastAsia="zh-CN"/>
              </w:rPr>
              <w:t>特别排放限值要求</w:t>
            </w:r>
            <w:r>
              <w:rPr>
                <w:rFonts w:hint="default" w:ascii="Times New Roman" w:hAnsi="Times New Roman" w:eastAsia="宋体" w:cs="Times New Roman"/>
                <w:color w:val="auto"/>
                <w:sz w:val="24"/>
              </w:rPr>
              <w:t>。</w:t>
            </w:r>
          </w:p>
          <w:p>
            <w:pPr>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厂界</w:t>
            </w:r>
            <w:r>
              <w:rPr>
                <w:rFonts w:hint="eastAsia" w:ascii="Times New Roman" w:hAnsi="Times New Roman" w:eastAsia="宋体" w:cs="Times New Roman"/>
                <w:color w:val="auto"/>
                <w:sz w:val="24"/>
                <w:szCs w:val="24"/>
                <w:lang w:val="en-US" w:eastAsia="zh-CN"/>
              </w:rPr>
              <w:t>无组织</w:t>
            </w:r>
            <w:r>
              <w:rPr>
                <w:rFonts w:hint="eastAsia"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非甲烷总烃厂界浓度执行《合成树脂工业污染物排放标准》（GB4915-2013）中表9企业边界大气污染物浓度限值要求</w:t>
            </w:r>
            <w:r>
              <w:rPr>
                <w:rFonts w:hint="eastAsia" w:cs="Times New Roman"/>
                <w:color w:val="auto"/>
                <w:sz w:val="24"/>
                <w:szCs w:val="24"/>
                <w:lang w:val="en-US" w:eastAsia="zh-CN"/>
              </w:rPr>
              <w:t xml:space="preserve">；厂区内无组织非甲烷总烃执行《挥发性有机物无组织排放控制标准》（GB37822-2019）中表A.1 </w:t>
            </w:r>
            <w:r>
              <w:rPr>
                <w:rFonts w:hint="eastAsia" w:cs="Times New Roman"/>
                <w:color w:val="auto"/>
                <w:kern w:val="21"/>
                <w:sz w:val="24"/>
                <w:szCs w:val="24"/>
                <w:lang w:val="en-US" w:eastAsia="zh-CN" w:bidi="ar"/>
              </w:rPr>
              <w:t>厂区内VOCs无组织特别排放限值要求</w:t>
            </w:r>
            <w:r>
              <w:rPr>
                <w:rFonts w:hint="eastAsia" w:ascii="Times New Roman" w:hAnsi="Times New Roman" w:eastAsia="宋体" w:cs="Times New Roman"/>
                <w:color w:val="auto"/>
                <w:sz w:val="24"/>
                <w:szCs w:val="24"/>
                <w:lang w:val="en-US" w:eastAsia="zh-CN"/>
              </w:rPr>
              <w:t>。</w:t>
            </w:r>
          </w:p>
          <w:p>
            <w:pPr>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）食堂油烟执行《饮食业油烟排放标准（试行）》（GB18483－2001）中表2饮食业单位的油烟最高允许排放浓度。</w:t>
            </w:r>
          </w:p>
          <w:p>
            <w:pPr>
              <w:pStyle w:val="43"/>
              <w:keepLines w:val="0"/>
              <w:pageBreakBefore w:val="0"/>
              <w:widowControl w:val="0"/>
              <w:tabs>
                <w:tab w:val="left" w:pos="360"/>
                <w:tab w:val="left" w:pos="1620"/>
              </w:tabs>
              <w:kinsoku/>
              <w:wordWrap/>
              <w:topLinePunct w:val="0"/>
              <w:autoSpaceDE/>
              <w:autoSpaceDN/>
              <w:bidi w:val="0"/>
              <w:spacing w:line="52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大气污染物排放限值标准</w:t>
            </w:r>
          </w:p>
          <w:tbl>
            <w:tblPr>
              <w:tblStyle w:val="2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05"/>
              <w:gridCol w:w="1002"/>
              <w:gridCol w:w="875"/>
              <w:gridCol w:w="1286"/>
              <w:gridCol w:w="41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905" w:type="dxa"/>
                  <w:tcBorders>
                    <w:bottom w:val="single" w:color="000000" w:sz="12" w:space="0"/>
                  </w:tcBorders>
                  <w:vAlign w:val="center"/>
                </w:tcPr>
                <w:p>
                  <w:pPr>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废气名称</w:t>
                  </w:r>
                </w:p>
              </w:tc>
              <w:tc>
                <w:tcPr>
                  <w:tcW w:w="1002" w:type="dxa"/>
                  <w:tcBorders>
                    <w:bottom w:val="single" w:color="000000" w:sz="12" w:space="0"/>
                  </w:tcBorders>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排放形式</w:t>
                  </w:r>
                </w:p>
              </w:tc>
              <w:tc>
                <w:tcPr>
                  <w:tcW w:w="875" w:type="dxa"/>
                  <w:tcBorders>
                    <w:bottom w:val="single" w:color="000000" w:sz="12" w:space="0"/>
                  </w:tcBorders>
                  <w:vAlign w:val="center"/>
                </w:tcPr>
                <w:p>
                  <w:pPr>
                    <w:jc w:val="center"/>
                    <w:rPr>
                      <w:rFonts w:hint="eastAsia" w:ascii="Times New Roman" w:hAnsi="Times New Roman" w:eastAsia="宋体" w:cs="Times New Roman"/>
                      <w:b/>
                      <w:bCs/>
                      <w:color w:val="auto"/>
                      <w:lang w:val="en-US" w:eastAsia="zh-CN"/>
                    </w:rPr>
                  </w:pPr>
                  <w:r>
                    <w:rPr>
                      <w:rFonts w:hint="eastAsia" w:cs="Times New Roman"/>
                      <w:b/>
                      <w:bCs/>
                      <w:color w:val="auto"/>
                      <w:lang w:val="en-US" w:eastAsia="zh-CN"/>
                    </w:rPr>
                    <w:t>污染物</w:t>
                  </w:r>
                </w:p>
              </w:tc>
              <w:tc>
                <w:tcPr>
                  <w:tcW w:w="1286" w:type="dxa"/>
                  <w:tcBorders>
                    <w:bottom w:val="single" w:color="000000" w:sz="12" w:space="0"/>
                  </w:tcBorders>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限值</w:t>
                  </w:r>
                </w:p>
              </w:tc>
              <w:tc>
                <w:tcPr>
                  <w:tcW w:w="4152" w:type="dxa"/>
                  <w:tcBorders>
                    <w:bottom w:val="single" w:color="000000" w:sz="12" w:space="0"/>
                  </w:tcBorders>
                  <w:vAlign w:val="center"/>
                </w:tcPr>
                <w:p>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905" w:type="dxa"/>
                  <w:tcBorders>
                    <w:top w:val="single" w:color="000000" w:sz="12" w:space="0"/>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破碎废气</w:t>
                  </w:r>
                </w:p>
              </w:tc>
              <w:tc>
                <w:tcPr>
                  <w:tcW w:w="1002" w:type="dxa"/>
                  <w:tcBorders>
                    <w:top w:val="single" w:color="000000" w:sz="12" w:space="0"/>
                  </w:tcBorders>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有组织</w:t>
                  </w:r>
                </w:p>
              </w:tc>
              <w:tc>
                <w:tcPr>
                  <w:tcW w:w="875" w:type="dxa"/>
                  <w:tcBorders>
                    <w:top w:val="single" w:color="000000" w:sz="12" w:space="0"/>
                  </w:tcBorders>
                  <w:vAlign w:val="center"/>
                </w:tcPr>
                <w:p>
                  <w:pPr>
                    <w:jc w:val="center"/>
                    <w:rPr>
                      <w:rFonts w:hint="default" w:cs="Times New Roman"/>
                      <w:color w:val="auto"/>
                      <w:lang w:val="en-US" w:eastAsia="zh-CN"/>
                    </w:rPr>
                  </w:pPr>
                  <w:r>
                    <w:rPr>
                      <w:rFonts w:hint="eastAsia" w:cs="Times New Roman"/>
                      <w:color w:val="auto"/>
                      <w:lang w:val="en-US" w:eastAsia="zh-CN"/>
                    </w:rPr>
                    <w:t>颗粒物</w:t>
                  </w:r>
                </w:p>
              </w:tc>
              <w:tc>
                <w:tcPr>
                  <w:tcW w:w="1286" w:type="dxa"/>
                  <w:tcBorders>
                    <w:top w:val="single" w:color="000000" w:sz="12" w:space="0"/>
                  </w:tcBorders>
                  <w:vAlign w:val="center"/>
                </w:tcPr>
                <w:p>
                  <w:pPr>
                    <w:jc w:val="center"/>
                    <w:rPr>
                      <w:rFonts w:hint="eastAsia" w:cs="Times New Roman"/>
                      <w:color w:val="auto"/>
                      <w:lang w:eastAsia="zh-CN"/>
                    </w:rPr>
                  </w:pPr>
                  <w:r>
                    <w:rPr>
                      <w:rFonts w:hint="eastAsia" w:cs="Times New Roman"/>
                      <w:color w:val="auto"/>
                      <w:lang w:val="en-US" w:eastAsia="zh-CN"/>
                    </w:rPr>
                    <w:t>20</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p>
              </w:tc>
              <w:tc>
                <w:tcPr>
                  <w:tcW w:w="4152" w:type="dxa"/>
                  <w:vMerge w:val="restart"/>
                  <w:tcBorders>
                    <w:top w:val="single" w:color="000000" w:sz="12" w:space="0"/>
                  </w:tcBorders>
                  <w:vAlign w:val="center"/>
                </w:tcPr>
                <w:p>
                  <w:pPr>
                    <w:jc w:val="center"/>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《合成树脂工业污染物排放标准》（GB31572-2015）</w:t>
                  </w:r>
                  <w:r>
                    <w:rPr>
                      <w:rFonts w:hint="eastAsia" w:cs="Times New Roman"/>
                      <w:color w:val="auto"/>
                      <w:lang w:val="en-US" w:eastAsia="zh-CN"/>
                    </w:rPr>
                    <w:t>中表5特别排放限值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9" w:hRule="atLeast"/>
                <w:jc w:val="center"/>
              </w:trPr>
              <w:tc>
                <w:tcPr>
                  <w:tcW w:w="905" w:type="dxa"/>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热熔废气</w:t>
                  </w:r>
                </w:p>
              </w:tc>
              <w:tc>
                <w:tcPr>
                  <w:tcW w:w="1002" w:type="dxa"/>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有组织</w:t>
                  </w:r>
                </w:p>
              </w:tc>
              <w:tc>
                <w:tcPr>
                  <w:tcW w:w="875" w:type="dxa"/>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非甲烷总烃</w:t>
                  </w:r>
                </w:p>
              </w:tc>
              <w:tc>
                <w:tcPr>
                  <w:tcW w:w="1286" w:type="dxa"/>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60m</w:t>
                  </w:r>
                  <w:r>
                    <w:rPr>
                      <w:rFonts w:hint="default" w:ascii="Times New Roman" w:hAnsi="Times New Roman" w:eastAsia="宋体" w:cs="Times New Roman"/>
                      <w:color w:val="auto"/>
                    </w:rPr>
                    <w:t>g/m³</w:t>
                  </w:r>
                </w:p>
              </w:tc>
              <w:tc>
                <w:tcPr>
                  <w:tcW w:w="4152" w:type="dxa"/>
                  <w:vMerge w:val="continue"/>
                  <w:vAlign w:val="center"/>
                </w:tcPr>
                <w:p>
                  <w:pPr>
                    <w:jc w:val="center"/>
                    <w:rPr>
                      <w:rFonts w:hint="default" w:ascii="Times New Roman" w:hAnsi="Times New Roman" w:eastAsia="宋体" w:cs="Times New Roman"/>
                      <w:color w:val="auto"/>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19" w:hRule="atLeast"/>
                <w:jc w:val="center"/>
              </w:trPr>
              <w:tc>
                <w:tcPr>
                  <w:tcW w:w="905" w:type="dxa"/>
                  <w:vAlign w:val="center"/>
                </w:tcPr>
                <w:p>
                  <w:pPr>
                    <w:jc w:val="center"/>
                    <w:rPr>
                      <w:rFonts w:hint="default" w:cs="Times New Roman"/>
                      <w:color w:val="auto"/>
                      <w:lang w:val="en-US" w:eastAsia="zh-CN"/>
                    </w:rPr>
                  </w:pPr>
                  <w:r>
                    <w:rPr>
                      <w:rFonts w:hint="eastAsia" w:cs="Times New Roman"/>
                      <w:color w:val="auto"/>
                      <w:lang w:val="en-US" w:eastAsia="zh-CN"/>
                    </w:rPr>
                    <w:t>食堂油烟</w:t>
                  </w:r>
                </w:p>
              </w:tc>
              <w:tc>
                <w:tcPr>
                  <w:tcW w:w="1002" w:type="dxa"/>
                  <w:vAlign w:val="center"/>
                </w:tcPr>
                <w:p>
                  <w:pPr>
                    <w:jc w:val="center"/>
                    <w:rPr>
                      <w:rFonts w:hint="default" w:cs="Times New Roman"/>
                      <w:color w:val="auto"/>
                      <w:lang w:val="en-US" w:eastAsia="zh-CN"/>
                    </w:rPr>
                  </w:pPr>
                  <w:r>
                    <w:rPr>
                      <w:rFonts w:hint="eastAsia" w:cs="Times New Roman"/>
                      <w:color w:val="auto"/>
                      <w:lang w:val="en-US" w:eastAsia="zh-CN"/>
                    </w:rPr>
                    <w:t>有组织</w:t>
                  </w:r>
                </w:p>
              </w:tc>
              <w:tc>
                <w:tcPr>
                  <w:tcW w:w="875" w:type="dxa"/>
                  <w:vAlign w:val="center"/>
                </w:tcPr>
                <w:p>
                  <w:pPr>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油烟</w:t>
                  </w:r>
                </w:p>
              </w:tc>
              <w:tc>
                <w:tcPr>
                  <w:tcW w:w="1286" w:type="dxa"/>
                  <w:vAlign w:val="center"/>
                </w:tcPr>
                <w:p>
                  <w:pPr>
                    <w:jc w:val="center"/>
                    <w:rPr>
                      <w:rFonts w:hint="default" w:cs="Times New Roman"/>
                      <w:color w:val="auto"/>
                      <w:vertAlign w:val="superscript"/>
                      <w:lang w:val="en-US" w:eastAsia="zh-CN"/>
                    </w:rPr>
                  </w:pPr>
                  <w:r>
                    <w:rPr>
                      <w:rFonts w:hint="eastAsia" w:cs="Times New Roman"/>
                      <w:color w:val="auto"/>
                      <w:lang w:val="en-US" w:eastAsia="zh-CN"/>
                    </w:rPr>
                    <w:t>2.0mg/m</w:t>
                  </w:r>
                  <w:r>
                    <w:rPr>
                      <w:rFonts w:hint="eastAsia" w:cs="Times New Roman"/>
                      <w:color w:val="auto"/>
                      <w:vertAlign w:val="superscript"/>
                      <w:lang w:val="en-US" w:eastAsia="zh-CN"/>
                    </w:rPr>
                    <w:t>3</w:t>
                  </w:r>
                </w:p>
              </w:tc>
              <w:tc>
                <w:tcPr>
                  <w:tcW w:w="4152"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《饮食业油烟排放标准（试行）》（GB18483－2001）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05" w:type="dxa"/>
                  <w:vMerge w:val="restart"/>
                  <w:vAlign w:val="center"/>
                </w:tcPr>
                <w:p>
                  <w:pPr>
                    <w:jc w:val="center"/>
                    <w:rPr>
                      <w:rFonts w:hint="default" w:cs="Times New Roman"/>
                      <w:color w:val="auto"/>
                      <w:lang w:val="en-US" w:eastAsia="zh-CN"/>
                    </w:rPr>
                  </w:pPr>
                  <w:r>
                    <w:rPr>
                      <w:rFonts w:hint="eastAsia" w:cs="Times New Roman"/>
                      <w:color w:val="auto"/>
                      <w:lang w:val="en-US" w:eastAsia="zh-CN"/>
                    </w:rPr>
                    <w:t>厂界</w:t>
                  </w:r>
                </w:p>
              </w:tc>
              <w:tc>
                <w:tcPr>
                  <w:tcW w:w="1002" w:type="dxa"/>
                  <w:vMerge w:val="restart"/>
                  <w:vAlign w:val="center"/>
                </w:tcPr>
                <w:p>
                  <w:pPr>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无组织</w:t>
                  </w:r>
                </w:p>
              </w:tc>
              <w:tc>
                <w:tcPr>
                  <w:tcW w:w="875" w:type="dxa"/>
                  <w:vAlign w:val="center"/>
                </w:tcPr>
                <w:p>
                  <w:pPr>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kern w:val="21"/>
                      <w:sz w:val="21"/>
                      <w:szCs w:val="21"/>
                      <w:lang w:val="en-US" w:eastAsia="zh-CN" w:bidi="ar"/>
                    </w:rPr>
                    <w:t>非甲烷总烃</w:t>
                  </w:r>
                </w:p>
              </w:tc>
              <w:tc>
                <w:tcPr>
                  <w:tcW w:w="1286" w:type="dxa"/>
                  <w:vAlign w:val="center"/>
                </w:tcPr>
                <w:p>
                  <w:pPr>
                    <w:jc w:val="center"/>
                    <w:rPr>
                      <w:rFonts w:hint="default" w:ascii="Times New Roman" w:hAnsi="Times New Roman" w:eastAsia="宋体" w:cs="Times New Roman"/>
                      <w:color w:val="auto"/>
                      <w:kern w:val="21"/>
                      <w:sz w:val="21"/>
                      <w:szCs w:val="21"/>
                      <w:lang w:val="en-US" w:eastAsia="zh-CN" w:bidi="ar"/>
                    </w:rPr>
                  </w:pPr>
                  <w:r>
                    <w:rPr>
                      <w:rFonts w:hint="eastAsia" w:cs="Times New Roman"/>
                      <w:color w:val="auto"/>
                      <w:lang w:val="en-US" w:eastAsia="zh-CN"/>
                    </w:rPr>
                    <w:t>4.0mg/m</w:t>
                  </w:r>
                  <w:r>
                    <w:rPr>
                      <w:rFonts w:hint="eastAsia" w:cs="Times New Roman"/>
                      <w:color w:val="auto"/>
                      <w:vertAlign w:val="superscript"/>
                      <w:lang w:val="en-US" w:eastAsia="zh-CN"/>
                    </w:rPr>
                    <w:t>3</w:t>
                  </w:r>
                </w:p>
              </w:tc>
              <w:tc>
                <w:tcPr>
                  <w:tcW w:w="4152" w:type="dxa"/>
                  <w:vMerge w:val="restart"/>
                  <w:vAlign w:val="center"/>
                </w:tcPr>
                <w:p>
                  <w:pPr>
                    <w:jc w:val="center"/>
                    <w:rPr>
                      <w:rFonts w:hint="default" w:ascii="Times New Roman" w:hAnsi="Times New Roman" w:eastAsia="宋体" w:cs="Times New Roman"/>
                      <w:color w:val="auto"/>
                      <w:kern w:val="21"/>
                      <w:sz w:val="21"/>
                      <w:szCs w:val="21"/>
                      <w:lang w:val="en-US" w:eastAsia="zh-CN" w:bidi="ar"/>
                    </w:rPr>
                  </w:pPr>
                  <w:r>
                    <w:rPr>
                      <w:rFonts w:hint="default" w:ascii="Times New Roman" w:hAnsi="Times New Roman" w:eastAsia="宋体" w:cs="Times New Roman"/>
                      <w:color w:val="auto"/>
                      <w:kern w:val="21"/>
                      <w:sz w:val="21"/>
                      <w:szCs w:val="21"/>
                      <w:lang w:val="en-US" w:eastAsia="zh-CN" w:bidi="ar"/>
                    </w:rPr>
                    <w:t>《合成树脂工业污染物排放标准》（GB4915-2013）中表9</w:t>
                  </w:r>
                  <w:r>
                    <w:rPr>
                      <w:rFonts w:hint="eastAsia" w:cs="Times New Roman"/>
                      <w:color w:val="auto"/>
                      <w:kern w:val="21"/>
                      <w:sz w:val="21"/>
                      <w:szCs w:val="21"/>
                      <w:lang w:val="en-US" w:eastAsia="zh-CN" w:bidi="ar"/>
                    </w:rPr>
                    <w:t>企业边界大气污染物浓度限值要求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05" w:type="dxa"/>
                  <w:vMerge w:val="continue"/>
                  <w:vAlign w:val="center"/>
                </w:tcPr>
                <w:p>
                  <w:pPr>
                    <w:jc w:val="center"/>
                    <w:rPr>
                      <w:color w:val="auto"/>
                    </w:rPr>
                  </w:pPr>
                </w:p>
              </w:tc>
              <w:tc>
                <w:tcPr>
                  <w:tcW w:w="1002" w:type="dxa"/>
                  <w:vMerge w:val="continue"/>
                  <w:vAlign w:val="center"/>
                </w:tcPr>
                <w:p>
                  <w:pPr>
                    <w:jc w:val="center"/>
                    <w:rPr>
                      <w:color w:val="auto"/>
                    </w:rPr>
                  </w:pPr>
                </w:p>
              </w:tc>
              <w:tc>
                <w:tcPr>
                  <w:tcW w:w="875" w:type="dxa"/>
                  <w:vAlign w:val="center"/>
                </w:tcPr>
                <w:p>
                  <w:pPr>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颗粒物</w:t>
                  </w:r>
                </w:p>
              </w:tc>
              <w:tc>
                <w:tcPr>
                  <w:tcW w:w="1286" w:type="dxa"/>
                  <w:vAlign w:val="center"/>
                </w:tcPr>
                <w:p>
                  <w:pPr>
                    <w:jc w:val="center"/>
                    <w:rPr>
                      <w:rFonts w:hint="default" w:cs="Times New Roman"/>
                      <w:color w:val="auto"/>
                      <w:kern w:val="21"/>
                      <w:sz w:val="21"/>
                      <w:szCs w:val="21"/>
                      <w:vertAlign w:val="superscript"/>
                      <w:lang w:val="en-US" w:eastAsia="zh-CN" w:bidi="ar"/>
                    </w:rPr>
                  </w:pPr>
                  <w:r>
                    <w:rPr>
                      <w:rFonts w:hint="eastAsia" w:cs="Times New Roman"/>
                      <w:color w:val="auto"/>
                      <w:kern w:val="21"/>
                      <w:sz w:val="21"/>
                      <w:szCs w:val="21"/>
                      <w:lang w:val="en-US" w:eastAsia="zh-CN" w:bidi="ar"/>
                    </w:rPr>
                    <w:t>1.0mg/m</w:t>
                  </w:r>
                  <w:r>
                    <w:rPr>
                      <w:rFonts w:hint="eastAsia" w:cs="Times New Roman"/>
                      <w:color w:val="auto"/>
                      <w:kern w:val="21"/>
                      <w:sz w:val="21"/>
                      <w:szCs w:val="21"/>
                      <w:vertAlign w:val="superscript"/>
                      <w:lang w:val="en-US" w:eastAsia="zh-CN" w:bidi="ar"/>
                    </w:rPr>
                    <w:t>3</w:t>
                  </w:r>
                </w:p>
              </w:tc>
              <w:tc>
                <w:tcPr>
                  <w:tcW w:w="4152" w:type="dxa"/>
                  <w:vMerge w:val="continue"/>
                  <w:vAlign w:val="center"/>
                </w:tcPr>
                <w:p>
                  <w:pPr>
                    <w:jc w:val="center"/>
                    <w:rPr>
                      <w:rFonts w:hint="eastAsia" w:cs="Times New Roman"/>
                      <w:color w:val="auto"/>
                      <w:kern w:val="21"/>
                      <w:sz w:val="21"/>
                      <w:szCs w:val="21"/>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05" w:type="dxa"/>
                  <w:vAlign w:val="center"/>
                </w:tcPr>
                <w:p>
                  <w:pPr>
                    <w:jc w:val="center"/>
                    <w:rPr>
                      <w:rFonts w:hint="default" w:eastAsia="宋体"/>
                      <w:color w:val="auto"/>
                      <w:lang w:val="en-US" w:eastAsia="zh-CN"/>
                    </w:rPr>
                  </w:pPr>
                  <w:r>
                    <w:rPr>
                      <w:rFonts w:hint="eastAsia"/>
                      <w:color w:val="auto"/>
                      <w:lang w:val="en-US" w:eastAsia="zh-CN"/>
                    </w:rPr>
                    <w:t>厂区内</w:t>
                  </w:r>
                </w:p>
              </w:tc>
              <w:tc>
                <w:tcPr>
                  <w:tcW w:w="1002" w:type="dxa"/>
                  <w:vAlign w:val="center"/>
                </w:tcPr>
                <w:p>
                  <w:pPr>
                    <w:jc w:val="center"/>
                    <w:rPr>
                      <w:rFonts w:hint="eastAsia" w:eastAsia="宋体"/>
                      <w:color w:val="auto"/>
                      <w:lang w:val="en-US" w:eastAsia="zh-CN"/>
                    </w:rPr>
                  </w:pPr>
                  <w:r>
                    <w:rPr>
                      <w:rFonts w:hint="eastAsia"/>
                      <w:color w:val="auto"/>
                      <w:lang w:val="en-US" w:eastAsia="zh-CN"/>
                    </w:rPr>
                    <w:t>无组织</w:t>
                  </w:r>
                </w:p>
              </w:tc>
              <w:tc>
                <w:tcPr>
                  <w:tcW w:w="875" w:type="dxa"/>
                  <w:vAlign w:val="center"/>
                </w:tcPr>
                <w:p>
                  <w:pPr>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非甲烷总烃</w:t>
                  </w:r>
                </w:p>
              </w:tc>
              <w:tc>
                <w:tcPr>
                  <w:tcW w:w="1286" w:type="dxa"/>
                  <w:vAlign w:val="center"/>
                </w:tcPr>
                <w:p>
                  <w:pPr>
                    <w:jc w:val="center"/>
                    <w:rPr>
                      <w:rFonts w:hint="default" w:cs="Times New Roman"/>
                      <w:color w:val="auto"/>
                      <w:kern w:val="21"/>
                      <w:sz w:val="21"/>
                      <w:szCs w:val="21"/>
                      <w:vertAlign w:val="superscript"/>
                      <w:lang w:val="en-US" w:eastAsia="zh-CN" w:bidi="ar"/>
                    </w:rPr>
                  </w:pPr>
                  <w:r>
                    <w:rPr>
                      <w:rFonts w:hint="eastAsia" w:cs="Times New Roman"/>
                      <w:color w:val="auto"/>
                      <w:kern w:val="21"/>
                      <w:sz w:val="21"/>
                      <w:szCs w:val="21"/>
                      <w:lang w:val="en-US" w:eastAsia="zh-CN" w:bidi="ar"/>
                    </w:rPr>
                    <w:t>6.0mg/m</w:t>
                  </w:r>
                  <w:r>
                    <w:rPr>
                      <w:rFonts w:hint="eastAsia" w:cs="Times New Roman"/>
                      <w:color w:val="auto"/>
                      <w:kern w:val="21"/>
                      <w:sz w:val="21"/>
                      <w:szCs w:val="21"/>
                      <w:vertAlign w:val="superscript"/>
                      <w:lang w:val="en-US" w:eastAsia="zh-CN" w:bidi="ar"/>
                    </w:rPr>
                    <w:t>3</w:t>
                  </w:r>
                </w:p>
              </w:tc>
              <w:tc>
                <w:tcPr>
                  <w:tcW w:w="4152" w:type="dxa"/>
                  <w:vAlign w:val="center"/>
                </w:tcPr>
                <w:p>
                  <w:pPr>
                    <w:jc w:val="center"/>
                    <w:rPr>
                      <w:rFonts w:hint="default" w:cs="Times New Roman"/>
                      <w:color w:val="auto"/>
                      <w:kern w:val="21"/>
                      <w:sz w:val="21"/>
                      <w:szCs w:val="21"/>
                      <w:lang w:val="en-US" w:eastAsia="zh-CN" w:bidi="ar"/>
                    </w:rPr>
                  </w:pPr>
                  <w:r>
                    <w:rPr>
                      <w:rFonts w:hint="eastAsia" w:cs="Times New Roman"/>
                      <w:color w:val="auto"/>
                      <w:kern w:val="21"/>
                      <w:sz w:val="21"/>
                      <w:szCs w:val="21"/>
                      <w:lang w:val="en-US" w:eastAsia="zh-CN" w:bidi="ar"/>
                    </w:rPr>
                    <w:t>《挥发性有机物无组织排放控制标准》（GB37822-2019）中表A.1 厂区内VOCs无组织特别排放限值要求</w:t>
                  </w:r>
                </w:p>
              </w:tc>
            </w:tr>
          </w:tbl>
          <w:p>
            <w:pPr>
              <w:pStyle w:val="2"/>
              <w:keepNext/>
              <w:keepLines w:val="0"/>
              <w:pageBreakBefore w:val="0"/>
              <w:widowControl w:val="0"/>
              <w:numPr>
                <w:ilvl w:val="0"/>
                <w:numId w:val="17"/>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生活污水排放标准执行《污水综合排放标准》（GB8978-1996）中表4的三级标准</w:t>
            </w:r>
            <w:r>
              <w:rPr>
                <w:rFonts w:hint="eastAsia" w:cs="Times New Roman"/>
                <w:color w:val="auto"/>
                <w:sz w:val="24"/>
                <w:lang w:eastAsia="zh-CN"/>
              </w:rPr>
              <w:t>，</w:t>
            </w:r>
            <w:r>
              <w:rPr>
                <w:rFonts w:hint="default" w:ascii="Times New Roman" w:hAnsi="Times New Roman" w:eastAsia="宋体" w:cs="Times New Roman"/>
                <w:color w:val="auto"/>
                <w:sz w:val="24"/>
              </w:rPr>
              <w:t>具体详见表3-</w:t>
            </w:r>
            <w:r>
              <w:rPr>
                <w:rFonts w:hint="eastAsia" w:cs="Times New Roman"/>
                <w:color w:val="auto"/>
                <w:sz w:val="24"/>
                <w:lang w:val="en-US" w:eastAsia="zh-CN"/>
              </w:rPr>
              <w:t>5</w:t>
            </w:r>
            <w:r>
              <w:rPr>
                <w:rFonts w:hint="default" w:ascii="Times New Roman" w:hAnsi="Times New Roman" w:eastAsia="宋体" w:cs="Times New Roman"/>
                <w:color w:val="auto"/>
                <w:sz w:val="24"/>
              </w:rPr>
              <w:t>。</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eastAsia" w:cs="Times New Roman"/>
                <w:b/>
                <w:bCs/>
                <w:color w:val="auto"/>
                <w:szCs w:val="21"/>
                <w:lang w:val="en-US" w:eastAsia="zh-CN"/>
              </w:rPr>
              <w:t>5</w:t>
            </w:r>
            <w:r>
              <w:rPr>
                <w:rFonts w:hint="default" w:ascii="Times New Roman" w:hAnsi="Times New Roman" w:eastAsia="宋体" w:cs="Times New Roman"/>
                <w:b/>
                <w:bCs/>
                <w:color w:val="auto"/>
                <w:szCs w:val="21"/>
              </w:rPr>
              <w:t xml:space="preserve">    污水综合排放标准（GB8978-1996）三级排放标准</w:t>
            </w:r>
          </w:p>
          <w:tbl>
            <w:tblPr>
              <w:tblStyle w:val="25"/>
              <w:tblW w:w="82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40"/>
              <w:gridCol w:w="2740"/>
              <w:gridCol w:w="2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0" w:type="dxa"/>
                  <w:tcBorders>
                    <w:bottom w:val="single" w:color="auto" w:sz="12" w:space="0"/>
                  </w:tcBorders>
                </w:tcPr>
                <w:p>
                  <w:pPr>
                    <w:tabs>
                      <w:tab w:val="left" w:pos="597"/>
                      <w:tab w:val="left" w:pos="2970"/>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740" w:type="dxa"/>
                  <w:tcBorders>
                    <w:bottom w:val="single" w:color="auto" w:sz="12" w:space="0"/>
                  </w:tcBorders>
                </w:tcPr>
                <w:p>
                  <w:pPr>
                    <w:tabs>
                      <w:tab w:val="left" w:pos="597"/>
                      <w:tab w:val="left" w:pos="2970"/>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2740" w:type="dxa"/>
                  <w:tcBorders>
                    <w:bottom w:val="single" w:color="auto" w:sz="12" w:space="0"/>
                  </w:tcBorders>
                </w:tcPr>
                <w:p>
                  <w:pPr>
                    <w:tabs>
                      <w:tab w:val="left" w:pos="597"/>
                      <w:tab w:val="left" w:pos="2970"/>
                    </w:tabs>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三级标准（mg/L）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0" w:type="dxa"/>
                  <w:tcBorders>
                    <w:top w:val="single" w:color="auto" w:sz="12" w:space="0"/>
                  </w:tcBorders>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740" w:type="dxa"/>
                  <w:tcBorders>
                    <w:top w:val="single" w:color="auto" w:sz="12" w:space="0"/>
                  </w:tcBorders>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2740" w:type="dxa"/>
                  <w:tcBorders>
                    <w:top w:val="single" w:color="auto" w:sz="12" w:space="0"/>
                  </w:tcBorders>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p>
              </w:tc>
              <w:tc>
                <w:tcPr>
                  <w:tcW w:w="2740" w:type="dxa"/>
                </w:tcPr>
                <w:p>
                  <w:pPr>
                    <w:tabs>
                      <w:tab w:val="left" w:pos="597"/>
                      <w:tab w:val="left" w:pos="2970"/>
                    </w:tabs>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氨氮</w:t>
                  </w:r>
                </w:p>
              </w:tc>
              <w:tc>
                <w:tcPr>
                  <w:tcW w:w="2740" w:type="dxa"/>
                </w:tcPr>
                <w:p>
                  <w:pPr>
                    <w:tabs>
                      <w:tab w:val="left" w:pos="597"/>
                      <w:tab w:val="left" w:pos="2970"/>
                    </w:tabs>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45</w:t>
                  </w:r>
                </w:p>
              </w:tc>
            </w:tr>
          </w:tbl>
          <w:p>
            <w:pPr>
              <w:pStyle w:val="2"/>
              <w:keepNext/>
              <w:keepLines w:val="0"/>
              <w:pageBreakBefore w:val="0"/>
              <w:widowControl w:val="0"/>
              <w:numPr>
                <w:ilvl w:val="0"/>
                <w:numId w:val="17"/>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val="0"/>
                <w:bCs w:val="0"/>
                <w:color w:val="auto"/>
                <w:sz w:val="24"/>
                <w:szCs w:val="24"/>
              </w:rPr>
              <w:t>施工期噪声执行《建筑施工场界环境噪声排放标准》（GB12523-2011）标准，</w:t>
            </w:r>
            <w:r>
              <w:rPr>
                <w:rFonts w:hint="default" w:ascii="Times New Roman" w:hAnsi="Times New Roman" w:eastAsia="宋体" w:cs="Times New Roman"/>
                <w:color w:val="auto"/>
                <w:sz w:val="24"/>
              </w:rPr>
              <w:t>项目运营期间噪声排放标准执行《工业企业厂界环境噪声排放标准》（GB12348-2008）3类标准。</w:t>
            </w:r>
          </w:p>
          <w:p>
            <w:pPr>
              <w:pStyle w:val="13"/>
              <w:keepLines w:val="0"/>
              <w:pageBreakBefore w:val="0"/>
              <w:widowControl w:val="0"/>
              <w:kinsoku/>
              <w:wordWrap/>
              <w:topLinePunct w:val="0"/>
              <w:autoSpaceDE/>
              <w:autoSpaceDN/>
              <w:bidi w:val="0"/>
              <w:adjustRightInd/>
              <w:snapToGrid/>
              <w:spacing w:before="0" w:after="0" w:line="52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rPr>
              <w:t xml:space="preserve">    </w:t>
            </w:r>
            <w:r>
              <w:rPr>
                <w:rFonts w:hint="eastAsia" w:cs="Times New Roman"/>
                <w:b/>
                <w:bCs/>
                <w:color w:val="auto"/>
                <w:sz w:val="21"/>
                <w:szCs w:val="21"/>
                <w:lang w:val="en-US" w:eastAsia="zh-CN"/>
              </w:rPr>
              <w:t>运营期</w:t>
            </w:r>
            <w:r>
              <w:rPr>
                <w:rFonts w:hint="default" w:ascii="Times New Roman" w:hAnsi="Times New Roman" w:eastAsia="宋体" w:cs="Times New Roman"/>
                <w:b/>
                <w:bCs/>
                <w:color w:val="auto"/>
                <w:sz w:val="21"/>
                <w:szCs w:val="21"/>
              </w:rPr>
              <w:t>噪声排放限值  单位：dB（A）</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9"/>
              <w:gridCol w:w="2739"/>
              <w:gridCol w:w="2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restart"/>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厂界外声环境功能区类别</w:t>
                  </w:r>
                </w:p>
              </w:tc>
              <w:tc>
                <w:tcPr>
                  <w:tcW w:w="3334" w:type="pct"/>
                  <w:gridSpan w:val="2"/>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vMerge w:val="continue"/>
                  <w:vAlign w:val="center"/>
                </w:tcPr>
                <w:p>
                  <w:pPr>
                    <w:adjustRightInd w:val="0"/>
                    <w:snapToGrid w:val="0"/>
                    <w:jc w:val="center"/>
                    <w:rPr>
                      <w:rFonts w:hint="default" w:ascii="Times New Roman" w:hAnsi="Times New Roman" w:eastAsia="宋体" w:cs="Times New Roman"/>
                      <w:b/>
                      <w:bCs/>
                      <w:color w:val="auto"/>
                      <w:szCs w:val="21"/>
                    </w:rPr>
                  </w:pPr>
                </w:p>
              </w:tc>
              <w:tc>
                <w:tcPr>
                  <w:tcW w:w="1666" w:type="pct"/>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1667" w:type="pct"/>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3类区</w:t>
                  </w:r>
                </w:p>
              </w:tc>
              <w:tc>
                <w:tcPr>
                  <w:tcW w:w="1666"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65</w:t>
                  </w:r>
                </w:p>
              </w:tc>
              <w:tc>
                <w:tcPr>
                  <w:tcW w:w="1667" w:type="pct"/>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pStyle w:val="13"/>
              <w:keepLines w:val="0"/>
              <w:pageBreakBefore w:val="0"/>
              <w:widowControl w:val="0"/>
              <w:kinsoku/>
              <w:wordWrap/>
              <w:topLinePunct w:val="0"/>
              <w:autoSpaceDE/>
              <w:autoSpaceDN/>
              <w:bidi w:val="0"/>
              <w:adjustRightInd/>
              <w:snapToGrid/>
              <w:spacing w:before="0" w:after="0" w:line="520" w:lineRule="exact"/>
              <w:textAlignment w:val="auto"/>
              <w:rPr>
                <w:rFonts w:hint="eastAsia" w:ascii="Times New Roman" w:hAnsi="Times New Roman" w:eastAsia="宋体" w:cs="Times New Roman"/>
                <w:b/>
                <w:bCs/>
                <w:color w:val="auto"/>
                <w:sz w:val="21"/>
                <w:szCs w:val="21"/>
                <w:lang w:val="en-US" w:eastAsia="zh-CN"/>
              </w:rPr>
            </w:pPr>
          </w:p>
          <w:p>
            <w:pPr>
              <w:pStyle w:val="13"/>
              <w:keepLines w:val="0"/>
              <w:pageBreakBefore w:val="0"/>
              <w:widowControl w:val="0"/>
              <w:kinsoku/>
              <w:wordWrap/>
              <w:topLinePunct w:val="0"/>
              <w:autoSpaceDE/>
              <w:autoSpaceDN/>
              <w:bidi w:val="0"/>
              <w:adjustRightInd/>
              <w:snapToGrid/>
              <w:spacing w:before="0" w:after="0" w:line="520" w:lineRule="exact"/>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表3-7    施工期噪声排放限值  单位：</w:t>
            </w:r>
            <w:r>
              <w:rPr>
                <w:rFonts w:hint="default" w:ascii="Times New Roman" w:hAnsi="Times New Roman" w:eastAsia="宋体" w:cs="Times New Roman"/>
                <w:b/>
                <w:bCs/>
                <w:color w:val="auto"/>
                <w:sz w:val="21"/>
                <w:szCs w:val="21"/>
              </w:rPr>
              <w:t>dB（A）</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2737"/>
              <w:gridCol w:w="2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736" w:type="dxa"/>
                  <w:vMerge w:val="restart"/>
                  <w:tcBorders>
                    <w:bottom w:val="single" w:color="auto" w:sz="12" w:space="0"/>
                  </w:tcBorders>
                  <w:vAlign w:val="center"/>
                </w:tcPr>
                <w:p>
                  <w:pPr>
                    <w:jc w:val="center"/>
                    <w:rPr>
                      <w:rFonts w:hint="default"/>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《建筑施工场界环境噪声排放标准》（GB12523-2011）</w:t>
                  </w:r>
                </w:p>
              </w:tc>
              <w:tc>
                <w:tcPr>
                  <w:tcW w:w="5474" w:type="dxa"/>
                  <w:gridSpan w:val="2"/>
                  <w:tcBorders>
                    <w:bottom w:val="single" w:color="auto" w:sz="12" w:space="0"/>
                  </w:tcBorders>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vMerge w:val="continue"/>
                  <w:tcBorders>
                    <w:top w:val="single" w:color="auto" w:sz="12" w:space="0"/>
                    <w:tl2br w:val="nil"/>
                    <w:tr2bl w:val="nil"/>
                  </w:tcBorders>
                  <w:vAlign w:val="center"/>
                </w:tcPr>
                <w:p>
                  <w:pPr>
                    <w:jc w:val="center"/>
                    <w:rPr>
                      <w:rFonts w:hint="default"/>
                      <w:color w:val="auto"/>
                      <w:sz w:val="21"/>
                      <w:szCs w:val="21"/>
                      <w:vertAlign w:val="baseline"/>
                      <w:lang w:val="en-US" w:eastAsia="zh-CN"/>
                    </w:rPr>
                  </w:pPr>
                </w:p>
              </w:tc>
              <w:tc>
                <w:tcPr>
                  <w:tcW w:w="2737" w:type="dxa"/>
                  <w:tcBorders>
                    <w:top w:val="single" w:color="auto" w:sz="12" w:space="0"/>
                    <w:tl2br w:val="nil"/>
                    <w:tr2bl w:val="nil"/>
                  </w:tcBorders>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昼间</w:t>
                  </w:r>
                </w:p>
              </w:tc>
              <w:tc>
                <w:tcPr>
                  <w:tcW w:w="2737" w:type="dxa"/>
                  <w:tcBorders>
                    <w:top w:val="single" w:color="auto" w:sz="12" w:space="0"/>
                    <w:tl2br w:val="nil"/>
                    <w:tr2bl w:val="nil"/>
                  </w:tcBorders>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6" w:type="dxa"/>
                  <w:vMerge w:val="continue"/>
                  <w:tcBorders>
                    <w:tl2br w:val="nil"/>
                    <w:tr2bl w:val="nil"/>
                  </w:tcBorders>
                  <w:vAlign w:val="center"/>
                </w:tcPr>
                <w:p>
                  <w:pPr>
                    <w:jc w:val="center"/>
                    <w:rPr>
                      <w:rFonts w:hint="default"/>
                      <w:color w:val="auto"/>
                      <w:sz w:val="21"/>
                      <w:szCs w:val="21"/>
                      <w:vertAlign w:val="baseline"/>
                      <w:lang w:val="en-US" w:eastAsia="zh-CN"/>
                    </w:rPr>
                  </w:pPr>
                </w:p>
              </w:tc>
              <w:tc>
                <w:tcPr>
                  <w:tcW w:w="2737" w:type="dxa"/>
                  <w:tcBorders>
                    <w:tl2br w:val="nil"/>
                    <w:tr2bl w:val="nil"/>
                  </w:tcBorders>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70</w:t>
                  </w:r>
                </w:p>
              </w:tc>
              <w:tc>
                <w:tcPr>
                  <w:tcW w:w="2737" w:type="dxa"/>
                  <w:tcBorders>
                    <w:tl2br w:val="nil"/>
                    <w:tr2bl w:val="nil"/>
                  </w:tcBorders>
                  <w:vAlign w:val="center"/>
                </w:tcPr>
                <w:p>
                  <w:pPr>
                    <w:jc w:val="center"/>
                    <w:rPr>
                      <w:rFonts w:hint="default"/>
                      <w:color w:val="auto"/>
                      <w:sz w:val="21"/>
                      <w:szCs w:val="21"/>
                      <w:vertAlign w:val="baseline"/>
                      <w:lang w:val="en-US" w:eastAsia="zh-CN"/>
                    </w:rPr>
                  </w:pPr>
                  <w:r>
                    <w:rPr>
                      <w:rFonts w:hint="eastAsia"/>
                      <w:color w:val="auto"/>
                      <w:sz w:val="21"/>
                      <w:szCs w:val="21"/>
                      <w:vertAlign w:val="baseline"/>
                      <w:lang w:val="en-US" w:eastAsia="zh-CN"/>
                    </w:rPr>
                    <w:t>55</w:t>
                  </w:r>
                </w:p>
              </w:tc>
            </w:tr>
          </w:tbl>
          <w:p>
            <w:pPr>
              <w:pStyle w:val="2"/>
              <w:keepNext/>
              <w:keepLines w:val="0"/>
              <w:pageBreakBefore w:val="0"/>
              <w:widowControl w:val="0"/>
              <w:numPr>
                <w:ilvl w:val="0"/>
                <w:numId w:val="17"/>
              </w:numPr>
              <w:kinsoku/>
              <w:wordWrap/>
              <w:overflowPunct w:val="0"/>
              <w:topLinePunct w:val="0"/>
              <w:autoSpaceDE/>
              <w:autoSpaceDN/>
              <w:bidi w:val="0"/>
              <w:adjustRightInd/>
              <w:snapToGrid/>
              <w:spacing w:before="0" w:after="0" w:line="520" w:lineRule="exact"/>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p>
            <w:pPr>
              <w:keepNext w:val="0"/>
              <w:keepLines w:val="0"/>
              <w:pageBreakBefore w:val="0"/>
              <w:kinsoku/>
              <w:wordWrap/>
              <w:overflowPunct/>
              <w:topLinePunct w:val="0"/>
              <w:autoSpaceDE/>
              <w:autoSpaceDN/>
              <w:bidi w:val="0"/>
              <w:adjustRightInd w:val="0"/>
              <w:snapToGrid/>
              <w:spacing w:line="520" w:lineRule="exact"/>
              <w:ind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（1）本项目一般固体废物执行《一般工业固体废物贮存和填埋污染控制标准》（GB18599-2020）相关规定。</w:t>
            </w:r>
          </w:p>
          <w:p>
            <w:pPr>
              <w:pStyle w:val="11"/>
              <w:keepNext w:val="0"/>
              <w:keepLines w:val="0"/>
              <w:pageBreakBefore w:val="0"/>
              <w:kinsoku/>
              <w:wordWrap/>
              <w:overflowPunct/>
              <w:topLinePunct w:val="0"/>
              <w:autoSpaceDE/>
              <w:autoSpaceDN/>
              <w:bidi w:val="0"/>
              <w:snapToGrid/>
              <w:spacing w:before="0" w:after="0" w:line="520" w:lineRule="exact"/>
              <w:ind w:right="0" w:firstLine="480" w:firstLineChars="200"/>
              <w:textAlignment w:val="auto"/>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（2）危险废物执行《危险废物贮存污染控制标准》（GB18597-20</w:t>
            </w:r>
            <w:r>
              <w:rPr>
                <w:rFonts w:hint="eastAsia" w:cs="Times New Roman"/>
                <w:color w:val="auto"/>
                <w:kern w:val="2"/>
                <w:sz w:val="24"/>
                <w:szCs w:val="24"/>
                <w:lang w:val="en-US" w:eastAsia="zh-CN"/>
              </w:rPr>
              <w:t>23</w:t>
            </w:r>
            <w:r>
              <w:rPr>
                <w:rFonts w:hint="default" w:ascii="Times New Roman" w:hAnsi="Times New Roman" w:eastAsia="宋体" w:cs="Times New Roman"/>
                <w:color w:val="auto"/>
                <w:kern w:val="2"/>
                <w:sz w:val="24"/>
                <w:szCs w:val="24"/>
              </w:rPr>
              <w:t>）</w:t>
            </w:r>
            <w:r>
              <w:rPr>
                <w:rFonts w:hint="eastAsia" w:cs="Times New Roman"/>
                <w:color w:val="auto"/>
                <w:kern w:val="2"/>
                <w:sz w:val="24"/>
                <w:szCs w:val="24"/>
                <w:lang w:val="en-US" w:eastAsia="zh-CN"/>
              </w:rPr>
              <w:t>中相关要求</w:t>
            </w:r>
            <w:r>
              <w:rPr>
                <w:rFonts w:hint="default" w:ascii="Times New Roman" w:hAnsi="Times New Roman" w:eastAsia="宋体" w:cs="Times New Roman"/>
                <w:color w:val="auto"/>
                <w:kern w:val="2"/>
                <w:sz w:val="24"/>
                <w:szCs w:val="24"/>
              </w:rPr>
              <w:t>。</w:t>
            </w:r>
          </w:p>
          <w:p>
            <w:pPr>
              <w:pStyle w:val="11"/>
              <w:keepNext w:val="0"/>
              <w:keepLines w:val="0"/>
              <w:pageBreakBefore w:val="0"/>
              <w:kinsoku/>
              <w:wordWrap/>
              <w:overflowPunct/>
              <w:topLinePunct w:val="0"/>
              <w:autoSpaceDE/>
              <w:autoSpaceDN/>
              <w:bidi w:val="0"/>
              <w:snapToGrid/>
              <w:spacing w:before="0" w:after="0" w:line="520" w:lineRule="exact"/>
              <w:ind w:right="0" w:firstLine="480" w:firstLineChars="200"/>
              <w:textAlignment w:val="auto"/>
              <w:rPr>
                <w:rFonts w:hint="default" w:ascii="Times New Roman" w:hAnsi="Times New Roman" w:eastAsia="宋体" w:cs="Times New Roman"/>
                <w:color w:val="auto"/>
                <w:kern w:val="2"/>
                <w:sz w:val="24"/>
                <w:szCs w:val="24"/>
              </w:rPr>
            </w:pPr>
          </w:p>
          <w:p>
            <w:pPr>
              <w:pStyle w:val="11"/>
              <w:keepNext w:val="0"/>
              <w:keepLines w:val="0"/>
              <w:pageBreakBefore w:val="0"/>
              <w:kinsoku/>
              <w:wordWrap/>
              <w:overflowPunct/>
              <w:topLinePunct w:val="0"/>
              <w:autoSpaceDE/>
              <w:autoSpaceDN/>
              <w:bidi w:val="0"/>
              <w:snapToGrid/>
              <w:spacing w:before="0" w:after="0" w:line="520" w:lineRule="exact"/>
              <w:ind w:right="0" w:firstLine="480" w:firstLineChars="200"/>
              <w:textAlignment w:val="auto"/>
              <w:rPr>
                <w:rFonts w:hint="default" w:ascii="Times New Roman" w:hAnsi="Times New Roman" w:eastAsia="宋体" w:cs="Times New Roman"/>
                <w:color w:val="auto"/>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0" w:hRule="atLeast"/>
          <w:jc w:val="center"/>
        </w:trPr>
        <w:tc>
          <w:tcPr>
            <w:tcW w:w="800" w:type="dxa"/>
            <w:vAlign w:val="center"/>
          </w:tcPr>
          <w:p>
            <w:pPr>
              <w:adjustRightInd w:val="0"/>
              <w:snapToGrid w:val="0"/>
              <w:spacing w:line="360" w:lineRule="auto"/>
              <w:jc w:val="center"/>
              <w:rPr>
                <w:rFonts w:ascii="宋体" w:hAnsi="宋体" w:cs="宋体"/>
                <w:color w:val="auto"/>
                <w:kern w:val="0"/>
                <w:szCs w:val="21"/>
              </w:rPr>
            </w:pPr>
            <w:r>
              <w:rPr>
                <w:rFonts w:hint="eastAsia" w:ascii="宋体" w:hAnsi="宋体" w:cs="宋体"/>
                <w:color w:val="auto"/>
                <w:kern w:val="0"/>
                <w:sz w:val="24"/>
                <w:szCs w:val="24"/>
              </w:rPr>
              <w:t>总量控制指标</w:t>
            </w:r>
          </w:p>
        </w:tc>
        <w:tc>
          <w:tcPr>
            <w:tcW w:w="8190" w:type="dxa"/>
            <w:vAlign w:val="center"/>
          </w:tcPr>
          <w:p>
            <w:pPr>
              <w:keepNext w:val="0"/>
              <w:keepLines w:val="0"/>
              <w:pageBreakBefore w:val="0"/>
              <w:widowControl/>
              <w:kinsoku/>
              <w:wordWrap/>
              <w:overflowPunct/>
              <w:topLinePunct w:val="0"/>
              <w:autoSpaceDE/>
              <w:autoSpaceDN/>
              <w:bidi w:val="0"/>
              <w:spacing w:line="520" w:lineRule="exact"/>
              <w:ind w:firstLine="480" w:firstLineChars="200"/>
              <w:textAlignment w:val="auto"/>
              <w:rPr>
                <w:rFonts w:hint="eastAsia"/>
                <w:color w:val="auto"/>
                <w:sz w:val="24"/>
                <w:highlight w:val="none"/>
              </w:rPr>
            </w:pPr>
            <w:r>
              <w:rPr>
                <w:rFonts w:hint="eastAsia"/>
                <w:color w:val="auto"/>
                <w:sz w:val="24"/>
                <w:highlight w:val="none"/>
              </w:rPr>
              <w:t>根据自治区党委自治区人民政府印发的《新疆生态环境保护“十四五”规划》，新疆“十四五”生态环境保护规划总量控制指标为COD、氨氮、氮氧化物和VOCs。</w:t>
            </w:r>
          </w:p>
          <w:p>
            <w:pPr>
              <w:keepNext w:val="0"/>
              <w:keepLines w:val="0"/>
              <w:pageBreakBefore w:val="0"/>
              <w:widowControl/>
              <w:kinsoku/>
              <w:wordWrap/>
              <w:overflowPunct/>
              <w:topLinePunct w:val="0"/>
              <w:autoSpaceDE/>
              <w:autoSpaceDN/>
              <w:bidi w:val="0"/>
              <w:spacing w:line="520" w:lineRule="exact"/>
              <w:ind w:firstLine="480" w:firstLineChars="200"/>
              <w:textAlignment w:val="auto"/>
              <w:rPr>
                <w:color w:val="auto"/>
                <w:sz w:val="24"/>
                <w:highlight w:val="none"/>
              </w:rPr>
            </w:pPr>
            <w:r>
              <w:rPr>
                <w:rFonts w:hint="eastAsia"/>
                <w:color w:val="auto"/>
                <w:sz w:val="24"/>
                <w:highlight w:val="none"/>
              </w:rPr>
              <w:t>本项目生活污水由园区污水处理厂处置，由污水处理厂进行调控。根据本项目总量因子排放特点，本项目可不申请水污染物总量指标。根据《新疆生态环境保护“十四五”规划》，本项目大气污染物为</w:t>
            </w:r>
            <w:r>
              <w:rPr>
                <w:rFonts w:hint="eastAsia"/>
                <w:color w:val="auto"/>
                <w:sz w:val="24"/>
                <w:highlight w:val="none"/>
                <w:lang w:val="en-US" w:eastAsia="zh-CN"/>
              </w:rPr>
              <w:t>颗粒物</w:t>
            </w:r>
            <w:r>
              <w:rPr>
                <w:rFonts w:hint="eastAsia"/>
                <w:color w:val="auto"/>
                <w:sz w:val="24"/>
                <w:highlight w:val="none"/>
              </w:rPr>
              <w:t>以及VOCs。根据《自治区打赢蓝天保卫战三年行动计划（2018-2020年）》文件指出：“‘乌-昌-石’区域和‘奎-独-乌’区域所有新（改、扩）建设项目应执行最严格的大气污染物排放标准；PM</w:t>
            </w:r>
            <w:r>
              <w:rPr>
                <w:rFonts w:hint="eastAsia"/>
                <w:color w:val="auto"/>
                <w:sz w:val="24"/>
                <w:highlight w:val="none"/>
                <w:vertAlign w:val="subscript"/>
              </w:rPr>
              <w:t>2.5</w:t>
            </w:r>
            <w:r>
              <w:rPr>
                <w:rFonts w:hint="eastAsia"/>
                <w:color w:val="auto"/>
                <w:sz w:val="24"/>
                <w:highlight w:val="none"/>
              </w:rPr>
              <w:t>年平均浓度不达标的城市禁止新建（改、扩）建未落实SO</w:t>
            </w:r>
            <w:r>
              <w:rPr>
                <w:rFonts w:hint="eastAsia"/>
                <w:color w:val="auto"/>
                <w:sz w:val="24"/>
                <w:highlight w:val="none"/>
                <w:vertAlign w:val="subscript"/>
              </w:rPr>
              <w:t>2</w:t>
            </w:r>
            <w:r>
              <w:rPr>
                <w:rFonts w:hint="eastAsia"/>
                <w:color w:val="auto"/>
                <w:sz w:val="24"/>
                <w:highlight w:val="none"/>
              </w:rPr>
              <w:t>、NOx、烟粉尘、挥发性有机物（VOCs）等四项大气污染物总量指标倍量替代的项目”。</w:t>
            </w:r>
          </w:p>
          <w:p>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因此</w:t>
            </w:r>
            <w:r>
              <w:rPr>
                <w:color w:val="auto"/>
                <w:sz w:val="24"/>
                <w:highlight w:val="none"/>
              </w:rPr>
              <w:t>本项目</w:t>
            </w:r>
            <w:r>
              <w:rPr>
                <w:rFonts w:hint="eastAsia"/>
                <w:color w:val="auto"/>
                <w:sz w:val="24"/>
                <w:highlight w:val="none"/>
                <w:lang w:val="en-US" w:eastAsia="zh-CN"/>
              </w:rPr>
              <w:t>申请总量为颗粒物：0.093t/a，VOCs：0.260t/a，由当地环保部门调控进行倍量替代，替代总量为颗粒物：0.186t/a，VOCs：0.520t/a。</w:t>
            </w: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rPr>
                <w:rFonts w:hint="eastAsia"/>
                <w:color w:val="auto"/>
                <w:sz w:val="24"/>
                <w:highlight w:val="none"/>
                <w:lang w:val="en-US" w:eastAsia="zh-CN"/>
              </w:rPr>
            </w:pPr>
          </w:p>
          <w:p>
            <w:pPr>
              <w:pStyle w:val="30"/>
              <w:jc w:val="both"/>
              <w:rPr>
                <w:rFonts w:hint="default"/>
                <w:color w:val="auto"/>
                <w:sz w:val="24"/>
                <w:highlight w:val="none"/>
                <w:lang w:val="en-US" w:eastAsia="zh-CN"/>
              </w:rPr>
            </w:pPr>
          </w:p>
        </w:tc>
      </w:tr>
    </w:tbl>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5"/>
        <w:tblW w:w="50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8"/>
        <w:gridCol w:w="8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47" w:hRule="atLeast"/>
          <w:jc w:val="center"/>
        </w:trPr>
        <w:tc>
          <w:tcPr>
            <w:tcW w:w="231" w:type="pct"/>
            <w:tcBorders>
              <w:top w:val="single" w:color="000000" w:sz="8" w:space="0"/>
              <w:left w:val="single" w:color="000000" w:sz="8" w:space="0"/>
              <w:bottom w:val="single" w:color="000000" w:sz="8" w:space="0"/>
              <w:right w:val="single" w:color="000000" w:sz="8" w:space="0"/>
            </w:tcBorders>
            <w:shd w:val="clear" w:color="auto" w:fill="auto"/>
            <w:tcMar>
              <w:left w:w="28" w:type="dxa"/>
              <w:right w:w="28" w:type="dxa"/>
            </w:tcMar>
            <w:vAlign w:val="center"/>
          </w:tcPr>
          <w:p>
            <w:pPr>
              <w:pStyle w:val="24"/>
              <w:adjustRightInd w:val="0"/>
              <w:snapToGrid w:val="0"/>
              <w:spacing w:before="0" w:beforeAutospacing="0" w:after="0" w:afterAutospacing="0" w:line="360" w:lineRule="auto"/>
              <w:jc w:val="center"/>
              <w:rPr>
                <w:rFonts w:ascii="Times New Roman" w:hAnsi="Times New Roman"/>
                <w:bCs/>
                <w:color w:val="auto"/>
                <w:kern w:val="2"/>
                <w:sz w:val="21"/>
                <w:szCs w:val="21"/>
              </w:rPr>
            </w:pPr>
            <w:r>
              <w:rPr>
                <w:rFonts w:ascii="Times New Roman" w:hAnsi="Times New Roman"/>
                <w:color w:val="auto"/>
                <w:kern w:val="2"/>
                <w:sz w:val="24"/>
                <w:szCs w:val="24"/>
                <w:highlight w:val="none"/>
              </w:rPr>
              <w:t>施工期环境保护措施</w:t>
            </w:r>
          </w:p>
        </w:tc>
        <w:tc>
          <w:tcPr>
            <w:tcW w:w="4768" w:type="pc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施工期大气影响分析</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color w:val="auto"/>
                <w:kern w:val="0"/>
                <w:sz w:val="24"/>
                <w:szCs w:val="24"/>
                <w:lang w:val="en-US" w:eastAsia="zh-CN" w:bidi="ar"/>
              </w:rPr>
              <w:t>租用</w:t>
            </w:r>
            <w:r>
              <w:rPr>
                <w:rFonts w:hint="eastAsia" w:cs="Times New Roman"/>
                <w:color w:val="auto"/>
                <w:kern w:val="0"/>
                <w:sz w:val="24"/>
                <w:szCs w:val="24"/>
                <w:lang w:val="en-US" w:eastAsia="zh-CN" w:bidi="ar"/>
              </w:rPr>
              <w:t>新疆安居超越建材有限公司</w:t>
            </w:r>
            <w:r>
              <w:rPr>
                <w:rFonts w:hint="eastAsia" w:ascii="Times New Roman" w:hAnsi="Times New Roman" w:eastAsia="宋体" w:cs="Times New Roman"/>
                <w:color w:val="auto"/>
                <w:kern w:val="0"/>
                <w:sz w:val="24"/>
                <w:szCs w:val="24"/>
                <w:lang w:val="en-US" w:eastAsia="zh-CN" w:bidi="ar"/>
              </w:rPr>
              <w:t>厂房</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施工期</w:t>
            </w:r>
            <w:r>
              <w:rPr>
                <w:rFonts w:hint="default" w:ascii="Times New Roman" w:hAnsi="Times New Roman" w:eastAsia="宋体" w:cs="Times New Roman"/>
                <w:color w:val="auto"/>
                <w:kern w:val="0"/>
                <w:sz w:val="24"/>
                <w:szCs w:val="24"/>
                <w:lang w:val="en-US" w:eastAsia="zh-CN" w:bidi="ar"/>
              </w:rPr>
              <w:t>只进行车间改造和机械设备安装，工程量较小，不产生较大的污染。废气污染主要为施工机械产生的废气。鉴于项目施工期较短，废气排放均为临时性且排放量甚微，因此不会对周围大气环境产生明显不利影响。</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施工期废水影响分析</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color w:val="auto"/>
                <w:kern w:val="0"/>
                <w:sz w:val="24"/>
                <w:szCs w:val="24"/>
                <w:lang w:val="en-US" w:eastAsia="zh-CN" w:bidi="ar"/>
              </w:rPr>
              <w:t>租用</w:t>
            </w:r>
            <w:r>
              <w:rPr>
                <w:rFonts w:hint="default" w:ascii="Times New Roman" w:hAnsi="Times New Roman" w:eastAsia="宋体" w:cs="Times New Roman"/>
                <w:color w:val="auto"/>
                <w:kern w:val="0"/>
                <w:sz w:val="24"/>
                <w:szCs w:val="24"/>
                <w:lang w:val="en-US" w:eastAsia="zh-CN" w:bidi="ar"/>
              </w:rPr>
              <w:t>厂房进行</w:t>
            </w:r>
            <w:r>
              <w:rPr>
                <w:rFonts w:hint="eastAsia" w:ascii="Times New Roman" w:hAnsi="Times New Roman" w:eastAsia="宋体" w:cs="Times New Roman"/>
                <w:color w:val="auto"/>
                <w:kern w:val="0"/>
                <w:sz w:val="24"/>
                <w:szCs w:val="24"/>
                <w:lang w:val="en-US" w:eastAsia="zh-CN" w:bidi="ar"/>
              </w:rPr>
              <w:t>设备安装</w:t>
            </w:r>
            <w:r>
              <w:rPr>
                <w:rFonts w:hint="default" w:ascii="Times New Roman" w:hAnsi="Times New Roman" w:eastAsia="宋体" w:cs="Times New Roman"/>
                <w:color w:val="auto"/>
                <w:kern w:val="0"/>
                <w:sz w:val="24"/>
                <w:szCs w:val="24"/>
                <w:lang w:val="en-US" w:eastAsia="zh-CN" w:bidi="ar"/>
              </w:rPr>
              <w:t>生产，无土建施工内容，施工期废水主要为施工人员的生活污水。</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本项目施工不设置施工营地，生活用水量较少。生活污水排入园区污水管网由污水处理厂统一处理。</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综上所述，施工期废水不会对周围环境产生明显影响。</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施工期噪声影响分析</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本项目不对主体工程做较大改动，施工期噪声主要为起重机、叉车等机械噪声和设备安装过程的瞬间噪声。噪声源强为100～105dB。针对施工产生的噪声，采取的措施如下：</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①合理安排施工时间，将产生高噪声的施工作业安排在不敏感的时段。</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②禁止在北京时间00:00至次日10:00进行施工，如需施工必须经过相关部门的审批。</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在实行以上措施后，施工场界噪声可满足《建筑施工场界环境噪声排放标准》（GB12523-2011）中昼间≤70dB(A)，夜间≤55dB（A）的标准限值。</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综上所述，本项目施工噪声对周围环境的影响较小。</w:t>
            </w:r>
          </w:p>
          <w:p>
            <w:pPr>
              <w:keepNext w:val="0"/>
              <w:keepLines w:val="0"/>
              <w:pageBreakBefore w:val="0"/>
              <w:widowControl/>
              <w:numPr>
                <w:ilvl w:val="0"/>
                <w:numId w:val="18"/>
              </w:numPr>
              <w:suppressLineNumbers w:val="0"/>
              <w:kinsoku/>
              <w:wordWrap/>
              <w:overflowPunct/>
              <w:topLinePunct w:val="0"/>
              <w:autoSpaceDE/>
              <w:autoSpaceDN/>
              <w:bidi w:val="0"/>
              <w:adjustRightInd/>
              <w:snapToGrid/>
              <w:spacing w:line="520" w:lineRule="exact"/>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施工期固体废物影响分析</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施工中产生的固体废物主要是建筑垃圾、施工人员生活垃圾，均为一般固体废物。施工期间，对产生的固体废物主要采取以下措施：</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①项目产生的固废分类堆放，严密遮盖，施工垃圾及时</w:t>
            </w:r>
            <w:r>
              <w:rPr>
                <w:rFonts w:hint="eastAsia" w:cs="Times New Roman"/>
                <w:color w:val="auto"/>
                <w:kern w:val="0"/>
                <w:sz w:val="24"/>
                <w:szCs w:val="24"/>
                <w:lang w:val="en-US" w:eastAsia="zh-CN" w:bidi="ar"/>
              </w:rPr>
              <w:t>清理运往</w:t>
            </w:r>
            <w:r>
              <w:rPr>
                <w:rFonts w:hint="default" w:ascii="Times New Roman" w:hAnsi="Times New Roman" w:eastAsia="宋体" w:cs="Times New Roman"/>
                <w:color w:val="auto"/>
                <w:kern w:val="0"/>
                <w:sz w:val="24"/>
                <w:szCs w:val="24"/>
                <w:lang w:val="en-US" w:eastAsia="zh-CN" w:bidi="ar"/>
              </w:rPr>
              <w:t>指定地点堆存，外运过程中运输车辆均以苫布遮盖。</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②建筑垃圾主要为废铁等一般工业固体废物，可出售给废品回收站。</w:t>
            </w:r>
          </w:p>
          <w:p>
            <w:pPr>
              <w:keepNext w:val="0"/>
              <w:keepLines w:val="0"/>
              <w:pageBreakBefore w:val="0"/>
              <w:widowControl/>
              <w:suppressLineNumbers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③项目不设置施工营地，施工人员生活垃圾产生量较小，收集后交环卫部门统一处理。</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rFonts w:hint="default" w:ascii="Times New Roman" w:hAnsi="Times New Roman" w:eastAsia="宋体" w:cs="Times New Roman"/>
                <w:color w:val="auto"/>
                <w:kern w:val="0"/>
                <w:sz w:val="24"/>
                <w:szCs w:val="24"/>
                <w:lang w:val="en-US" w:eastAsia="zh-CN" w:bidi="ar"/>
              </w:rPr>
              <w:t>综上所述，施工期间虽然会对环境产生一些不利的影响，但在落实环保措施并加强施工管理的前提下，可使施工期对环境的影响降低到最小程度，且施工过程是短暂的，其影响将随着施工结束而消失。</w:t>
            </w: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pStyle w:val="34"/>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pStyle w:val="3"/>
              <w:rPr>
                <w:color w:val="auto"/>
              </w:rPr>
            </w:pPr>
          </w:p>
          <w:p>
            <w:pPr>
              <w:rPr>
                <w:color w:val="auto"/>
              </w:rPr>
            </w:pPr>
          </w:p>
          <w:p>
            <w:pPr>
              <w:rPr>
                <w:color w:val="auto"/>
              </w:rPr>
            </w:pPr>
          </w:p>
          <w:p>
            <w:pPr>
              <w:pStyle w:val="7"/>
              <w:rPr>
                <w:color w:val="auto"/>
              </w:rPr>
            </w:pPr>
          </w:p>
          <w:p>
            <w:pPr>
              <w:pStyle w:val="3"/>
              <w:rPr>
                <w:color w:val="auto"/>
              </w:rPr>
            </w:pPr>
          </w:p>
          <w:p>
            <w:pPr>
              <w:rPr>
                <w:color w:val="auto"/>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380" w:firstLineChars="200"/>
              <w:rPr>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25" w:hRule="atLeast"/>
          <w:jc w:val="center"/>
        </w:trPr>
        <w:tc>
          <w:tcPr>
            <w:tcW w:w="231" w:type="pct"/>
            <w:tcBorders>
              <w:top w:val="single" w:color="000000" w:sz="8" w:space="0"/>
              <w:left w:val="single" w:color="000000" w:sz="8" w:space="0"/>
              <w:bottom w:val="single" w:color="000000" w:sz="8" w:space="0"/>
              <w:right w:val="single" w:color="000000" w:sz="8" w:space="0"/>
            </w:tcBorders>
            <w:shd w:val="clear" w:color="auto" w:fill="auto"/>
            <w:tcMar>
              <w:left w:w="28" w:type="dxa"/>
              <w:right w:w="28" w:type="dxa"/>
            </w:tcMar>
            <w:vAlign w:val="center"/>
          </w:tcPr>
          <w:p>
            <w:pPr>
              <w:adjustRightInd w:val="0"/>
              <w:snapToGrid w:val="0"/>
              <w:spacing w:line="360" w:lineRule="auto"/>
              <w:jc w:val="center"/>
              <w:rPr>
                <w:bCs/>
                <w:color w:val="auto"/>
                <w:szCs w:val="21"/>
              </w:rPr>
            </w:pPr>
            <w:r>
              <w:rPr>
                <w:bCs/>
                <w:color w:val="auto"/>
                <w:sz w:val="24"/>
                <w:szCs w:val="24"/>
              </w:rPr>
              <w:t>运营期环境影响和保护措施</w:t>
            </w:r>
          </w:p>
        </w:tc>
        <w:tc>
          <w:tcPr>
            <w:tcW w:w="4768" w:type="pct"/>
            <w:tcBorders>
              <w:top w:val="single" w:color="000000" w:sz="8" w:space="0"/>
              <w:left w:val="single" w:color="000000" w:sz="8" w:space="0"/>
              <w:bottom w:val="single" w:color="000000" w:sz="8" w:space="0"/>
              <w:right w:val="single" w:color="000000" w:sz="8" w:space="0"/>
            </w:tcBorders>
            <w:shd w:val="clear" w:color="auto" w:fill="auto"/>
          </w:tcPr>
          <w:p>
            <w:pPr>
              <w:keepNext w:val="0"/>
              <w:keepLines w:val="0"/>
              <w:pageBreakBefore w:val="0"/>
              <w:numPr>
                <w:ilvl w:val="0"/>
                <w:numId w:val="19"/>
              </w:numPr>
              <w:tabs>
                <w:tab w:val="left" w:pos="248"/>
              </w:tabs>
              <w:kinsoku/>
              <w:wordWrap/>
              <w:overflowPunct/>
              <w:topLinePunct w:val="0"/>
              <w:autoSpaceDE/>
              <w:autoSpaceDN/>
              <w:bidi w:val="0"/>
              <w:adjustRightInd/>
              <w:snapToGrid/>
              <w:spacing w:line="520" w:lineRule="exact"/>
              <w:ind w:right="0"/>
              <w:textAlignment w:val="auto"/>
              <w:rPr>
                <w:b/>
                <w:bCs/>
                <w:color w:val="auto"/>
                <w:sz w:val="24"/>
              </w:rPr>
            </w:pPr>
            <w:r>
              <w:rPr>
                <w:b/>
                <w:bCs/>
                <w:color w:val="auto"/>
                <w:sz w:val="24"/>
              </w:rPr>
              <w:t>废气</w:t>
            </w:r>
          </w:p>
          <w:p>
            <w:pPr>
              <w:pStyle w:val="11"/>
              <w:keepNext w:val="0"/>
              <w:keepLines w:val="0"/>
              <w:pageBreakBefore w:val="0"/>
              <w:kinsoku/>
              <w:wordWrap/>
              <w:overflowPunct/>
              <w:topLinePunct w:val="0"/>
              <w:autoSpaceDE/>
              <w:autoSpaceDN/>
              <w:bidi w:val="0"/>
              <w:adjustRightInd/>
              <w:snapToGrid/>
              <w:spacing w:before="0" w:after="0" w:line="520" w:lineRule="exact"/>
              <w:ind w:right="0"/>
              <w:textAlignment w:val="auto"/>
              <w:rPr>
                <w:b/>
                <w:bCs/>
                <w:color w:val="auto"/>
                <w:sz w:val="24"/>
                <w:szCs w:val="24"/>
              </w:rPr>
            </w:pPr>
            <w:r>
              <w:rPr>
                <w:b/>
                <w:bCs/>
                <w:color w:val="auto"/>
                <w:sz w:val="24"/>
                <w:szCs w:val="24"/>
              </w:rPr>
              <w:t>1.1</w:t>
            </w:r>
            <w:r>
              <w:rPr>
                <w:rFonts w:hint="eastAsia"/>
                <w:b/>
                <w:bCs/>
                <w:color w:val="auto"/>
                <w:sz w:val="24"/>
                <w:szCs w:val="24"/>
                <w:lang w:val="en-US" w:eastAsia="zh-CN"/>
              </w:rPr>
              <w:t xml:space="preserve"> </w:t>
            </w:r>
            <w:r>
              <w:rPr>
                <w:b/>
                <w:bCs/>
                <w:color w:val="auto"/>
                <w:sz w:val="24"/>
                <w:szCs w:val="24"/>
              </w:rPr>
              <w:t>废气源强分析</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bCs/>
                <w:color w:val="auto"/>
                <w:sz w:val="24"/>
                <w:szCs w:val="24"/>
              </w:rPr>
            </w:pPr>
            <w:r>
              <w:rPr>
                <w:rFonts w:hint="eastAsia"/>
                <w:bCs/>
                <w:color w:val="auto"/>
                <w:sz w:val="24"/>
                <w:szCs w:val="24"/>
                <w:lang w:val="en-US" w:eastAsia="zh-CN"/>
              </w:rPr>
              <w:t>本项目废气污染物主要为破碎废气（G1）、热熔废气（G2）、食堂油烟（G3）</w:t>
            </w:r>
            <w:r>
              <w:rPr>
                <w:bCs/>
                <w:color w:val="auto"/>
                <w:sz w:val="24"/>
                <w:szCs w:val="24"/>
              </w:rPr>
              <w:t>。</w:t>
            </w:r>
          </w:p>
          <w:p>
            <w:pPr>
              <w:pStyle w:val="45"/>
              <w:keepNext w:val="0"/>
              <w:keepLines w:val="0"/>
              <w:pageBreakBefore w:val="0"/>
              <w:numPr>
                <w:ilvl w:val="0"/>
                <w:numId w:val="20"/>
              </w:numPr>
              <w:kinsoku/>
              <w:wordWrap/>
              <w:overflowPunct/>
              <w:topLinePunct w:val="0"/>
              <w:autoSpaceDE/>
              <w:autoSpaceDN/>
              <w:bidi w:val="0"/>
              <w:adjustRightInd/>
              <w:snapToGrid/>
              <w:spacing w:line="520" w:lineRule="exact"/>
              <w:ind w:right="0"/>
              <w:jc w:val="both"/>
              <w:textAlignment w:val="auto"/>
              <w:rPr>
                <w:rFonts w:hint="eastAsia"/>
                <w:bCs/>
                <w:color w:val="auto"/>
                <w:kern w:val="0"/>
                <w:highlight w:val="none"/>
                <w:lang w:val="en-US" w:eastAsia="zh-CN"/>
              </w:rPr>
            </w:pPr>
            <w:r>
              <w:rPr>
                <w:rFonts w:hint="eastAsia"/>
                <w:bCs/>
                <w:color w:val="auto"/>
                <w:kern w:val="0"/>
                <w:highlight w:val="none"/>
                <w:lang w:val="en-US" w:eastAsia="zh-CN"/>
              </w:rPr>
              <w:t>破碎废气（G1）</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根据《排放源统计调查产排污核算方法和系数手册》——42废弃资源综合利用行业系数手册，颗粒物产污系数取375克/吨-原料，本项目年产原材料用量为5500t/a，则破碎工序颗粒物产生量为2.063t/a，产生速率为1.228kg/h。</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w:t>
            </w:r>
            <w:r>
              <w:rPr>
                <w:rFonts w:hint="eastAsia" w:cs="Times New Roman"/>
                <w:bCs/>
                <w:color w:val="auto"/>
                <w:sz w:val="24"/>
                <w:szCs w:val="24"/>
                <w:lang w:val="en-US" w:eastAsia="zh-CN"/>
              </w:rPr>
              <w:t>两条生产线</w:t>
            </w:r>
            <w:r>
              <w:rPr>
                <w:rFonts w:hint="eastAsia" w:ascii="Times New Roman" w:hAnsi="Times New Roman" w:eastAsia="宋体" w:cs="Times New Roman"/>
                <w:bCs/>
                <w:color w:val="auto"/>
                <w:sz w:val="24"/>
                <w:szCs w:val="24"/>
                <w:lang w:val="en-US" w:eastAsia="zh-CN"/>
              </w:rPr>
              <w:t>产生的颗粒物采用集气罩（集气罩收集效率为90%）收集后经</w:t>
            </w:r>
            <w:r>
              <w:rPr>
                <w:rFonts w:hint="eastAsia" w:cs="Times New Roman"/>
                <w:bCs/>
                <w:color w:val="auto"/>
                <w:sz w:val="24"/>
                <w:szCs w:val="24"/>
                <w:lang w:val="en-US" w:eastAsia="zh-CN"/>
              </w:rPr>
              <w:t>一套</w:t>
            </w:r>
            <w:r>
              <w:rPr>
                <w:rFonts w:hint="eastAsia" w:ascii="Times New Roman" w:hAnsi="Times New Roman" w:eastAsia="宋体" w:cs="Times New Roman"/>
                <w:bCs/>
                <w:color w:val="auto"/>
                <w:sz w:val="24"/>
                <w:szCs w:val="24"/>
                <w:lang w:val="en-US" w:eastAsia="zh-CN"/>
              </w:rPr>
              <w:t>布袋除尘器处理后经1根15m高排气筒（DA001）排出，</w:t>
            </w:r>
            <w:r>
              <w:rPr>
                <w:rFonts w:hint="eastAsia" w:cs="Times New Roman"/>
                <w:bCs/>
                <w:color w:val="auto"/>
                <w:sz w:val="24"/>
                <w:szCs w:val="24"/>
                <w:lang w:val="en-US" w:eastAsia="zh-CN"/>
              </w:rPr>
              <w:t>根据</w:t>
            </w:r>
            <w:r>
              <w:rPr>
                <w:rFonts w:hint="eastAsia" w:ascii="Times New Roman" w:hAnsi="Times New Roman" w:eastAsia="宋体" w:cs="Times New Roman"/>
                <w:bCs/>
                <w:color w:val="auto"/>
                <w:sz w:val="24"/>
                <w:szCs w:val="24"/>
                <w:lang w:val="en-US" w:eastAsia="zh-CN"/>
              </w:rPr>
              <w:t>《排放源统计调查产排污核算方法和系数手册》——42废弃资源综合利用行业系数手册</w:t>
            </w:r>
            <w:r>
              <w:rPr>
                <w:rFonts w:hint="eastAsia" w:cs="Times New Roman"/>
                <w:bCs/>
                <w:color w:val="auto"/>
                <w:sz w:val="24"/>
                <w:szCs w:val="24"/>
                <w:lang w:val="en-US" w:eastAsia="zh-CN"/>
              </w:rPr>
              <w:t>，布袋除尘器处理效率为95%，</w:t>
            </w:r>
            <w:r>
              <w:rPr>
                <w:rFonts w:hint="eastAsia" w:ascii="Times New Roman" w:hAnsi="Times New Roman" w:eastAsia="宋体" w:cs="Times New Roman"/>
                <w:bCs/>
                <w:color w:val="auto"/>
                <w:sz w:val="24"/>
                <w:szCs w:val="24"/>
                <w:lang w:val="en-US" w:eastAsia="zh-CN"/>
              </w:rPr>
              <w:t>风机风量为5000m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/h。破碎工段有组织颗粒物排放量为0.093t/a，排放速率为0.055kg/h，排放浓度为11.071mg/m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p>
          <w:p>
            <w:pPr>
              <w:pStyle w:val="33"/>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 xml:space="preserve">表4-1    </w:t>
            </w:r>
            <w:r>
              <w:rPr>
                <w:rFonts w:hint="eastAsia" w:cs="Times New Roman"/>
                <w:b/>
                <w:bCs/>
                <w:color w:val="auto"/>
                <w:kern w:val="2"/>
                <w:sz w:val="21"/>
                <w:szCs w:val="21"/>
                <w:lang w:val="en-US" w:eastAsia="zh-CN" w:bidi="ar-SA"/>
              </w:rPr>
              <w:t>破碎</w:t>
            </w:r>
            <w:r>
              <w:rPr>
                <w:rFonts w:hint="default" w:ascii="Times New Roman" w:hAnsi="Times New Roman" w:eastAsia="宋体" w:cs="Times New Roman"/>
                <w:b/>
                <w:bCs/>
                <w:color w:val="auto"/>
                <w:kern w:val="2"/>
                <w:sz w:val="21"/>
                <w:szCs w:val="21"/>
                <w:lang w:val="en-US" w:eastAsia="zh-CN" w:bidi="ar-SA"/>
              </w:rPr>
              <w:t>工序废气产排量</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
              <w:gridCol w:w="398"/>
              <w:gridCol w:w="398"/>
              <w:gridCol w:w="766"/>
              <w:gridCol w:w="911"/>
              <w:gridCol w:w="766"/>
              <w:gridCol w:w="911"/>
              <w:gridCol w:w="1073"/>
              <w:gridCol w:w="1073"/>
              <w:gridCol w:w="1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3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color w:val="auto"/>
                      <w:szCs w:val="21"/>
                    </w:rPr>
                    <w:t>工段名称</w:t>
                  </w:r>
                </w:p>
              </w:tc>
              <w:tc>
                <w:tcPr>
                  <w:tcW w:w="23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color w:val="auto"/>
                      <w:szCs w:val="21"/>
                    </w:rPr>
                    <w:t>污染物名称</w:t>
                  </w:r>
                </w:p>
              </w:tc>
              <w:tc>
                <w:tcPr>
                  <w:tcW w:w="23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lang w:val="en-US" w:eastAsia="zh-CN"/>
                    </w:rPr>
                  </w:pPr>
                  <w:r>
                    <w:rPr>
                      <w:rFonts w:hint="eastAsia"/>
                      <w:color w:val="auto"/>
                      <w:szCs w:val="21"/>
                      <w:lang w:val="en-US" w:eastAsia="zh-CN"/>
                    </w:rPr>
                    <w:t>排放方式</w:t>
                  </w:r>
                </w:p>
              </w:tc>
              <w:tc>
                <w:tcPr>
                  <w:tcW w:w="4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lang w:eastAsia="zh-CN"/>
                    </w:rPr>
                  </w:pPr>
                  <w:r>
                    <w:rPr>
                      <w:color w:val="auto"/>
                      <w:szCs w:val="21"/>
                    </w:rPr>
                    <w:t>产生量</w:t>
                  </w:r>
                  <w:r>
                    <w:rPr>
                      <w:rFonts w:hint="eastAsia"/>
                      <w:color w:val="auto"/>
                      <w:szCs w:val="21"/>
                      <w:lang w:eastAsia="zh-CN"/>
                    </w:rPr>
                    <w:t>（</w:t>
                  </w:r>
                  <w:r>
                    <w:rPr>
                      <w:color w:val="auto"/>
                      <w:szCs w:val="21"/>
                    </w:rPr>
                    <w:t>t/a</w:t>
                  </w:r>
                  <w:r>
                    <w:rPr>
                      <w:rFonts w:hint="eastAsia"/>
                      <w:color w:val="auto"/>
                      <w:szCs w:val="21"/>
                      <w:lang w:eastAsia="zh-CN"/>
                    </w:rPr>
                    <w:t>）</w:t>
                  </w:r>
                </w:p>
              </w:tc>
              <w:tc>
                <w:tcPr>
                  <w:tcW w:w="54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lang w:eastAsia="zh-CN"/>
                    </w:rPr>
                  </w:pPr>
                  <w:r>
                    <w:rPr>
                      <w:color w:val="auto"/>
                      <w:szCs w:val="21"/>
                    </w:rPr>
                    <w:t>产生速率</w:t>
                  </w:r>
                  <w:r>
                    <w:rPr>
                      <w:rFonts w:hint="eastAsia"/>
                      <w:color w:val="auto"/>
                      <w:szCs w:val="21"/>
                      <w:lang w:eastAsia="zh-CN"/>
                    </w:rPr>
                    <w:t>（</w:t>
                  </w:r>
                  <w:r>
                    <w:rPr>
                      <w:color w:val="auto"/>
                      <w:szCs w:val="21"/>
                    </w:rPr>
                    <w:t>kg/h</w:t>
                  </w:r>
                  <w:r>
                    <w:rPr>
                      <w:rFonts w:hint="eastAsia"/>
                      <w:color w:val="auto"/>
                      <w:szCs w:val="21"/>
                      <w:lang w:eastAsia="zh-CN"/>
                    </w:rPr>
                    <w:t>）</w:t>
                  </w:r>
                </w:p>
              </w:tc>
              <w:tc>
                <w:tcPr>
                  <w:tcW w:w="454"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lang w:val="en-US" w:eastAsia="zh-CN"/>
                    </w:rPr>
                  </w:pPr>
                  <w:r>
                    <w:rPr>
                      <w:rFonts w:hint="eastAsia"/>
                      <w:color w:val="auto"/>
                      <w:szCs w:val="21"/>
                      <w:lang w:val="en-US" w:eastAsia="zh-CN"/>
                    </w:rPr>
                    <w:t>排放量（t/a）</w:t>
                  </w:r>
                </w:p>
              </w:tc>
              <w:tc>
                <w:tcPr>
                  <w:tcW w:w="540"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lang w:val="en-US" w:eastAsia="zh-CN"/>
                    </w:rPr>
                  </w:pPr>
                  <w:r>
                    <w:rPr>
                      <w:rFonts w:hint="eastAsia"/>
                      <w:color w:val="auto"/>
                      <w:szCs w:val="21"/>
                      <w:lang w:val="en-US" w:eastAsia="zh-CN"/>
                    </w:rPr>
                    <w:t>排放速率（kg/h）</w:t>
                  </w:r>
                </w:p>
              </w:tc>
              <w:tc>
                <w:tcPr>
                  <w:tcW w:w="63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lang w:val="en-US" w:eastAsia="zh-CN"/>
                    </w:rPr>
                  </w:pPr>
                  <w:r>
                    <w:rPr>
                      <w:rFonts w:hint="eastAsia"/>
                      <w:color w:val="auto"/>
                      <w:szCs w:val="21"/>
                      <w:lang w:val="en-US" w:eastAsia="zh-CN"/>
                    </w:rPr>
                    <w:t>排放浓度</w:t>
                  </w:r>
                  <w:r>
                    <w:rPr>
                      <w:rFonts w:hint="eastAsia"/>
                      <w:color w:val="auto"/>
                      <w:spacing w:val="-6"/>
                      <w:sz w:val="21"/>
                      <w:szCs w:val="21"/>
                      <w:lang w:val="en-US" w:eastAsia="zh-CN"/>
                    </w:rPr>
                    <w:t>（mg/m</w:t>
                  </w:r>
                  <w:r>
                    <w:rPr>
                      <w:rFonts w:hint="eastAsia"/>
                      <w:color w:val="auto"/>
                      <w:spacing w:val="-6"/>
                      <w:sz w:val="21"/>
                      <w:szCs w:val="21"/>
                      <w:vertAlign w:val="superscript"/>
                      <w:lang w:val="en-US" w:eastAsia="zh-CN"/>
                    </w:rPr>
                    <w:t>3</w:t>
                  </w:r>
                  <w:r>
                    <w:rPr>
                      <w:rFonts w:hint="eastAsia"/>
                      <w:color w:val="auto"/>
                      <w:spacing w:val="-6"/>
                      <w:sz w:val="21"/>
                      <w:szCs w:val="21"/>
                      <w:lang w:val="en-US" w:eastAsia="zh-CN"/>
                    </w:rPr>
                    <w:t>）</w:t>
                  </w:r>
                </w:p>
              </w:tc>
              <w:tc>
                <w:tcPr>
                  <w:tcW w:w="636"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标准限值</w:t>
                  </w:r>
                  <w:r>
                    <w:rPr>
                      <w:rFonts w:hint="eastAsia"/>
                      <w:color w:val="auto"/>
                      <w:spacing w:val="-6"/>
                      <w:sz w:val="21"/>
                      <w:szCs w:val="21"/>
                      <w:lang w:val="en-US" w:eastAsia="zh-CN"/>
                    </w:rPr>
                    <w:t>（mg/m</w:t>
                  </w:r>
                  <w:r>
                    <w:rPr>
                      <w:rFonts w:hint="eastAsia"/>
                      <w:color w:val="auto"/>
                      <w:spacing w:val="-6"/>
                      <w:sz w:val="21"/>
                      <w:szCs w:val="21"/>
                      <w:vertAlign w:val="superscript"/>
                      <w:lang w:val="en-US" w:eastAsia="zh-CN"/>
                    </w:rPr>
                    <w:t>3</w:t>
                  </w:r>
                  <w:r>
                    <w:rPr>
                      <w:rFonts w:hint="eastAsia"/>
                      <w:color w:val="auto"/>
                      <w:spacing w:val="-6"/>
                      <w:sz w:val="21"/>
                      <w:szCs w:val="21"/>
                      <w:lang w:val="en-US" w:eastAsia="zh-CN"/>
                    </w:rPr>
                    <w:t>）</w:t>
                  </w:r>
                </w:p>
              </w:tc>
              <w:tc>
                <w:tcPr>
                  <w:tcW w:w="1027" w:type="pct"/>
                  <w:tcBorders>
                    <w:bottom w:val="single" w:color="auto" w:sz="12"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36" w:type="pct"/>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Cs w:val="21"/>
                      <w:lang w:eastAsia="zh-CN"/>
                    </w:rPr>
                  </w:pPr>
                  <w:r>
                    <w:rPr>
                      <w:rFonts w:hint="eastAsia"/>
                      <w:color w:val="auto"/>
                      <w:szCs w:val="21"/>
                      <w:lang w:val="en-US" w:eastAsia="zh-CN"/>
                    </w:rPr>
                    <w:t>破碎</w:t>
                  </w:r>
                </w:p>
              </w:tc>
              <w:tc>
                <w:tcPr>
                  <w:tcW w:w="236" w:type="pct"/>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lang w:val="en-US" w:eastAsia="zh-CN"/>
                    </w:rPr>
                  </w:pPr>
                  <w:r>
                    <w:rPr>
                      <w:rFonts w:hint="eastAsia"/>
                      <w:color w:val="auto"/>
                      <w:szCs w:val="21"/>
                      <w:lang w:val="en-US" w:eastAsia="zh-CN"/>
                    </w:rPr>
                    <w:t>颗粒物</w:t>
                  </w:r>
                </w:p>
              </w:tc>
              <w:tc>
                <w:tcPr>
                  <w:tcW w:w="236"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有组织</w:t>
                  </w:r>
                </w:p>
              </w:tc>
              <w:tc>
                <w:tcPr>
                  <w:tcW w:w="454"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Cs w:val="21"/>
                      <w:lang w:val="en-US" w:eastAsia="zh-CN"/>
                    </w:rPr>
                  </w:pPr>
                  <w:r>
                    <w:rPr>
                      <w:rFonts w:hint="eastAsia"/>
                      <w:color w:val="auto"/>
                      <w:szCs w:val="21"/>
                      <w:lang w:val="en-US" w:eastAsia="zh-CN"/>
                    </w:rPr>
                    <w:t>1.856</w:t>
                  </w:r>
                </w:p>
              </w:tc>
              <w:tc>
                <w:tcPr>
                  <w:tcW w:w="540"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rPr>
                  </w:pPr>
                  <w:r>
                    <w:rPr>
                      <w:rFonts w:hint="eastAsia"/>
                      <w:color w:val="auto"/>
                      <w:szCs w:val="21"/>
                      <w:lang w:val="en-US" w:eastAsia="zh-CN"/>
                    </w:rPr>
                    <w:t>1.228</w:t>
                  </w:r>
                </w:p>
              </w:tc>
              <w:tc>
                <w:tcPr>
                  <w:tcW w:w="454"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0.093</w:t>
                  </w:r>
                </w:p>
              </w:tc>
              <w:tc>
                <w:tcPr>
                  <w:tcW w:w="540"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0.055</w:t>
                  </w:r>
                </w:p>
              </w:tc>
              <w:tc>
                <w:tcPr>
                  <w:tcW w:w="636"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11.071</w:t>
                  </w:r>
                </w:p>
              </w:tc>
              <w:tc>
                <w:tcPr>
                  <w:tcW w:w="636" w:type="pct"/>
                  <w:tcBorders>
                    <w:top w:val="single" w:color="auto" w:sz="12" w:space="0"/>
                    <w:bottom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20</w:t>
                  </w:r>
                </w:p>
              </w:tc>
              <w:tc>
                <w:tcPr>
                  <w:tcW w:w="1027" w:type="pct"/>
                  <w:vMerge w:val="restar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Cs w:val="21"/>
                      <w:lang w:val="en-US" w:eastAsia="zh-CN"/>
                    </w:rPr>
                  </w:pPr>
                  <w:r>
                    <w:rPr>
                      <w:rFonts w:hint="eastAsia"/>
                      <w:color w:val="auto"/>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Cs w:val="21"/>
                      <w:lang w:val="en-US" w:eastAsia="zh-CN"/>
                    </w:rPr>
                  </w:pPr>
                </w:p>
              </w:tc>
              <w:tc>
                <w:tcPr>
                  <w:tcW w:w="23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Cs w:val="21"/>
                      <w:lang w:val="en-US" w:eastAsia="zh-CN"/>
                    </w:rPr>
                  </w:pPr>
                </w:p>
              </w:tc>
              <w:tc>
                <w:tcPr>
                  <w:tcW w:w="236"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无组织</w:t>
                  </w:r>
                </w:p>
              </w:tc>
              <w:tc>
                <w:tcPr>
                  <w:tcW w:w="454"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0.206</w:t>
                  </w:r>
                </w:p>
              </w:tc>
              <w:tc>
                <w:tcPr>
                  <w:tcW w:w="540"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w:t>
                  </w:r>
                </w:p>
              </w:tc>
              <w:tc>
                <w:tcPr>
                  <w:tcW w:w="454"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0.206</w:t>
                  </w:r>
                </w:p>
              </w:tc>
              <w:tc>
                <w:tcPr>
                  <w:tcW w:w="540"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w:t>
                  </w:r>
                </w:p>
              </w:tc>
              <w:tc>
                <w:tcPr>
                  <w:tcW w:w="636"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w:t>
                  </w:r>
                </w:p>
              </w:tc>
              <w:tc>
                <w:tcPr>
                  <w:tcW w:w="636" w:type="pct"/>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Cs w:val="21"/>
                      <w:lang w:val="en-US" w:eastAsia="zh-CN"/>
                    </w:rPr>
                  </w:pPr>
                  <w:r>
                    <w:rPr>
                      <w:rFonts w:hint="eastAsia"/>
                      <w:color w:val="auto"/>
                      <w:szCs w:val="21"/>
                      <w:lang w:val="en-US" w:eastAsia="zh-CN"/>
                    </w:rPr>
                    <w:t>1</w:t>
                  </w:r>
                </w:p>
              </w:tc>
              <w:tc>
                <w:tcPr>
                  <w:tcW w:w="102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eastAsia="宋体"/>
                <w:color w:val="auto"/>
                <w:sz w:val="24"/>
                <w:lang w:eastAsia="zh-CN"/>
              </w:rPr>
            </w:pPr>
            <w:r>
              <w:rPr>
                <w:bCs/>
                <w:color w:val="auto"/>
                <w:kern w:val="0"/>
                <w:sz w:val="24"/>
              </w:rPr>
              <w:t>（</w:t>
            </w:r>
            <w:r>
              <w:rPr>
                <w:rFonts w:hint="eastAsia"/>
                <w:bCs/>
                <w:color w:val="auto"/>
                <w:kern w:val="0"/>
                <w:sz w:val="24"/>
                <w:lang w:val="en-US" w:eastAsia="zh-CN"/>
              </w:rPr>
              <w:t>2</w:t>
            </w:r>
            <w:r>
              <w:rPr>
                <w:bCs/>
                <w:color w:val="auto"/>
                <w:kern w:val="0"/>
                <w:sz w:val="24"/>
              </w:rPr>
              <w:t>）</w:t>
            </w:r>
            <w:r>
              <w:rPr>
                <w:rFonts w:hint="eastAsia"/>
                <w:bCs/>
                <w:color w:val="auto"/>
                <w:kern w:val="0"/>
                <w:sz w:val="24"/>
                <w:lang w:val="en-US" w:eastAsia="zh-CN"/>
              </w:rPr>
              <w:t>热熔废气（G2）</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cs="Times New Roman"/>
                <w:bCs/>
                <w:color w:val="auto"/>
                <w:sz w:val="24"/>
                <w:szCs w:val="24"/>
                <w:lang w:val="en-US" w:eastAsia="zh-CN"/>
              </w:rPr>
            </w:pPr>
            <w:r>
              <w:rPr>
                <w:rFonts w:hint="eastAsia" w:cs="Times New Roman"/>
                <w:bCs/>
                <w:color w:val="auto"/>
                <w:sz w:val="24"/>
                <w:szCs w:val="24"/>
                <w:lang w:val="en-US" w:eastAsia="zh-CN"/>
              </w:rPr>
              <w:t>①挥发性有机物</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根据《排放源统计调查产排污核算方法和系数手册》——42废弃资源综合利用行业系数手册，</w:t>
            </w:r>
            <w:r>
              <w:rPr>
                <w:rFonts w:hint="eastAsia" w:cs="Times New Roman"/>
                <w:bCs/>
                <w:color w:val="auto"/>
                <w:sz w:val="24"/>
                <w:szCs w:val="24"/>
                <w:lang w:val="en-US" w:eastAsia="zh-CN"/>
              </w:rPr>
              <w:t>挥发性有机物（以</w:t>
            </w:r>
            <w:r>
              <w:rPr>
                <w:rFonts w:hint="eastAsia" w:ascii="Times New Roman" w:hAnsi="Times New Roman" w:eastAsia="宋体" w:cs="Times New Roman"/>
                <w:bCs/>
                <w:color w:val="auto"/>
                <w:sz w:val="24"/>
                <w:szCs w:val="24"/>
                <w:lang w:val="en-US" w:eastAsia="zh-CN"/>
              </w:rPr>
              <w:t>非甲烷总烃</w:t>
            </w:r>
            <w:r>
              <w:rPr>
                <w:rFonts w:hint="eastAsia" w:cs="Times New Roman"/>
                <w:bCs/>
                <w:color w:val="auto"/>
                <w:sz w:val="24"/>
                <w:szCs w:val="24"/>
                <w:lang w:val="en-US" w:eastAsia="zh-CN"/>
              </w:rPr>
              <w:t>计）</w:t>
            </w:r>
            <w:r>
              <w:rPr>
                <w:rFonts w:hint="eastAsia" w:ascii="Times New Roman" w:hAnsi="Times New Roman" w:eastAsia="宋体" w:cs="Times New Roman"/>
                <w:bCs/>
                <w:color w:val="auto"/>
                <w:sz w:val="24"/>
                <w:szCs w:val="24"/>
                <w:lang w:val="en-US" w:eastAsia="zh-CN"/>
              </w:rPr>
              <w:t>产污系数取350克/吨-原料，本项目年产原材料用量为5500t/a，则热熔工序非甲烷总烃产生量为1.925t/a，产生速率为1.146kg/h。</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w:t>
            </w:r>
            <w:r>
              <w:rPr>
                <w:rFonts w:hint="eastAsia" w:cs="Times New Roman"/>
                <w:bCs/>
                <w:color w:val="auto"/>
                <w:sz w:val="24"/>
                <w:szCs w:val="24"/>
                <w:lang w:val="en-US" w:eastAsia="zh-CN"/>
              </w:rPr>
              <w:t>两条生产线</w:t>
            </w:r>
            <w:r>
              <w:rPr>
                <w:rFonts w:hint="eastAsia" w:ascii="Times New Roman" w:hAnsi="Times New Roman" w:eastAsia="宋体" w:cs="Times New Roman"/>
                <w:bCs/>
                <w:color w:val="auto"/>
                <w:sz w:val="24"/>
                <w:szCs w:val="24"/>
                <w:lang w:val="en-US" w:eastAsia="zh-CN"/>
              </w:rPr>
              <w:t>产生的非甲烷总烃采用集气罩（集气罩收集效率为90%）收集后经</w:t>
            </w:r>
            <w:r>
              <w:rPr>
                <w:rFonts w:hint="eastAsia" w:cs="Times New Roman"/>
                <w:bCs/>
                <w:color w:val="auto"/>
                <w:sz w:val="24"/>
                <w:szCs w:val="24"/>
                <w:lang w:val="en-US" w:eastAsia="zh-CN"/>
              </w:rPr>
              <w:t>一套</w:t>
            </w:r>
            <w:r>
              <w:rPr>
                <w:rFonts w:hint="eastAsia" w:ascii="Times New Roman" w:hAnsi="Times New Roman" w:eastAsia="宋体" w:cs="Times New Roman"/>
                <w:bCs/>
                <w:color w:val="auto"/>
                <w:sz w:val="24"/>
                <w:szCs w:val="24"/>
                <w:lang w:val="en-US" w:eastAsia="zh-CN"/>
              </w:rPr>
              <w:t>活性炭吸附+催化燃烧设备（处理效率为85%）处理后排放，最终经1根15m高排气筒（DA002）排出，风机风量为5000m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/h。最终本项目有组织非甲烷总烃排放量为0.260t/a，排放速率为0.155kg/h，排放浓度为30.952mg/m</w:t>
            </w:r>
            <w:r>
              <w:rPr>
                <w:rFonts w:hint="eastAsia" w:ascii="Times New Roman" w:hAnsi="Times New Roman" w:eastAsia="宋体" w:cs="Times New Roman"/>
                <w:bCs/>
                <w:color w:val="auto"/>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p>
          <w:p>
            <w:pPr>
              <w:pStyle w:val="33"/>
              <w:keepNext w:val="0"/>
              <w:keepLines w:val="0"/>
              <w:pageBreakBefore w:val="0"/>
              <w:widowControl w:val="0"/>
              <w:kinsoku/>
              <w:wordWrap/>
              <w:overflowPunct/>
              <w:topLinePunct w:val="0"/>
              <w:autoSpaceDE/>
              <w:autoSpaceDN/>
              <w:bidi w:val="0"/>
              <w:adjustRightInd/>
              <w:snapToGrid/>
              <w:spacing w:line="520" w:lineRule="exact"/>
              <w:ind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热熔废气</w:t>
            </w:r>
            <w:r>
              <w:rPr>
                <w:rFonts w:hint="default" w:ascii="Times New Roman" w:hAnsi="Times New Roman" w:eastAsia="宋体" w:cs="Times New Roman"/>
                <w:b/>
                <w:bCs/>
                <w:color w:val="auto"/>
                <w:kern w:val="2"/>
                <w:sz w:val="21"/>
                <w:szCs w:val="21"/>
                <w:lang w:val="en-US" w:eastAsia="zh-CN" w:bidi="ar-SA"/>
              </w:rPr>
              <w:t>污染物产</w:t>
            </w:r>
            <w:r>
              <w:rPr>
                <w:rFonts w:hint="eastAsia" w:ascii="Times New Roman" w:hAnsi="Times New Roman" w:eastAsia="宋体" w:cs="Times New Roman"/>
                <w:b/>
                <w:bCs/>
                <w:color w:val="auto"/>
                <w:kern w:val="2"/>
                <w:sz w:val="21"/>
                <w:szCs w:val="21"/>
                <w:lang w:val="en-US" w:eastAsia="zh-CN" w:bidi="ar-SA"/>
              </w:rPr>
              <w:t>排</w:t>
            </w:r>
            <w:r>
              <w:rPr>
                <w:rFonts w:hint="default" w:ascii="Times New Roman" w:hAnsi="Times New Roman" w:eastAsia="宋体" w:cs="Times New Roman"/>
                <w:b/>
                <w:bCs/>
                <w:color w:val="auto"/>
                <w:kern w:val="2"/>
                <w:sz w:val="21"/>
                <w:szCs w:val="21"/>
                <w:lang w:val="en-US" w:eastAsia="zh-CN" w:bidi="ar-SA"/>
              </w:rPr>
              <w:t>量</w:t>
            </w:r>
          </w:p>
          <w:tbl>
            <w:tblPr>
              <w:tblStyle w:val="26"/>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356"/>
              <w:gridCol w:w="356"/>
              <w:gridCol w:w="554"/>
              <w:gridCol w:w="618"/>
              <w:gridCol w:w="629"/>
              <w:gridCol w:w="674"/>
              <w:gridCol w:w="843"/>
              <w:gridCol w:w="767"/>
              <w:gridCol w:w="674"/>
              <w:gridCol w:w="1004"/>
              <w:gridCol w:w="15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08" w:type="pct"/>
                  <w:tcBorders>
                    <w:tl2br w:val="nil"/>
                    <w:tr2bl w:val="nil"/>
                  </w:tcBorders>
                  <w:vAlign w:val="center"/>
                </w:tcPr>
                <w:p>
                  <w:pPr>
                    <w:jc w:val="center"/>
                    <w:rPr>
                      <w:color w:val="auto"/>
                      <w:szCs w:val="21"/>
                    </w:rPr>
                  </w:pPr>
                  <w:r>
                    <w:rPr>
                      <w:color w:val="auto"/>
                      <w:szCs w:val="21"/>
                    </w:rPr>
                    <w:t>工段名称</w:t>
                  </w:r>
                </w:p>
              </w:tc>
              <w:tc>
                <w:tcPr>
                  <w:tcW w:w="211" w:type="pct"/>
                  <w:tcBorders>
                    <w:tl2br w:val="nil"/>
                    <w:tr2bl w:val="nil"/>
                  </w:tcBorders>
                  <w:vAlign w:val="center"/>
                </w:tcPr>
                <w:p>
                  <w:pPr>
                    <w:jc w:val="center"/>
                    <w:rPr>
                      <w:color w:val="auto"/>
                      <w:szCs w:val="21"/>
                    </w:rPr>
                  </w:pPr>
                  <w:r>
                    <w:rPr>
                      <w:color w:val="auto"/>
                      <w:szCs w:val="21"/>
                    </w:rPr>
                    <w:t>污染物名称</w:t>
                  </w:r>
                </w:p>
              </w:tc>
              <w:tc>
                <w:tcPr>
                  <w:tcW w:w="211"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排放方式</w:t>
                  </w:r>
                </w:p>
              </w:tc>
              <w:tc>
                <w:tcPr>
                  <w:tcW w:w="329" w:type="pct"/>
                  <w:tcBorders>
                    <w:tl2br w:val="nil"/>
                    <w:tr2bl w:val="nil"/>
                  </w:tcBorders>
                  <w:vAlign w:val="center"/>
                </w:tcPr>
                <w:p>
                  <w:pPr>
                    <w:jc w:val="center"/>
                    <w:rPr>
                      <w:rFonts w:hint="eastAsia" w:eastAsia="宋体"/>
                      <w:color w:val="auto"/>
                      <w:szCs w:val="21"/>
                      <w:lang w:eastAsia="zh-CN"/>
                    </w:rPr>
                  </w:pPr>
                  <w:r>
                    <w:rPr>
                      <w:color w:val="auto"/>
                      <w:szCs w:val="21"/>
                    </w:rPr>
                    <w:t>产生量</w:t>
                  </w:r>
                  <w:r>
                    <w:rPr>
                      <w:rFonts w:hint="eastAsia"/>
                      <w:color w:val="auto"/>
                      <w:szCs w:val="21"/>
                      <w:lang w:eastAsia="zh-CN"/>
                    </w:rPr>
                    <w:t>（</w:t>
                  </w:r>
                  <w:r>
                    <w:rPr>
                      <w:color w:val="auto"/>
                      <w:szCs w:val="21"/>
                    </w:rPr>
                    <w:t>t/a</w:t>
                  </w:r>
                  <w:r>
                    <w:rPr>
                      <w:rFonts w:hint="eastAsia"/>
                      <w:color w:val="auto"/>
                      <w:szCs w:val="21"/>
                      <w:lang w:eastAsia="zh-CN"/>
                    </w:rPr>
                    <w:t>）</w:t>
                  </w:r>
                </w:p>
              </w:tc>
              <w:tc>
                <w:tcPr>
                  <w:tcW w:w="367" w:type="pct"/>
                  <w:tcBorders>
                    <w:tl2br w:val="nil"/>
                    <w:tr2bl w:val="nil"/>
                  </w:tcBorders>
                  <w:vAlign w:val="center"/>
                </w:tcPr>
                <w:p>
                  <w:pPr>
                    <w:jc w:val="center"/>
                    <w:rPr>
                      <w:rFonts w:hint="eastAsia" w:eastAsia="宋体"/>
                      <w:color w:val="auto"/>
                      <w:szCs w:val="21"/>
                      <w:lang w:eastAsia="zh-CN"/>
                    </w:rPr>
                  </w:pPr>
                  <w:r>
                    <w:rPr>
                      <w:color w:val="auto"/>
                      <w:szCs w:val="21"/>
                    </w:rPr>
                    <w:t>产生速率</w:t>
                  </w:r>
                  <w:r>
                    <w:rPr>
                      <w:rFonts w:hint="eastAsia"/>
                      <w:color w:val="auto"/>
                      <w:szCs w:val="21"/>
                      <w:lang w:eastAsia="zh-CN"/>
                    </w:rPr>
                    <w:t>（</w:t>
                  </w:r>
                  <w:r>
                    <w:rPr>
                      <w:color w:val="auto"/>
                      <w:szCs w:val="21"/>
                    </w:rPr>
                    <w:t>kg/h</w:t>
                  </w:r>
                  <w:r>
                    <w:rPr>
                      <w:rFonts w:hint="eastAsia"/>
                      <w:color w:val="auto"/>
                      <w:szCs w:val="21"/>
                      <w:lang w:eastAsia="zh-CN"/>
                    </w:rPr>
                    <w:t>）</w:t>
                  </w:r>
                </w:p>
              </w:tc>
              <w:tc>
                <w:tcPr>
                  <w:tcW w:w="373"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排放量（t/a）</w:t>
                  </w:r>
                </w:p>
              </w:tc>
              <w:tc>
                <w:tcPr>
                  <w:tcW w:w="400"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排放速率（kg/h）</w:t>
                  </w:r>
                </w:p>
              </w:tc>
              <w:tc>
                <w:tcPr>
                  <w:tcW w:w="500"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排放浓度（mg/m</w:t>
                  </w:r>
                  <w:r>
                    <w:rPr>
                      <w:rFonts w:hint="eastAsia"/>
                      <w:color w:val="auto"/>
                      <w:szCs w:val="21"/>
                      <w:vertAlign w:val="superscript"/>
                      <w:lang w:val="en-US" w:eastAsia="zh-CN"/>
                    </w:rPr>
                    <w:t>3</w:t>
                  </w:r>
                  <w:r>
                    <w:rPr>
                      <w:rFonts w:hint="eastAsia"/>
                      <w:color w:val="auto"/>
                      <w:szCs w:val="21"/>
                      <w:lang w:val="en-US" w:eastAsia="zh-CN"/>
                    </w:rPr>
                    <w:t>）</w:t>
                  </w:r>
                </w:p>
              </w:tc>
              <w:tc>
                <w:tcPr>
                  <w:tcW w:w="455"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单位产品排放量</w:t>
                  </w:r>
                </w:p>
              </w:tc>
              <w:tc>
                <w:tcPr>
                  <w:tcW w:w="4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单位产品排放量限值</w:t>
                  </w:r>
                </w:p>
              </w:tc>
              <w:tc>
                <w:tcPr>
                  <w:tcW w:w="596" w:type="pc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标准限值</w:t>
                  </w:r>
                </w:p>
              </w:tc>
              <w:tc>
                <w:tcPr>
                  <w:tcW w:w="945"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08" w:type="pct"/>
                  <w:vMerge w:val="restart"/>
                  <w:tcBorders>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热熔挤出</w:t>
                  </w:r>
                </w:p>
              </w:tc>
              <w:tc>
                <w:tcPr>
                  <w:tcW w:w="211" w:type="pct"/>
                  <w:vMerge w:val="restart"/>
                  <w:tcBorders>
                    <w:tl2br w:val="nil"/>
                    <w:tr2bl w:val="nil"/>
                  </w:tcBorders>
                  <w:vAlign w:val="center"/>
                </w:tcPr>
                <w:p>
                  <w:pPr>
                    <w:jc w:val="center"/>
                    <w:rPr>
                      <w:color w:val="auto"/>
                      <w:szCs w:val="21"/>
                    </w:rPr>
                  </w:pPr>
                  <w:r>
                    <w:rPr>
                      <w:color w:val="auto"/>
                      <w:szCs w:val="21"/>
                    </w:rPr>
                    <w:t>颗粒物</w:t>
                  </w:r>
                </w:p>
              </w:tc>
              <w:tc>
                <w:tcPr>
                  <w:tcW w:w="211"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有组织</w:t>
                  </w:r>
                </w:p>
              </w:tc>
              <w:tc>
                <w:tcPr>
                  <w:tcW w:w="329" w:type="pct"/>
                  <w:tcBorders>
                    <w:tl2br w:val="nil"/>
                    <w:tr2bl w:val="nil"/>
                  </w:tcBorders>
                  <w:vAlign w:val="center"/>
                </w:tcPr>
                <w:p>
                  <w:pPr>
                    <w:jc w:val="center"/>
                    <w:rPr>
                      <w:rFonts w:hint="default"/>
                      <w:color w:val="auto"/>
                      <w:szCs w:val="21"/>
                      <w:lang w:val="en-US"/>
                    </w:rPr>
                  </w:pPr>
                  <w:r>
                    <w:rPr>
                      <w:rFonts w:hint="eastAsia"/>
                      <w:color w:val="auto"/>
                      <w:szCs w:val="21"/>
                      <w:lang w:val="en-US" w:eastAsia="zh-CN"/>
                    </w:rPr>
                    <w:t>1.732</w:t>
                  </w:r>
                </w:p>
              </w:tc>
              <w:tc>
                <w:tcPr>
                  <w:tcW w:w="367" w:type="pct"/>
                  <w:tcBorders>
                    <w:tl2br w:val="nil"/>
                    <w:tr2bl w:val="nil"/>
                  </w:tcBorders>
                  <w:vAlign w:val="center"/>
                </w:tcPr>
                <w:p>
                  <w:pPr>
                    <w:jc w:val="center"/>
                    <w:rPr>
                      <w:rFonts w:hint="default"/>
                      <w:color w:val="auto"/>
                      <w:szCs w:val="21"/>
                      <w:lang w:val="en-US"/>
                    </w:rPr>
                  </w:pPr>
                  <w:r>
                    <w:rPr>
                      <w:rFonts w:hint="eastAsia"/>
                      <w:color w:val="auto"/>
                      <w:szCs w:val="21"/>
                      <w:lang w:val="en-US" w:eastAsia="zh-CN"/>
                    </w:rPr>
                    <w:t>1.146</w:t>
                  </w:r>
                </w:p>
              </w:tc>
              <w:tc>
                <w:tcPr>
                  <w:tcW w:w="373"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0.260</w:t>
                  </w:r>
                </w:p>
              </w:tc>
              <w:tc>
                <w:tcPr>
                  <w:tcW w:w="4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0.155</w:t>
                  </w:r>
                </w:p>
              </w:tc>
              <w:tc>
                <w:tcPr>
                  <w:tcW w:w="5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30.952</w:t>
                  </w:r>
                </w:p>
              </w:tc>
              <w:tc>
                <w:tcPr>
                  <w:tcW w:w="455"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0.048</w:t>
                  </w:r>
                </w:p>
              </w:tc>
              <w:tc>
                <w:tcPr>
                  <w:tcW w:w="4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0.3</w:t>
                  </w:r>
                </w:p>
              </w:tc>
              <w:tc>
                <w:tcPr>
                  <w:tcW w:w="596"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60</w:t>
                  </w:r>
                </w:p>
              </w:tc>
              <w:tc>
                <w:tcPr>
                  <w:tcW w:w="945" w:type="pct"/>
                  <w:vMerge w:val="restart"/>
                  <w:tcBorders>
                    <w:tl2br w:val="nil"/>
                    <w:tr2bl w:val="nil"/>
                  </w:tcBorders>
                  <w:vAlign w:val="center"/>
                </w:tcPr>
                <w:p>
                  <w:pPr>
                    <w:jc w:val="center"/>
                    <w:rPr>
                      <w:rFonts w:hint="eastAsia"/>
                      <w:color w:val="auto"/>
                      <w:szCs w:val="21"/>
                      <w:lang w:val="en-US" w:eastAsia="zh-CN"/>
                    </w:rPr>
                  </w:pPr>
                  <w:r>
                    <w:rPr>
                      <w:rFonts w:hint="eastAsia"/>
                      <w:color w:val="auto"/>
                      <w:szCs w:val="21"/>
                      <w:lang w:val="en-US" w:eastAsia="zh-CN"/>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208" w:type="pct"/>
                  <w:vMerge w:val="continue"/>
                  <w:tcBorders>
                    <w:tl2br w:val="nil"/>
                    <w:tr2bl w:val="nil"/>
                  </w:tcBorders>
                  <w:vAlign w:val="center"/>
                </w:tcPr>
                <w:p>
                  <w:pPr>
                    <w:jc w:val="center"/>
                    <w:rPr>
                      <w:rFonts w:hint="eastAsia"/>
                      <w:color w:val="auto"/>
                      <w:szCs w:val="21"/>
                    </w:rPr>
                  </w:pPr>
                </w:p>
              </w:tc>
              <w:tc>
                <w:tcPr>
                  <w:tcW w:w="211" w:type="pct"/>
                  <w:vMerge w:val="continue"/>
                  <w:tcBorders>
                    <w:tl2br w:val="nil"/>
                    <w:tr2bl w:val="nil"/>
                  </w:tcBorders>
                  <w:vAlign w:val="center"/>
                </w:tcPr>
                <w:p>
                  <w:pPr>
                    <w:jc w:val="center"/>
                    <w:rPr>
                      <w:color w:val="auto"/>
                      <w:szCs w:val="21"/>
                    </w:rPr>
                  </w:pPr>
                </w:p>
              </w:tc>
              <w:tc>
                <w:tcPr>
                  <w:tcW w:w="211" w:type="pct"/>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无组织</w:t>
                  </w:r>
                </w:p>
              </w:tc>
              <w:tc>
                <w:tcPr>
                  <w:tcW w:w="329"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0.193</w:t>
                  </w:r>
                </w:p>
              </w:tc>
              <w:tc>
                <w:tcPr>
                  <w:tcW w:w="367"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w:t>
                  </w:r>
                </w:p>
              </w:tc>
              <w:tc>
                <w:tcPr>
                  <w:tcW w:w="373"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0.193</w:t>
                  </w:r>
                </w:p>
              </w:tc>
              <w:tc>
                <w:tcPr>
                  <w:tcW w:w="4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w:t>
                  </w:r>
                </w:p>
              </w:tc>
              <w:tc>
                <w:tcPr>
                  <w:tcW w:w="500"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w:t>
                  </w:r>
                </w:p>
              </w:tc>
              <w:tc>
                <w:tcPr>
                  <w:tcW w:w="455" w:type="pct"/>
                  <w:tcBorders>
                    <w:tl2br w:val="nil"/>
                    <w:tr2bl w:val="nil"/>
                  </w:tcBorders>
                  <w:vAlign w:val="center"/>
                </w:tcPr>
                <w:p>
                  <w:pPr>
                    <w:jc w:val="center"/>
                    <w:rPr>
                      <w:rFonts w:hint="eastAsia"/>
                      <w:color w:val="auto"/>
                      <w:szCs w:val="21"/>
                      <w:lang w:val="en-US" w:eastAsia="zh-CN"/>
                    </w:rPr>
                  </w:pPr>
                </w:p>
              </w:tc>
              <w:tc>
                <w:tcPr>
                  <w:tcW w:w="400" w:type="pct"/>
                  <w:tcBorders>
                    <w:tl2br w:val="nil"/>
                    <w:tr2bl w:val="nil"/>
                  </w:tcBorders>
                  <w:vAlign w:val="center"/>
                </w:tcPr>
                <w:p>
                  <w:pPr>
                    <w:jc w:val="center"/>
                    <w:rPr>
                      <w:rFonts w:hint="eastAsia"/>
                      <w:color w:val="auto"/>
                      <w:szCs w:val="21"/>
                      <w:lang w:val="en-US" w:eastAsia="zh-CN"/>
                    </w:rPr>
                  </w:pPr>
                </w:p>
              </w:tc>
              <w:tc>
                <w:tcPr>
                  <w:tcW w:w="596"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4</w:t>
                  </w:r>
                </w:p>
              </w:tc>
              <w:tc>
                <w:tcPr>
                  <w:tcW w:w="945" w:type="pct"/>
                  <w:vMerge w:val="continue"/>
                  <w:tcBorders>
                    <w:tl2br w:val="nil"/>
                    <w:tr2bl w:val="nil"/>
                  </w:tcBorders>
                  <w:vAlign w:val="center"/>
                </w:tcPr>
                <w:p>
                  <w:pPr>
                    <w:jc w:val="center"/>
                    <w:rPr>
                      <w:rFonts w:hint="eastAsia"/>
                      <w:color w:val="auto"/>
                      <w:szCs w:val="21"/>
                      <w:lang w:val="en-US" w:eastAsia="zh-CN"/>
                    </w:rPr>
                  </w:pPr>
                </w:p>
              </w:tc>
            </w:tr>
          </w:tbl>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②其他污染物</w:t>
            </w:r>
          </w:p>
          <w:p>
            <w:pPr>
              <w:pStyle w:val="1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根据《排污许可证申请与核发技术规范废弃资源加工工业》(HJ1034-2019)，结合本项目实际情况，本项目原料为回收的废旧瓶盖及废旧塑料编织袋，其主要成分为PE、PP，且本项目热熔工段温度控制在90~120℃，项目废气采用活性炭吸附+催化燃烧装置处理，</w:t>
            </w:r>
            <w:r>
              <w:rPr>
                <w:rFonts w:hint="eastAsia" w:ascii="Times New Roman" w:hAnsi="Times New Roman" w:eastAsia="宋体" w:cs="Times New Roman"/>
                <w:bCs/>
                <w:color w:val="auto"/>
                <w:sz w:val="24"/>
                <w:szCs w:val="24"/>
                <w:lang w:val="en-US" w:eastAsia="zh-CN"/>
              </w:rPr>
              <w:t>在贵金属催化剂的作用下于一个较低的温度进行无焰活性炭吸附+催化燃烧，将有机成分转化为无毒、无害的CO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和H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O</w:t>
            </w:r>
            <w:r>
              <w:rPr>
                <w:rFonts w:hint="eastAsia" w:cs="Times New Roman"/>
                <w:bCs/>
                <w:color w:val="auto"/>
                <w:sz w:val="24"/>
                <w:szCs w:val="24"/>
                <w:lang w:val="en-US" w:eastAsia="zh-CN"/>
              </w:rPr>
              <w:t>。</w:t>
            </w:r>
            <w:r>
              <w:rPr>
                <w:rFonts w:hint="eastAsia"/>
                <w:color w:val="auto"/>
                <w:sz w:val="24"/>
                <w:szCs w:val="24"/>
                <w:highlight w:val="none"/>
                <w:lang w:val="en-US" w:eastAsia="zh-CN"/>
              </w:rPr>
              <w:t>因此项目热熔工段及废气处理过程中不会产生二噁英类、</w:t>
            </w:r>
            <w:r>
              <w:rPr>
                <w:rFonts w:hint="eastAsia" w:cs="Times New Roman"/>
                <w:bCs/>
                <w:color w:val="auto"/>
                <w:sz w:val="24"/>
                <w:szCs w:val="24"/>
                <w:lang w:val="en-US" w:eastAsia="zh-CN"/>
              </w:rPr>
              <w:t>二氧化硫、氮氧化物及其他废气污染物。</w:t>
            </w:r>
          </w:p>
          <w:p>
            <w:pPr>
              <w:pStyle w:val="54"/>
              <w:bidi w:val="0"/>
              <w:rPr>
                <w:rFonts w:hint="eastAsia"/>
                <w:color w:val="auto"/>
                <w:lang w:val="en-US" w:eastAsia="zh-CN"/>
              </w:rPr>
            </w:pPr>
            <w:r>
              <w:rPr>
                <w:rFonts w:hint="eastAsia"/>
                <w:color w:val="auto"/>
                <w:lang w:val="en-US" w:eastAsia="zh-CN"/>
              </w:rPr>
              <w:t>（3）食堂油烟</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本项目劳动定员</w:t>
            </w:r>
            <w:r>
              <w:rPr>
                <w:rFonts w:hint="eastAsia" w:ascii="Times New Roman" w:hAnsi="Times New Roman" w:eastAsia="宋体" w:cs="Times New Roman"/>
                <w:bCs/>
                <w:color w:val="auto"/>
                <w:sz w:val="24"/>
                <w:szCs w:val="24"/>
                <w:lang w:val="en-US" w:eastAsia="zh-CN"/>
              </w:rPr>
              <w:t>24</w:t>
            </w:r>
            <w:r>
              <w:rPr>
                <w:rFonts w:hint="default" w:ascii="Times New Roman" w:hAnsi="Times New Roman" w:eastAsia="宋体" w:cs="Times New Roman"/>
                <w:bCs/>
                <w:color w:val="auto"/>
                <w:sz w:val="24"/>
                <w:szCs w:val="24"/>
                <w:lang w:val="en-US" w:eastAsia="zh-CN"/>
              </w:rPr>
              <w:t>人，生产期为2</w:t>
            </w:r>
            <w:r>
              <w:rPr>
                <w:rFonts w:hint="eastAsia"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val="en-US" w:eastAsia="zh-CN"/>
              </w:rPr>
              <w:t>0d，经类比调查，食用油消耗系数按5kg/（100人·d）计，则食用油消耗量为</w:t>
            </w:r>
            <w:r>
              <w:rPr>
                <w:rFonts w:hint="eastAsia" w:cs="Times New Roman"/>
                <w:bCs/>
                <w:color w:val="auto"/>
                <w:sz w:val="24"/>
                <w:szCs w:val="24"/>
                <w:lang w:val="en-US" w:eastAsia="zh-CN"/>
              </w:rPr>
              <w:t>252</w:t>
            </w:r>
            <w:r>
              <w:rPr>
                <w:rFonts w:hint="default" w:ascii="Times New Roman" w:hAnsi="Times New Roman" w:eastAsia="宋体" w:cs="Times New Roman"/>
                <w:bCs/>
                <w:color w:val="auto"/>
                <w:sz w:val="24"/>
                <w:szCs w:val="24"/>
                <w:lang w:val="en-US" w:eastAsia="zh-CN"/>
              </w:rPr>
              <w:t>kg/a（</w:t>
            </w:r>
            <w:r>
              <w:rPr>
                <w:rFonts w:hint="eastAsia" w:ascii="Times New Roman" w:hAnsi="Times New Roman" w:eastAsia="宋体" w:cs="Times New Roman"/>
                <w:bCs/>
                <w:color w:val="auto"/>
                <w:sz w:val="24"/>
                <w:szCs w:val="24"/>
                <w:lang w:val="en-US" w:eastAsia="zh-CN"/>
              </w:rPr>
              <w:t>1.2</w:t>
            </w:r>
            <w:r>
              <w:rPr>
                <w:rFonts w:hint="default" w:ascii="Times New Roman" w:hAnsi="Times New Roman" w:eastAsia="宋体" w:cs="Times New Roman"/>
                <w:bCs/>
                <w:color w:val="auto"/>
                <w:sz w:val="24"/>
                <w:szCs w:val="24"/>
                <w:lang w:val="en-US" w:eastAsia="zh-CN"/>
              </w:rPr>
              <w:t>kg/d）。不同的烧炸工况，油烟气中烟气浓度及挥发量均有所不同，油的挥发量占总耗油量的2%~4%之间</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本项目烹饪过程中的挥发量取4%，则油烟的产生量为</w:t>
            </w:r>
            <w:r>
              <w:rPr>
                <w:rFonts w:hint="eastAsia" w:ascii="Times New Roman" w:hAnsi="Times New Roman" w:eastAsia="宋体" w:cs="Times New Roman"/>
                <w:bCs/>
                <w:color w:val="auto"/>
                <w:sz w:val="24"/>
                <w:szCs w:val="24"/>
                <w:lang w:val="en-US" w:eastAsia="zh-CN"/>
              </w:rPr>
              <w:t>10.08</w:t>
            </w:r>
            <w:r>
              <w:rPr>
                <w:rFonts w:hint="default" w:ascii="Times New Roman" w:hAnsi="Times New Roman" w:eastAsia="宋体" w:cs="Times New Roman"/>
                <w:bCs/>
                <w:color w:val="auto"/>
                <w:sz w:val="24"/>
                <w:szCs w:val="24"/>
                <w:lang w:val="en-US" w:eastAsia="zh-CN"/>
              </w:rPr>
              <w:t>kg/a（</w:t>
            </w:r>
            <w:r>
              <w:rPr>
                <w:rFonts w:hint="eastAsia" w:ascii="Times New Roman" w:hAnsi="Times New Roman" w:eastAsia="宋体" w:cs="Times New Roman"/>
                <w:bCs/>
                <w:color w:val="auto"/>
                <w:sz w:val="24"/>
                <w:szCs w:val="24"/>
                <w:lang w:val="en-US" w:eastAsia="zh-CN"/>
              </w:rPr>
              <w:t>0.048</w:t>
            </w:r>
            <w:r>
              <w:rPr>
                <w:rFonts w:hint="default" w:ascii="Times New Roman" w:hAnsi="Times New Roman" w:eastAsia="宋体" w:cs="Times New Roman"/>
                <w:bCs/>
                <w:color w:val="auto"/>
                <w:sz w:val="24"/>
                <w:szCs w:val="24"/>
                <w:lang w:val="en-US" w:eastAsia="zh-CN"/>
              </w:rPr>
              <w:t>kg/d），通过集气罩收集（收集效率≥90%），则油烟的收集量为</w:t>
            </w:r>
            <w:r>
              <w:rPr>
                <w:rFonts w:hint="eastAsia" w:ascii="Times New Roman" w:hAnsi="Times New Roman" w:eastAsia="宋体" w:cs="Times New Roman"/>
                <w:bCs/>
                <w:color w:val="auto"/>
                <w:sz w:val="24"/>
                <w:szCs w:val="24"/>
                <w:lang w:val="en-US" w:eastAsia="zh-CN"/>
              </w:rPr>
              <w:t>9.072</w:t>
            </w:r>
            <w:r>
              <w:rPr>
                <w:rFonts w:hint="default" w:ascii="Times New Roman" w:hAnsi="Times New Roman" w:eastAsia="宋体" w:cs="Times New Roman"/>
                <w:bCs/>
                <w:color w:val="auto"/>
                <w:sz w:val="24"/>
                <w:szCs w:val="24"/>
                <w:lang w:val="en-US" w:eastAsia="zh-CN"/>
              </w:rPr>
              <w:t>kg/a，按日高峰5小时计，则高峰期油烟的排放速率为</w:t>
            </w:r>
            <w:r>
              <w:rPr>
                <w:rFonts w:hint="eastAsia" w:ascii="Times New Roman" w:hAnsi="Times New Roman" w:eastAsia="宋体" w:cs="Times New Roman"/>
                <w:bCs/>
                <w:color w:val="auto"/>
                <w:sz w:val="24"/>
                <w:szCs w:val="24"/>
                <w:lang w:val="en-US" w:eastAsia="zh-CN"/>
              </w:rPr>
              <w:t>0.009</w:t>
            </w:r>
            <w:r>
              <w:rPr>
                <w:rFonts w:hint="default" w:ascii="Times New Roman" w:hAnsi="Times New Roman" w:eastAsia="宋体" w:cs="Times New Roman"/>
                <w:bCs/>
                <w:color w:val="auto"/>
                <w:sz w:val="24"/>
                <w:szCs w:val="24"/>
                <w:lang w:val="en-US" w:eastAsia="zh-CN"/>
              </w:rPr>
              <w:t>kg/h，油烟产生浓度为</w:t>
            </w:r>
            <w:r>
              <w:rPr>
                <w:rFonts w:hint="eastAsia" w:ascii="Times New Roman" w:hAnsi="Times New Roman" w:eastAsia="宋体" w:cs="Times New Roman"/>
                <w:bCs/>
                <w:color w:val="auto"/>
                <w:sz w:val="24"/>
                <w:szCs w:val="24"/>
                <w:lang w:val="en-US" w:eastAsia="zh-CN"/>
              </w:rPr>
              <w:t>1.728</w:t>
            </w:r>
            <w:r>
              <w:rPr>
                <w:rFonts w:hint="default" w:ascii="Times New Roman" w:hAnsi="Times New Roman" w:eastAsia="宋体" w:cs="Times New Roman"/>
                <w:bCs/>
                <w:color w:val="auto"/>
                <w:sz w:val="24"/>
                <w:szCs w:val="24"/>
                <w:lang w:val="en-US" w:eastAsia="zh-CN"/>
              </w:rPr>
              <w:t>mg/m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（按风量5000m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/h计），</w:t>
            </w:r>
            <w:r>
              <w:rPr>
                <w:rFonts w:hint="eastAsia" w:ascii="Times New Roman" w:hAnsi="Times New Roman" w:eastAsia="宋体" w:cs="Times New Roman"/>
                <w:bCs/>
                <w:color w:val="auto"/>
                <w:sz w:val="24"/>
                <w:szCs w:val="24"/>
                <w:lang w:val="en-US" w:eastAsia="zh-CN"/>
              </w:rPr>
              <w:t>满足</w:t>
            </w:r>
            <w:r>
              <w:rPr>
                <w:rFonts w:hint="default" w:ascii="Times New Roman" w:hAnsi="Times New Roman" w:eastAsia="宋体" w:cs="Times New Roman"/>
                <w:bCs/>
                <w:color w:val="auto"/>
                <w:sz w:val="24"/>
                <w:szCs w:val="24"/>
                <w:lang w:val="en-US" w:eastAsia="zh-CN"/>
              </w:rPr>
              <w:t>《饮食业油烟排放标准（试行）》（GB 18483-2001）中油烟最高允许排放浓度2mg/m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食堂油烟从专用烟道引至屋顶排出，</w:t>
            </w:r>
            <w:r>
              <w:rPr>
                <w:rFonts w:hint="default" w:ascii="Times New Roman" w:hAnsi="Times New Roman" w:eastAsia="宋体" w:cs="Times New Roman"/>
                <w:bCs/>
                <w:color w:val="auto"/>
                <w:sz w:val="24"/>
                <w:szCs w:val="24"/>
                <w:lang w:val="en-US" w:eastAsia="zh-CN"/>
              </w:rPr>
              <w:t>则油烟的排放量为</w:t>
            </w:r>
            <w:r>
              <w:rPr>
                <w:rFonts w:hint="eastAsia" w:ascii="Times New Roman" w:hAnsi="Times New Roman" w:eastAsia="宋体" w:cs="Times New Roman"/>
                <w:bCs/>
                <w:color w:val="auto"/>
                <w:sz w:val="24"/>
                <w:szCs w:val="24"/>
                <w:lang w:val="en-US" w:eastAsia="zh-CN"/>
              </w:rPr>
              <w:t>9.072</w:t>
            </w:r>
            <w:r>
              <w:rPr>
                <w:rFonts w:hint="default" w:ascii="Times New Roman" w:hAnsi="Times New Roman" w:eastAsia="宋体" w:cs="Times New Roman"/>
                <w:bCs/>
                <w:color w:val="auto"/>
                <w:sz w:val="24"/>
                <w:szCs w:val="24"/>
                <w:lang w:val="en-US" w:eastAsia="zh-CN"/>
              </w:rPr>
              <w:t>kg/a，高峰期油烟排放浓度为</w:t>
            </w:r>
            <w:r>
              <w:rPr>
                <w:rFonts w:hint="eastAsia" w:ascii="Times New Roman" w:hAnsi="Times New Roman" w:eastAsia="宋体" w:cs="Times New Roman"/>
                <w:bCs/>
                <w:color w:val="auto"/>
                <w:sz w:val="24"/>
                <w:szCs w:val="24"/>
                <w:lang w:val="en-US" w:eastAsia="zh-CN"/>
              </w:rPr>
              <w:t>1.728</w:t>
            </w:r>
            <w:r>
              <w:rPr>
                <w:rFonts w:hint="default" w:ascii="Times New Roman" w:hAnsi="Times New Roman" w:eastAsia="宋体" w:cs="Times New Roman"/>
                <w:bCs/>
                <w:color w:val="auto"/>
                <w:sz w:val="24"/>
                <w:szCs w:val="24"/>
                <w:lang w:val="en-US" w:eastAsia="zh-CN"/>
              </w:rPr>
              <w:t>mg/m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lang w:val="en-US" w:eastAsia="zh-CN"/>
              </w:rPr>
              <w:t>，排放速率为</w:t>
            </w:r>
            <w:r>
              <w:rPr>
                <w:rFonts w:hint="eastAsia" w:ascii="Times New Roman" w:hAnsi="Times New Roman" w:eastAsia="宋体" w:cs="Times New Roman"/>
                <w:bCs/>
                <w:color w:val="auto"/>
                <w:sz w:val="24"/>
                <w:szCs w:val="24"/>
                <w:lang w:val="en-US" w:eastAsia="zh-CN"/>
              </w:rPr>
              <w:t>0.009</w:t>
            </w:r>
            <w:r>
              <w:rPr>
                <w:rFonts w:hint="default" w:ascii="Times New Roman" w:hAnsi="Times New Roman" w:eastAsia="宋体" w:cs="Times New Roman"/>
                <w:bCs/>
                <w:color w:val="auto"/>
                <w:sz w:val="24"/>
                <w:szCs w:val="24"/>
                <w:lang w:val="en-US" w:eastAsia="zh-CN"/>
              </w:rPr>
              <w:t>kg/h。</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本项目大气污染物排放量核算见下表。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rPr>
            </w:pPr>
            <w:r>
              <w:rPr>
                <w:b/>
                <w:bCs/>
                <w:color w:val="auto"/>
              </w:rPr>
              <w:t>表4-</w:t>
            </w:r>
            <w:r>
              <w:rPr>
                <w:rFonts w:hint="eastAsia"/>
                <w:b/>
                <w:bCs/>
                <w:color w:val="auto"/>
                <w:lang w:val="en-US" w:eastAsia="zh-CN"/>
              </w:rPr>
              <w:t>3</w:t>
            </w:r>
            <w:r>
              <w:rPr>
                <w:b/>
                <w:bCs/>
                <w:color w:val="auto"/>
              </w:rPr>
              <w:t xml:space="preserve">   </w:t>
            </w:r>
            <w:r>
              <w:rPr>
                <w:rFonts w:hint="eastAsia"/>
                <w:b/>
                <w:bCs/>
                <w:color w:val="auto"/>
                <w:lang w:val="en-US" w:eastAsia="zh-CN"/>
              </w:rPr>
              <w:t xml:space="preserve"> </w:t>
            </w:r>
            <w:r>
              <w:rPr>
                <w:b/>
                <w:bCs/>
                <w:color w:val="auto"/>
              </w:rPr>
              <w:t>大气污染物有组织排放量核算表</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406"/>
              <w:gridCol w:w="1389"/>
              <w:gridCol w:w="1440"/>
              <w:gridCol w:w="1414"/>
              <w:gridCol w:w="15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05" w:type="pct"/>
                  <w:tcBorders>
                    <w:tl2br w:val="nil"/>
                    <w:tr2bl w:val="nil"/>
                  </w:tcBorders>
                  <w:vAlign w:val="center"/>
                </w:tcPr>
                <w:p>
                  <w:pPr>
                    <w:adjustRightInd w:val="0"/>
                    <w:snapToGrid w:val="0"/>
                    <w:jc w:val="center"/>
                    <w:rPr>
                      <w:color w:val="auto"/>
                      <w:kern w:val="0"/>
                      <w:szCs w:val="21"/>
                    </w:rPr>
                  </w:pPr>
                  <w:r>
                    <w:rPr>
                      <w:color w:val="auto"/>
                      <w:kern w:val="0"/>
                      <w:szCs w:val="21"/>
                    </w:rPr>
                    <w:t>序号</w:t>
                  </w:r>
                </w:p>
              </w:tc>
              <w:tc>
                <w:tcPr>
                  <w:tcW w:w="834" w:type="pct"/>
                  <w:tcBorders>
                    <w:tl2br w:val="nil"/>
                    <w:tr2bl w:val="nil"/>
                  </w:tcBorders>
                  <w:vAlign w:val="center"/>
                </w:tcPr>
                <w:p>
                  <w:pPr>
                    <w:adjustRightInd w:val="0"/>
                    <w:snapToGrid w:val="0"/>
                    <w:jc w:val="center"/>
                    <w:rPr>
                      <w:color w:val="auto"/>
                      <w:kern w:val="0"/>
                      <w:szCs w:val="21"/>
                    </w:rPr>
                  </w:pPr>
                  <w:r>
                    <w:rPr>
                      <w:color w:val="auto"/>
                      <w:kern w:val="0"/>
                      <w:szCs w:val="21"/>
                    </w:rPr>
                    <w:t>排放口编号</w:t>
                  </w:r>
                </w:p>
              </w:tc>
              <w:tc>
                <w:tcPr>
                  <w:tcW w:w="825" w:type="pct"/>
                  <w:tcBorders>
                    <w:tl2br w:val="nil"/>
                    <w:tr2bl w:val="nil"/>
                  </w:tcBorders>
                  <w:vAlign w:val="center"/>
                </w:tcPr>
                <w:p>
                  <w:pPr>
                    <w:adjustRightInd w:val="0"/>
                    <w:snapToGrid w:val="0"/>
                    <w:jc w:val="center"/>
                    <w:rPr>
                      <w:color w:val="auto"/>
                      <w:kern w:val="0"/>
                      <w:szCs w:val="21"/>
                    </w:rPr>
                  </w:pPr>
                  <w:r>
                    <w:rPr>
                      <w:color w:val="auto"/>
                      <w:kern w:val="0"/>
                      <w:szCs w:val="21"/>
                    </w:rPr>
                    <w:t>污染物</w:t>
                  </w:r>
                </w:p>
              </w:tc>
              <w:tc>
                <w:tcPr>
                  <w:tcW w:w="855" w:type="pct"/>
                  <w:tcBorders>
                    <w:tl2br w:val="nil"/>
                    <w:tr2bl w:val="nil"/>
                  </w:tcBorders>
                  <w:vAlign w:val="center"/>
                </w:tcPr>
                <w:p>
                  <w:pPr>
                    <w:adjustRightInd w:val="0"/>
                    <w:snapToGrid w:val="0"/>
                    <w:jc w:val="center"/>
                    <w:rPr>
                      <w:color w:val="auto"/>
                      <w:kern w:val="0"/>
                      <w:szCs w:val="21"/>
                    </w:rPr>
                  </w:pPr>
                  <w:r>
                    <w:rPr>
                      <w:color w:val="auto"/>
                      <w:kern w:val="0"/>
                      <w:szCs w:val="21"/>
                    </w:rPr>
                    <w:t>核算排放浓度/</w:t>
                  </w:r>
                  <w:r>
                    <w:rPr>
                      <w:color w:val="auto"/>
                      <w:spacing w:val="-11"/>
                      <w:kern w:val="0"/>
                      <w:szCs w:val="21"/>
                    </w:rPr>
                    <w:t>（mg/m</w:t>
                  </w:r>
                  <w:r>
                    <w:rPr>
                      <w:color w:val="auto"/>
                      <w:spacing w:val="-11"/>
                      <w:kern w:val="0"/>
                      <w:szCs w:val="21"/>
                      <w:vertAlign w:val="superscript"/>
                    </w:rPr>
                    <w:t>3</w:t>
                  </w:r>
                  <w:r>
                    <w:rPr>
                      <w:color w:val="auto"/>
                      <w:spacing w:val="-11"/>
                      <w:kern w:val="0"/>
                      <w:szCs w:val="21"/>
                    </w:rPr>
                    <w:t>）</w:t>
                  </w:r>
                </w:p>
              </w:tc>
              <w:tc>
                <w:tcPr>
                  <w:tcW w:w="840" w:type="pct"/>
                  <w:tcBorders>
                    <w:tl2br w:val="nil"/>
                    <w:tr2bl w:val="nil"/>
                  </w:tcBorders>
                  <w:vAlign w:val="center"/>
                </w:tcPr>
                <w:p>
                  <w:pPr>
                    <w:adjustRightInd w:val="0"/>
                    <w:snapToGrid w:val="0"/>
                    <w:jc w:val="center"/>
                    <w:rPr>
                      <w:color w:val="auto"/>
                      <w:kern w:val="0"/>
                      <w:szCs w:val="21"/>
                    </w:rPr>
                  </w:pPr>
                  <w:r>
                    <w:rPr>
                      <w:color w:val="auto"/>
                      <w:spacing w:val="-11"/>
                      <w:kern w:val="0"/>
                      <w:szCs w:val="21"/>
                    </w:rPr>
                    <w:t>核算排放速率/（kg/h）</w:t>
                  </w:r>
                </w:p>
              </w:tc>
              <w:tc>
                <w:tcPr>
                  <w:tcW w:w="938" w:type="pct"/>
                  <w:tcBorders>
                    <w:tl2br w:val="nil"/>
                    <w:tr2bl w:val="nil"/>
                  </w:tcBorders>
                  <w:vAlign w:val="center"/>
                </w:tcPr>
                <w:p>
                  <w:pPr>
                    <w:adjustRightInd w:val="0"/>
                    <w:snapToGrid w:val="0"/>
                    <w:jc w:val="center"/>
                    <w:rPr>
                      <w:color w:val="auto"/>
                      <w:kern w:val="0"/>
                      <w:szCs w:val="21"/>
                    </w:rPr>
                  </w:pPr>
                  <w:r>
                    <w:rPr>
                      <w:color w:val="auto"/>
                      <w:kern w:val="0"/>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00" w:type="pct"/>
                  <w:gridSpan w:val="6"/>
                  <w:tcBorders>
                    <w:tl2br w:val="nil"/>
                    <w:tr2bl w:val="nil"/>
                  </w:tcBorders>
                  <w:vAlign w:val="center"/>
                </w:tcPr>
                <w:p>
                  <w:pPr>
                    <w:adjustRightInd w:val="0"/>
                    <w:snapToGrid w:val="0"/>
                    <w:jc w:val="center"/>
                    <w:rPr>
                      <w:color w:val="auto"/>
                      <w:kern w:val="0"/>
                      <w:szCs w:val="21"/>
                    </w:rPr>
                  </w:pPr>
                  <w:r>
                    <w:rPr>
                      <w:color w:val="auto"/>
                      <w:kern w:val="0"/>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05" w:type="pct"/>
                  <w:tcBorders>
                    <w:tl2br w:val="nil"/>
                    <w:tr2bl w:val="nil"/>
                  </w:tcBorders>
                  <w:vAlign w:val="center"/>
                </w:tcPr>
                <w:p>
                  <w:pPr>
                    <w:adjustRightInd w:val="0"/>
                    <w:snapToGrid w:val="0"/>
                    <w:jc w:val="center"/>
                    <w:rPr>
                      <w:color w:val="auto"/>
                      <w:kern w:val="0"/>
                      <w:szCs w:val="21"/>
                    </w:rPr>
                  </w:pPr>
                  <w:r>
                    <w:rPr>
                      <w:color w:val="auto"/>
                      <w:kern w:val="0"/>
                      <w:szCs w:val="21"/>
                    </w:rPr>
                    <w:t>1</w:t>
                  </w:r>
                </w:p>
              </w:tc>
              <w:tc>
                <w:tcPr>
                  <w:tcW w:w="834" w:type="pct"/>
                  <w:tcBorders>
                    <w:tl2br w:val="nil"/>
                    <w:tr2bl w:val="nil"/>
                  </w:tcBorders>
                  <w:vAlign w:val="center"/>
                </w:tcPr>
                <w:p>
                  <w:pPr>
                    <w:widowControl/>
                    <w:jc w:val="center"/>
                    <w:textAlignment w:val="center"/>
                    <w:rPr>
                      <w:color w:val="auto"/>
                      <w:kern w:val="0"/>
                      <w:szCs w:val="21"/>
                    </w:rPr>
                  </w:pPr>
                  <w:r>
                    <w:rPr>
                      <w:color w:val="auto"/>
                      <w:szCs w:val="21"/>
                    </w:rPr>
                    <w:t>DA001</w:t>
                  </w:r>
                </w:p>
              </w:tc>
              <w:tc>
                <w:tcPr>
                  <w:tcW w:w="825"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855"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11.071</w:t>
                  </w:r>
                </w:p>
              </w:tc>
              <w:tc>
                <w:tcPr>
                  <w:tcW w:w="840"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0.055</w:t>
                  </w:r>
                </w:p>
              </w:tc>
              <w:tc>
                <w:tcPr>
                  <w:tcW w:w="938"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szCs w:val="21"/>
                      <w:lang w:val="en-US" w:eastAsia="zh-CN"/>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05"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2</w:t>
                  </w:r>
                </w:p>
              </w:tc>
              <w:tc>
                <w:tcPr>
                  <w:tcW w:w="834" w:type="pct"/>
                  <w:tcBorders>
                    <w:tl2br w:val="nil"/>
                    <w:tr2bl w:val="nil"/>
                  </w:tcBorders>
                  <w:vAlign w:val="center"/>
                </w:tcPr>
                <w:p>
                  <w:pPr>
                    <w:widowControl/>
                    <w:jc w:val="center"/>
                    <w:textAlignment w:val="center"/>
                    <w:rPr>
                      <w:color w:val="auto"/>
                      <w:szCs w:val="21"/>
                    </w:rPr>
                  </w:pPr>
                  <w:r>
                    <w:rPr>
                      <w:rFonts w:hint="eastAsia"/>
                      <w:color w:val="auto"/>
                      <w:szCs w:val="21"/>
                    </w:rPr>
                    <w:t>DA002</w:t>
                  </w:r>
                </w:p>
              </w:tc>
              <w:tc>
                <w:tcPr>
                  <w:tcW w:w="825" w:type="pct"/>
                  <w:tcBorders>
                    <w:tl2br w:val="nil"/>
                    <w:tr2bl w:val="nil"/>
                  </w:tcBorders>
                  <w:vAlign w:val="center"/>
                </w:tcPr>
                <w:p>
                  <w:pPr>
                    <w:adjustRightInd w:val="0"/>
                    <w:snapToGrid w:val="0"/>
                    <w:jc w:val="center"/>
                    <w:rPr>
                      <w:color w:val="auto"/>
                      <w:kern w:val="0"/>
                      <w:szCs w:val="21"/>
                    </w:rPr>
                  </w:pPr>
                  <w:r>
                    <w:rPr>
                      <w:rFonts w:hint="eastAsia"/>
                      <w:color w:val="auto"/>
                      <w:kern w:val="0"/>
                      <w:szCs w:val="21"/>
                      <w:lang w:val="en-US" w:eastAsia="zh-CN"/>
                    </w:rPr>
                    <w:t>非甲烷总烃</w:t>
                  </w:r>
                </w:p>
              </w:tc>
              <w:tc>
                <w:tcPr>
                  <w:tcW w:w="855"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30.952</w:t>
                  </w:r>
                </w:p>
              </w:tc>
              <w:tc>
                <w:tcPr>
                  <w:tcW w:w="840"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0.155</w:t>
                  </w:r>
                </w:p>
              </w:tc>
              <w:tc>
                <w:tcPr>
                  <w:tcW w:w="938"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szCs w:val="21"/>
                      <w:lang w:val="en-US" w:eastAsia="zh-CN"/>
                    </w:rPr>
                    <w:t>0.260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05"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3</w:t>
                  </w:r>
                </w:p>
              </w:tc>
              <w:tc>
                <w:tcPr>
                  <w:tcW w:w="834" w:type="pct"/>
                  <w:tcBorders>
                    <w:tl2br w:val="nil"/>
                    <w:tr2bl w:val="nil"/>
                  </w:tcBorders>
                  <w:vAlign w:val="center"/>
                </w:tcPr>
                <w:p>
                  <w:pPr>
                    <w:widowControl/>
                    <w:jc w:val="center"/>
                    <w:textAlignment w:val="center"/>
                    <w:rPr>
                      <w:rFonts w:hint="default"/>
                      <w:color w:val="auto"/>
                      <w:szCs w:val="21"/>
                      <w:lang w:val="en-US" w:eastAsia="zh-CN"/>
                    </w:rPr>
                  </w:pPr>
                  <w:r>
                    <w:rPr>
                      <w:rFonts w:hint="eastAsia"/>
                      <w:color w:val="auto"/>
                      <w:szCs w:val="21"/>
                      <w:lang w:val="en-US" w:eastAsia="zh-CN"/>
                    </w:rPr>
                    <w:t>食堂油烟</w:t>
                  </w:r>
                </w:p>
              </w:tc>
              <w:tc>
                <w:tcPr>
                  <w:tcW w:w="825"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油烟</w:t>
                  </w:r>
                </w:p>
              </w:tc>
              <w:tc>
                <w:tcPr>
                  <w:tcW w:w="855"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1.728</w:t>
                  </w:r>
                </w:p>
              </w:tc>
              <w:tc>
                <w:tcPr>
                  <w:tcW w:w="840"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0.009</w:t>
                  </w:r>
                </w:p>
              </w:tc>
              <w:tc>
                <w:tcPr>
                  <w:tcW w:w="938" w:type="pct"/>
                  <w:tcBorders>
                    <w:tl2br w:val="nil"/>
                    <w:tr2bl w:val="nil"/>
                  </w:tcBorders>
                  <w:vAlign w:val="center"/>
                </w:tcPr>
                <w:p>
                  <w:pPr>
                    <w:adjustRightInd w:val="0"/>
                    <w:snapToGrid w:val="0"/>
                    <w:jc w:val="center"/>
                    <w:rPr>
                      <w:rFonts w:hint="default"/>
                      <w:color w:val="auto"/>
                      <w:szCs w:val="21"/>
                      <w:vertAlign w:val="superscript"/>
                      <w:lang w:val="en-US" w:eastAsia="zh-CN"/>
                    </w:rPr>
                  </w:pPr>
                  <w:r>
                    <w:rPr>
                      <w:rFonts w:hint="eastAsia"/>
                      <w:color w:val="auto"/>
                      <w:szCs w:val="21"/>
                      <w:lang w:val="en-US" w:eastAsia="zh-CN"/>
                    </w:rPr>
                    <w:t>9.072kg/a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40" w:type="pct"/>
                  <w:gridSpan w:val="2"/>
                  <w:vMerge w:val="restart"/>
                  <w:tcBorders>
                    <w:tl2br w:val="nil"/>
                    <w:tr2bl w:val="nil"/>
                  </w:tcBorders>
                  <w:vAlign w:val="center"/>
                </w:tcPr>
                <w:p>
                  <w:pPr>
                    <w:adjustRightInd w:val="0"/>
                    <w:snapToGrid w:val="0"/>
                    <w:jc w:val="center"/>
                    <w:rPr>
                      <w:color w:val="auto"/>
                      <w:kern w:val="0"/>
                      <w:szCs w:val="21"/>
                    </w:rPr>
                  </w:pPr>
                  <w:r>
                    <w:rPr>
                      <w:color w:val="auto"/>
                      <w:kern w:val="0"/>
                      <w:szCs w:val="21"/>
                    </w:rPr>
                    <w:t>一般排放口合计</w:t>
                  </w:r>
                </w:p>
              </w:tc>
              <w:tc>
                <w:tcPr>
                  <w:tcW w:w="2520" w:type="pct"/>
                  <w:gridSpan w:val="3"/>
                  <w:tcBorders>
                    <w:tl2br w:val="nil"/>
                    <w:tr2bl w:val="nil"/>
                  </w:tcBorders>
                  <w:vAlign w:val="center"/>
                </w:tcPr>
                <w:p>
                  <w:pPr>
                    <w:adjustRightInd w:val="0"/>
                    <w:snapToGrid w:val="0"/>
                    <w:jc w:val="center"/>
                    <w:rPr>
                      <w:color w:val="auto"/>
                      <w:kern w:val="0"/>
                      <w:szCs w:val="21"/>
                    </w:rPr>
                  </w:pPr>
                  <w:r>
                    <w:rPr>
                      <w:rFonts w:hint="eastAsia"/>
                      <w:color w:val="auto"/>
                      <w:kern w:val="0"/>
                      <w:szCs w:val="21"/>
                      <w:lang w:val="en-US" w:eastAsia="zh-CN"/>
                    </w:rPr>
                    <w:t>颗粒物</w:t>
                  </w:r>
                </w:p>
              </w:tc>
              <w:tc>
                <w:tcPr>
                  <w:tcW w:w="938"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40" w:type="pct"/>
                  <w:gridSpan w:val="2"/>
                  <w:vMerge w:val="continue"/>
                  <w:tcBorders>
                    <w:tl2br w:val="nil"/>
                    <w:tr2bl w:val="nil"/>
                  </w:tcBorders>
                  <w:vAlign w:val="center"/>
                </w:tcPr>
                <w:p>
                  <w:pPr>
                    <w:adjustRightInd w:val="0"/>
                    <w:snapToGrid w:val="0"/>
                    <w:jc w:val="center"/>
                    <w:rPr>
                      <w:color w:val="auto"/>
                      <w:kern w:val="0"/>
                      <w:szCs w:val="21"/>
                    </w:rPr>
                  </w:pPr>
                </w:p>
              </w:tc>
              <w:tc>
                <w:tcPr>
                  <w:tcW w:w="2520" w:type="pct"/>
                  <w:gridSpan w:val="3"/>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非甲烷总烃</w:t>
                  </w:r>
                </w:p>
              </w:tc>
              <w:tc>
                <w:tcPr>
                  <w:tcW w:w="938"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0.260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000" w:type="pct"/>
                  <w:gridSpan w:val="6"/>
                  <w:tcBorders>
                    <w:tl2br w:val="nil"/>
                    <w:tr2bl w:val="nil"/>
                  </w:tcBorders>
                  <w:vAlign w:val="center"/>
                </w:tcPr>
                <w:p>
                  <w:pPr>
                    <w:adjustRightInd w:val="0"/>
                    <w:snapToGrid w:val="0"/>
                    <w:jc w:val="center"/>
                    <w:rPr>
                      <w:color w:val="auto"/>
                      <w:kern w:val="0"/>
                      <w:szCs w:val="21"/>
                    </w:rPr>
                  </w:pPr>
                  <w:r>
                    <w:rPr>
                      <w:color w:val="auto"/>
                      <w:kern w:val="0"/>
                      <w:szCs w:val="21"/>
                    </w:rPr>
                    <w:t>有组织排放总计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40" w:type="pct"/>
                  <w:gridSpan w:val="2"/>
                  <w:vMerge w:val="restart"/>
                  <w:tcBorders>
                    <w:tl2br w:val="nil"/>
                    <w:tr2bl w:val="nil"/>
                  </w:tcBorders>
                  <w:vAlign w:val="center"/>
                </w:tcPr>
                <w:p>
                  <w:pPr>
                    <w:adjustRightInd w:val="0"/>
                    <w:snapToGrid w:val="0"/>
                    <w:jc w:val="center"/>
                    <w:rPr>
                      <w:color w:val="auto"/>
                      <w:kern w:val="0"/>
                      <w:szCs w:val="21"/>
                    </w:rPr>
                  </w:pPr>
                  <w:r>
                    <w:rPr>
                      <w:color w:val="auto"/>
                      <w:kern w:val="0"/>
                      <w:szCs w:val="21"/>
                    </w:rPr>
                    <w:t>有组织排放总计</w:t>
                  </w:r>
                </w:p>
              </w:tc>
              <w:tc>
                <w:tcPr>
                  <w:tcW w:w="2520" w:type="pct"/>
                  <w:gridSpan w:val="3"/>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颗粒物</w:t>
                  </w:r>
                </w:p>
              </w:tc>
              <w:tc>
                <w:tcPr>
                  <w:tcW w:w="938"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40" w:type="pct"/>
                  <w:gridSpan w:val="2"/>
                  <w:vMerge w:val="continue"/>
                  <w:tcBorders>
                    <w:tl2br w:val="nil"/>
                    <w:tr2bl w:val="nil"/>
                  </w:tcBorders>
                  <w:vAlign w:val="center"/>
                </w:tcPr>
                <w:p>
                  <w:pPr>
                    <w:adjustRightInd w:val="0"/>
                    <w:snapToGrid w:val="0"/>
                    <w:jc w:val="center"/>
                    <w:rPr>
                      <w:color w:val="auto"/>
                      <w:kern w:val="0"/>
                      <w:szCs w:val="21"/>
                    </w:rPr>
                  </w:pPr>
                </w:p>
              </w:tc>
              <w:tc>
                <w:tcPr>
                  <w:tcW w:w="2520" w:type="pct"/>
                  <w:gridSpan w:val="3"/>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非甲烷总烃</w:t>
                  </w:r>
                </w:p>
              </w:tc>
              <w:tc>
                <w:tcPr>
                  <w:tcW w:w="938"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0.260</w:t>
                  </w:r>
                </w:p>
              </w:tc>
            </w:tr>
          </w:tbl>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rPr>
            </w:pPr>
            <w:r>
              <w:rPr>
                <w:b/>
                <w:bCs/>
                <w:color w:val="auto"/>
              </w:rPr>
              <w:t>表4-</w:t>
            </w:r>
            <w:r>
              <w:rPr>
                <w:rFonts w:hint="eastAsia"/>
                <w:b/>
                <w:bCs/>
                <w:color w:val="auto"/>
                <w:lang w:val="en-US" w:eastAsia="zh-CN"/>
              </w:rPr>
              <w:t>4</w:t>
            </w:r>
            <w:r>
              <w:rPr>
                <w:b/>
                <w:bCs/>
                <w:color w:val="auto"/>
              </w:rPr>
              <w:t xml:space="preserve">   </w:t>
            </w:r>
            <w:r>
              <w:rPr>
                <w:rFonts w:hint="eastAsia"/>
                <w:b/>
                <w:bCs/>
                <w:color w:val="auto"/>
                <w:lang w:val="en-US" w:eastAsia="zh-CN"/>
              </w:rPr>
              <w:t xml:space="preserve"> </w:t>
            </w:r>
            <w:r>
              <w:rPr>
                <w:b/>
                <w:bCs/>
                <w:color w:val="auto"/>
              </w:rPr>
              <w:t>大气污染物无组织排放量核算表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
              <w:gridCol w:w="689"/>
              <w:gridCol w:w="1175"/>
              <w:gridCol w:w="716"/>
              <w:gridCol w:w="1030"/>
              <w:gridCol w:w="2123"/>
              <w:gridCol w:w="1120"/>
              <w:gridCol w:w="1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1" w:type="pct"/>
                  <w:tcBorders>
                    <w:tl2br w:val="nil"/>
                    <w:tr2bl w:val="nil"/>
                  </w:tcBorders>
                  <w:vAlign w:val="center"/>
                </w:tcPr>
                <w:p>
                  <w:pPr>
                    <w:adjustRightInd w:val="0"/>
                    <w:snapToGrid w:val="0"/>
                    <w:jc w:val="center"/>
                    <w:rPr>
                      <w:color w:val="auto"/>
                      <w:kern w:val="0"/>
                      <w:szCs w:val="21"/>
                    </w:rPr>
                  </w:pPr>
                  <w:r>
                    <w:rPr>
                      <w:color w:val="auto"/>
                      <w:kern w:val="0"/>
                      <w:szCs w:val="21"/>
                    </w:rPr>
                    <w:t>序号</w:t>
                  </w:r>
                </w:p>
              </w:tc>
              <w:tc>
                <w:tcPr>
                  <w:tcW w:w="409" w:type="pct"/>
                  <w:tcBorders>
                    <w:tl2br w:val="nil"/>
                    <w:tr2bl w:val="nil"/>
                  </w:tcBorders>
                  <w:vAlign w:val="center"/>
                </w:tcPr>
                <w:p>
                  <w:pPr>
                    <w:adjustRightInd w:val="0"/>
                    <w:snapToGrid w:val="0"/>
                    <w:jc w:val="center"/>
                    <w:rPr>
                      <w:color w:val="auto"/>
                      <w:kern w:val="0"/>
                      <w:szCs w:val="21"/>
                    </w:rPr>
                  </w:pPr>
                  <w:r>
                    <w:rPr>
                      <w:color w:val="auto"/>
                      <w:kern w:val="0"/>
                      <w:szCs w:val="21"/>
                    </w:rPr>
                    <w:t>排放口编号</w:t>
                  </w:r>
                </w:p>
              </w:tc>
              <w:tc>
                <w:tcPr>
                  <w:tcW w:w="698" w:type="pct"/>
                  <w:tcBorders>
                    <w:tl2br w:val="nil"/>
                    <w:tr2bl w:val="nil"/>
                  </w:tcBorders>
                  <w:vAlign w:val="center"/>
                </w:tcPr>
                <w:p>
                  <w:pPr>
                    <w:adjustRightInd w:val="0"/>
                    <w:snapToGrid w:val="0"/>
                    <w:jc w:val="center"/>
                    <w:rPr>
                      <w:color w:val="auto"/>
                      <w:kern w:val="0"/>
                      <w:szCs w:val="21"/>
                    </w:rPr>
                  </w:pPr>
                  <w:r>
                    <w:rPr>
                      <w:color w:val="auto"/>
                      <w:kern w:val="0"/>
                      <w:szCs w:val="21"/>
                    </w:rPr>
                    <w:t>产污环节</w:t>
                  </w:r>
                </w:p>
              </w:tc>
              <w:tc>
                <w:tcPr>
                  <w:tcW w:w="423" w:type="pct"/>
                  <w:tcBorders>
                    <w:tl2br w:val="nil"/>
                    <w:tr2bl w:val="nil"/>
                  </w:tcBorders>
                  <w:vAlign w:val="center"/>
                </w:tcPr>
                <w:p>
                  <w:pPr>
                    <w:adjustRightInd w:val="0"/>
                    <w:snapToGrid w:val="0"/>
                    <w:jc w:val="center"/>
                    <w:rPr>
                      <w:color w:val="auto"/>
                      <w:kern w:val="0"/>
                      <w:szCs w:val="21"/>
                    </w:rPr>
                  </w:pPr>
                  <w:r>
                    <w:rPr>
                      <w:color w:val="auto"/>
                      <w:kern w:val="0"/>
                      <w:szCs w:val="21"/>
                    </w:rPr>
                    <w:t>污染物</w:t>
                  </w:r>
                </w:p>
              </w:tc>
              <w:tc>
                <w:tcPr>
                  <w:tcW w:w="612" w:type="pct"/>
                  <w:tcBorders>
                    <w:tl2br w:val="nil"/>
                    <w:tr2bl w:val="nil"/>
                  </w:tcBorders>
                  <w:vAlign w:val="center"/>
                </w:tcPr>
                <w:p>
                  <w:pPr>
                    <w:adjustRightInd w:val="0"/>
                    <w:snapToGrid w:val="0"/>
                    <w:jc w:val="center"/>
                    <w:rPr>
                      <w:color w:val="auto"/>
                      <w:kern w:val="0"/>
                      <w:szCs w:val="21"/>
                    </w:rPr>
                  </w:pPr>
                  <w:r>
                    <w:rPr>
                      <w:color w:val="auto"/>
                      <w:spacing w:val="-11"/>
                      <w:kern w:val="0"/>
                      <w:szCs w:val="21"/>
                    </w:rPr>
                    <w:t>主要污染防治措施</w:t>
                  </w:r>
                </w:p>
              </w:tc>
              <w:tc>
                <w:tcPr>
                  <w:tcW w:w="1260" w:type="pct"/>
                  <w:tcBorders>
                    <w:tl2br w:val="nil"/>
                    <w:tr2bl w:val="nil"/>
                  </w:tcBorders>
                  <w:vAlign w:val="center"/>
                </w:tcPr>
                <w:p>
                  <w:pPr>
                    <w:adjustRightInd w:val="0"/>
                    <w:snapToGrid w:val="0"/>
                    <w:jc w:val="center"/>
                    <w:rPr>
                      <w:color w:val="auto"/>
                      <w:kern w:val="0"/>
                      <w:szCs w:val="21"/>
                    </w:rPr>
                  </w:pPr>
                  <w:r>
                    <w:rPr>
                      <w:color w:val="auto"/>
                      <w:kern w:val="0"/>
                      <w:szCs w:val="21"/>
                    </w:rPr>
                    <w:t>标准名称</w:t>
                  </w:r>
                </w:p>
              </w:tc>
              <w:tc>
                <w:tcPr>
                  <w:tcW w:w="665" w:type="pct"/>
                  <w:tcBorders>
                    <w:tl2br w:val="nil"/>
                    <w:tr2bl w:val="nil"/>
                  </w:tcBorders>
                  <w:vAlign w:val="center"/>
                </w:tcPr>
                <w:p>
                  <w:pPr>
                    <w:adjustRightInd w:val="0"/>
                    <w:snapToGrid w:val="0"/>
                    <w:jc w:val="center"/>
                    <w:rPr>
                      <w:color w:val="auto"/>
                      <w:kern w:val="0"/>
                      <w:szCs w:val="21"/>
                    </w:rPr>
                  </w:pPr>
                  <w:r>
                    <w:rPr>
                      <w:color w:val="auto"/>
                      <w:kern w:val="0"/>
                      <w:szCs w:val="21"/>
                    </w:rPr>
                    <w:t>浓度限值/</w:t>
                  </w:r>
                  <w:r>
                    <w:rPr>
                      <w:color w:val="auto"/>
                      <w:spacing w:val="-11"/>
                      <w:kern w:val="0"/>
                      <w:szCs w:val="21"/>
                    </w:rPr>
                    <w:t>（mg/m</w:t>
                  </w:r>
                  <w:r>
                    <w:rPr>
                      <w:color w:val="auto"/>
                      <w:spacing w:val="-11"/>
                      <w:kern w:val="0"/>
                      <w:szCs w:val="21"/>
                      <w:vertAlign w:val="superscript"/>
                    </w:rPr>
                    <w:t>3</w:t>
                  </w:r>
                  <w:r>
                    <w:rPr>
                      <w:color w:val="auto"/>
                      <w:spacing w:val="-11"/>
                      <w:kern w:val="0"/>
                      <w:szCs w:val="21"/>
                    </w:rPr>
                    <w:t>）</w:t>
                  </w:r>
                </w:p>
              </w:tc>
              <w:tc>
                <w:tcPr>
                  <w:tcW w:w="617" w:type="pct"/>
                  <w:tcBorders>
                    <w:tl2br w:val="nil"/>
                    <w:tr2bl w:val="nil"/>
                  </w:tcBorders>
                  <w:vAlign w:val="center"/>
                </w:tcPr>
                <w:p>
                  <w:pPr>
                    <w:adjustRightInd w:val="0"/>
                    <w:snapToGrid w:val="0"/>
                    <w:jc w:val="center"/>
                    <w:rPr>
                      <w:color w:val="auto"/>
                      <w:kern w:val="0"/>
                      <w:szCs w:val="21"/>
                    </w:rPr>
                  </w:pPr>
                  <w:r>
                    <w:rPr>
                      <w:color w:val="auto"/>
                      <w:kern w:val="0"/>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1"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1</w:t>
                  </w:r>
                </w:p>
              </w:tc>
              <w:tc>
                <w:tcPr>
                  <w:tcW w:w="409" w:type="pct"/>
                  <w:tcBorders>
                    <w:tl2br w:val="nil"/>
                    <w:tr2bl w:val="nil"/>
                  </w:tcBorders>
                  <w:vAlign w:val="center"/>
                </w:tcPr>
                <w:p>
                  <w:pPr>
                    <w:adjustRightInd w:val="0"/>
                    <w:snapToGrid w:val="0"/>
                    <w:jc w:val="center"/>
                    <w:rPr>
                      <w:color w:val="auto"/>
                      <w:kern w:val="0"/>
                      <w:szCs w:val="21"/>
                    </w:rPr>
                  </w:pPr>
                  <w:r>
                    <w:rPr>
                      <w:color w:val="auto"/>
                      <w:kern w:val="0"/>
                      <w:szCs w:val="21"/>
                    </w:rPr>
                    <w:t>/</w:t>
                  </w:r>
                </w:p>
              </w:tc>
              <w:tc>
                <w:tcPr>
                  <w:tcW w:w="698" w:type="pct"/>
                  <w:tcBorders>
                    <w:tl2br w:val="nil"/>
                    <w:tr2bl w:val="nil"/>
                  </w:tcBorders>
                  <w:vAlign w:val="center"/>
                </w:tcPr>
                <w:p>
                  <w:pPr>
                    <w:jc w:val="center"/>
                    <w:textAlignment w:val="baseline"/>
                    <w:rPr>
                      <w:rFonts w:hint="default" w:eastAsia="宋体"/>
                      <w:color w:val="auto"/>
                      <w:kern w:val="0"/>
                      <w:szCs w:val="21"/>
                      <w:lang w:val="en-US" w:eastAsia="zh-CN"/>
                    </w:rPr>
                  </w:pPr>
                  <w:r>
                    <w:rPr>
                      <w:rFonts w:hint="eastAsia"/>
                      <w:color w:val="auto"/>
                      <w:kern w:val="0"/>
                      <w:szCs w:val="21"/>
                      <w:lang w:val="en-US" w:eastAsia="zh-CN"/>
                    </w:rPr>
                    <w:t>破碎工序</w:t>
                  </w:r>
                </w:p>
              </w:tc>
              <w:tc>
                <w:tcPr>
                  <w:tcW w:w="423" w:type="pct"/>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颗粒物</w:t>
                  </w:r>
                </w:p>
              </w:tc>
              <w:tc>
                <w:tcPr>
                  <w:tcW w:w="612" w:type="pct"/>
                  <w:tcBorders>
                    <w:tl2br w:val="nil"/>
                    <w:tr2bl w:val="nil"/>
                  </w:tcBorders>
                  <w:vAlign w:val="center"/>
                </w:tcPr>
                <w:p>
                  <w:pPr>
                    <w:adjustRightInd w:val="0"/>
                    <w:snapToGrid w:val="0"/>
                    <w:jc w:val="center"/>
                    <w:rPr>
                      <w:rFonts w:hint="default" w:eastAsia="宋体"/>
                      <w:color w:val="auto"/>
                      <w:spacing w:val="-11"/>
                      <w:kern w:val="0"/>
                      <w:szCs w:val="21"/>
                      <w:lang w:val="en-US" w:eastAsia="zh-CN"/>
                    </w:rPr>
                  </w:pPr>
                  <w:r>
                    <w:rPr>
                      <w:rFonts w:hint="eastAsia"/>
                      <w:color w:val="auto"/>
                      <w:spacing w:val="-11"/>
                      <w:kern w:val="0"/>
                      <w:szCs w:val="21"/>
                      <w:lang w:val="en-US" w:eastAsia="zh-CN"/>
                    </w:rPr>
                    <w:t>生产车间密闭</w:t>
                  </w:r>
                </w:p>
              </w:tc>
              <w:tc>
                <w:tcPr>
                  <w:tcW w:w="1260" w:type="pct"/>
                  <w:vMerge w:val="restart"/>
                  <w:tcBorders>
                    <w:tl2br w:val="nil"/>
                    <w:tr2bl w:val="nil"/>
                  </w:tcBorders>
                  <w:vAlign w:val="center"/>
                </w:tcPr>
                <w:p>
                  <w:pPr>
                    <w:adjustRightInd w:val="0"/>
                    <w:snapToGrid w:val="0"/>
                    <w:jc w:val="center"/>
                    <w:rPr>
                      <w:color w:val="auto"/>
                      <w:kern w:val="0"/>
                      <w:szCs w:val="21"/>
                    </w:rPr>
                  </w:pP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合成树脂工业污染物排放标准</w:t>
                  </w:r>
                  <w:r>
                    <w:rPr>
                      <w:rFonts w:hint="default" w:ascii="Times New Roman" w:hAnsi="Times New Roman" w:eastAsia="宋体" w:cs="Times New Roman"/>
                      <w:color w:val="auto"/>
                      <w:sz w:val="21"/>
                      <w:szCs w:val="21"/>
                      <w:lang w:val="en-US" w:eastAsia="zh-CN"/>
                    </w:rPr>
                    <w:t>》（GB</w:t>
                  </w:r>
                  <w:r>
                    <w:rPr>
                      <w:rFonts w:hint="eastAsia" w:ascii="Times New Roman" w:hAnsi="Times New Roman" w:eastAsia="宋体" w:cs="Times New Roman"/>
                      <w:color w:val="auto"/>
                      <w:sz w:val="21"/>
                      <w:szCs w:val="21"/>
                      <w:lang w:val="en-US" w:eastAsia="zh-CN"/>
                    </w:rPr>
                    <w:t>31572-2015</w:t>
                  </w:r>
                  <w:r>
                    <w:rPr>
                      <w:rFonts w:hint="default" w:ascii="Times New Roman" w:hAnsi="Times New Roman" w:eastAsia="宋体" w:cs="Times New Roman"/>
                      <w:color w:val="auto"/>
                      <w:sz w:val="21"/>
                      <w:szCs w:val="21"/>
                      <w:lang w:val="en-US" w:eastAsia="zh-CN"/>
                    </w:rPr>
                    <w:t>）</w:t>
                  </w:r>
                </w:p>
              </w:tc>
              <w:tc>
                <w:tcPr>
                  <w:tcW w:w="665"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1</w:t>
                  </w:r>
                </w:p>
              </w:tc>
              <w:tc>
                <w:tcPr>
                  <w:tcW w:w="617" w:type="pct"/>
                  <w:tcBorders>
                    <w:tl2br w:val="nil"/>
                    <w:tr2bl w:val="nil"/>
                  </w:tcBorders>
                  <w:vAlign w:val="center"/>
                </w:tcPr>
                <w:p>
                  <w:pPr>
                    <w:jc w:val="center"/>
                    <w:textAlignment w:val="baseline"/>
                    <w:rPr>
                      <w:rFonts w:hint="default" w:eastAsia="宋体"/>
                      <w:color w:val="auto"/>
                      <w:kern w:val="0"/>
                      <w:szCs w:val="21"/>
                      <w:lang w:val="en-US" w:eastAsia="zh-CN"/>
                    </w:rPr>
                  </w:pPr>
                  <w:r>
                    <w:rPr>
                      <w:rFonts w:hint="eastAsia"/>
                      <w:color w:val="auto"/>
                      <w:szCs w:val="21"/>
                      <w:lang w:val="en-US" w:eastAsia="zh-CN"/>
                    </w:rPr>
                    <w:t>0.206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11"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2</w:t>
                  </w:r>
                </w:p>
              </w:tc>
              <w:tc>
                <w:tcPr>
                  <w:tcW w:w="409"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w:t>
                  </w:r>
                </w:p>
              </w:tc>
              <w:tc>
                <w:tcPr>
                  <w:tcW w:w="698" w:type="pct"/>
                  <w:tcBorders>
                    <w:tl2br w:val="nil"/>
                    <w:tr2bl w:val="nil"/>
                  </w:tcBorders>
                  <w:vAlign w:val="center"/>
                </w:tcPr>
                <w:p>
                  <w:pPr>
                    <w:jc w:val="center"/>
                    <w:textAlignment w:val="baseline"/>
                    <w:rPr>
                      <w:rFonts w:hint="default" w:eastAsia="宋体"/>
                      <w:color w:val="auto"/>
                      <w:kern w:val="0"/>
                      <w:szCs w:val="21"/>
                      <w:lang w:val="en-US" w:eastAsia="zh-CN"/>
                    </w:rPr>
                  </w:pPr>
                  <w:r>
                    <w:rPr>
                      <w:rFonts w:hint="eastAsia"/>
                      <w:color w:val="auto"/>
                      <w:kern w:val="0"/>
                      <w:szCs w:val="21"/>
                      <w:lang w:val="en-US" w:eastAsia="zh-CN"/>
                    </w:rPr>
                    <w:t>热熔挤出</w:t>
                  </w:r>
                </w:p>
              </w:tc>
              <w:tc>
                <w:tcPr>
                  <w:tcW w:w="423" w:type="pct"/>
                  <w:tcBorders>
                    <w:tl2br w:val="nil"/>
                    <w:tr2bl w:val="nil"/>
                  </w:tcBorders>
                  <w:vAlign w:val="center"/>
                </w:tcPr>
                <w:p>
                  <w:pPr>
                    <w:adjustRightInd w:val="0"/>
                    <w:snapToGrid w:val="0"/>
                    <w:jc w:val="center"/>
                    <w:rPr>
                      <w:color w:val="auto"/>
                      <w:kern w:val="0"/>
                      <w:szCs w:val="21"/>
                    </w:rPr>
                  </w:pPr>
                  <w:r>
                    <w:rPr>
                      <w:rFonts w:hint="eastAsia"/>
                      <w:color w:val="auto"/>
                      <w:kern w:val="0"/>
                      <w:szCs w:val="21"/>
                      <w:lang w:val="en-US" w:eastAsia="zh-CN"/>
                    </w:rPr>
                    <w:t>非甲烷总烃</w:t>
                  </w:r>
                </w:p>
              </w:tc>
              <w:tc>
                <w:tcPr>
                  <w:tcW w:w="612" w:type="pct"/>
                  <w:tcBorders>
                    <w:tl2br w:val="nil"/>
                    <w:tr2bl w:val="nil"/>
                  </w:tcBorders>
                  <w:vAlign w:val="center"/>
                </w:tcPr>
                <w:p>
                  <w:pPr>
                    <w:adjustRightInd w:val="0"/>
                    <w:snapToGrid w:val="0"/>
                    <w:jc w:val="center"/>
                    <w:rPr>
                      <w:rFonts w:hint="default" w:eastAsia="宋体"/>
                      <w:color w:val="auto"/>
                      <w:spacing w:val="-11"/>
                      <w:kern w:val="0"/>
                      <w:szCs w:val="21"/>
                      <w:lang w:val="en-US" w:eastAsia="zh-CN"/>
                    </w:rPr>
                  </w:pPr>
                  <w:r>
                    <w:rPr>
                      <w:rFonts w:hint="eastAsia"/>
                      <w:color w:val="auto"/>
                      <w:spacing w:val="-11"/>
                      <w:kern w:val="0"/>
                      <w:szCs w:val="21"/>
                      <w:lang w:val="en-US" w:eastAsia="zh-CN"/>
                    </w:rPr>
                    <w:t>生产车间密闭</w:t>
                  </w:r>
                </w:p>
              </w:tc>
              <w:tc>
                <w:tcPr>
                  <w:tcW w:w="1260" w:type="pct"/>
                  <w:vMerge w:val="continue"/>
                  <w:tcBorders>
                    <w:tl2br w:val="nil"/>
                    <w:tr2bl w:val="nil"/>
                  </w:tcBorders>
                  <w:vAlign w:val="center"/>
                </w:tcPr>
                <w:p>
                  <w:pPr>
                    <w:adjustRightInd w:val="0"/>
                    <w:snapToGrid w:val="0"/>
                    <w:jc w:val="center"/>
                    <w:rPr>
                      <w:color w:val="auto"/>
                      <w:kern w:val="0"/>
                      <w:szCs w:val="21"/>
                    </w:rPr>
                  </w:pPr>
                </w:p>
              </w:tc>
              <w:tc>
                <w:tcPr>
                  <w:tcW w:w="665"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w:t>
                  </w:r>
                </w:p>
              </w:tc>
              <w:tc>
                <w:tcPr>
                  <w:tcW w:w="617" w:type="pct"/>
                  <w:tcBorders>
                    <w:tl2br w:val="nil"/>
                    <w:tr2bl w:val="nil"/>
                  </w:tcBorders>
                  <w:vAlign w:val="center"/>
                </w:tcPr>
                <w:p>
                  <w:pPr>
                    <w:jc w:val="center"/>
                    <w:textAlignment w:val="baseline"/>
                    <w:rPr>
                      <w:rFonts w:hint="default" w:eastAsia="宋体"/>
                      <w:color w:val="auto"/>
                      <w:szCs w:val="21"/>
                      <w:lang w:val="en-US" w:eastAsia="zh-CN"/>
                    </w:rPr>
                  </w:pPr>
                  <w:r>
                    <w:rPr>
                      <w:rFonts w:hint="eastAsia"/>
                      <w:color w:val="auto"/>
                      <w:szCs w:val="21"/>
                      <w:lang w:val="en-US" w:eastAsia="zh-CN"/>
                    </w:rPr>
                    <w:t>0.193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000" w:type="pct"/>
                  <w:gridSpan w:val="8"/>
                  <w:tcBorders>
                    <w:tl2br w:val="nil"/>
                    <w:tr2bl w:val="nil"/>
                  </w:tcBorders>
                  <w:vAlign w:val="center"/>
                </w:tcPr>
                <w:p>
                  <w:pPr>
                    <w:jc w:val="center"/>
                    <w:textAlignment w:val="baseline"/>
                    <w:rPr>
                      <w:color w:val="auto"/>
                      <w:szCs w:val="21"/>
                    </w:rPr>
                  </w:pPr>
                  <w:r>
                    <w:rPr>
                      <w:color w:val="auto"/>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43" w:type="pct"/>
                  <w:gridSpan w:val="4"/>
                  <w:vMerge w:val="restart"/>
                  <w:tcBorders>
                    <w:tl2br w:val="nil"/>
                    <w:tr2bl w:val="nil"/>
                  </w:tcBorders>
                  <w:vAlign w:val="center"/>
                </w:tcPr>
                <w:p>
                  <w:pPr>
                    <w:adjustRightInd w:val="0"/>
                    <w:snapToGrid w:val="0"/>
                    <w:jc w:val="center"/>
                    <w:rPr>
                      <w:color w:val="auto"/>
                      <w:kern w:val="0"/>
                      <w:szCs w:val="21"/>
                    </w:rPr>
                  </w:pPr>
                  <w:r>
                    <w:rPr>
                      <w:color w:val="auto"/>
                      <w:szCs w:val="21"/>
                    </w:rPr>
                    <w:t>无组织排放总计</w:t>
                  </w:r>
                </w:p>
              </w:tc>
              <w:tc>
                <w:tcPr>
                  <w:tcW w:w="1873" w:type="pct"/>
                  <w:gridSpan w:val="2"/>
                  <w:tcBorders>
                    <w:tl2br w:val="nil"/>
                    <w:tr2bl w:val="nil"/>
                  </w:tcBorders>
                  <w:vAlign w:val="center"/>
                </w:tcPr>
                <w:p>
                  <w:pPr>
                    <w:adjustRightInd w:val="0"/>
                    <w:snapToGrid w:val="0"/>
                    <w:jc w:val="center"/>
                    <w:rPr>
                      <w:color w:val="auto"/>
                      <w:kern w:val="0"/>
                      <w:szCs w:val="21"/>
                    </w:rPr>
                  </w:pPr>
                  <w:r>
                    <w:rPr>
                      <w:color w:val="auto"/>
                      <w:kern w:val="0"/>
                      <w:szCs w:val="21"/>
                    </w:rPr>
                    <w:t>颗粒物</w:t>
                  </w:r>
                </w:p>
              </w:tc>
              <w:tc>
                <w:tcPr>
                  <w:tcW w:w="1283" w:type="pct"/>
                  <w:gridSpan w:val="2"/>
                  <w:tcBorders>
                    <w:tl2br w:val="nil"/>
                    <w:tr2bl w:val="nil"/>
                  </w:tcBorders>
                  <w:vAlign w:val="center"/>
                </w:tcPr>
                <w:p>
                  <w:pPr>
                    <w:jc w:val="center"/>
                    <w:textAlignment w:val="baseline"/>
                    <w:rPr>
                      <w:rFonts w:hint="default" w:eastAsia="宋体"/>
                      <w:color w:val="auto"/>
                      <w:szCs w:val="21"/>
                      <w:lang w:val="en-US" w:eastAsia="zh-CN"/>
                    </w:rPr>
                  </w:pPr>
                  <w:r>
                    <w:rPr>
                      <w:rFonts w:hint="eastAsia"/>
                      <w:color w:val="auto"/>
                      <w:szCs w:val="21"/>
                      <w:lang w:val="en-US" w:eastAsia="zh-CN"/>
                    </w:rPr>
                    <w:t>0.206t/a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843" w:type="pct"/>
                  <w:gridSpan w:val="4"/>
                  <w:vMerge w:val="continue"/>
                  <w:tcBorders>
                    <w:tl2br w:val="nil"/>
                    <w:tr2bl w:val="nil"/>
                  </w:tcBorders>
                  <w:vAlign w:val="center"/>
                </w:tcPr>
                <w:p>
                  <w:pPr>
                    <w:adjustRightInd w:val="0"/>
                    <w:snapToGrid w:val="0"/>
                    <w:jc w:val="center"/>
                    <w:rPr>
                      <w:color w:val="auto"/>
                      <w:szCs w:val="21"/>
                    </w:rPr>
                  </w:pPr>
                </w:p>
              </w:tc>
              <w:tc>
                <w:tcPr>
                  <w:tcW w:w="1873" w:type="pct"/>
                  <w:gridSpan w:val="2"/>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非甲烷总烃</w:t>
                  </w:r>
                </w:p>
              </w:tc>
              <w:tc>
                <w:tcPr>
                  <w:tcW w:w="1283" w:type="pct"/>
                  <w:gridSpan w:val="2"/>
                  <w:tcBorders>
                    <w:tl2br w:val="nil"/>
                    <w:tr2bl w:val="nil"/>
                  </w:tcBorders>
                  <w:vAlign w:val="center"/>
                </w:tcPr>
                <w:p>
                  <w:pPr>
                    <w:jc w:val="center"/>
                    <w:textAlignment w:val="baseline"/>
                    <w:rPr>
                      <w:rFonts w:hint="default"/>
                      <w:color w:val="auto"/>
                      <w:szCs w:val="21"/>
                      <w:lang w:val="en-US" w:eastAsia="zh-CN"/>
                    </w:rPr>
                  </w:pPr>
                  <w:r>
                    <w:rPr>
                      <w:rFonts w:hint="eastAsia"/>
                      <w:color w:val="auto"/>
                      <w:szCs w:val="21"/>
                      <w:lang w:val="en-US" w:eastAsia="zh-CN"/>
                    </w:rPr>
                    <w:t>0.193t/a</w:t>
                  </w:r>
                </w:p>
              </w:tc>
            </w:tr>
          </w:tbl>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rPr>
            </w:pPr>
            <w:r>
              <w:rPr>
                <w:b/>
                <w:bCs/>
                <w:color w:val="auto"/>
              </w:rPr>
              <w:t>表4-</w:t>
            </w:r>
            <w:r>
              <w:rPr>
                <w:rFonts w:hint="eastAsia"/>
                <w:b/>
                <w:bCs/>
                <w:color w:val="auto"/>
                <w:lang w:val="en-US" w:eastAsia="zh-CN"/>
              </w:rPr>
              <w:t xml:space="preserve">5 </w:t>
            </w:r>
            <w:r>
              <w:rPr>
                <w:b/>
                <w:bCs/>
                <w:color w:val="auto"/>
              </w:rPr>
              <w:t xml:space="preserve">   大气污染物年排放量核算表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2116"/>
              <w:gridCol w:w="2116"/>
              <w:gridCol w:w="2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pPr>
                    <w:adjustRightInd w:val="0"/>
                    <w:snapToGrid w:val="0"/>
                    <w:jc w:val="center"/>
                    <w:rPr>
                      <w:color w:val="auto"/>
                      <w:kern w:val="0"/>
                      <w:szCs w:val="21"/>
                    </w:rPr>
                  </w:pPr>
                  <w:r>
                    <w:rPr>
                      <w:color w:val="auto"/>
                      <w:kern w:val="0"/>
                      <w:szCs w:val="21"/>
                    </w:rPr>
                    <w:t>序号</w:t>
                  </w:r>
                </w:p>
              </w:tc>
              <w:tc>
                <w:tcPr>
                  <w:tcW w:w="1256" w:type="pct"/>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排放方式</w:t>
                  </w:r>
                </w:p>
              </w:tc>
              <w:tc>
                <w:tcPr>
                  <w:tcW w:w="1256" w:type="pct"/>
                  <w:tcBorders>
                    <w:tl2br w:val="nil"/>
                    <w:tr2bl w:val="nil"/>
                  </w:tcBorders>
                  <w:vAlign w:val="center"/>
                </w:tcPr>
                <w:p>
                  <w:pPr>
                    <w:adjustRightInd w:val="0"/>
                    <w:snapToGrid w:val="0"/>
                    <w:jc w:val="center"/>
                    <w:rPr>
                      <w:color w:val="auto"/>
                      <w:kern w:val="0"/>
                      <w:szCs w:val="21"/>
                    </w:rPr>
                  </w:pPr>
                  <w:r>
                    <w:rPr>
                      <w:color w:val="auto"/>
                      <w:kern w:val="0"/>
                      <w:szCs w:val="21"/>
                    </w:rPr>
                    <w:t>污染物</w:t>
                  </w:r>
                </w:p>
              </w:tc>
              <w:tc>
                <w:tcPr>
                  <w:tcW w:w="1376" w:type="pct"/>
                  <w:tcBorders>
                    <w:tl2br w:val="nil"/>
                    <w:tr2bl w:val="nil"/>
                  </w:tcBorders>
                  <w:vAlign w:val="center"/>
                </w:tcPr>
                <w:p>
                  <w:pPr>
                    <w:adjustRightInd w:val="0"/>
                    <w:snapToGrid w:val="0"/>
                    <w:jc w:val="center"/>
                    <w:rPr>
                      <w:color w:val="auto"/>
                      <w:kern w:val="0"/>
                      <w:szCs w:val="21"/>
                    </w:rPr>
                  </w:pPr>
                  <w:r>
                    <w:rPr>
                      <w:color w:val="auto"/>
                      <w:kern w:val="0"/>
                      <w:szCs w:val="21"/>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pPr>
                    <w:adjustRightInd w:val="0"/>
                    <w:snapToGrid w:val="0"/>
                    <w:jc w:val="center"/>
                    <w:rPr>
                      <w:color w:val="auto"/>
                      <w:kern w:val="0"/>
                      <w:szCs w:val="21"/>
                    </w:rPr>
                  </w:pPr>
                  <w:r>
                    <w:rPr>
                      <w:color w:val="auto"/>
                      <w:kern w:val="0"/>
                      <w:szCs w:val="21"/>
                    </w:rPr>
                    <w:t>1</w:t>
                  </w:r>
                </w:p>
              </w:tc>
              <w:tc>
                <w:tcPr>
                  <w:tcW w:w="1256" w:type="pct"/>
                  <w:vMerge w:val="restart"/>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有组织</w:t>
                  </w:r>
                </w:p>
              </w:tc>
              <w:tc>
                <w:tcPr>
                  <w:tcW w:w="1256" w:type="pct"/>
                  <w:tcBorders>
                    <w:tl2br w:val="nil"/>
                    <w:tr2bl w:val="nil"/>
                  </w:tcBorders>
                  <w:vAlign w:val="center"/>
                </w:tcPr>
                <w:p>
                  <w:pPr>
                    <w:adjustRightInd w:val="0"/>
                    <w:snapToGrid w:val="0"/>
                    <w:jc w:val="center"/>
                    <w:rPr>
                      <w:color w:val="auto"/>
                      <w:kern w:val="0"/>
                      <w:szCs w:val="21"/>
                    </w:rPr>
                  </w:pPr>
                  <w:r>
                    <w:rPr>
                      <w:color w:val="auto"/>
                      <w:kern w:val="0"/>
                      <w:szCs w:val="21"/>
                    </w:rPr>
                    <w:t>颗粒物</w:t>
                  </w:r>
                </w:p>
              </w:tc>
              <w:tc>
                <w:tcPr>
                  <w:tcW w:w="1376" w:type="pct"/>
                  <w:tcBorders>
                    <w:tl2br w:val="nil"/>
                    <w:tr2bl w:val="nil"/>
                  </w:tcBorders>
                  <w:vAlign w:val="center"/>
                </w:tcPr>
                <w:p>
                  <w:pPr>
                    <w:jc w:val="center"/>
                    <w:rPr>
                      <w:rFonts w:hint="default" w:eastAsia="宋体"/>
                      <w:color w:val="auto"/>
                      <w:kern w:val="0"/>
                      <w:szCs w:val="21"/>
                      <w:lang w:val="en-US" w:eastAsia="zh-CN"/>
                    </w:rPr>
                  </w:pPr>
                  <w:r>
                    <w:rPr>
                      <w:rFonts w:hint="eastAsia"/>
                      <w:color w:val="auto"/>
                      <w:szCs w:val="21"/>
                      <w:lang w:val="en-US" w:eastAsia="zh-CN"/>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2</w:t>
                  </w:r>
                </w:p>
              </w:tc>
              <w:tc>
                <w:tcPr>
                  <w:tcW w:w="1256" w:type="pct"/>
                  <w:vMerge w:val="continue"/>
                  <w:tcBorders>
                    <w:tl2br w:val="nil"/>
                    <w:tr2bl w:val="nil"/>
                  </w:tcBorders>
                  <w:vAlign w:val="center"/>
                </w:tcPr>
                <w:p>
                  <w:pPr>
                    <w:adjustRightInd w:val="0"/>
                    <w:snapToGrid w:val="0"/>
                    <w:jc w:val="center"/>
                    <w:rPr>
                      <w:rFonts w:hint="eastAsia"/>
                      <w:color w:val="auto"/>
                      <w:kern w:val="0"/>
                      <w:szCs w:val="21"/>
                      <w:lang w:val="en-US" w:eastAsia="zh-CN"/>
                    </w:rPr>
                  </w:pPr>
                </w:p>
              </w:tc>
              <w:tc>
                <w:tcPr>
                  <w:tcW w:w="1256"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非甲烷总烃</w:t>
                  </w:r>
                </w:p>
              </w:tc>
              <w:tc>
                <w:tcPr>
                  <w:tcW w:w="1376"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w:t>
                  </w:r>
                </w:p>
              </w:tc>
              <w:tc>
                <w:tcPr>
                  <w:tcW w:w="1256" w:type="pct"/>
                  <w:vMerge w:val="restar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无组织</w:t>
                  </w:r>
                </w:p>
              </w:tc>
              <w:tc>
                <w:tcPr>
                  <w:tcW w:w="1256" w:type="pct"/>
                  <w:tcBorders>
                    <w:tl2br w:val="nil"/>
                    <w:tr2bl w:val="nil"/>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颗粒物</w:t>
                  </w:r>
                </w:p>
              </w:tc>
              <w:tc>
                <w:tcPr>
                  <w:tcW w:w="1376"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11"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4</w:t>
                  </w:r>
                </w:p>
              </w:tc>
              <w:tc>
                <w:tcPr>
                  <w:tcW w:w="1256" w:type="pct"/>
                  <w:vMerge w:val="continue"/>
                  <w:tcBorders>
                    <w:tl2br w:val="nil"/>
                    <w:tr2bl w:val="nil"/>
                  </w:tcBorders>
                  <w:vAlign w:val="center"/>
                </w:tcPr>
                <w:p>
                  <w:pPr>
                    <w:adjustRightInd w:val="0"/>
                    <w:snapToGrid w:val="0"/>
                    <w:jc w:val="center"/>
                    <w:rPr>
                      <w:rFonts w:hint="eastAsia"/>
                      <w:color w:val="auto"/>
                      <w:kern w:val="0"/>
                      <w:szCs w:val="21"/>
                      <w:lang w:val="en-US" w:eastAsia="zh-CN"/>
                    </w:rPr>
                  </w:pPr>
                </w:p>
              </w:tc>
              <w:tc>
                <w:tcPr>
                  <w:tcW w:w="1256" w:type="pct"/>
                  <w:tcBorders>
                    <w:tl2br w:val="nil"/>
                    <w:tr2bl w:val="nil"/>
                  </w:tcBorders>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非甲烷总烃</w:t>
                  </w:r>
                </w:p>
              </w:tc>
              <w:tc>
                <w:tcPr>
                  <w:tcW w:w="1376" w:type="pct"/>
                  <w:tcBorders>
                    <w:tl2br w:val="nil"/>
                    <w:tr2bl w:val="nil"/>
                  </w:tcBorders>
                  <w:vAlign w:val="center"/>
                </w:tcPr>
                <w:p>
                  <w:pPr>
                    <w:jc w:val="center"/>
                    <w:rPr>
                      <w:rFonts w:hint="default"/>
                      <w:color w:val="auto"/>
                      <w:szCs w:val="21"/>
                      <w:lang w:val="en-US" w:eastAsia="zh-CN"/>
                    </w:rPr>
                  </w:pPr>
                  <w:r>
                    <w:rPr>
                      <w:rFonts w:hint="eastAsia"/>
                      <w:color w:val="auto"/>
                      <w:szCs w:val="21"/>
                      <w:lang w:val="en-US" w:eastAsia="zh-CN"/>
                    </w:rPr>
                    <w:t>0.193</w:t>
                  </w:r>
                </w:p>
              </w:tc>
            </w:tr>
          </w:tbl>
          <w:p>
            <w:pPr>
              <w:keepNext w:val="0"/>
              <w:keepLines w:val="0"/>
              <w:pageBreakBefore w:val="0"/>
              <w:widowControl/>
              <w:kinsoku/>
              <w:wordWrap/>
              <w:overflowPunct/>
              <w:topLinePunct w:val="0"/>
              <w:autoSpaceDE/>
              <w:autoSpaceDN/>
              <w:bidi w:val="0"/>
              <w:adjustRightInd/>
              <w:snapToGrid/>
              <w:spacing w:line="520" w:lineRule="exact"/>
              <w:textAlignment w:val="auto"/>
              <w:rPr>
                <w:b/>
                <w:bCs/>
                <w:color w:val="auto"/>
                <w:sz w:val="24"/>
              </w:rPr>
            </w:pPr>
            <w:r>
              <w:rPr>
                <w:b/>
                <w:bCs/>
                <w:color w:val="auto"/>
                <w:sz w:val="24"/>
              </w:rPr>
              <w:t>1.</w:t>
            </w:r>
            <w:r>
              <w:rPr>
                <w:rFonts w:hint="eastAsia"/>
                <w:b/>
                <w:bCs/>
                <w:color w:val="auto"/>
                <w:sz w:val="24"/>
                <w:lang w:val="en-US" w:eastAsia="zh-CN"/>
              </w:rPr>
              <w:t xml:space="preserve">2 </w:t>
            </w:r>
            <w:r>
              <w:rPr>
                <w:b/>
                <w:bCs/>
                <w:color w:val="auto"/>
                <w:sz w:val="24"/>
              </w:rPr>
              <w:t>废气处理措施及其可行性分析</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color w:val="auto"/>
                <w:kern w:val="0"/>
                <w:sz w:val="24"/>
                <w:lang w:val="en-US" w:eastAsia="zh-CN"/>
              </w:rPr>
            </w:pPr>
            <w:r>
              <w:rPr>
                <w:rFonts w:hint="eastAsia"/>
                <w:color w:val="auto"/>
                <w:kern w:val="0"/>
                <w:sz w:val="24"/>
                <w:lang w:eastAsia="zh-CN"/>
              </w:rPr>
              <w:t>（</w:t>
            </w:r>
            <w:r>
              <w:rPr>
                <w:rFonts w:hint="eastAsia"/>
                <w:color w:val="auto"/>
                <w:kern w:val="0"/>
                <w:sz w:val="24"/>
                <w:lang w:val="en-US" w:eastAsia="zh-CN"/>
              </w:rPr>
              <w:t>1</w:t>
            </w:r>
            <w:r>
              <w:rPr>
                <w:rFonts w:hint="eastAsia"/>
                <w:color w:val="auto"/>
                <w:kern w:val="0"/>
                <w:sz w:val="24"/>
                <w:lang w:eastAsia="zh-CN"/>
              </w:rPr>
              <w:t>）</w:t>
            </w:r>
            <w:r>
              <w:rPr>
                <w:rFonts w:hint="eastAsia"/>
                <w:color w:val="auto"/>
                <w:kern w:val="0"/>
                <w:sz w:val="24"/>
                <w:lang w:val="en-US" w:eastAsia="zh-CN"/>
              </w:rPr>
              <w:t>热熔废气</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热熔挤出工段产生的非甲烷总烃采用活性炭吸附+催化燃烧装置处理，破碎工段产生的颗粒物采用布袋除尘器处理。处理后排放的废气满足《合成树脂工业污染物排放标准》（GB31572-2015）中表5大气污染物特别排放限值要求，本项目非甲烷总烃和颗粒物采用的治理措施符合《排污许可证申请与核发技术规范废弃资源加工工业》</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HJ1034-2019</w:t>
            </w:r>
            <w:r>
              <w:rPr>
                <w:rFonts w:hint="eastAsia"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相关规定中的可行技术。</w:t>
            </w:r>
          </w:p>
          <w:p>
            <w:pPr>
              <w:pStyle w:val="11"/>
              <w:spacing w:before="0" w:after="0" w:line="360" w:lineRule="auto"/>
              <w:ind w:right="0"/>
              <w:jc w:val="center"/>
              <w:rPr>
                <w:b/>
                <w:color w:val="auto"/>
                <w:sz w:val="24"/>
                <w:highlight w:val="none"/>
              </w:rPr>
            </w:pPr>
            <w:r>
              <w:rPr>
                <w:rFonts w:hint="eastAsia"/>
                <w:b/>
                <w:color w:val="auto"/>
                <w:sz w:val="24"/>
                <w:highlight w:val="none"/>
              </w:rPr>
              <w:drawing>
                <wp:inline distT="0" distB="0" distL="114300" distR="114300">
                  <wp:extent cx="5038090" cy="2795270"/>
                  <wp:effectExtent l="9525" t="9525" r="15240" b="12700"/>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1"/>
                          <a:srcRect t="2547"/>
                          <a:stretch>
                            <a:fillRect/>
                          </a:stretch>
                        </pic:blipFill>
                        <pic:spPr>
                          <a:xfrm>
                            <a:off x="0" y="0"/>
                            <a:ext cx="5038090" cy="279527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2"/>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b/>
                <w:color w:val="auto"/>
                <w:szCs w:val="20"/>
                <w:highlight w:val="none"/>
              </w:rPr>
            </w:pPr>
            <w:r>
              <w:rPr>
                <w:b/>
                <w:color w:val="auto"/>
                <w:szCs w:val="20"/>
                <w:highlight w:val="none"/>
              </w:rPr>
              <w:t>图</w:t>
            </w:r>
            <w:r>
              <w:rPr>
                <w:rFonts w:hint="eastAsia"/>
                <w:b/>
                <w:color w:val="auto"/>
                <w:szCs w:val="20"/>
                <w:highlight w:val="none"/>
              </w:rPr>
              <w:t>4-1</w:t>
            </w:r>
            <w:r>
              <w:rPr>
                <w:b/>
                <w:color w:val="auto"/>
                <w:szCs w:val="20"/>
                <w:highlight w:val="none"/>
              </w:rPr>
              <w:t xml:space="preserve">    </w:t>
            </w:r>
            <w:r>
              <w:rPr>
                <w:rFonts w:hint="eastAsia"/>
                <w:b/>
                <w:color w:val="auto"/>
                <w:szCs w:val="20"/>
                <w:highlight w:val="none"/>
              </w:rPr>
              <w:t>活性炭吸附+催化燃烧</w:t>
            </w:r>
            <w:r>
              <w:rPr>
                <w:b/>
                <w:color w:val="auto"/>
                <w:szCs w:val="20"/>
                <w:highlight w:val="none"/>
              </w:rPr>
              <w:t>工艺流程图</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具体工艺流程如下：</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①预处理过滤器</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高效纤维过滤器滤料采用超细合成纤维，具有容尘量大、高效率、低压损的优点，对次微米粉尘过滤效率特别良好。废气进入高效过滤器的粉尘颗粒和水雾，一般随气流作惯性运动或无规则布朗运动或受某种场力的作用而移动，当微粒运动撞到纤维介质时，由于范德力的作用使得微粒粘到纤维表面。进入过滤介质的颗粒有较多撞击介质的机会，撞上介质就会被粘住，较小的颗粒相互碰撞会相互黏结形成较大颗粒而沉降。通过上述作用实现对粉尘、水雾的拦截过滤。</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②吸附</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去除尘杂后的废气，经过合理的布风，使其均匀地通过固定吸附床内的蜂窝活性炭层的过流断面，在一定的停留时间，由于活性炭表面与有机废气分子间相互引力的作用产生。</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物理吸附，从而将废气中的有机成分吸附在活性炭的表面积，从而使废气得到净化，净化后的洁净气体通过风机及烟囱达标排放；系统设两台吸附床，即废气从其中一台吸附床经过，另一台处于再生阶段或备用阶段，从而使吸附过程可连续进行，不影响车间生产。</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③活性炭吸附+催化燃烧</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反应方程式如下：</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贵金属催化剂200～300℃CxHyOz+(x+y/4-z/2)O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xCO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+y/2H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O达到饱和状态的吸附床应停止吸附，通过阀门切换进入状态，过程如下：启动风机、开启相应阀门和远红外电加热器，对活性炭吸附+催化燃烧床内部的催化剂进行预热，同时产生一定量的热空气，当床层温度达到设定值时将热空气送入吸附床，活性炭受热解析出高浓度的有机气体，经风机引入活性炭吸附+催化燃烧床，在贵金属催化剂的作用下于一个较低的温度进行无焰活性炭吸附+催化燃烧，将有机成分转化为无毒、无害的C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和H</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O，同时释放出大量的热量，可维持活性炭吸附+催化燃烧所需的起燃温度，使废气燃烧过程基本不需外加的能耗（电能），并将部分热量回用于吸附床内活性炭的解析再生，从而大大降低了能耗。净化系统活性炭吸附+催化燃烧床内，有远红外电加热器多组，预热时远红外电加热器全部开启，可实现在较短时间内将废气从室温加热到既定温度；而在稳定燃烧阶段，由于燃烧过程发出大量能量，电加热器只需开启一小部分或无需开启，从而达到节能降耗的控制目标。当燃烧废气浓度较高、反应温度较高时，混流风机自动开启，补充新鲜的冷空气以降低温度、确保活性炭吸附+催化燃烧床安全、高效运行。</w:t>
            </w:r>
          </w:p>
          <w:p>
            <w:pPr>
              <w:pStyle w:val="11"/>
              <w:keepNext w:val="0"/>
              <w:keepLines w:val="0"/>
              <w:pageBreakBefore w:val="0"/>
              <w:widowControl/>
              <w:numPr>
                <w:ilvl w:val="0"/>
                <w:numId w:val="0"/>
              </w:numPr>
              <w:kinsoku/>
              <w:wordWrap/>
              <w:overflowPunct/>
              <w:topLinePunct w:val="0"/>
              <w:autoSpaceDE/>
              <w:autoSpaceDN/>
              <w:bidi w:val="0"/>
              <w:adjustRightInd/>
              <w:snapToGrid/>
              <w:spacing w:before="0" w:after="0" w:line="520" w:lineRule="exact"/>
              <w:ind w:leftChars="0" w:right="0" w:rightChars="0"/>
              <w:textAlignment w:val="auto"/>
              <w:rPr>
                <w:rFonts w:hint="default" w:ascii="Times New Roman" w:hAnsi="Times New Roman" w:cs="Times New Roman"/>
                <w:b/>
                <w:bCs/>
                <w:color w:val="auto"/>
                <w:spacing w:val="-10"/>
                <w:sz w:val="24"/>
                <w:szCs w:val="24"/>
                <w:lang w:val="en-US" w:eastAsia="zh-CN"/>
              </w:rPr>
            </w:pPr>
            <w:r>
              <w:rPr>
                <w:b/>
                <w:bCs/>
                <w:color w:val="auto"/>
                <w:sz w:val="24"/>
              </w:rPr>
              <w:t>1.</w:t>
            </w:r>
            <w:r>
              <w:rPr>
                <w:rFonts w:hint="eastAsia"/>
                <w:b/>
                <w:bCs/>
                <w:color w:val="auto"/>
                <w:sz w:val="24"/>
                <w:lang w:val="en-US" w:eastAsia="zh-CN"/>
              </w:rPr>
              <w:t xml:space="preserve">3 </w:t>
            </w:r>
            <w:r>
              <w:rPr>
                <w:rFonts w:hint="eastAsia" w:ascii="Times New Roman" w:hAnsi="Times New Roman" w:cs="Times New Roman"/>
                <w:b/>
                <w:bCs/>
                <w:color w:val="auto"/>
                <w:spacing w:val="-10"/>
                <w:sz w:val="24"/>
                <w:szCs w:val="24"/>
                <w:lang w:val="en-US" w:eastAsia="zh-CN"/>
              </w:rPr>
              <w:t>排放口设施情况</w:t>
            </w:r>
          </w:p>
          <w:p>
            <w:pPr>
              <w:pStyle w:val="11"/>
              <w:keepNext w:val="0"/>
              <w:keepLines w:val="0"/>
              <w:pageBreakBefore w:val="0"/>
              <w:widowControl/>
              <w:kinsoku/>
              <w:wordWrap/>
              <w:overflowPunct/>
              <w:topLinePunct w:val="0"/>
              <w:autoSpaceDE/>
              <w:autoSpaceDN/>
              <w:bidi w:val="0"/>
              <w:adjustRightInd/>
              <w:snapToGrid/>
              <w:spacing w:before="0" w:after="0" w:line="520" w:lineRule="exact"/>
              <w:ind w:right="0" w:firstLine="480" w:firstLineChars="200"/>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本项目共设置2个有组织废气排放口，本项目有组织废气排放口基本情况见表4-6。</w:t>
            </w:r>
          </w:p>
          <w:p>
            <w:pPr>
              <w:pStyle w:val="41"/>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表4-6    排放口设置情况</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48"/>
              <w:gridCol w:w="774"/>
              <w:gridCol w:w="834"/>
              <w:gridCol w:w="691"/>
              <w:gridCol w:w="689"/>
              <w:gridCol w:w="681"/>
              <w:gridCol w:w="748"/>
              <w:gridCol w:w="772"/>
              <w:gridCol w:w="445"/>
              <w:gridCol w:w="514"/>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污染源名称</w:t>
                  </w:r>
                </w:p>
              </w:tc>
              <w:tc>
                <w:tcPr>
                  <w:tcW w:w="962" w:type="pct"/>
                  <w:gridSpan w:val="2"/>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排气筒底部中心坐标</w:t>
                  </w:r>
                </w:p>
              </w:tc>
              <w:tc>
                <w:tcPr>
                  <w:tcW w:w="495" w:type="pct"/>
                  <w:vMerge w:val="restart"/>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排气筒底部</w:t>
                  </w:r>
                  <w:r>
                    <w:rPr>
                      <w:rFonts w:hint="eastAsia" w:ascii="Times New Roman"/>
                      <w:b/>
                      <w:bCs/>
                      <w:color w:val="auto"/>
                      <w:szCs w:val="21"/>
                      <w:lang w:eastAsia="zh-CN"/>
                    </w:rPr>
                    <w:t>海拔（</w:t>
                  </w:r>
                  <w:r>
                    <w:rPr>
                      <w:rFonts w:ascii="Times New Roman"/>
                      <w:b/>
                      <w:bCs/>
                      <w:color w:val="auto"/>
                      <w:szCs w:val="21"/>
                    </w:rPr>
                    <w:t>m</w:t>
                  </w:r>
                  <w:r>
                    <w:rPr>
                      <w:rFonts w:hint="eastAsia" w:ascii="Times New Roman"/>
                      <w:b/>
                      <w:bCs/>
                      <w:color w:val="auto"/>
                      <w:szCs w:val="21"/>
                      <w:lang w:eastAsia="zh-CN"/>
                    </w:rPr>
                    <w:t>）</w:t>
                  </w:r>
                </w:p>
              </w:tc>
              <w:tc>
                <w:tcPr>
                  <w:tcW w:w="1667" w:type="pct"/>
                  <w:gridSpan w:val="4"/>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排气筒参数</w:t>
                  </w:r>
                </w:p>
              </w:tc>
              <w:tc>
                <w:tcPr>
                  <w:tcW w:w="722" w:type="pct"/>
                  <w:gridSpan w:val="2"/>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运行参数</w:t>
                  </w:r>
                </w:p>
              </w:tc>
              <w:tc>
                <w:tcPr>
                  <w:tcW w:w="803" w:type="pct"/>
                  <w:gridSpan w:val="2"/>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污染物参数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vMerge w:val="continue"/>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p>
              </w:tc>
              <w:tc>
                <w:tcPr>
                  <w:tcW w:w="503"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经度</w:t>
                  </w:r>
                </w:p>
              </w:tc>
              <w:tc>
                <w:tcPr>
                  <w:tcW w:w="459"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经度</w:t>
                  </w:r>
                </w:p>
              </w:tc>
              <w:tc>
                <w:tcPr>
                  <w:tcW w:w="495" w:type="pct"/>
                  <w:vMerge w:val="continue"/>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p>
              </w:tc>
              <w:tc>
                <w:tcPr>
                  <w:tcW w:w="410"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排气筒高度</w:t>
                  </w:r>
                  <w:r>
                    <w:rPr>
                      <w:rFonts w:hint="eastAsia" w:ascii="Times New Roman"/>
                      <w:b/>
                      <w:bCs/>
                      <w:color w:val="auto"/>
                      <w:szCs w:val="21"/>
                      <w:lang w:eastAsia="zh-CN"/>
                    </w:rPr>
                    <w:t>（</w:t>
                  </w:r>
                  <w:r>
                    <w:rPr>
                      <w:rFonts w:ascii="Times New Roman"/>
                      <w:b/>
                      <w:bCs/>
                      <w:color w:val="auto"/>
                      <w:szCs w:val="21"/>
                    </w:rPr>
                    <w:t>m</w:t>
                  </w:r>
                  <w:r>
                    <w:rPr>
                      <w:rFonts w:hint="eastAsia" w:ascii="Times New Roman"/>
                      <w:b/>
                      <w:bCs/>
                      <w:color w:val="auto"/>
                      <w:szCs w:val="21"/>
                      <w:lang w:eastAsia="zh-CN"/>
                    </w:rPr>
                    <w:t>）</w:t>
                  </w:r>
                </w:p>
              </w:tc>
              <w:tc>
                <w:tcPr>
                  <w:tcW w:w="409"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排气筒出口</w:t>
                  </w:r>
                  <w:r>
                    <w:rPr>
                      <w:rFonts w:hint="eastAsia" w:ascii="Times New Roman"/>
                      <w:b/>
                      <w:bCs/>
                      <w:color w:val="auto"/>
                      <w:szCs w:val="21"/>
                      <w:lang w:eastAsia="zh-CN"/>
                    </w:rPr>
                    <w:t>内径（</w:t>
                  </w:r>
                  <w:r>
                    <w:rPr>
                      <w:rFonts w:ascii="Times New Roman"/>
                      <w:b/>
                      <w:bCs/>
                      <w:color w:val="auto"/>
                      <w:szCs w:val="21"/>
                    </w:rPr>
                    <w:t>m</w:t>
                  </w:r>
                  <w:r>
                    <w:rPr>
                      <w:rFonts w:hint="eastAsia" w:ascii="Times New Roman"/>
                      <w:b/>
                      <w:bCs/>
                      <w:color w:val="auto"/>
                      <w:szCs w:val="21"/>
                      <w:lang w:eastAsia="zh-CN"/>
                    </w:rPr>
                    <w:t>）</w:t>
                  </w:r>
                </w:p>
              </w:tc>
              <w:tc>
                <w:tcPr>
                  <w:tcW w:w="404"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烟气</w:t>
                  </w:r>
                </w:p>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流速</w:t>
                  </w:r>
                  <w:r>
                    <w:rPr>
                      <w:rFonts w:hint="eastAsia" w:ascii="Times New Roman"/>
                      <w:b/>
                      <w:bCs/>
                      <w:color w:val="auto"/>
                      <w:szCs w:val="21"/>
                      <w:lang w:eastAsia="zh-CN"/>
                    </w:rPr>
                    <w:t>（</w:t>
                  </w:r>
                  <w:r>
                    <w:rPr>
                      <w:rFonts w:ascii="Times New Roman"/>
                      <w:b/>
                      <w:bCs/>
                      <w:color w:val="auto"/>
                      <w:szCs w:val="21"/>
                    </w:rPr>
                    <w:t>m/s</w:t>
                  </w:r>
                  <w:r>
                    <w:rPr>
                      <w:rFonts w:hint="eastAsia" w:ascii="Times New Roman"/>
                      <w:b/>
                      <w:bCs/>
                      <w:color w:val="auto"/>
                      <w:szCs w:val="21"/>
                      <w:lang w:eastAsia="zh-CN"/>
                    </w:rPr>
                    <w:t>）</w:t>
                  </w:r>
                </w:p>
              </w:tc>
              <w:tc>
                <w:tcPr>
                  <w:tcW w:w="443"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烟气温度</w:t>
                  </w:r>
                  <w:r>
                    <w:rPr>
                      <w:rFonts w:hint="eastAsia" w:ascii="Times New Roman"/>
                      <w:b/>
                      <w:bCs/>
                      <w:color w:val="auto"/>
                      <w:szCs w:val="21"/>
                      <w:lang w:eastAsia="zh-CN"/>
                    </w:rPr>
                    <w:t>（</w:t>
                  </w:r>
                  <w:r>
                    <w:rPr>
                      <w:rFonts w:ascii="Times New Roman"/>
                      <w:b/>
                      <w:bCs/>
                      <w:color w:val="auto"/>
                      <w:szCs w:val="21"/>
                    </w:rPr>
                    <w:t>℃</w:t>
                  </w:r>
                  <w:r>
                    <w:rPr>
                      <w:rFonts w:hint="eastAsia" w:ascii="Times New Roman"/>
                      <w:b/>
                      <w:bCs/>
                      <w:color w:val="auto"/>
                      <w:szCs w:val="21"/>
                      <w:lang w:eastAsia="zh-CN"/>
                    </w:rPr>
                    <w:t>）</w:t>
                  </w:r>
                </w:p>
              </w:tc>
              <w:tc>
                <w:tcPr>
                  <w:tcW w:w="458"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年排放小时数</w:t>
                  </w:r>
                  <w:r>
                    <w:rPr>
                      <w:rFonts w:hint="eastAsia" w:ascii="Times New Roman"/>
                      <w:b/>
                      <w:bCs/>
                      <w:color w:val="auto"/>
                      <w:szCs w:val="21"/>
                      <w:lang w:eastAsia="zh-CN"/>
                    </w:rPr>
                    <w:t>（</w:t>
                  </w:r>
                  <w:r>
                    <w:rPr>
                      <w:rFonts w:hint="eastAsia" w:ascii="Times New Roman"/>
                      <w:b/>
                      <w:bCs/>
                      <w:color w:val="auto"/>
                      <w:szCs w:val="21"/>
                      <w:lang w:val="en-US" w:eastAsia="zh-CN"/>
                    </w:rPr>
                    <w:t>h</w:t>
                  </w:r>
                  <w:r>
                    <w:rPr>
                      <w:rFonts w:hint="eastAsia" w:ascii="Times New Roman"/>
                      <w:b/>
                      <w:bCs/>
                      <w:color w:val="auto"/>
                      <w:szCs w:val="21"/>
                      <w:lang w:eastAsia="zh-CN"/>
                    </w:rPr>
                    <w:t>）</w:t>
                  </w:r>
                </w:p>
              </w:tc>
              <w:tc>
                <w:tcPr>
                  <w:tcW w:w="263"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排放工况</w:t>
                  </w:r>
                </w:p>
              </w:tc>
              <w:tc>
                <w:tcPr>
                  <w:tcW w:w="305"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b/>
                      <w:bCs/>
                      <w:color w:val="auto"/>
                      <w:szCs w:val="21"/>
                    </w:rPr>
                  </w:pPr>
                  <w:r>
                    <w:rPr>
                      <w:rFonts w:ascii="Times New Roman"/>
                      <w:b/>
                      <w:bCs/>
                      <w:color w:val="auto"/>
                      <w:szCs w:val="21"/>
                    </w:rPr>
                    <w:t>污染源名称</w:t>
                  </w:r>
                </w:p>
              </w:tc>
              <w:tc>
                <w:tcPr>
                  <w:tcW w:w="498" w:type="pct"/>
                  <w:tcBorders>
                    <w:bottom w:val="single" w:color="auto" w:sz="12"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eastAsia" w:ascii="Times New Roman" w:eastAsia="宋体"/>
                      <w:b/>
                      <w:bCs/>
                      <w:color w:val="auto"/>
                      <w:szCs w:val="21"/>
                      <w:lang w:eastAsia="zh-CN"/>
                    </w:rPr>
                  </w:pPr>
                  <w:r>
                    <w:rPr>
                      <w:rFonts w:ascii="Times New Roman"/>
                      <w:b/>
                      <w:bCs/>
                      <w:color w:val="auto"/>
                      <w:szCs w:val="21"/>
                    </w:rPr>
                    <w:t>污染物排放速率</w:t>
                  </w:r>
                  <w:r>
                    <w:rPr>
                      <w:rFonts w:hint="eastAsia" w:ascii="Times New Roman"/>
                      <w:b/>
                      <w:bCs/>
                      <w:color w:val="auto"/>
                      <w:szCs w:val="21"/>
                      <w:lang w:eastAsia="zh-CN"/>
                    </w:rPr>
                    <w:t>（</w:t>
                  </w:r>
                  <w:r>
                    <w:rPr>
                      <w:rFonts w:ascii="Times New Roman"/>
                      <w:b/>
                      <w:bCs/>
                      <w:color w:val="auto"/>
                      <w:szCs w:val="21"/>
                    </w:rPr>
                    <w:t>kg/h</w:t>
                  </w:r>
                  <w:r>
                    <w:rPr>
                      <w:rFonts w:hint="eastAsia" w:ascii="Times New Roman"/>
                      <w:b/>
                      <w:bCs/>
                      <w:color w:val="auto"/>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DA001</w:t>
                  </w:r>
                </w:p>
              </w:tc>
              <w:tc>
                <w:tcPr>
                  <w:tcW w:w="503"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8</w:t>
                  </w:r>
                  <w:r>
                    <w:rPr>
                      <w:rFonts w:hint="eastAsia" w:ascii="Times New Roman"/>
                      <w:color w:val="auto"/>
                      <w:szCs w:val="21"/>
                      <w:lang w:val="en-US" w:eastAsia="zh-CN"/>
                    </w:rPr>
                    <w:t>7</w:t>
                  </w:r>
                  <w:r>
                    <w:rPr>
                      <w:rFonts w:ascii="Times New Roman"/>
                      <w:color w:val="auto"/>
                      <w:szCs w:val="21"/>
                    </w:rPr>
                    <w:t>°</w:t>
                  </w:r>
                  <w:r>
                    <w:rPr>
                      <w:rFonts w:hint="eastAsia" w:ascii="Times New Roman"/>
                      <w:color w:val="auto"/>
                      <w:szCs w:val="21"/>
                      <w:lang w:val="en-US" w:eastAsia="zh-CN"/>
                    </w:rPr>
                    <w:t>49</w:t>
                  </w:r>
                  <w:r>
                    <w:rPr>
                      <w:rFonts w:ascii="Times New Roman"/>
                      <w:color w:val="auto"/>
                      <w:szCs w:val="21"/>
                    </w:rPr>
                    <w:t>′</w:t>
                  </w:r>
                  <w:r>
                    <w:rPr>
                      <w:rFonts w:hint="eastAsia" w:ascii="Times New Roman"/>
                      <w:color w:val="auto"/>
                      <w:szCs w:val="21"/>
                      <w:lang w:val="en-US" w:eastAsia="zh-CN"/>
                    </w:rPr>
                    <w:t>19.95</w:t>
                  </w:r>
                  <w:r>
                    <w:rPr>
                      <w:rFonts w:ascii="Times New Roman"/>
                      <w:color w:val="auto"/>
                      <w:szCs w:val="21"/>
                    </w:rPr>
                    <w:t>″</w:t>
                  </w:r>
                </w:p>
              </w:tc>
              <w:tc>
                <w:tcPr>
                  <w:tcW w:w="459"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4</w:t>
                  </w:r>
                  <w:r>
                    <w:rPr>
                      <w:rFonts w:hint="eastAsia" w:ascii="Times New Roman"/>
                      <w:color w:val="auto"/>
                      <w:szCs w:val="21"/>
                      <w:lang w:val="en-US" w:eastAsia="zh-CN"/>
                    </w:rPr>
                    <w:t>4</w:t>
                  </w:r>
                  <w:r>
                    <w:rPr>
                      <w:rFonts w:ascii="Times New Roman"/>
                      <w:color w:val="auto"/>
                      <w:szCs w:val="21"/>
                    </w:rPr>
                    <w:t>°</w:t>
                  </w:r>
                  <w:r>
                    <w:rPr>
                      <w:rFonts w:hint="eastAsia" w:ascii="Times New Roman"/>
                      <w:color w:val="auto"/>
                      <w:szCs w:val="21"/>
                      <w:lang w:val="en-US" w:eastAsia="zh-CN"/>
                    </w:rPr>
                    <w:t>9</w:t>
                  </w:r>
                  <w:r>
                    <w:rPr>
                      <w:rFonts w:ascii="Times New Roman"/>
                      <w:color w:val="auto"/>
                      <w:szCs w:val="21"/>
                    </w:rPr>
                    <w:t>′</w:t>
                  </w:r>
                  <w:r>
                    <w:rPr>
                      <w:rFonts w:hint="eastAsia" w:ascii="Times New Roman"/>
                      <w:color w:val="auto"/>
                      <w:szCs w:val="21"/>
                      <w:lang w:val="en-US" w:eastAsia="zh-CN"/>
                    </w:rPr>
                    <w:t>21.42</w:t>
                  </w:r>
                  <w:r>
                    <w:rPr>
                      <w:rFonts w:ascii="Times New Roman"/>
                      <w:color w:val="auto"/>
                      <w:szCs w:val="21"/>
                    </w:rPr>
                    <w:t>″</w:t>
                  </w:r>
                </w:p>
              </w:tc>
              <w:tc>
                <w:tcPr>
                  <w:tcW w:w="495"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509</w:t>
                  </w:r>
                </w:p>
              </w:tc>
              <w:tc>
                <w:tcPr>
                  <w:tcW w:w="410"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15</w:t>
                  </w:r>
                </w:p>
              </w:tc>
              <w:tc>
                <w:tcPr>
                  <w:tcW w:w="409"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lang w:bidi="ar"/>
                    </w:rPr>
                    <w:t>0.3</w:t>
                  </w:r>
                </w:p>
              </w:tc>
              <w:tc>
                <w:tcPr>
                  <w:tcW w:w="404"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bidi="ar"/>
                    </w:rPr>
                    <w:t>19</w:t>
                  </w:r>
                </w:p>
              </w:tc>
              <w:tc>
                <w:tcPr>
                  <w:tcW w:w="443"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25</w:t>
                  </w:r>
                </w:p>
              </w:tc>
              <w:tc>
                <w:tcPr>
                  <w:tcW w:w="458"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1680</w:t>
                  </w:r>
                </w:p>
              </w:tc>
              <w:tc>
                <w:tcPr>
                  <w:tcW w:w="263"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color w:val="auto"/>
                      <w:szCs w:val="21"/>
                    </w:rPr>
                  </w:pPr>
                  <w:r>
                    <w:rPr>
                      <w:rFonts w:ascii="Times New Roman"/>
                      <w:color w:val="auto"/>
                      <w:szCs w:val="21"/>
                    </w:rPr>
                    <w:t>正常</w:t>
                  </w:r>
                </w:p>
              </w:tc>
              <w:tc>
                <w:tcPr>
                  <w:tcW w:w="305"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颗粒物</w:t>
                  </w:r>
                </w:p>
              </w:tc>
              <w:tc>
                <w:tcPr>
                  <w:tcW w:w="498" w:type="pct"/>
                  <w:tcBorders>
                    <w:top w:val="single" w:color="auto" w:sz="12"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8"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eastAsia="宋体"/>
                      <w:color w:val="auto"/>
                      <w:szCs w:val="21"/>
                      <w:lang w:val="en-US" w:eastAsia="zh-CN"/>
                    </w:rPr>
                  </w:pPr>
                  <w:r>
                    <w:rPr>
                      <w:rFonts w:hint="eastAsia" w:ascii="Times New Roman"/>
                      <w:color w:val="auto"/>
                      <w:szCs w:val="21"/>
                      <w:lang w:val="en-US" w:eastAsia="zh-CN"/>
                    </w:rPr>
                    <w:t>DA002</w:t>
                  </w:r>
                </w:p>
              </w:tc>
              <w:tc>
                <w:tcPr>
                  <w:tcW w:w="503"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rPr>
                    <w:t>8</w:t>
                  </w:r>
                  <w:r>
                    <w:rPr>
                      <w:rFonts w:hint="eastAsia" w:ascii="Times New Roman"/>
                      <w:color w:val="auto"/>
                      <w:szCs w:val="21"/>
                      <w:lang w:val="en-US" w:eastAsia="zh-CN"/>
                    </w:rPr>
                    <w:t>7</w:t>
                  </w:r>
                  <w:r>
                    <w:rPr>
                      <w:rFonts w:ascii="Times New Roman"/>
                      <w:color w:val="auto"/>
                      <w:szCs w:val="21"/>
                    </w:rPr>
                    <w:t>°</w:t>
                  </w:r>
                  <w:r>
                    <w:rPr>
                      <w:rFonts w:hint="eastAsia" w:ascii="Times New Roman"/>
                      <w:color w:val="auto"/>
                      <w:szCs w:val="21"/>
                      <w:lang w:val="en-US" w:eastAsia="zh-CN"/>
                    </w:rPr>
                    <w:t>49</w:t>
                  </w:r>
                  <w:r>
                    <w:rPr>
                      <w:rFonts w:ascii="Times New Roman"/>
                      <w:color w:val="auto"/>
                      <w:szCs w:val="21"/>
                    </w:rPr>
                    <w:t>′</w:t>
                  </w:r>
                  <w:r>
                    <w:rPr>
                      <w:rFonts w:hint="eastAsia" w:ascii="Times New Roman"/>
                      <w:color w:val="auto"/>
                      <w:szCs w:val="21"/>
                      <w:lang w:val="en-US" w:eastAsia="zh-CN"/>
                    </w:rPr>
                    <w:t>20.58</w:t>
                  </w:r>
                  <w:r>
                    <w:rPr>
                      <w:rFonts w:ascii="Times New Roman"/>
                      <w:color w:val="auto"/>
                      <w:szCs w:val="21"/>
                    </w:rPr>
                    <w:t>″</w:t>
                  </w:r>
                </w:p>
              </w:tc>
              <w:tc>
                <w:tcPr>
                  <w:tcW w:w="459"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rPr>
                    <w:t>4</w:t>
                  </w:r>
                  <w:r>
                    <w:rPr>
                      <w:rFonts w:hint="eastAsia" w:ascii="Times New Roman"/>
                      <w:color w:val="auto"/>
                      <w:szCs w:val="21"/>
                      <w:lang w:val="en-US" w:eastAsia="zh-CN"/>
                    </w:rPr>
                    <w:t>4</w:t>
                  </w:r>
                  <w:r>
                    <w:rPr>
                      <w:rFonts w:ascii="Times New Roman"/>
                      <w:color w:val="auto"/>
                      <w:szCs w:val="21"/>
                    </w:rPr>
                    <w:t>°</w:t>
                  </w:r>
                  <w:r>
                    <w:rPr>
                      <w:rFonts w:hint="eastAsia" w:ascii="Times New Roman"/>
                      <w:color w:val="auto"/>
                      <w:szCs w:val="21"/>
                      <w:lang w:val="en-US" w:eastAsia="zh-CN"/>
                    </w:rPr>
                    <w:t>9</w:t>
                  </w:r>
                  <w:r>
                    <w:rPr>
                      <w:rFonts w:ascii="Times New Roman"/>
                      <w:color w:val="auto"/>
                      <w:szCs w:val="21"/>
                    </w:rPr>
                    <w:t>′</w:t>
                  </w:r>
                  <w:r>
                    <w:rPr>
                      <w:rFonts w:hint="eastAsia" w:ascii="Times New Roman"/>
                      <w:color w:val="auto"/>
                      <w:szCs w:val="21"/>
                      <w:lang w:val="en-US" w:eastAsia="zh-CN"/>
                    </w:rPr>
                    <w:t>19.92</w:t>
                  </w:r>
                  <w:r>
                    <w:rPr>
                      <w:rFonts w:ascii="Times New Roman"/>
                      <w:color w:val="auto"/>
                      <w:szCs w:val="21"/>
                    </w:rPr>
                    <w:t>″</w:t>
                  </w:r>
                </w:p>
              </w:tc>
              <w:tc>
                <w:tcPr>
                  <w:tcW w:w="495"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rPr>
                    <w:t>509</w:t>
                  </w:r>
                </w:p>
              </w:tc>
              <w:tc>
                <w:tcPr>
                  <w:tcW w:w="410"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rPr>
                    <w:t>15</w:t>
                  </w:r>
                </w:p>
              </w:tc>
              <w:tc>
                <w:tcPr>
                  <w:tcW w:w="409"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lang w:bidi="ar"/>
                    </w:rPr>
                    <w:t>0.3</w:t>
                  </w:r>
                </w:p>
              </w:tc>
              <w:tc>
                <w:tcPr>
                  <w:tcW w:w="404"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bidi="ar"/>
                    </w:rPr>
                    <w:t>19</w:t>
                  </w:r>
                </w:p>
              </w:tc>
              <w:tc>
                <w:tcPr>
                  <w:tcW w:w="443"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rPr>
                    <w:t>25</w:t>
                  </w:r>
                </w:p>
              </w:tc>
              <w:tc>
                <w:tcPr>
                  <w:tcW w:w="458"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rPr>
                    <w:t>1680</w:t>
                  </w:r>
                </w:p>
              </w:tc>
              <w:tc>
                <w:tcPr>
                  <w:tcW w:w="263"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ascii="Times New Roman" w:hAnsi="Times New Roman" w:eastAsia="宋体" w:cs="Times New Roman"/>
                      <w:color w:val="auto"/>
                      <w:kern w:val="0"/>
                      <w:sz w:val="21"/>
                      <w:szCs w:val="21"/>
                      <w:lang w:val="en-US" w:eastAsia="zh-CN" w:bidi="ar-SA"/>
                    </w:rPr>
                  </w:pPr>
                  <w:r>
                    <w:rPr>
                      <w:rFonts w:ascii="Times New Roman"/>
                      <w:color w:val="auto"/>
                      <w:szCs w:val="21"/>
                    </w:rPr>
                    <w:t>正常</w:t>
                  </w:r>
                </w:p>
              </w:tc>
              <w:tc>
                <w:tcPr>
                  <w:tcW w:w="305"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非甲烷总烃</w:t>
                  </w:r>
                </w:p>
              </w:tc>
              <w:tc>
                <w:tcPr>
                  <w:tcW w:w="498" w:type="pct"/>
                  <w:tcBorders>
                    <w:top w:val="single" w:color="auto" w:sz="4" w:space="0"/>
                    <w:bottom w:val="single" w:color="auto" w:sz="4" w:space="0"/>
                  </w:tcBorders>
                  <w:vAlign w:val="center"/>
                </w:tcPr>
                <w:p>
                  <w:pPr>
                    <w:pStyle w:val="32"/>
                    <w:keepNext w:val="0"/>
                    <w:keepLines w:val="0"/>
                    <w:pageBreakBefore w:val="0"/>
                    <w:widowControl w:val="0"/>
                    <w:kinsoku/>
                    <w:wordWrap/>
                    <w:overflowPunct/>
                    <w:topLinePunct w:val="0"/>
                    <w:autoSpaceDE/>
                    <w:autoSpaceDN/>
                    <w:bidi w:val="0"/>
                    <w:adjustRightInd/>
                    <w:snapToGrid/>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lang w:val="en-US" w:eastAsia="zh-CN"/>
                    </w:rPr>
                    <w:t>0.155</w:t>
                  </w:r>
                </w:p>
              </w:tc>
            </w:tr>
          </w:tbl>
          <w:p>
            <w:pPr>
              <w:keepNext w:val="0"/>
              <w:keepLines w:val="0"/>
              <w:pageBreakBefore w:val="0"/>
              <w:widowControl/>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 xml:space="preserve">1.4 </w:t>
            </w:r>
            <w:r>
              <w:rPr>
                <w:b/>
                <w:bCs/>
                <w:color w:val="auto"/>
                <w:sz w:val="24"/>
              </w:rPr>
              <w:t>废气监测计划</w:t>
            </w:r>
          </w:p>
          <w:p>
            <w:pPr>
              <w:pStyle w:val="1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Times New Roman" w:hAnsi="Times New Roman" w:eastAsia="宋体"/>
                <w:bCs/>
                <w:color w:val="auto"/>
                <w:sz w:val="24"/>
                <w:szCs w:val="22"/>
              </w:rPr>
            </w:pPr>
            <w:r>
              <w:rPr>
                <w:rFonts w:hint="eastAsia" w:ascii="Times New Roman" w:hAnsi="Times New Roman" w:eastAsia="宋体"/>
                <w:bCs/>
                <w:color w:val="auto"/>
                <w:sz w:val="24"/>
                <w:szCs w:val="22"/>
                <w:lang w:val="en-US" w:eastAsia="zh-CN"/>
              </w:rPr>
              <w:t>根据</w:t>
            </w:r>
            <w:r>
              <w:rPr>
                <w:rFonts w:hint="default" w:ascii="Times New Roman" w:hAnsi="Times New Roman" w:eastAsia="宋体"/>
                <w:bCs/>
                <w:color w:val="auto"/>
                <w:sz w:val="24"/>
                <w:szCs w:val="22"/>
                <w:lang w:val="en-US" w:eastAsia="zh-CN"/>
              </w:rPr>
              <w:t>《排污许可证申请与核发技术规范废弃资源加工工业》</w:t>
            </w:r>
            <w:r>
              <w:rPr>
                <w:rFonts w:hint="eastAsia" w:ascii="Times New Roman" w:hAnsi="Times New Roman" w:eastAsia="宋体"/>
                <w:bCs/>
                <w:color w:val="auto"/>
                <w:sz w:val="24"/>
                <w:szCs w:val="22"/>
                <w:lang w:val="en-US" w:eastAsia="zh-CN"/>
              </w:rPr>
              <w:t>（</w:t>
            </w:r>
            <w:r>
              <w:rPr>
                <w:rFonts w:hint="default" w:ascii="Times New Roman" w:hAnsi="Times New Roman" w:eastAsia="宋体"/>
                <w:bCs/>
                <w:color w:val="auto"/>
                <w:sz w:val="24"/>
                <w:szCs w:val="22"/>
                <w:lang w:val="en-US" w:eastAsia="zh-CN"/>
              </w:rPr>
              <w:t>HJ1034-2019</w:t>
            </w:r>
            <w:r>
              <w:rPr>
                <w:rFonts w:hint="eastAsia" w:ascii="Times New Roman" w:hAnsi="Times New Roman" w:eastAsia="宋体"/>
                <w:bCs/>
                <w:color w:val="auto"/>
                <w:sz w:val="24"/>
                <w:szCs w:val="22"/>
                <w:lang w:val="en-US" w:eastAsia="zh-CN"/>
              </w:rPr>
              <w:t>）《挥发性有机物无组织排放控制标准》（GB37822-2019），本项目</w:t>
            </w:r>
            <w:r>
              <w:rPr>
                <w:rFonts w:ascii="Times New Roman" w:hAnsi="Times New Roman" w:eastAsia="宋体"/>
                <w:bCs/>
                <w:color w:val="auto"/>
                <w:sz w:val="24"/>
                <w:szCs w:val="22"/>
              </w:rPr>
              <w:t>废气监测工作内容详见表4-</w:t>
            </w:r>
            <w:r>
              <w:rPr>
                <w:rFonts w:hint="eastAsia" w:ascii="Times New Roman" w:hAnsi="Times New Roman" w:eastAsia="宋体"/>
                <w:bCs/>
                <w:color w:val="auto"/>
                <w:sz w:val="24"/>
                <w:szCs w:val="22"/>
                <w:lang w:val="en-US" w:eastAsia="zh-CN"/>
              </w:rPr>
              <w:t>7</w:t>
            </w:r>
            <w:r>
              <w:rPr>
                <w:rFonts w:ascii="Times New Roman" w:hAnsi="Times New Roman" w:eastAsia="宋体"/>
                <w:bCs/>
                <w:color w:val="auto"/>
                <w:sz w:val="24"/>
                <w:szCs w:val="22"/>
              </w:rPr>
              <w:t>。</w:t>
            </w:r>
          </w:p>
          <w:p>
            <w:pPr>
              <w:pStyle w:val="41"/>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表4-7    废气自行监测要求一览表</w:t>
            </w:r>
          </w:p>
          <w:tbl>
            <w:tblPr>
              <w:tblStyle w:val="25"/>
              <w:tblW w:w="499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96"/>
              <w:gridCol w:w="1870"/>
              <w:gridCol w:w="2377"/>
              <w:gridCol w:w="257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48" w:type="pct"/>
                  <w:vAlign w:val="center"/>
                </w:tcPr>
                <w:p>
                  <w:pPr>
                    <w:widowControl/>
                    <w:jc w:val="center"/>
                    <w:textAlignment w:val="center"/>
                    <w:rPr>
                      <w:color w:val="auto"/>
                      <w:kern w:val="0"/>
                      <w:szCs w:val="21"/>
                    </w:rPr>
                  </w:pPr>
                  <w:r>
                    <w:rPr>
                      <w:color w:val="auto"/>
                      <w:kern w:val="0"/>
                      <w:szCs w:val="21"/>
                    </w:rPr>
                    <w:t>监测对象</w:t>
                  </w:r>
                </w:p>
              </w:tc>
              <w:tc>
                <w:tcPr>
                  <w:tcW w:w="1111" w:type="pct"/>
                  <w:vAlign w:val="center"/>
                </w:tcPr>
                <w:p>
                  <w:pPr>
                    <w:widowControl/>
                    <w:jc w:val="center"/>
                    <w:textAlignment w:val="center"/>
                    <w:rPr>
                      <w:color w:val="auto"/>
                      <w:kern w:val="0"/>
                      <w:szCs w:val="21"/>
                    </w:rPr>
                  </w:pPr>
                  <w:r>
                    <w:rPr>
                      <w:color w:val="auto"/>
                      <w:kern w:val="0"/>
                      <w:szCs w:val="21"/>
                    </w:rPr>
                    <w:t>监测位置</w:t>
                  </w:r>
                </w:p>
              </w:tc>
              <w:tc>
                <w:tcPr>
                  <w:tcW w:w="1412" w:type="pct"/>
                  <w:vAlign w:val="center"/>
                </w:tcPr>
                <w:p>
                  <w:pPr>
                    <w:widowControl/>
                    <w:jc w:val="center"/>
                    <w:textAlignment w:val="center"/>
                    <w:rPr>
                      <w:color w:val="auto"/>
                      <w:kern w:val="0"/>
                      <w:szCs w:val="21"/>
                    </w:rPr>
                  </w:pPr>
                  <w:r>
                    <w:rPr>
                      <w:color w:val="auto"/>
                      <w:kern w:val="0"/>
                      <w:szCs w:val="21"/>
                    </w:rPr>
                    <w:t>监测项目</w:t>
                  </w:r>
                </w:p>
              </w:tc>
              <w:tc>
                <w:tcPr>
                  <w:tcW w:w="1526" w:type="pct"/>
                  <w:vAlign w:val="center"/>
                </w:tcPr>
                <w:p>
                  <w:pPr>
                    <w:widowControl/>
                    <w:jc w:val="center"/>
                    <w:textAlignment w:val="center"/>
                    <w:rPr>
                      <w:color w:val="auto"/>
                      <w:kern w:val="0"/>
                      <w:szCs w:val="21"/>
                    </w:rPr>
                  </w:pPr>
                  <w:r>
                    <w:rPr>
                      <w:color w:val="auto"/>
                      <w:kern w:val="0"/>
                      <w:szCs w:val="21"/>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48" w:type="pct"/>
                  <w:vMerge w:val="restart"/>
                  <w:vAlign w:val="center"/>
                </w:tcPr>
                <w:p>
                  <w:pPr>
                    <w:widowControl/>
                    <w:jc w:val="center"/>
                    <w:textAlignment w:val="center"/>
                    <w:rPr>
                      <w:color w:val="auto"/>
                      <w:kern w:val="0"/>
                      <w:szCs w:val="21"/>
                    </w:rPr>
                  </w:pPr>
                  <w:r>
                    <w:rPr>
                      <w:color w:val="auto"/>
                      <w:kern w:val="0"/>
                      <w:szCs w:val="21"/>
                    </w:rPr>
                    <w:t>废气</w:t>
                  </w:r>
                </w:p>
              </w:tc>
              <w:tc>
                <w:tcPr>
                  <w:tcW w:w="1111"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破碎废气排放口DA001</w:t>
                  </w:r>
                </w:p>
              </w:tc>
              <w:tc>
                <w:tcPr>
                  <w:tcW w:w="1412"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颗粒物</w:t>
                  </w:r>
                </w:p>
              </w:tc>
              <w:tc>
                <w:tcPr>
                  <w:tcW w:w="1526"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48" w:type="pct"/>
                  <w:vMerge w:val="continue"/>
                  <w:vAlign w:val="center"/>
                </w:tcPr>
                <w:p>
                  <w:pPr>
                    <w:widowControl/>
                    <w:jc w:val="center"/>
                    <w:textAlignment w:val="center"/>
                    <w:rPr>
                      <w:color w:val="auto"/>
                      <w:kern w:val="0"/>
                      <w:szCs w:val="21"/>
                    </w:rPr>
                  </w:pPr>
                </w:p>
              </w:tc>
              <w:tc>
                <w:tcPr>
                  <w:tcW w:w="1111" w:type="pct"/>
                  <w:vAlign w:val="center"/>
                </w:tcPr>
                <w:p>
                  <w:pPr>
                    <w:widowControl/>
                    <w:jc w:val="center"/>
                    <w:textAlignment w:val="center"/>
                    <w:rPr>
                      <w:color w:val="auto"/>
                      <w:kern w:val="0"/>
                      <w:szCs w:val="21"/>
                    </w:rPr>
                  </w:pPr>
                  <w:r>
                    <w:rPr>
                      <w:rFonts w:hint="eastAsia"/>
                      <w:color w:val="auto"/>
                      <w:kern w:val="0"/>
                      <w:szCs w:val="21"/>
                      <w:lang w:val="en-US" w:eastAsia="zh-CN"/>
                    </w:rPr>
                    <w:t>热熔废气排放口DA002</w:t>
                  </w:r>
                </w:p>
              </w:tc>
              <w:tc>
                <w:tcPr>
                  <w:tcW w:w="1412"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非甲烷总烃、颗粒物</w:t>
                  </w:r>
                </w:p>
              </w:tc>
              <w:tc>
                <w:tcPr>
                  <w:tcW w:w="1526"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1次/半年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948" w:type="pct"/>
                  <w:vMerge w:val="continue"/>
                  <w:vAlign w:val="center"/>
                </w:tcPr>
                <w:p>
                  <w:pPr>
                    <w:widowControl/>
                    <w:jc w:val="center"/>
                    <w:textAlignment w:val="center"/>
                    <w:rPr>
                      <w:color w:val="auto"/>
                      <w:kern w:val="0"/>
                      <w:szCs w:val="21"/>
                    </w:rPr>
                  </w:pPr>
                </w:p>
              </w:tc>
              <w:tc>
                <w:tcPr>
                  <w:tcW w:w="1111" w:type="pct"/>
                  <w:vAlign w:val="center"/>
                </w:tcPr>
                <w:p>
                  <w:pPr>
                    <w:widowControl/>
                    <w:jc w:val="center"/>
                    <w:textAlignment w:val="center"/>
                    <w:rPr>
                      <w:color w:val="auto"/>
                      <w:kern w:val="0"/>
                      <w:szCs w:val="21"/>
                    </w:rPr>
                  </w:pPr>
                  <w:r>
                    <w:rPr>
                      <w:color w:val="auto"/>
                      <w:kern w:val="0"/>
                      <w:szCs w:val="21"/>
                    </w:rPr>
                    <w:t>厂界</w:t>
                  </w:r>
                </w:p>
              </w:tc>
              <w:tc>
                <w:tcPr>
                  <w:tcW w:w="1412"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颗粒物、非甲烷总烃</w:t>
                  </w:r>
                </w:p>
              </w:tc>
              <w:tc>
                <w:tcPr>
                  <w:tcW w:w="1526" w:type="pct"/>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948" w:type="pct"/>
                  <w:vMerge w:val="continue"/>
                  <w:vAlign w:val="center"/>
                </w:tcPr>
                <w:p>
                  <w:pPr>
                    <w:widowControl/>
                    <w:jc w:val="center"/>
                    <w:textAlignment w:val="center"/>
                    <w:rPr>
                      <w:color w:val="auto"/>
                      <w:kern w:val="0"/>
                      <w:szCs w:val="21"/>
                    </w:rPr>
                  </w:pPr>
                </w:p>
              </w:tc>
              <w:tc>
                <w:tcPr>
                  <w:tcW w:w="1111" w:type="pct"/>
                  <w:vAlign w:val="center"/>
                </w:tcPr>
                <w:p>
                  <w:pPr>
                    <w:widowControl/>
                    <w:jc w:val="center"/>
                    <w:textAlignment w:val="center"/>
                    <w:rPr>
                      <w:rFonts w:hint="eastAsia" w:eastAsia="宋体"/>
                      <w:color w:val="auto"/>
                      <w:kern w:val="0"/>
                      <w:szCs w:val="21"/>
                      <w:lang w:val="en-US" w:eastAsia="zh-CN"/>
                    </w:rPr>
                  </w:pPr>
                  <w:r>
                    <w:rPr>
                      <w:rFonts w:hint="eastAsia"/>
                      <w:color w:val="auto"/>
                      <w:kern w:val="0"/>
                      <w:szCs w:val="21"/>
                      <w:lang w:val="en-US" w:eastAsia="zh-CN"/>
                    </w:rPr>
                    <w:t>厂内</w:t>
                  </w:r>
                </w:p>
              </w:tc>
              <w:tc>
                <w:tcPr>
                  <w:tcW w:w="1412" w:type="pct"/>
                  <w:vAlign w:val="center"/>
                </w:tcPr>
                <w:p>
                  <w:pPr>
                    <w:widowControl/>
                    <w:jc w:val="center"/>
                    <w:textAlignment w:val="center"/>
                    <w:rPr>
                      <w:rFonts w:hint="default"/>
                      <w:color w:val="auto"/>
                      <w:kern w:val="0"/>
                      <w:szCs w:val="21"/>
                      <w:lang w:val="en-US" w:eastAsia="zh-CN"/>
                    </w:rPr>
                  </w:pPr>
                  <w:r>
                    <w:rPr>
                      <w:rFonts w:hint="eastAsia"/>
                      <w:color w:val="auto"/>
                      <w:kern w:val="0"/>
                      <w:szCs w:val="21"/>
                      <w:lang w:val="en-US" w:eastAsia="zh-CN"/>
                    </w:rPr>
                    <w:t>非甲烷总烃</w:t>
                  </w:r>
                </w:p>
              </w:tc>
              <w:tc>
                <w:tcPr>
                  <w:tcW w:w="1526" w:type="pct"/>
                  <w:vAlign w:val="center"/>
                </w:tcPr>
                <w:p>
                  <w:pPr>
                    <w:widowControl/>
                    <w:jc w:val="center"/>
                    <w:textAlignment w:val="center"/>
                    <w:rPr>
                      <w:rFonts w:hint="default"/>
                      <w:color w:val="auto"/>
                      <w:kern w:val="0"/>
                      <w:szCs w:val="21"/>
                      <w:lang w:val="en-US" w:eastAsia="zh-CN"/>
                    </w:rPr>
                  </w:pPr>
                  <w:r>
                    <w:rPr>
                      <w:rFonts w:hint="eastAsia"/>
                      <w:color w:val="auto"/>
                      <w:kern w:val="0"/>
                      <w:szCs w:val="21"/>
                      <w:lang w:val="en-US" w:eastAsia="zh-CN"/>
                    </w:rPr>
                    <w:t>1次/年</w:t>
                  </w:r>
                </w:p>
              </w:tc>
            </w:tr>
          </w:tbl>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textAlignment w:val="auto"/>
              <w:rPr>
                <w:rFonts w:hint="eastAsia"/>
                <w:b/>
                <w:bCs/>
                <w:color w:val="auto"/>
                <w:sz w:val="24"/>
                <w:lang w:val="en-US" w:eastAsia="zh-CN"/>
              </w:rPr>
            </w:pPr>
            <w:r>
              <w:rPr>
                <w:rFonts w:hint="eastAsia"/>
                <w:b/>
                <w:bCs/>
                <w:color w:val="auto"/>
                <w:sz w:val="24"/>
                <w:lang w:val="en-US" w:eastAsia="zh-CN"/>
              </w:rPr>
              <w:t>1.5 非正常工况</w:t>
            </w:r>
          </w:p>
          <w:p>
            <w:pPr>
              <w:pStyle w:val="1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Cs/>
                <w:color w:val="auto"/>
                <w:sz w:val="24"/>
                <w:szCs w:val="22"/>
                <w:lang w:val="en-US" w:eastAsia="zh-CN"/>
              </w:rPr>
            </w:pPr>
            <w:r>
              <w:rPr>
                <w:rFonts w:hint="default" w:ascii="Times New Roman" w:hAnsi="Times New Roman" w:eastAsia="宋体" w:cs="Times New Roman"/>
                <w:bCs/>
                <w:color w:val="auto"/>
                <w:sz w:val="24"/>
                <w:szCs w:val="22"/>
                <w:lang w:val="en-US" w:eastAsia="zh-CN"/>
              </w:rPr>
              <w:t>根据《环境音响评价技术导则 大气环境》（HJ2.2-2018），非正常排放包括设备检修、污染物排放控制措施达不到应有效率和工艺设备运转异常等。本项目非正常工况主要为袋式除尘装置破损</w:t>
            </w:r>
            <w:r>
              <w:rPr>
                <w:rFonts w:hint="eastAsia" w:ascii="Times New Roman" w:hAnsi="Times New Roman" w:eastAsia="宋体" w:cs="Times New Roman"/>
                <w:bCs/>
                <w:color w:val="auto"/>
                <w:sz w:val="24"/>
                <w:szCs w:val="22"/>
                <w:lang w:val="en-US" w:eastAsia="zh-CN"/>
              </w:rPr>
              <w:t>、催化燃烧装置故障、活性炭堵塞</w:t>
            </w:r>
            <w:r>
              <w:rPr>
                <w:rFonts w:hint="default" w:ascii="Times New Roman" w:hAnsi="Times New Roman" w:eastAsia="宋体" w:cs="Times New Roman"/>
                <w:bCs/>
                <w:color w:val="auto"/>
                <w:sz w:val="24"/>
                <w:szCs w:val="22"/>
                <w:lang w:val="en-US" w:eastAsia="zh-CN"/>
              </w:rPr>
              <w:t>，袋式除尘装置发生故障时</w:t>
            </w:r>
            <w:r>
              <w:rPr>
                <w:rFonts w:hint="eastAsia" w:ascii="Times New Roman" w:hAnsi="Times New Roman" w:eastAsia="宋体" w:cs="Times New Roman"/>
                <w:bCs/>
                <w:color w:val="auto"/>
                <w:sz w:val="24"/>
                <w:szCs w:val="22"/>
                <w:lang w:val="en-US" w:eastAsia="zh-CN"/>
              </w:rPr>
              <w:t>颗粒物</w:t>
            </w:r>
            <w:r>
              <w:rPr>
                <w:rFonts w:hint="default" w:ascii="Times New Roman" w:hAnsi="Times New Roman" w:eastAsia="宋体" w:cs="Times New Roman"/>
                <w:bCs/>
                <w:color w:val="auto"/>
                <w:sz w:val="24"/>
                <w:szCs w:val="22"/>
                <w:lang w:val="en-US" w:eastAsia="zh-CN"/>
              </w:rPr>
              <w:t>处理效率为0，</w:t>
            </w:r>
            <w:r>
              <w:rPr>
                <w:rFonts w:hint="eastAsia" w:ascii="Times New Roman" w:hAnsi="Times New Roman" w:eastAsia="宋体" w:cs="Times New Roman"/>
                <w:bCs/>
                <w:color w:val="auto"/>
                <w:sz w:val="24"/>
                <w:szCs w:val="22"/>
                <w:lang w:val="en-US" w:eastAsia="zh-CN"/>
              </w:rPr>
              <w:t>催化燃烧装置和活性炭吸附故障时非甲烷总烃</w:t>
            </w:r>
            <w:r>
              <w:rPr>
                <w:rFonts w:hint="default" w:ascii="Times New Roman" w:hAnsi="Times New Roman" w:eastAsia="宋体" w:cs="Times New Roman"/>
                <w:bCs/>
                <w:color w:val="auto"/>
                <w:sz w:val="24"/>
                <w:szCs w:val="22"/>
                <w:lang w:val="en-US" w:eastAsia="zh-CN"/>
              </w:rPr>
              <w:t>处理效率为0。在此情况下，发生频次按每年一次，本项目颗粒物</w:t>
            </w:r>
            <w:r>
              <w:rPr>
                <w:rFonts w:hint="eastAsia" w:ascii="Times New Roman" w:hAnsi="Times New Roman" w:eastAsia="宋体" w:cs="Times New Roman"/>
                <w:bCs/>
                <w:color w:val="auto"/>
                <w:sz w:val="24"/>
                <w:szCs w:val="22"/>
                <w:lang w:val="en-US" w:eastAsia="zh-CN"/>
              </w:rPr>
              <w:t>、非甲烷总烃</w:t>
            </w:r>
            <w:r>
              <w:rPr>
                <w:rFonts w:hint="default" w:ascii="Times New Roman" w:hAnsi="Times New Roman" w:eastAsia="宋体" w:cs="Times New Roman"/>
                <w:bCs/>
                <w:color w:val="auto"/>
                <w:sz w:val="24"/>
                <w:szCs w:val="22"/>
                <w:lang w:val="en-US" w:eastAsia="zh-CN"/>
              </w:rPr>
              <w:t>的产生情况和排放情况，具体见下表</w:t>
            </w:r>
            <w:r>
              <w:rPr>
                <w:rFonts w:hint="eastAsia" w:ascii="Times New Roman" w:hAnsi="Times New Roman" w:eastAsia="宋体" w:cs="Times New Roman"/>
                <w:bCs/>
                <w:color w:val="auto"/>
                <w:sz w:val="24"/>
                <w:szCs w:val="22"/>
                <w:lang w:val="en-US" w:eastAsia="zh-CN"/>
              </w:rPr>
              <w:t>。</w:t>
            </w:r>
          </w:p>
          <w:p>
            <w:pPr>
              <w:pStyle w:val="41"/>
              <w:keepNext w:val="0"/>
              <w:keepLines w:val="0"/>
              <w:pageBreakBefore w:val="0"/>
              <w:widowControl w:val="0"/>
              <w:kinsoku/>
              <w:wordWrap/>
              <w:overflowPunct/>
              <w:topLinePunct w:val="0"/>
              <w:autoSpaceDE/>
              <w:autoSpaceDN/>
              <w:bidi w:val="0"/>
              <w:adjustRightInd/>
              <w:snapToGrid/>
              <w:spacing w:after="0" w:line="520" w:lineRule="exact"/>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表4-8    非正常工况下废气污染物排放情况一览表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936"/>
              <w:gridCol w:w="922"/>
              <w:gridCol w:w="1177"/>
              <w:gridCol w:w="1275"/>
              <w:gridCol w:w="1028"/>
              <w:gridCol w:w="1028"/>
              <w:gridCol w:w="1028"/>
              <w:gridCol w:w="1029"/>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w:t>
                  </w:r>
                </w:p>
              </w:tc>
              <w:tc>
                <w:tcPr>
                  <w:tcW w:w="547"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排放方式</w:t>
                  </w:r>
                </w:p>
              </w:tc>
              <w:tc>
                <w:tcPr>
                  <w:tcW w:w="698"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污染物产生量</w:t>
                  </w:r>
                </w:p>
              </w:tc>
              <w:tc>
                <w:tcPr>
                  <w:tcW w:w="756"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排放浓度（mg/m</w:t>
                  </w:r>
                  <w:r>
                    <w:rPr>
                      <w:rFonts w:hint="eastAsia"/>
                      <w:color w:val="auto"/>
                      <w:sz w:val="21"/>
                      <w:szCs w:val="21"/>
                      <w:vertAlign w:val="superscript"/>
                      <w:lang w:val="en-US" w:eastAsia="zh-CN"/>
                    </w:rPr>
                    <w:t>3</w:t>
                  </w:r>
                  <w:r>
                    <w:rPr>
                      <w:rFonts w:hint="eastAsia"/>
                      <w:color w:val="auto"/>
                      <w:sz w:val="21"/>
                      <w:szCs w:val="21"/>
                      <w:vertAlign w:val="baseline"/>
                      <w:lang w:val="en-US" w:eastAsia="zh-CN"/>
                    </w:rPr>
                    <w:t>）</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达标情况</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持续时间</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发生频率</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lang w:val="en-US" w:eastAsia="zh-CN"/>
                    </w:rPr>
                  </w:pPr>
                  <w:r>
                    <w:rPr>
                      <w:rFonts w:hint="eastAsia"/>
                      <w:color w:val="auto"/>
                      <w:sz w:val="21"/>
                      <w:szCs w:val="21"/>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颗粒物</w:t>
                  </w:r>
                </w:p>
              </w:tc>
              <w:tc>
                <w:tcPr>
                  <w:tcW w:w="547"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698"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1.228kg</w:t>
                  </w:r>
                </w:p>
              </w:tc>
              <w:tc>
                <w:tcPr>
                  <w:tcW w:w="756"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245.6</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超标</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＜1h</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1次/a</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立即停产</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c>
                <w:tcPr>
                  <w:tcW w:w="555"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非甲烷总烃</w:t>
                  </w:r>
                </w:p>
              </w:tc>
              <w:tc>
                <w:tcPr>
                  <w:tcW w:w="547"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698"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1.146kg</w:t>
                  </w:r>
                </w:p>
              </w:tc>
              <w:tc>
                <w:tcPr>
                  <w:tcW w:w="756"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229.2</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超标</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＜1h</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1次/a</w:t>
                  </w:r>
                </w:p>
              </w:tc>
              <w:tc>
                <w:tcPr>
                  <w:tcW w:w="610" w:type="pct"/>
                  <w:tcBorders>
                    <w:tl2br w:val="nil"/>
                    <w:tr2bl w:val="nil"/>
                  </w:tcBorders>
                  <w:vAlign w:val="center"/>
                </w:tcPr>
                <w:p>
                  <w:pPr>
                    <w:pStyle w:val="11"/>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立即停产</w:t>
                  </w:r>
                </w:p>
              </w:tc>
            </w:tr>
          </w:tbl>
          <w:p>
            <w:pPr>
              <w:pStyle w:val="16"/>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bCs/>
                <w:color w:val="auto"/>
                <w:sz w:val="24"/>
                <w:szCs w:val="22"/>
                <w:lang w:val="en-US" w:eastAsia="zh-CN"/>
              </w:rPr>
            </w:pPr>
            <w:r>
              <w:rPr>
                <w:rFonts w:hint="eastAsia" w:ascii="Times New Roman" w:hAnsi="Times New Roman" w:eastAsia="宋体" w:cs="Times New Roman"/>
                <w:bCs/>
                <w:color w:val="auto"/>
                <w:sz w:val="24"/>
                <w:szCs w:val="22"/>
                <w:lang w:val="en-US" w:eastAsia="zh-CN"/>
              </w:rPr>
              <w:t>由表4-8可知，非正常工况下颗粒物排放浓度超标，对环境的影响和危害较大，因此需设置污染治理措施以减少非正常工况下污染物对环境的影响程度，除采用先进成熟的工艺技术和设备外，生产中还应加强管理，严格控制规程，提高工人素质，精心操作，防患于未然，将非正常排放控制到最小，一旦发生非正常生产排放，应及时进行检修。并采取相应措施进行污染物集中处理，确保事故状态后，污染物对环境的影响程度降到最低。</w:t>
            </w:r>
          </w:p>
          <w:p>
            <w:pPr>
              <w:keepNext w:val="0"/>
              <w:keepLines w:val="0"/>
              <w:pageBreakBefore w:val="0"/>
              <w:widowControl/>
              <w:numPr>
                <w:ilvl w:val="0"/>
                <w:numId w:val="19"/>
              </w:numPr>
              <w:kinsoku/>
              <w:wordWrap/>
              <w:overflowPunct/>
              <w:topLinePunct w:val="0"/>
              <w:autoSpaceDE/>
              <w:autoSpaceDN/>
              <w:bidi w:val="0"/>
              <w:adjustRightInd/>
              <w:snapToGrid/>
              <w:spacing w:line="520" w:lineRule="exact"/>
              <w:ind w:left="0" w:leftChars="0" w:firstLine="0" w:firstLineChars="0"/>
              <w:textAlignment w:val="auto"/>
              <w:rPr>
                <w:b/>
                <w:bCs/>
                <w:color w:val="auto"/>
                <w:sz w:val="24"/>
              </w:rPr>
            </w:pPr>
            <w:r>
              <w:rPr>
                <w:b/>
                <w:bCs/>
                <w:color w:val="auto"/>
                <w:sz w:val="24"/>
              </w:rPr>
              <w:t>废水</w:t>
            </w:r>
          </w:p>
          <w:p>
            <w:pPr>
              <w:pStyle w:val="8"/>
              <w:keepNext w:val="0"/>
              <w:keepLines w:val="0"/>
              <w:pageBreakBefore w:val="0"/>
              <w:kinsoku/>
              <w:wordWrap/>
              <w:overflowPunct/>
              <w:topLinePunct w:val="0"/>
              <w:autoSpaceDE/>
              <w:autoSpaceDN/>
              <w:bidi w:val="0"/>
              <w:adjustRightInd/>
              <w:snapToGrid/>
              <w:spacing w:after="0" w:line="520" w:lineRule="exact"/>
              <w:ind w:left="0" w:leftChars="0" w:firstLine="480" w:firstLineChars="200"/>
              <w:contextualSpacing/>
              <w:textAlignment w:val="auto"/>
              <w:rPr>
                <w:rFonts w:hint="default" w:eastAsia="宋体"/>
                <w:b/>
                <w:bCs/>
                <w:color w:val="auto"/>
                <w:szCs w:val="24"/>
                <w:lang w:val="en-US" w:eastAsia="zh-CN"/>
              </w:rPr>
            </w:pPr>
            <w:r>
              <w:rPr>
                <w:color w:val="auto"/>
                <w:szCs w:val="24"/>
              </w:rPr>
              <w:t>本项目运营期间</w:t>
            </w:r>
            <w:r>
              <w:rPr>
                <w:rFonts w:hint="eastAsia"/>
                <w:color w:val="auto"/>
                <w:szCs w:val="24"/>
                <w:lang w:val="en-US" w:eastAsia="zh-CN"/>
              </w:rPr>
              <w:t>清洗废水和冷却水循环使用不外排，</w:t>
            </w:r>
            <w:r>
              <w:rPr>
                <w:color w:val="auto"/>
                <w:szCs w:val="24"/>
              </w:rPr>
              <w:t>产生的</w:t>
            </w:r>
            <w:r>
              <w:rPr>
                <w:rFonts w:hint="eastAsia"/>
                <w:color w:val="auto"/>
                <w:szCs w:val="24"/>
                <w:lang w:eastAsia="zh-CN"/>
              </w:rPr>
              <w:t>废水</w:t>
            </w:r>
            <w:r>
              <w:rPr>
                <w:rFonts w:hint="eastAsia"/>
                <w:color w:val="auto"/>
                <w:szCs w:val="24"/>
                <w:lang w:val="en-US" w:eastAsia="zh-CN"/>
              </w:rPr>
              <w:t>主要为生活污水。</w:t>
            </w:r>
          </w:p>
          <w:p>
            <w:pPr>
              <w:pStyle w:val="8"/>
              <w:keepNext w:val="0"/>
              <w:keepLines w:val="0"/>
              <w:pageBreakBefore w:val="0"/>
              <w:kinsoku/>
              <w:wordWrap/>
              <w:overflowPunct/>
              <w:topLinePunct w:val="0"/>
              <w:autoSpaceDE/>
              <w:autoSpaceDN/>
              <w:bidi w:val="0"/>
              <w:adjustRightInd/>
              <w:snapToGrid/>
              <w:spacing w:after="0" w:line="520" w:lineRule="exact"/>
              <w:ind w:left="0" w:leftChars="0"/>
              <w:contextualSpacing/>
              <w:textAlignment w:val="auto"/>
              <w:rPr>
                <w:b/>
                <w:bCs/>
                <w:color w:val="auto"/>
                <w:szCs w:val="24"/>
              </w:rPr>
            </w:pPr>
            <w:r>
              <w:rPr>
                <w:b/>
                <w:bCs/>
                <w:color w:val="auto"/>
                <w:szCs w:val="24"/>
              </w:rPr>
              <w:t>2.1</w:t>
            </w:r>
            <w:r>
              <w:rPr>
                <w:rFonts w:hint="eastAsia"/>
                <w:b/>
                <w:bCs/>
                <w:color w:val="auto"/>
                <w:szCs w:val="24"/>
                <w:lang w:val="en-US" w:eastAsia="zh-CN"/>
              </w:rPr>
              <w:t xml:space="preserve"> </w:t>
            </w:r>
            <w:r>
              <w:rPr>
                <w:b/>
                <w:bCs/>
                <w:color w:val="auto"/>
                <w:szCs w:val="24"/>
              </w:rPr>
              <w:t>产排污环节</w:t>
            </w:r>
          </w:p>
          <w:p>
            <w:pPr>
              <w:pStyle w:val="47"/>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rFonts w:ascii="Times New Roman" w:hAnsi="Times New Roman"/>
                <w:color w:val="auto"/>
                <w:sz w:val="24"/>
                <w:szCs w:val="24"/>
                <w:lang w:eastAsia="zh-CN"/>
              </w:rPr>
            </w:pPr>
            <w:r>
              <w:rPr>
                <w:rFonts w:hint="eastAsia" w:ascii="Times New Roman" w:hAnsi="Times New Roman"/>
                <w:color w:val="auto"/>
                <w:sz w:val="24"/>
                <w:szCs w:val="24"/>
                <w:lang w:eastAsia="zh-CN"/>
              </w:rPr>
              <w:t>（1）生活污水（</w:t>
            </w:r>
            <w:r>
              <w:rPr>
                <w:rFonts w:hint="eastAsia" w:ascii="Times New Roman" w:hAnsi="Times New Roman"/>
                <w:color w:val="auto"/>
                <w:sz w:val="24"/>
                <w:szCs w:val="24"/>
                <w:lang w:val="en-US" w:eastAsia="zh-CN"/>
              </w:rPr>
              <w:t>W3</w:t>
            </w:r>
            <w:r>
              <w:rPr>
                <w:rFonts w:hint="eastAsia" w:ascii="Times New Roman" w:hAnsi="Times New Roman"/>
                <w:color w:val="auto"/>
                <w:sz w:val="24"/>
                <w:szCs w:val="24"/>
                <w:lang w:eastAsia="zh-CN"/>
              </w:rPr>
              <w:t>）</w:t>
            </w:r>
          </w:p>
          <w:p>
            <w:pPr>
              <w:pStyle w:val="47"/>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b w:val="0"/>
                <w:color w:val="auto"/>
                <w:szCs w:val="24"/>
              </w:rPr>
            </w:pPr>
            <w:r>
              <w:rPr>
                <w:rFonts w:ascii="Times New Roman" w:hAnsi="Times New Roman"/>
                <w:color w:val="auto"/>
                <w:sz w:val="24"/>
                <w:szCs w:val="24"/>
                <w:lang w:eastAsia="zh-CN"/>
              </w:rPr>
              <w:t>本项目员工共</w:t>
            </w:r>
            <w:r>
              <w:rPr>
                <w:rFonts w:hint="eastAsia" w:ascii="Times New Roman" w:hAnsi="Times New Roman"/>
                <w:color w:val="auto"/>
                <w:sz w:val="24"/>
                <w:szCs w:val="24"/>
                <w:lang w:val="en-US" w:eastAsia="zh-CN"/>
              </w:rPr>
              <w:t>24</w:t>
            </w:r>
            <w:r>
              <w:rPr>
                <w:rFonts w:ascii="Times New Roman" w:hAnsi="Times New Roman"/>
                <w:color w:val="auto"/>
                <w:sz w:val="24"/>
                <w:szCs w:val="24"/>
                <w:lang w:eastAsia="zh-CN"/>
              </w:rPr>
              <w:t>人，根据《新疆维吾尔自治区生活用水定额》，运营期本项目职工用水定额计为100L/人·日，则用水量为</w:t>
            </w:r>
            <w:r>
              <w:rPr>
                <w:rFonts w:hint="eastAsia" w:ascii="Times New Roman" w:hAnsi="Times New Roman"/>
                <w:color w:val="auto"/>
                <w:sz w:val="24"/>
                <w:szCs w:val="24"/>
                <w:lang w:val="en-US" w:eastAsia="zh-CN"/>
              </w:rPr>
              <w:t>2.4m</w:t>
            </w:r>
            <w:r>
              <w:rPr>
                <w:rFonts w:hint="eastAsia" w:ascii="Times New Roman" w:hAnsi="Times New Roman"/>
                <w:color w:val="auto"/>
                <w:sz w:val="24"/>
                <w:szCs w:val="24"/>
                <w:vertAlign w:val="superscript"/>
                <w:lang w:val="en-US" w:eastAsia="zh-CN"/>
              </w:rPr>
              <w:t>3</w:t>
            </w:r>
            <w:r>
              <w:rPr>
                <w:rFonts w:ascii="Times New Roman" w:hAnsi="Times New Roman"/>
                <w:color w:val="auto"/>
                <w:sz w:val="24"/>
                <w:szCs w:val="24"/>
                <w:lang w:eastAsia="zh-CN"/>
              </w:rPr>
              <w:t>/d（</w:t>
            </w:r>
            <w:r>
              <w:rPr>
                <w:rFonts w:hint="eastAsia" w:ascii="Times New Roman" w:hAnsi="Times New Roman"/>
                <w:color w:val="auto"/>
                <w:sz w:val="24"/>
                <w:szCs w:val="24"/>
                <w:lang w:val="en-US" w:eastAsia="zh-CN"/>
              </w:rPr>
              <w:t>504</w:t>
            </w:r>
            <w:r>
              <w:rPr>
                <w:rFonts w:ascii="Times New Roman" w:hAnsi="Times New Roman"/>
                <w:color w:val="auto"/>
                <w:sz w:val="24"/>
                <w:szCs w:val="24"/>
                <w:lang w:eastAsia="zh-CN"/>
              </w:rPr>
              <w:t>t/a），运营期项目生活污水产生量约为用水量的80%，则产生废水约</w:t>
            </w:r>
            <w:r>
              <w:rPr>
                <w:rFonts w:hint="eastAsia" w:ascii="Times New Roman" w:hAnsi="Times New Roman"/>
                <w:color w:val="auto"/>
                <w:sz w:val="24"/>
                <w:szCs w:val="24"/>
                <w:lang w:val="en-US" w:eastAsia="zh-CN"/>
              </w:rPr>
              <w:t>1.92m</w:t>
            </w:r>
            <w:r>
              <w:rPr>
                <w:rFonts w:hint="eastAsia" w:ascii="Times New Roman" w:hAnsi="Times New Roman"/>
                <w:color w:val="auto"/>
                <w:sz w:val="24"/>
                <w:szCs w:val="24"/>
                <w:vertAlign w:val="superscript"/>
                <w:lang w:val="en-US" w:eastAsia="zh-CN"/>
              </w:rPr>
              <w:t>3</w:t>
            </w:r>
            <w:r>
              <w:rPr>
                <w:rFonts w:ascii="Times New Roman" w:hAnsi="Times New Roman"/>
                <w:color w:val="auto"/>
                <w:sz w:val="24"/>
                <w:szCs w:val="24"/>
                <w:lang w:eastAsia="zh-CN"/>
              </w:rPr>
              <w:t>/d（</w:t>
            </w:r>
            <w:r>
              <w:rPr>
                <w:rFonts w:hint="eastAsia" w:ascii="Times New Roman" w:hAnsi="Times New Roman"/>
                <w:color w:val="auto"/>
                <w:sz w:val="24"/>
                <w:szCs w:val="24"/>
                <w:lang w:val="en-US" w:eastAsia="zh-CN"/>
              </w:rPr>
              <w:t>403.2</w:t>
            </w:r>
            <w:r>
              <w:rPr>
                <w:rFonts w:ascii="Times New Roman" w:hAnsi="Times New Roman"/>
                <w:color w:val="auto"/>
                <w:sz w:val="24"/>
                <w:szCs w:val="24"/>
                <w:lang w:eastAsia="zh-CN"/>
              </w:rPr>
              <w:t>t/a）。</w:t>
            </w:r>
          </w:p>
          <w:p>
            <w:pPr>
              <w:jc w:val="center"/>
              <w:rPr>
                <w:b/>
                <w:bCs/>
                <w:color w:val="auto"/>
                <w:szCs w:val="21"/>
              </w:rPr>
            </w:pPr>
            <w:r>
              <w:rPr>
                <w:b/>
                <w:bCs/>
                <w:color w:val="auto"/>
                <w:szCs w:val="21"/>
              </w:rPr>
              <w:t>表4-</w:t>
            </w:r>
            <w:r>
              <w:rPr>
                <w:rFonts w:hint="eastAsia"/>
                <w:b/>
                <w:bCs/>
                <w:color w:val="auto"/>
                <w:szCs w:val="21"/>
                <w:lang w:val="en-US" w:eastAsia="zh-CN"/>
              </w:rPr>
              <w:t xml:space="preserve">9  </w:t>
            </w:r>
            <w:r>
              <w:rPr>
                <w:b/>
                <w:bCs/>
                <w:color w:val="auto"/>
                <w:szCs w:val="21"/>
              </w:rPr>
              <w:t xml:space="preserve">  生活污水主要污染物及排放情况</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1"/>
              <w:gridCol w:w="1020"/>
              <w:gridCol w:w="1466"/>
              <w:gridCol w:w="1041"/>
              <w:gridCol w:w="962"/>
              <w:gridCol w:w="957"/>
              <w:gridCol w:w="969"/>
              <w:gridCol w:w="9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475" w:type="pct"/>
                  <w:gridSpan w:val="2"/>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618"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排水量</w:t>
                  </w:r>
                </w:p>
              </w:tc>
              <w:tc>
                <w:tcPr>
                  <w:tcW w:w="571"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CODcr</w:t>
                  </w:r>
                </w:p>
              </w:tc>
              <w:tc>
                <w:tcPr>
                  <w:tcW w:w="568"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BOD</w:t>
                  </w:r>
                  <w:r>
                    <w:rPr>
                      <w:rFonts w:hint="default" w:ascii="Times New Roman" w:hAnsi="Times New Roman" w:cs="Times New Roman"/>
                      <w:b/>
                      <w:bCs/>
                      <w:color w:val="auto"/>
                      <w:sz w:val="21"/>
                      <w:szCs w:val="21"/>
                      <w:vertAlign w:val="subscript"/>
                    </w:rPr>
                    <w:t>5</w:t>
                  </w:r>
                </w:p>
              </w:tc>
              <w:tc>
                <w:tcPr>
                  <w:tcW w:w="575"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t>
                  </w:r>
                </w:p>
              </w:tc>
              <w:tc>
                <w:tcPr>
                  <w:tcW w:w="571" w:type="pct"/>
                  <w:tcBorders>
                    <w:bottom w:val="single" w:color="auto" w:sz="12" w:space="0"/>
                  </w:tcBorders>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NH</w:t>
                  </w:r>
                  <w:r>
                    <w:rPr>
                      <w:rFonts w:hint="default" w:ascii="Times New Roman" w:hAnsi="Times New Roman" w:cs="Times New Roman"/>
                      <w:b/>
                      <w:bCs/>
                      <w:color w:val="auto"/>
                      <w:sz w:val="21"/>
                      <w:szCs w:val="21"/>
                      <w:vertAlign w:val="subscript"/>
                    </w:rPr>
                    <w:t>3</w:t>
                  </w:r>
                  <w:r>
                    <w:rPr>
                      <w:rFonts w:hint="default" w:ascii="Times New Roman" w:hAnsi="Times New Roman" w:cs="Times New Roman"/>
                      <w:b/>
                      <w:bCs/>
                      <w:color w:val="auto"/>
                      <w:sz w:val="21"/>
                      <w:szCs w:val="21"/>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exact"/>
                <w:jc w:val="center"/>
              </w:trPr>
              <w:tc>
                <w:tcPr>
                  <w:tcW w:w="618" w:type="pct"/>
                  <w:vMerge w:val="restart"/>
                  <w:tcBorders>
                    <w:top w:val="single" w:color="auto" w:sz="12" w:space="0"/>
                  </w:tcBorders>
                  <w:vAlign w:val="center"/>
                </w:tcPr>
                <w:p>
                  <w:pPr>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办公生活</w:t>
                  </w:r>
                  <w:r>
                    <w:rPr>
                      <w:rFonts w:hint="eastAsia" w:cs="Times New Roman"/>
                      <w:color w:val="auto"/>
                      <w:sz w:val="21"/>
                      <w:szCs w:val="21"/>
                      <w:lang w:val="en-US" w:eastAsia="zh-CN"/>
                    </w:rPr>
                    <w:t>污水</w:t>
                  </w:r>
                </w:p>
              </w:tc>
              <w:tc>
                <w:tcPr>
                  <w:tcW w:w="605" w:type="pct"/>
                  <w:vMerge w:val="restart"/>
                  <w:tcBorders>
                    <w:top w:val="single" w:color="auto" w:sz="12"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w:t>
                  </w:r>
                </w:p>
              </w:tc>
              <w:tc>
                <w:tcPr>
                  <w:tcW w:w="870" w:type="pct"/>
                  <w:tcBorders>
                    <w:top w:val="single" w:color="auto" w:sz="12" w:space="0"/>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618" w:type="pct"/>
                  <w:vMerge w:val="restart"/>
                  <w:tcBorders>
                    <w:top w:val="single" w:color="auto" w:sz="12" w:space="0"/>
                  </w:tcBorders>
                  <w:vAlign w:val="center"/>
                </w:tcPr>
                <w:p>
                  <w:pPr>
                    <w:jc w:val="center"/>
                    <w:rPr>
                      <w:rFonts w:hint="default" w:ascii="Times New Roman" w:hAnsi="Times New Roman" w:cs="Times New Roman"/>
                      <w:color w:val="auto"/>
                      <w:sz w:val="21"/>
                      <w:szCs w:val="21"/>
                    </w:rPr>
                  </w:pPr>
                  <w:r>
                    <w:rPr>
                      <w:rFonts w:hint="eastAsia" w:cs="Times New Roman"/>
                      <w:bCs/>
                      <w:color w:val="auto"/>
                      <w:sz w:val="21"/>
                      <w:szCs w:val="21"/>
                      <w:lang w:val="en-US" w:eastAsia="zh-CN"/>
                    </w:rPr>
                    <w:t>403.2</w:t>
                  </w:r>
                  <w:r>
                    <w:rPr>
                      <w:rFonts w:hint="default" w:ascii="Times New Roman" w:hAnsi="Times New Roman" w:cs="Times New Roman"/>
                      <w:bCs/>
                      <w:color w:val="auto"/>
                      <w:sz w:val="21"/>
                      <w:szCs w:val="21"/>
                    </w:rPr>
                    <w:t>t/a</w:t>
                  </w:r>
                </w:p>
              </w:tc>
              <w:tc>
                <w:tcPr>
                  <w:tcW w:w="571" w:type="pct"/>
                  <w:tcBorders>
                    <w:top w:val="single" w:color="auto" w:sz="12" w:space="0"/>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477</w:t>
                  </w:r>
                </w:p>
              </w:tc>
              <w:tc>
                <w:tcPr>
                  <w:tcW w:w="568" w:type="pct"/>
                  <w:tcBorders>
                    <w:top w:val="single" w:color="auto" w:sz="12" w:space="0"/>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238</w:t>
                  </w:r>
                </w:p>
              </w:tc>
              <w:tc>
                <w:tcPr>
                  <w:tcW w:w="575" w:type="pct"/>
                  <w:tcBorders>
                    <w:top w:val="single" w:color="auto" w:sz="12" w:space="0"/>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347</w:t>
                  </w:r>
                </w:p>
              </w:tc>
              <w:tc>
                <w:tcPr>
                  <w:tcW w:w="571" w:type="pct"/>
                  <w:tcBorders>
                    <w:top w:val="single" w:color="auto" w:sz="12" w:space="0"/>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vMerge w:val="continue"/>
                  <w:vAlign w:val="center"/>
                </w:tcPr>
                <w:p>
                  <w:pPr>
                    <w:widowControl/>
                    <w:jc w:val="center"/>
                    <w:rPr>
                      <w:rFonts w:hint="default" w:ascii="Times New Roman" w:hAnsi="Times New Roman" w:cs="Times New Roman"/>
                      <w:color w:val="auto"/>
                      <w:sz w:val="21"/>
                      <w:szCs w:val="21"/>
                    </w:rPr>
                  </w:pPr>
                </w:p>
              </w:tc>
              <w:tc>
                <w:tcPr>
                  <w:tcW w:w="605" w:type="pct"/>
                  <w:vMerge w:val="continue"/>
                  <w:vAlign w:val="center"/>
                </w:tcPr>
                <w:p>
                  <w:pPr>
                    <w:widowControl/>
                    <w:jc w:val="center"/>
                    <w:rPr>
                      <w:rFonts w:hint="default" w:ascii="Times New Roman" w:hAnsi="Times New Roman" w:cs="Times New Roman"/>
                      <w:color w:val="auto"/>
                      <w:sz w:val="21"/>
                      <w:szCs w:val="21"/>
                    </w:rPr>
                  </w:pPr>
                </w:p>
              </w:tc>
              <w:tc>
                <w:tcPr>
                  <w:tcW w:w="87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618" w:type="pct"/>
                  <w:vMerge w:val="continue"/>
                  <w:vAlign w:val="center"/>
                </w:tcPr>
                <w:p>
                  <w:pPr>
                    <w:widowControl/>
                    <w:jc w:val="center"/>
                    <w:rPr>
                      <w:rFonts w:hint="default" w:ascii="Times New Roman" w:hAnsi="Times New Roman" w:cs="Times New Roman"/>
                      <w:color w:val="auto"/>
                      <w:sz w:val="21"/>
                      <w:szCs w:val="21"/>
                    </w:rPr>
                  </w:pP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w:t>
                  </w:r>
                </w:p>
              </w:tc>
              <w:tc>
                <w:tcPr>
                  <w:tcW w:w="568"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575"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8" w:hRule="exact"/>
                <w:jc w:val="center"/>
              </w:trPr>
              <w:tc>
                <w:tcPr>
                  <w:tcW w:w="618" w:type="pct"/>
                  <w:vMerge w:val="continue"/>
                  <w:vAlign w:val="center"/>
                </w:tcPr>
                <w:p>
                  <w:pPr>
                    <w:widowControl/>
                    <w:jc w:val="center"/>
                    <w:rPr>
                      <w:rFonts w:hint="default" w:ascii="Times New Roman" w:hAnsi="Times New Roman" w:cs="Times New Roman"/>
                      <w:color w:val="auto"/>
                      <w:sz w:val="21"/>
                      <w:szCs w:val="21"/>
                    </w:rPr>
                  </w:pPr>
                </w:p>
              </w:tc>
              <w:tc>
                <w:tcPr>
                  <w:tcW w:w="605" w:type="pct"/>
                  <w:vMerge w:val="restart"/>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w:t>
                  </w:r>
                </w:p>
              </w:tc>
              <w:tc>
                <w:tcPr>
                  <w:tcW w:w="87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浓度（mg/L）</w:t>
                  </w:r>
                </w:p>
              </w:tc>
              <w:tc>
                <w:tcPr>
                  <w:tcW w:w="618" w:type="pct"/>
                  <w:vMerge w:val="restart"/>
                  <w:vAlign w:val="center"/>
                </w:tcPr>
                <w:p>
                  <w:pPr>
                    <w:jc w:val="center"/>
                    <w:rPr>
                      <w:rFonts w:hint="default" w:ascii="Times New Roman" w:hAnsi="Times New Roman" w:cs="Times New Roman"/>
                      <w:color w:val="auto"/>
                      <w:sz w:val="21"/>
                      <w:szCs w:val="21"/>
                    </w:rPr>
                  </w:pPr>
                  <w:r>
                    <w:rPr>
                      <w:rFonts w:hint="eastAsia" w:cs="Times New Roman"/>
                      <w:bCs/>
                      <w:color w:val="auto"/>
                      <w:sz w:val="21"/>
                      <w:szCs w:val="21"/>
                      <w:lang w:val="en-US" w:eastAsia="zh-CN"/>
                    </w:rPr>
                    <w:t>403.2</w:t>
                  </w:r>
                  <w:r>
                    <w:rPr>
                      <w:rFonts w:hint="default" w:ascii="Times New Roman" w:hAnsi="Times New Roman" w:cs="Times New Roman"/>
                      <w:bCs/>
                      <w:color w:val="auto"/>
                      <w:sz w:val="21"/>
                      <w:szCs w:val="21"/>
                    </w:rPr>
                    <w:t>t/a</w:t>
                  </w: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477</w:t>
                  </w:r>
                </w:p>
              </w:tc>
              <w:tc>
                <w:tcPr>
                  <w:tcW w:w="568"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238</w:t>
                  </w:r>
                </w:p>
              </w:tc>
              <w:tc>
                <w:tcPr>
                  <w:tcW w:w="575"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347</w:t>
                  </w: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18" w:type="pct"/>
                  <w:vMerge w:val="continue"/>
                  <w:vAlign w:val="center"/>
                </w:tcPr>
                <w:p>
                  <w:pPr>
                    <w:widowControl/>
                    <w:jc w:val="center"/>
                    <w:rPr>
                      <w:rFonts w:hint="default" w:ascii="Times New Roman" w:hAnsi="Times New Roman" w:cs="Times New Roman"/>
                      <w:color w:val="auto"/>
                      <w:sz w:val="21"/>
                      <w:szCs w:val="21"/>
                    </w:rPr>
                  </w:pPr>
                </w:p>
              </w:tc>
              <w:tc>
                <w:tcPr>
                  <w:tcW w:w="605" w:type="pct"/>
                  <w:vMerge w:val="continue"/>
                  <w:vAlign w:val="center"/>
                </w:tcPr>
                <w:p>
                  <w:pPr>
                    <w:widowControl/>
                    <w:jc w:val="center"/>
                    <w:rPr>
                      <w:rFonts w:hint="default" w:ascii="Times New Roman" w:hAnsi="Times New Roman" w:cs="Times New Roman"/>
                      <w:color w:val="auto"/>
                      <w:sz w:val="21"/>
                      <w:szCs w:val="21"/>
                    </w:rPr>
                  </w:pPr>
                </w:p>
              </w:tc>
              <w:tc>
                <w:tcPr>
                  <w:tcW w:w="87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排放量（t/a）</w:t>
                  </w:r>
                </w:p>
              </w:tc>
              <w:tc>
                <w:tcPr>
                  <w:tcW w:w="618" w:type="pct"/>
                  <w:vMerge w:val="continue"/>
                  <w:vAlign w:val="center"/>
                </w:tcPr>
                <w:p>
                  <w:pPr>
                    <w:widowControl/>
                    <w:jc w:val="center"/>
                    <w:rPr>
                      <w:rFonts w:hint="default" w:ascii="Times New Roman" w:hAnsi="Times New Roman" w:cs="Times New Roman"/>
                      <w:color w:val="auto"/>
                      <w:sz w:val="21"/>
                      <w:szCs w:val="21"/>
                    </w:rPr>
                  </w:pP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0.18</w:t>
                  </w:r>
                </w:p>
              </w:tc>
              <w:tc>
                <w:tcPr>
                  <w:tcW w:w="568"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0.09</w:t>
                  </w:r>
                </w:p>
              </w:tc>
              <w:tc>
                <w:tcPr>
                  <w:tcW w:w="575" w:type="pct"/>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0.14</w:t>
                  </w:r>
                </w:p>
              </w:tc>
              <w:tc>
                <w:tcPr>
                  <w:tcW w:w="571" w:type="pc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0.02</w:t>
                  </w:r>
                </w:p>
              </w:tc>
            </w:tr>
          </w:tbl>
          <w:p>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jc w:val="both"/>
              <w:textAlignment w:val="auto"/>
              <w:rPr>
                <w:color w:val="auto"/>
                <w:sz w:val="24"/>
              </w:rPr>
            </w:pPr>
            <w:r>
              <w:rPr>
                <w:color w:val="auto"/>
                <w:sz w:val="24"/>
              </w:rPr>
              <w:t>项目生活污水排入园区污水管网，排放浓度满足《污水综合排放标准》（GB8978-1996）中表4中三级排放标准。</w:t>
            </w:r>
          </w:p>
          <w:p>
            <w:pPr>
              <w:pStyle w:val="7"/>
              <w:keepNext w:val="0"/>
              <w:keepLines w:val="0"/>
              <w:pageBreakBefore w:val="0"/>
              <w:widowControl w:val="0"/>
              <w:numPr>
                <w:ilvl w:val="0"/>
                <w:numId w:val="20"/>
              </w:numPr>
              <w:kinsoku/>
              <w:wordWrap/>
              <w:overflowPunct/>
              <w:topLinePunct w:val="0"/>
              <w:autoSpaceDE/>
              <w:autoSpaceDN/>
              <w:bidi w:val="0"/>
              <w:adjustRightInd/>
              <w:snapToGrid/>
              <w:spacing w:after="0" w:line="520" w:lineRule="exact"/>
              <w:ind w:left="0" w:leftChars="0" w:firstLine="480" w:firstLineChars="200"/>
              <w:textAlignment w:val="auto"/>
              <w:rPr>
                <w:rFonts w:hint="eastAsia"/>
                <w:color w:val="auto"/>
                <w:sz w:val="24"/>
                <w:lang w:val="en-US" w:eastAsia="zh-CN"/>
              </w:rPr>
            </w:pPr>
            <w:r>
              <w:rPr>
                <w:rFonts w:hint="eastAsia"/>
                <w:color w:val="auto"/>
                <w:sz w:val="24"/>
                <w:lang w:val="en-US" w:eastAsia="zh-CN"/>
              </w:rPr>
              <w:t>生产废水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eastAsia"/>
                <w:color w:val="auto"/>
                <w:sz w:val="24"/>
                <w:szCs w:val="24"/>
                <w:vertAlign w:val="baseline"/>
                <w:lang w:val="en-US" w:eastAsia="zh-CN"/>
              </w:rPr>
            </w:pPr>
            <w:r>
              <w:rPr>
                <w:rFonts w:hint="eastAsia"/>
                <w:color w:val="auto"/>
                <w:sz w:val="24"/>
                <w:szCs w:val="24"/>
                <w:lang w:val="en-US" w:eastAsia="zh-CN"/>
              </w:rPr>
              <w:t>本项目产生的生产废水主要为清洗废水和冷却循环水。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冷却循环水经冷却塔冷却后循环利用不外排。</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color w:val="auto"/>
                <w:sz w:val="24"/>
                <w:szCs w:val="24"/>
                <w:vertAlign w:val="baseline"/>
                <w:lang w:val="en-US" w:eastAsia="zh-CN"/>
              </w:rPr>
            </w:pPr>
            <w:r>
              <w:rPr>
                <w:rFonts w:hint="eastAsia"/>
                <w:color w:val="auto"/>
                <w:sz w:val="24"/>
                <w:szCs w:val="24"/>
                <w:vertAlign w:val="baseline"/>
                <w:lang w:val="en-US" w:eastAsia="zh-CN"/>
              </w:rPr>
              <w:t>清洗废水产生量为5m</w:t>
            </w:r>
            <w:r>
              <w:rPr>
                <w:rFonts w:hint="eastAsia"/>
                <w:color w:val="auto"/>
                <w:sz w:val="24"/>
                <w:szCs w:val="24"/>
                <w:vertAlign w:val="superscript"/>
                <w:lang w:val="en-US" w:eastAsia="zh-CN"/>
              </w:rPr>
              <w:t>3</w:t>
            </w:r>
            <w:r>
              <w:rPr>
                <w:rFonts w:hint="eastAsia"/>
                <w:color w:val="auto"/>
                <w:sz w:val="24"/>
                <w:szCs w:val="24"/>
                <w:vertAlign w:val="baseline"/>
                <w:lang w:val="en-US" w:eastAsia="zh-CN"/>
              </w:rPr>
              <w:t>/d，产生的清洗废水中污染物主要为悬浮物，项目建设1座30m</w:t>
            </w:r>
            <w:r>
              <w:rPr>
                <w:rFonts w:hint="eastAsia"/>
                <w:color w:val="auto"/>
                <w:sz w:val="24"/>
                <w:szCs w:val="24"/>
                <w:vertAlign w:val="superscript"/>
                <w:lang w:val="en-US" w:eastAsia="zh-CN"/>
              </w:rPr>
              <w:t>3</w:t>
            </w:r>
            <w:r>
              <w:rPr>
                <w:rFonts w:hint="eastAsia"/>
                <w:color w:val="auto"/>
                <w:sz w:val="24"/>
                <w:szCs w:val="24"/>
                <w:vertAlign w:val="baseline"/>
                <w:lang w:val="en-US" w:eastAsia="zh-CN"/>
              </w:rPr>
              <w:t>沉淀池+1座30m</w:t>
            </w:r>
            <w:r>
              <w:rPr>
                <w:rFonts w:hint="eastAsia"/>
                <w:color w:val="auto"/>
                <w:sz w:val="24"/>
                <w:szCs w:val="24"/>
                <w:vertAlign w:val="superscript"/>
                <w:lang w:val="en-US" w:eastAsia="zh-CN"/>
              </w:rPr>
              <w:t>3</w:t>
            </w:r>
            <w:r>
              <w:rPr>
                <w:rFonts w:hint="eastAsia"/>
                <w:color w:val="auto"/>
                <w:sz w:val="24"/>
                <w:szCs w:val="24"/>
                <w:vertAlign w:val="baseline"/>
                <w:lang w:val="en-US" w:eastAsia="zh-CN"/>
              </w:rPr>
              <w:t>的循环水池处理后循环使用不外排。</w:t>
            </w:r>
          </w:p>
          <w:p>
            <w:pPr>
              <w:pStyle w:val="4"/>
              <w:pageBreakBefore w:val="0"/>
              <w:widowControl w:val="0"/>
              <w:numPr>
                <w:ilvl w:val="0"/>
                <w:numId w:val="0"/>
              </w:numPr>
              <w:kinsoku/>
              <w:wordWrap/>
              <w:topLinePunct w:val="0"/>
              <w:autoSpaceDE/>
              <w:autoSpaceDN/>
              <w:bidi w:val="0"/>
              <w:adjustRightInd/>
              <w:snapToGrid/>
              <w:spacing w:before="0" w:after="0" w:line="520" w:lineRule="exact"/>
              <w:jc w:val="both"/>
              <w:textAlignment w:val="auto"/>
              <w:rPr>
                <w:rFonts w:ascii="Times New Roman" w:hAnsi="Times New Roman"/>
                <w:color w:val="auto"/>
                <w:sz w:val="24"/>
              </w:rPr>
            </w:pPr>
            <w:r>
              <w:rPr>
                <w:rFonts w:ascii="Times New Roman" w:hAnsi="Times New Roman"/>
                <w:color w:val="auto"/>
                <w:sz w:val="24"/>
              </w:rPr>
              <w:t>2.</w:t>
            </w:r>
            <w:r>
              <w:rPr>
                <w:rFonts w:hint="eastAsia" w:ascii="Times New Roman" w:hAnsi="Times New Roman"/>
                <w:color w:val="auto"/>
                <w:sz w:val="24"/>
                <w:lang w:val="en-US" w:eastAsia="zh-CN"/>
              </w:rPr>
              <w:t>2</w:t>
            </w:r>
            <w:r>
              <w:rPr>
                <w:rFonts w:ascii="Times New Roman" w:hAnsi="Times New Roman"/>
                <w:color w:val="auto"/>
                <w:sz w:val="24"/>
              </w:rPr>
              <w:t xml:space="preserve"> 废水排放依托可行性</w:t>
            </w:r>
          </w:p>
          <w:p>
            <w:pPr>
              <w:pageBreakBefore w:val="0"/>
              <w:widowControl w:val="0"/>
              <w:kinsoku/>
              <w:wordWrap/>
              <w:overflowPunct w:val="0"/>
              <w:topLinePunct w:val="0"/>
              <w:autoSpaceDE/>
              <w:autoSpaceDN/>
              <w:bidi w:val="0"/>
              <w:adjustRightInd/>
              <w:snapToGrid/>
              <w:spacing w:line="520" w:lineRule="exact"/>
              <w:ind w:firstLine="480" w:firstLineChars="200"/>
              <w:jc w:val="both"/>
              <w:textAlignment w:val="auto"/>
              <w:rPr>
                <w:rFonts w:hint="default"/>
                <w:color w:val="auto"/>
                <w:sz w:val="24"/>
                <w:lang w:val="en-US" w:eastAsia="zh-CN"/>
              </w:rPr>
            </w:pPr>
            <w:r>
              <w:rPr>
                <w:rFonts w:hint="default"/>
                <w:color w:val="auto"/>
                <w:sz w:val="24"/>
              </w:rPr>
              <w:t>阜康市西部城区污水处理厂位于阜西产业园北侧，</w:t>
            </w:r>
            <w:r>
              <w:rPr>
                <w:rFonts w:hint="eastAsia"/>
                <w:color w:val="auto"/>
                <w:sz w:val="24"/>
                <w:lang w:val="en-US" w:eastAsia="zh-CN"/>
              </w:rPr>
              <w:t>又名阜西区污水处理厂，2016年6月取得《关于阜康市西部城区污水处理厂及配套管网工程环境影响报告书的批复》（新环函</w:t>
            </w:r>
            <w:r>
              <w:rPr>
                <w:rFonts w:hint="eastAsia" w:ascii="宋体" w:hAnsi="宋体" w:eastAsia="宋体" w:cs="宋体"/>
                <w:color w:val="auto"/>
                <w:sz w:val="24"/>
                <w:lang w:val="en-US" w:eastAsia="zh-CN"/>
              </w:rPr>
              <w:t>〔2016〕680号</w:t>
            </w:r>
            <w:r>
              <w:rPr>
                <w:rFonts w:hint="eastAsia"/>
                <w:color w:val="auto"/>
                <w:sz w:val="24"/>
                <w:lang w:val="en-US" w:eastAsia="zh-CN"/>
              </w:rPr>
              <w:t>），于2016年建成，2018年5月31日完成验收，阜西区污水处理厂采用较为先进的污水处理工艺，水解酸化+A2/O+MBR膜池，其设计规模为5万立方米/日，目前日处理规模达到2万立方米/日，园区下水管网均已敷设完毕，各企业内排水管网与园区主下水管网接通后即可排水。根据实地调查，目前项目区污水管网已经铺设完毕，阜西区污水处理厂已投入运营，经处理后的污水水质满足《城镇污水处理厂污染物排放标准》（GB18918-2002）一级A排放标准，目前仍有充足容量，因此本项目生活污水依托园区排水管网进入阜康市西部城区污水处理厂处理合理、可行。</w:t>
            </w:r>
          </w:p>
          <w:p>
            <w:pPr>
              <w:pageBreakBefore w:val="0"/>
              <w:widowControl w:val="0"/>
              <w:numPr>
                <w:ilvl w:val="0"/>
                <w:numId w:val="19"/>
              </w:numPr>
              <w:kinsoku/>
              <w:wordWrap/>
              <w:topLinePunct w:val="0"/>
              <w:bidi w:val="0"/>
              <w:adjustRightInd/>
              <w:snapToGrid/>
              <w:spacing w:line="520" w:lineRule="exact"/>
              <w:ind w:left="0" w:leftChars="0" w:firstLine="0" w:firstLineChars="0"/>
              <w:jc w:val="both"/>
              <w:textAlignment w:val="auto"/>
              <w:rPr>
                <w:b/>
                <w:bCs/>
                <w:color w:val="auto"/>
                <w:sz w:val="24"/>
              </w:rPr>
            </w:pPr>
            <w:r>
              <w:rPr>
                <w:b/>
                <w:bCs/>
                <w:color w:val="auto"/>
                <w:sz w:val="24"/>
              </w:rPr>
              <w:t>噪声</w:t>
            </w:r>
          </w:p>
          <w:p>
            <w:pPr>
              <w:pStyle w:val="8"/>
              <w:pageBreakBefore w:val="0"/>
              <w:widowControl w:val="0"/>
              <w:kinsoku/>
              <w:wordWrap/>
              <w:topLinePunct w:val="0"/>
              <w:bidi w:val="0"/>
              <w:adjustRightInd/>
              <w:snapToGrid/>
              <w:spacing w:after="0" w:line="520" w:lineRule="exact"/>
              <w:ind w:left="0" w:leftChars="0"/>
              <w:contextualSpacing/>
              <w:jc w:val="both"/>
              <w:textAlignment w:val="auto"/>
              <w:rPr>
                <w:b/>
                <w:bCs/>
                <w:color w:val="auto"/>
                <w:szCs w:val="24"/>
              </w:rPr>
            </w:pPr>
            <w:r>
              <w:rPr>
                <w:b/>
                <w:bCs/>
                <w:color w:val="auto"/>
                <w:szCs w:val="24"/>
              </w:rPr>
              <w:t>3.1</w:t>
            </w:r>
            <w:r>
              <w:rPr>
                <w:rFonts w:hint="eastAsia"/>
                <w:b/>
                <w:bCs/>
                <w:color w:val="auto"/>
                <w:szCs w:val="24"/>
                <w:lang w:val="en-US" w:eastAsia="zh-CN"/>
              </w:rPr>
              <w:t xml:space="preserve"> </w:t>
            </w:r>
            <w:r>
              <w:rPr>
                <w:b/>
                <w:bCs/>
                <w:color w:val="auto"/>
                <w:szCs w:val="24"/>
              </w:rPr>
              <w:t>噪声源强分析</w:t>
            </w:r>
          </w:p>
          <w:p>
            <w:pPr>
              <w:pageBreakBefore w:val="0"/>
              <w:widowControl w:val="0"/>
              <w:kinsoku/>
              <w:wordWrap/>
              <w:topLinePunct w:val="0"/>
              <w:autoSpaceDE w:val="0"/>
              <w:autoSpaceDN w:val="0"/>
              <w:bidi w:val="0"/>
              <w:adjustRightInd/>
              <w:snapToGrid/>
              <w:spacing w:line="520" w:lineRule="exact"/>
              <w:ind w:firstLine="480" w:firstLineChars="200"/>
              <w:jc w:val="both"/>
              <w:textAlignment w:val="auto"/>
              <w:rPr>
                <w:rFonts w:hint="eastAsia"/>
                <w:bCs/>
                <w:color w:val="auto"/>
                <w:sz w:val="24"/>
                <w:lang w:val="en-US" w:eastAsia="zh-CN"/>
              </w:rPr>
            </w:pPr>
            <w:r>
              <w:rPr>
                <w:bCs/>
                <w:color w:val="auto"/>
                <w:sz w:val="24"/>
              </w:rPr>
              <w:t>本项目主要噪声源来自各类机械设备噪声</w:t>
            </w:r>
            <w:r>
              <w:rPr>
                <w:rFonts w:hint="eastAsia"/>
                <w:bCs/>
                <w:color w:val="auto"/>
                <w:sz w:val="24"/>
                <w:lang w:eastAsia="zh-CN"/>
              </w:rPr>
              <w:t>（</w:t>
            </w:r>
            <w:r>
              <w:rPr>
                <w:rFonts w:hint="eastAsia"/>
                <w:bCs/>
                <w:color w:val="auto"/>
                <w:sz w:val="24"/>
                <w:lang w:val="en-US" w:eastAsia="zh-CN"/>
              </w:rPr>
              <w:t>N1、N2、N3</w:t>
            </w:r>
            <w:r>
              <w:rPr>
                <w:rFonts w:hint="eastAsia"/>
                <w:bCs/>
                <w:color w:val="auto"/>
                <w:sz w:val="24"/>
                <w:lang w:eastAsia="zh-CN"/>
              </w:rPr>
              <w:t>）</w:t>
            </w:r>
            <w:r>
              <w:rPr>
                <w:bCs/>
                <w:color w:val="auto"/>
                <w:sz w:val="24"/>
              </w:rPr>
              <w:t>。项目采取消声减振、厂房隔声等降噪措施。类比同类企业，在采取相关污染防治措施后，产噪设备源强见表4-</w:t>
            </w:r>
            <w:r>
              <w:rPr>
                <w:rFonts w:hint="eastAsia"/>
                <w:bCs/>
                <w:color w:val="auto"/>
                <w:sz w:val="24"/>
                <w:lang w:val="en-US" w:eastAsia="zh-CN"/>
              </w:rPr>
              <w:t>10</w:t>
            </w:r>
          </w:p>
          <w:p>
            <w:pPr>
              <w:pStyle w:val="30"/>
              <w:rPr>
                <w:color w:val="auto"/>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Cs w:val="21"/>
              </w:rPr>
            </w:pPr>
            <w:r>
              <w:rPr>
                <w:b/>
                <w:bCs/>
                <w:color w:val="auto"/>
                <w:szCs w:val="21"/>
              </w:rPr>
              <w:t>表4-</w:t>
            </w:r>
            <w:r>
              <w:rPr>
                <w:rFonts w:hint="eastAsia"/>
                <w:b/>
                <w:bCs/>
                <w:color w:val="auto"/>
                <w:szCs w:val="21"/>
                <w:lang w:val="en-US" w:eastAsia="zh-CN"/>
              </w:rPr>
              <w:t>10</w:t>
            </w:r>
            <w:r>
              <w:rPr>
                <w:b/>
                <w:bCs/>
                <w:color w:val="auto"/>
                <w:szCs w:val="21"/>
              </w:rPr>
              <w:t xml:space="preserve">    项目产噪设备源强一览表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629"/>
              <w:gridCol w:w="479"/>
              <w:gridCol w:w="1287"/>
              <w:gridCol w:w="1377"/>
              <w:gridCol w:w="991"/>
              <w:gridCol w:w="757"/>
              <w:gridCol w:w="822"/>
              <w:gridCol w:w="686"/>
              <w:gridCol w:w="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84" w:type="pct"/>
                  <w:vMerge w:val="restart"/>
                  <w:vAlign w:val="center"/>
                </w:tcPr>
                <w:p>
                  <w:pPr>
                    <w:pStyle w:val="6"/>
                    <w:ind w:firstLine="0"/>
                    <w:jc w:val="center"/>
                    <w:rPr>
                      <w:b/>
                      <w:bCs/>
                      <w:color w:val="auto"/>
                      <w:szCs w:val="18"/>
                    </w:rPr>
                  </w:pPr>
                  <w:r>
                    <w:rPr>
                      <w:b/>
                      <w:bCs/>
                      <w:color w:val="auto"/>
                      <w:szCs w:val="18"/>
                    </w:rPr>
                    <w:t>编号</w:t>
                  </w:r>
                </w:p>
              </w:tc>
              <w:tc>
                <w:tcPr>
                  <w:tcW w:w="373" w:type="pct"/>
                  <w:vMerge w:val="restart"/>
                  <w:vAlign w:val="center"/>
                </w:tcPr>
                <w:p>
                  <w:pPr>
                    <w:pStyle w:val="6"/>
                    <w:ind w:firstLine="0"/>
                    <w:jc w:val="center"/>
                    <w:rPr>
                      <w:b/>
                      <w:bCs/>
                      <w:color w:val="auto"/>
                      <w:szCs w:val="18"/>
                    </w:rPr>
                  </w:pPr>
                  <w:r>
                    <w:rPr>
                      <w:b/>
                      <w:bCs/>
                      <w:color w:val="auto"/>
                      <w:szCs w:val="18"/>
                    </w:rPr>
                    <w:t>噪声源</w:t>
                  </w:r>
                </w:p>
              </w:tc>
              <w:tc>
                <w:tcPr>
                  <w:tcW w:w="284" w:type="pct"/>
                  <w:vMerge w:val="restart"/>
                  <w:vAlign w:val="center"/>
                </w:tcPr>
                <w:p>
                  <w:pPr>
                    <w:pStyle w:val="6"/>
                    <w:ind w:firstLine="0"/>
                    <w:jc w:val="center"/>
                    <w:rPr>
                      <w:b/>
                      <w:bCs/>
                      <w:color w:val="auto"/>
                      <w:szCs w:val="18"/>
                    </w:rPr>
                  </w:pPr>
                  <w:r>
                    <w:rPr>
                      <w:b/>
                      <w:bCs/>
                      <w:color w:val="auto"/>
                      <w:szCs w:val="18"/>
                    </w:rPr>
                    <w:t>位置</w:t>
                  </w:r>
                </w:p>
              </w:tc>
              <w:tc>
                <w:tcPr>
                  <w:tcW w:w="764" w:type="pct"/>
                  <w:vMerge w:val="restart"/>
                  <w:vAlign w:val="center"/>
                </w:tcPr>
                <w:p>
                  <w:pPr>
                    <w:pStyle w:val="6"/>
                    <w:ind w:firstLine="0"/>
                    <w:jc w:val="center"/>
                    <w:rPr>
                      <w:b/>
                      <w:bCs/>
                      <w:color w:val="auto"/>
                      <w:szCs w:val="18"/>
                    </w:rPr>
                  </w:pPr>
                  <w:r>
                    <w:rPr>
                      <w:b/>
                      <w:bCs/>
                      <w:color w:val="auto"/>
                      <w:szCs w:val="18"/>
                    </w:rPr>
                    <w:t>噪声级dB（A）</w:t>
                  </w:r>
                </w:p>
              </w:tc>
              <w:tc>
                <w:tcPr>
                  <w:tcW w:w="817" w:type="pct"/>
                  <w:vMerge w:val="restart"/>
                  <w:vAlign w:val="center"/>
                </w:tcPr>
                <w:p>
                  <w:pPr>
                    <w:pStyle w:val="6"/>
                    <w:ind w:firstLine="0"/>
                    <w:jc w:val="center"/>
                    <w:rPr>
                      <w:b/>
                      <w:bCs/>
                      <w:color w:val="auto"/>
                      <w:szCs w:val="18"/>
                    </w:rPr>
                  </w:pPr>
                  <w:r>
                    <w:rPr>
                      <w:b/>
                      <w:bCs/>
                      <w:color w:val="auto"/>
                      <w:szCs w:val="18"/>
                    </w:rPr>
                    <w:t>降噪措施</w:t>
                  </w:r>
                </w:p>
              </w:tc>
              <w:tc>
                <w:tcPr>
                  <w:tcW w:w="588" w:type="pct"/>
                  <w:vMerge w:val="restart"/>
                  <w:vAlign w:val="center"/>
                </w:tcPr>
                <w:p>
                  <w:pPr>
                    <w:pStyle w:val="6"/>
                    <w:ind w:firstLine="0"/>
                    <w:jc w:val="center"/>
                    <w:rPr>
                      <w:b/>
                      <w:bCs/>
                      <w:color w:val="auto"/>
                      <w:szCs w:val="18"/>
                    </w:rPr>
                  </w:pPr>
                  <w:r>
                    <w:rPr>
                      <w:rFonts w:hint="eastAsia"/>
                      <w:b/>
                      <w:bCs/>
                      <w:color w:val="auto"/>
                      <w:szCs w:val="18"/>
                      <w:lang w:val="en-US" w:eastAsia="zh-CN"/>
                    </w:rPr>
                    <w:t>排放特征</w:t>
                  </w:r>
                </w:p>
              </w:tc>
              <w:tc>
                <w:tcPr>
                  <w:tcW w:w="1888" w:type="pct"/>
                  <w:gridSpan w:val="4"/>
                  <w:tcBorders>
                    <w:bottom w:val="single" w:color="auto" w:sz="12" w:space="0"/>
                  </w:tcBorders>
                  <w:vAlign w:val="center"/>
                </w:tcPr>
                <w:p>
                  <w:pPr>
                    <w:pStyle w:val="6"/>
                    <w:ind w:firstLine="0"/>
                    <w:jc w:val="center"/>
                    <w:rPr>
                      <w:rFonts w:hint="default"/>
                      <w:b/>
                      <w:bCs/>
                      <w:color w:val="auto"/>
                      <w:szCs w:val="18"/>
                      <w:lang w:val="en-US" w:eastAsia="zh-CN"/>
                    </w:rPr>
                  </w:pPr>
                  <w:r>
                    <w:rPr>
                      <w:rFonts w:hint="eastAsia"/>
                      <w:b/>
                      <w:bCs/>
                      <w:color w:val="auto"/>
                      <w:szCs w:val="18"/>
                      <w:lang w:val="en-US" w:eastAsia="zh-CN"/>
                    </w:rPr>
                    <w:t>距各厂界距离（m）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284" w:type="pct"/>
                  <w:vMerge w:val="continue"/>
                  <w:tcBorders>
                    <w:bottom w:val="single" w:color="auto" w:sz="12" w:space="0"/>
                  </w:tcBorders>
                  <w:vAlign w:val="center"/>
                </w:tcPr>
                <w:p>
                  <w:pPr>
                    <w:pStyle w:val="6"/>
                    <w:ind w:firstLine="0"/>
                    <w:jc w:val="center"/>
                    <w:rPr>
                      <w:color w:val="auto"/>
                    </w:rPr>
                  </w:pPr>
                </w:p>
              </w:tc>
              <w:tc>
                <w:tcPr>
                  <w:tcW w:w="373" w:type="pct"/>
                  <w:vMerge w:val="continue"/>
                  <w:tcBorders>
                    <w:bottom w:val="single" w:color="auto" w:sz="12" w:space="0"/>
                  </w:tcBorders>
                  <w:vAlign w:val="center"/>
                </w:tcPr>
                <w:p>
                  <w:pPr>
                    <w:pStyle w:val="6"/>
                    <w:ind w:firstLine="0"/>
                    <w:jc w:val="center"/>
                    <w:rPr>
                      <w:color w:val="auto"/>
                    </w:rPr>
                  </w:pPr>
                </w:p>
              </w:tc>
              <w:tc>
                <w:tcPr>
                  <w:tcW w:w="284" w:type="pct"/>
                  <w:vMerge w:val="continue"/>
                  <w:tcBorders>
                    <w:bottom w:val="single" w:color="auto" w:sz="12" w:space="0"/>
                  </w:tcBorders>
                  <w:vAlign w:val="center"/>
                </w:tcPr>
                <w:p>
                  <w:pPr>
                    <w:pStyle w:val="6"/>
                    <w:ind w:firstLine="0"/>
                    <w:jc w:val="center"/>
                    <w:rPr>
                      <w:color w:val="auto"/>
                    </w:rPr>
                  </w:pPr>
                </w:p>
              </w:tc>
              <w:tc>
                <w:tcPr>
                  <w:tcW w:w="764" w:type="pct"/>
                  <w:vMerge w:val="continue"/>
                  <w:tcBorders>
                    <w:bottom w:val="single" w:color="auto" w:sz="12" w:space="0"/>
                  </w:tcBorders>
                  <w:vAlign w:val="center"/>
                </w:tcPr>
                <w:p>
                  <w:pPr>
                    <w:pStyle w:val="6"/>
                    <w:ind w:firstLine="0"/>
                    <w:jc w:val="center"/>
                    <w:rPr>
                      <w:color w:val="auto"/>
                    </w:rPr>
                  </w:pPr>
                </w:p>
              </w:tc>
              <w:tc>
                <w:tcPr>
                  <w:tcW w:w="817" w:type="pct"/>
                  <w:vMerge w:val="continue"/>
                  <w:tcBorders>
                    <w:bottom w:val="single" w:color="auto" w:sz="12" w:space="0"/>
                  </w:tcBorders>
                  <w:vAlign w:val="center"/>
                </w:tcPr>
                <w:p>
                  <w:pPr>
                    <w:pStyle w:val="6"/>
                    <w:ind w:firstLine="0"/>
                    <w:jc w:val="center"/>
                    <w:rPr>
                      <w:color w:val="auto"/>
                    </w:rPr>
                  </w:pPr>
                </w:p>
              </w:tc>
              <w:tc>
                <w:tcPr>
                  <w:tcW w:w="588" w:type="pct"/>
                  <w:vMerge w:val="continue"/>
                  <w:tcBorders>
                    <w:bottom w:val="single" w:color="auto" w:sz="12" w:space="0"/>
                  </w:tcBorders>
                  <w:vAlign w:val="center"/>
                </w:tcPr>
                <w:p>
                  <w:pPr>
                    <w:pStyle w:val="6"/>
                    <w:ind w:firstLine="0"/>
                    <w:jc w:val="center"/>
                    <w:rPr>
                      <w:color w:val="auto"/>
                    </w:rPr>
                  </w:pPr>
                </w:p>
              </w:tc>
              <w:tc>
                <w:tcPr>
                  <w:tcW w:w="449" w:type="pct"/>
                  <w:tcBorders>
                    <w:bottom w:val="single" w:color="auto" w:sz="12" w:space="0"/>
                  </w:tcBorders>
                  <w:vAlign w:val="center"/>
                </w:tcPr>
                <w:p>
                  <w:pPr>
                    <w:pStyle w:val="6"/>
                    <w:ind w:firstLine="0"/>
                    <w:jc w:val="center"/>
                    <w:rPr>
                      <w:rFonts w:hint="default"/>
                      <w:b/>
                      <w:bCs/>
                      <w:color w:val="auto"/>
                      <w:szCs w:val="18"/>
                      <w:lang w:val="en-US" w:eastAsia="zh-CN"/>
                    </w:rPr>
                  </w:pPr>
                  <w:r>
                    <w:rPr>
                      <w:rFonts w:hint="eastAsia"/>
                      <w:b/>
                      <w:bCs/>
                      <w:color w:val="auto"/>
                      <w:szCs w:val="18"/>
                      <w:lang w:val="en-US" w:eastAsia="zh-CN"/>
                    </w:rPr>
                    <w:t>东</w:t>
                  </w:r>
                </w:p>
              </w:tc>
              <w:tc>
                <w:tcPr>
                  <w:tcW w:w="488" w:type="pct"/>
                  <w:tcBorders>
                    <w:bottom w:val="single" w:color="auto" w:sz="12" w:space="0"/>
                  </w:tcBorders>
                  <w:vAlign w:val="center"/>
                </w:tcPr>
                <w:p>
                  <w:pPr>
                    <w:pStyle w:val="6"/>
                    <w:ind w:firstLine="0"/>
                    <w:jc w:val="center"/>
                    <w:rPr>
                      <w:rFonts w:hint="default"/>
                      <w:b/>
                      <w:bCs/>
                      <w:color w:val="auto"/>
                      <w:szCs w:val="18"/>
                      <w:lang w:val="en-US" w:eastAsia="zh-CN"/>
                    </w:rPr>
                  </w:pPr>
                  <w:r>
                    <w:rPr>
                      <w:rFonts w:hint="eastAsia"/>
                      <w:b/>
                      <w:bCs/>
                      <w:color w:val="auto"/>
                      <w:szCs w:val="18"/>
                      <w:lang w:val="en-US" w:eastAsia="zh-CN"/>
                    </w:rPr>
                    <w:t>南</w:t>
                  </w:r>
                </w:p>
              </w:tc>
              <w:tc>
                <w:tcPr>
                  <w:tcW w:w="407" w:type="pct"/>
                  <w:tcBorders>
                    <w:bottom w:val="single" w:color="auto" w:sz="12" w:space="0"/>
                  </w:tcBorders>
                  <w:vAlign w:val="center"/>
                </w:tcPr>
                <w:p>
                  <w:pPr>
                    <w:pStyle w:val="6"/>
                    <w:ind w:firstLine="0"/>
                    <w:jc w:val="center"/>
                    <w:rPr>
                      <w:rFonts w:hint="default"/>
                      <w:b/>
                      <w:bCs/>
                      <w:color w:val="auto"/>
                      <w:szCs w:val="18"/>
                      <w:lang w:val="en-US" w:eastAsia="zh-CN"/>
                    </w:rPr>
                  </w:pPr>
                  <w:r>
                    <w:rPr>
                      <w:rFonts w:hint="eastAsia"/>
                      <w:b/>
                      <w:bCs/>
                      <w:color w:val="auto"/>
                      <w:szCs w:val="18"/>
                      <w:lang w:val="en-US" w:eastAsia="zh-CN"/>
                    </w:rPr>
                    <w:t>西</w:t>
                  </w:r>
                </w:p>
              </w:tc>
              <w:tc>
                <w:tcPr>
                  <w:tcW w:w="542" w:type="pct"/>
                  <w:tcBorders>
                    <w:bottom w:val="single" w:color="auto" w:sz="12" w:space="0"/>
                  </w:tcBorders>
                  <w:vAlign w:val="center"/>
                </w:tcPr>
                <w:p>
                  <w:pPr>
                    <w:pStyle w:val="6"/>
                    <w:ind w:firstLine="0"/>
                    <w:jc w:val="center"/>
                    <w:rPr>
                      <w:rFonts w:hint="default"/>
                      <w:b/>
                      <w:bCs/>
                      <w:color w:val="auto"/>
                      <w:szCs w:val="18"/>
                      <w:lang w:val="en-US" w:eastAsia="zh-CN"/>
                    </w:rPr>
                  </w:pPr>
                  <w:r>
                    <w:rPr>
                      <w:rFonts w:hint="eastAsia"/>
                      <w:b/>
                      <w:bCs/>
                      <w:color w:val="auto"/>
                      <w:szCs w:val="18"/>
                      <w:lang w:val="en-US" w:eastAsia="zh-CN"/>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tcBorders>
                    <w:top w:val="single" w:color="auto" w:sz="12" w:space="0"/>
                  </w:tcBorders>
                  <w:vAlign w:val="center"/>
                </w:tcPr>
                <w:p>
                  <w:pPr>
                    <w:pStyle w:val="6"/>
                    <w:ind w:firstLine="0"/>
                    <w:jc w:val="center"/>
                    <w:rPr>
                      <w:color w:val="auto"/>
                      <w:szCs w:val="18"/>
                    </w:rPr>
                  </w:pPr>
                  <w:r>
                    <w:rPr>
                      <w:color w:val="auto"/>
                      <w:szCs w:val="18"/>
                    </w:rPr>
                    <w:t>1</w:t>
                  </w:r>
                </w:p>
              </w:tc>
              <w:tc>
                <w:tcPr>
                  <w:tcW w:w="373" w:type="pct"/>
                  <w:vAlign w:val="center"/>
                </w:tcPr>
                <w:p>
                  <w:pPr>
                    <w:pStyle w:val="6"/>
                    <w:ind w:firstLine="0"/>
                    <w:jc w:val="center"/>
                    <w:rPr>
                      <w:rFonts w:hint="eastAsia" w:eastAsia="宋体"/>
                      <w:color w:val="auto"/>
                      <w:szCs w:val="16"/>
                      <w:lang w:eastAsia="zh-CN"/>
                    </w:rPr>
                  </w:pPr>
                  <w:r>
                    <w:rPr>
                      <w:rFonts w:hint="eastAsia"/>
                      <w:color w:val="auto"/>
                      <w:szCs w:val="18"/>
                      <w:lang w:val="en-US" w:eastAsia="zh-CN"/>
                    </w:rPr>
                    <w:t>破碎机</w:t>
                  </w:r>
                </w:p>
              </w:tc>
              <w:tc>
                <w:tcPr>
                  <w:tcW w:w="284" w:type="pct"/>
                  <w:vMerge w:val="restart"/>
                  <w:tcBorders>
                    <w:top w:val="single" w:color="auto" w:sz="12" w:space="0"/>
                  </w:tcBorders>
                  <w:vAlign w:val="center"/>
                </w:tcPr>
                <w:p>
                  <w:pPr>
                    <w:pStyle w:val="6"/>
                    <w:ind w:firstLine="0"/>
                    <w:jc w:val="center"/>
                    <w:rPr>
                      <w:color w:val="auto"/>
                      <w:szCs w:val="16"/>
                    </w:rPr>
                  </w:pPr>
                  <w:r>
                    <w:rPr>
                      <w:color w:val="auto"/>
                      <w:szCs w:val="16"/>
                    </w:rPr>
                    <w:t>厂内</w:t>
                  </w:r>
                </w:p>
              </w:tc>
              <w:tc>
                <w:tcPr>
                  <w:tcW w:w="764" w:type="pct"/>
                  <w:vAlign w:val="center"/>
                </w:tcPr>
                <w:p>
                  <w:pPr>
                    <w:pStyle w:val="6"/>
                    <w:ind w:firstLine="0"/>
                    <w:jc w:val="center"/>
                    <w:rPr>
                      <w:color w:val="auto"/>
                      <w:szCs w:val="16"/>
                    </w:rPr>
                  </w:pPr>
                  <w:r>
                    <w:rPr>
                      <w:color w:val="auto"/>
                      <w:szCs w:val="18"/>
                    </w:rPr>
                    <w:t>80~90</w:t>
                  </w:r>
                </w:p>
              </w:tc>
              <w:tc>
                <w:tcPr>
                  <w:tcW w:w="817" w:type="pct"/>
                  <w:vMerge w:val="restart"/>
                  <w:tcBorders>
                    <w:top w:val="single" w:color="auto" w:sz="12" w:space="0"/>
                  </w:tcBorders>
                  <w:vAlign w:val="center"/>
                </w:tcPr>
                <w:p>
                  <w:pPr>
                    <w:pStyle w:val="6"/>
                    <w:ind w:firstLine="0"/>
                    <w:jc w:val="center"/>
                    <w:rPr>
                      <w:color w:val="auto"/>
                      <w:szCs w:val="16"/>
                    </w:rPr>
                  </w:pPr>
                  <w:r>
                    <w:rPr>
                      <w:color w:val="auto"/>
                      <w:szCs w:val="16"/>
                    </w:rPr>
                    <w:t>设备安装时设置</w:t>
                  </w:r>
                  <w:r>
                    <w:rPr>
                      <w:rFonts w:hint="eastAsia"/>
                      <w:color w:val="auto"/>
                      <w:szCs w:val="16"/>
                      <w:lang w:eastAsia="zh-CN"/>
                    </w:rPr>
                    <w:t>减振</w:t>
                  </w:r>
                  <w:r>
                    <w:rPr>
                      <w:color w:val="auto"/>
                      <w:szCs w:val="16"/>
                    </w:rPr>
                    <w:t>基座，车间隔声，加强设备维护保养</w:t>
                  </w:r>
                </w:p>
              </w:tc>
              <w:tc>
                <w:tcPr>
                  <w:tcW w:w="588" w:type="pct"/>
                  <w:vAlign w:val="center"/>
                </w:tcPr>
                <w:p>
                  <w:pPr>
                    <w:pStyle w:val="6"/>
                    <w:ind w:firstLine="0"/>
                    <w:jc w:val="center"/>
                    <w:rPr>
                      <w:rFonts w:hint="eastAsia" w:eastAsia="宋体"/>
                      <w:color w:val="auto"/>
                      <w:szCs w:val="16"/>
                      <w:lang w:val="en-US" w:eastAsia="zh-CN"/>
                    </w:rPr>
                  </w:pPr>
                  <w:r>
                    <w:rPr>
                      <w:rFonts w:hint="eastAsia"/>
                      <w:color w:val="auto"/>
                      <w:szCs w:val="16"/>
                      <w:lang w:val="en-US" w:eastAsia="zh-CN"/>
                    </w:rPr>
                    <w:t>频发</w:t>
                  </w:r>
                </w:p>
              </w:tc>
              <w:tc>
                <w:tcPr>
                  <w:tcW w:w="449" w:type="pct"/>
                  <w:vAlign w:val="center"/>
                </w:tcPr>
                <w:p>
                  <w:pPr>
                    <w:pStyle w:val="6"/>
                    <w:ind w:firstLine="0"/>
                    <w:jc w:val="center"/>
                    <w:rPr>
                      <w:rFonts w:hint="default" w:eastAsia="宋体"/>
                      <w:color w:val="auto"/>
                      <w:szCs w:val="16"/>
                      <w:lang w:val="en-US" w:eastAsia="zh-CN"/>
                    </w:rPr>
                  </w:pPr>
                  <w:r>
                    <w:rPr>
                      <w:rFonts w:hint="eastAsia"/>
                      <w:color w:val="auto"/>
                      <w:szCs w:val="16"/>
                      <w:lang w:val="en-US" w:eastAsia="zh-CN"/>
                    </w:rPr>
                    <w:t>250</w:t>
                  </w:r>
                </w:p>
              </w:tc>
              <w:tc>
                <w:tcPr>
                  <w:tcW w:w="488" w:type="pct"/>
                  <w:vAlign w:val="center"/>
                </w:tcPr>
                <w:p>
                  <w:pPr>
                    <w:pStyle w:val="6"/>
                    <w:ind w:firstLine="0"/>
                    <w:jc w:val="center"/>
                    <w:rPr>
                      <w:rFonts w:hint="default" w:eastAsia="宋体"/>
                      <w:color w:val="auto"/>
                      <w:szCs w:val="16"/>
                      <w:lang w:val="en-US" w:eastAsia="zh-CN"/>
                    </w:rPr>
                  </w:pPr>
                  <w:r>
                    <w:rPr>
                      <w:rFonts w:hint="eastAsia"/>
                      <w:color w:val="auto"/>
                      <w:szCs w:val="16"/>
                      <w:lang w:val="en-US" w:eastAsia="zh-CN"/>
                    </w:rPr>
                    <w:t>50</w:t>
                  </w:r>
                </w:p>
              </w:tc>
              <w:tc>
                <w:tcPr>
                  <w:tcW w:w="407" w:type="pct"/>
                  <w:vAlign w:val="center"/>
                </w:tcPr>
                <w:p>
                  <w:pPr>
                    <w:pStyle w:val="6"/>
                    <w:ind w:firstLine="0"/>
                    <w:jc w:val="center"/>
                    <w:rPr>
                      <w:rFonts w:hint="default" w:eastAsia="宋体"/>
                      <w:color w:val="auto"/>
                      <w:szCs w:val="16"/>
                      <w:lang w:val="en-US" w:eastAsia="zh-CN"/>
                    </w:rPr>
                  </w:pPr>
                  <w:r>
                    <w:rPr>
                      <w:rFonts w:hint="eastAsia"/>
                      <w:color w:val="auto"/>
                      <w:szCs w:val="16"/>
                      <w:lang w:val="en-US" w:eastAsia="zh-CN"/>
                    </w:rPr>
                    <w:t>100</w:t>
                  </w:r>
                </w:p>
              </w:tc>
              <w:tc>
                <w:tcPr>
                  <w:tcW w:w="542" w:type="pct"/>
                  <w:vAlign w:val="center"/>
                </w:tcPr>
                <w:p>
                  <w:pPr>
                    <w:pStyle w:val="6"/>
                    <w:ind w:firstLine="0"/>
                    <w:jc w:val="center"/>
                    <w:rPr>
                      <w:rFonts w:hint="default" w:eastAsia="宋体"/>
                      <w:color w:val="auto"/>
                      <w:szCs w:val="16"/>
                      <w:lang w:val="en-US" w:eastAsia="zh-CN"/>
                    </w:rPr>
                  </w:pPr>
                  <w:r>
                    <w:rPr>
                      <w:rFonts w:hint="eastAsia"/>
                      <w:color w:val="auto"/>
                      <w:szCs w:val="16"/>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pPr>
                    <w:pStyle w:val="6"/>
                    <w:ind w:firstLine="0"/>
                    <w:jc w:val="center"/>
                    <w:rPr>
                      <w:color w:val="auto"/>
                      <w:szCs w:val="18"/>
                    </w:rPr>
                  </w:pPr>
                  <w:r>
                    <w:rPr>
                      <w:color w:val="auto"/>
                      <w:szCs w:val="18"/>
                    </w:rPr>
                    <w:t>2</w:t>
                  </w:r>
                </w:p>
              </w:tc>
              <w:tc>
                <w:tcPr>
                  <w:tcW w:w="373" w:type="pct"/>
                  <w:vAlign w:val="center"/>
                </w:tcPr>
                <w:p>
                  <w:pPr>
                    <w:pStyle w:val="6"/>
                    <w:ind w:firstLine="0"/>
                    <w:jc w:val="center"/>
                    <w:rPr>
                      <w:rFonts w:hint="default" w:eastAsia="宋体"/>
                      <w:color w:val="auto"/>
                      <w:szCs w:val="16"/>
                      <w:lang w:val="en-US" w:eastAsia="zh-CN"/>
                    </w:rPr>
                  </w:pPr>
                  <w:r>
                    <w:rPr>
                      <w:rFonts w:hint="eastAsia"/>
                      <w:color w:val="auto"/>
                      <w:szCs w:val="16"/>
                      <w:lang w:val="en-US" w:eastAsia="zh-CN"/>
                    </w:rPr>
                    <w:t>甩干机</w:t>
                  </w:r>
                </w:p>
              </w:tc>
              <w:tc>
                <w:tcPr>
                  <w:tcW w:w="284" w:type="pct"/>
                  <w:vMerge w:val="continue"/>
                  <w:vAlign w:val="center"/>
                </w:tcPr>
                <w:p>
                  <w:pPr>
                    <w:pStyle w:val="6"/>
                    <w:jc w:val="center"/>
                    <w:rPr>
                      <w:color w:val="auto"/>
                      <w:szCs w:val="16"/>
                    </w:rPr>
                  </w:pPr>
                </w:p>
              </w:tc>
              <w:tc>
                <w:tcPr>
                  <w:tcW w:w="764" w:type="pct"/>
                  <w:vAlign w:val="center"/>
                </w:tcPr>
                <w:p>
                  <w:pPr>
                    <w:pStyle w:val="6"/>
                    <w:ind w:firstLine="0"/>
                    <w:jc w:val="center"/>
                    <w:rPr>
                      <w:color w:val="auto"/>
                      <w:szCs w:val="16"/>
                    </w:rPr>
                  </w:pPr>
                  <w:r>
                    <w:rPr>
                      <w:color w:val="auto"/>
                      <w:szCs w:val="18"/>
                    </w:rPr>
                    <w:t>80~90</w:t>
                  </w:r>
                </w:p>
              </w:tc>
              <w:tc>
                <w:tcPr>
                  <w:tcW w:w="817" w:type="pct"/>
                  <w:vMerge w:val="continue"/>
                  <w:vAlign w:val="center"/>
                </w:tcPr>
                <w:p>
                  <w:pPr>
                    <w:pStyle w:val="6"/>
                    <w:ind w:firstLine="0"/>
                    <w:jc w:val="center"/>
                    <w:rPr>
                      <w:color w:val="auto"/>
                      <w:szCs w:val="16"/>
                    </w:rPr>
                  </w:pPr>
                </w:p>
              </w:tc>
              <w:tc>
                <w:tcPr>
                  <w:tcW w:w="588" w:type="pct"/>
                  <w:vAlign w:val="center"/>
                </w:tcPr>
                <w:p>
                  <w:pPr>
                    <w:pStyle w:val="6"/>
                    <w:ind w:firstLine="0"/>
                    <w:jc w:val="center"/>
                    <w:rPr>
                      <w:color w:val="auto"/>
                      <w:szCs w:val="16"/>
                    </w:rPr>
                  </w:pPr>
                  <w:r>
                    <w:rPr>
                      <w:rFonts w:hint="eastAsia"/>
                      <w:color w:val="auto"/>
                      <w:szCs w:val="16"/>
                      <w:lang w:val="en-US" w:eastAsia="zh-CN"/>
                    </w:rPr>
                    <w:t>频发</w:t>
                  </w:r>
                </w:p>
              </w:tc>
              <w:tc>
                <w:tcPr>
                  <w:tcW w:w="449" w:type="pct"/>
                  <w:vAlign w:val="center"/>
                </w:tcPr>
                <w:p>
                  <w:pPr>
                    <w:pStyle w:val="6"/>
                    <w:ind w:firstLine="0" w:firstLineChars="0"/>
                    <w:jc w:val="center"/>
                    <w:rPr>
                      <w:color w:val="auto"/>
                      <w:szCs w:val="16"/>
                    </w:rPr>
                  </w:pPr>
                  <w:r>
                    <w:rPr>
                      <w:rFonts w:hint="eastAsia"/>
                      <w:color w:val="auto"/>
                      <w:szCs w:val="16"/>
                      <w:lang w:val="en-US" w:eastAsia="zh-CN"/>
                    </w:rPr>
                    <w:t>250</w:t>
                  </w:r>
                </w:p>
              </w:tc>
              <w:tc>
                <w:tcPr>
                  <w:tcW w:w="488" w:type="pct"/>
                  <w:vAlign w:val="center"/>
                </w:tcPr>
                <w:p>
                  <w:pPr>
                    <w:pStyle w:val="6"/>
                    <w:ind w:firstLine="0" w:firstLineChars="0"/>
                    <w:jc w:val="center"/>
                    <w:rPr>
                      <w:color w:val="auto"/>
                      <w:szCs w:val="16"/>
                    </w:rPr>
                  </w:pPr>
                  <w:r>
                    <w:rPr>
                      <w:rFonts w:hint="eastAsia"/>
                      <w:color w:val="auto"/>
                      <w:szCs w:val="16"/>
                      <w:lang w:val="en-US" w:eastAsia="zh-CN"/>
                    </w:rPr>
                    <w:t>50</w:t>
                  </w:r>
                </w:p>
              </w:tc>
              <w:tc>
                <w:tcPr>
                  <w:tcW w:w="407" w:type="pct"/>
                  <w:vAlign w:val="center"/>
                </w:tcPr>
                <w:p>
                  <w:pPr>
                    <w:pStyle w:val="6"/>
                    <w:ind w:firstLine="0" w:firstLineChars="0"/>
                    <w:jc w:val="center"/>
                    <w:rPr>
                      <w:color w:val="auto"/>
                      <w:szCs w:val="16"/>
                    </w:rPr>
                  </w:pPr>
                  <w:r>
                    <w:rPr>
                      <w:rFonts w:hint="eastAsia"/>
                      <w:color w:val="auto"/>
                      <w:szCs w:val="16"/>
                      <w:lang w:val="en-US" w:eastAsia="zh-CN"/>
                    </w:rPr>
                    <w:t>100</w:t>
                  </w:r>
                </w:p>
              </w:tc>
              <w:tc>
                <w:tcPr>
                  <w:tcW w:w="542" w:type="pct"/>
                  <w:vAlign w:val="center"/>
                </w:tcPr>
                <w:p>
                  <w:pPr>
                    <w:pStyle w:val="6"/>
                    <w:ind w:firstLine="0" w:firstLineChars="0"/>
                    <w:jc w:val="center"/>
                    <w:rPr>
                      <w:color w:val="auto"/>
                      <w:szCs w:val="16"/>
                    </w:rPr>
                  </w:pPr>
                  <w:r>
                    <w:rPr>
                      <w:rFonts w:hint="eastAsia"/>
                      <w:color w:val="auto"/>
                      <w:szCs w:val="16"/>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84" w:type="pct"/>
                  <w:vAlign w:val="center"/>
                </w:tcPr>
                <w:p>
                  <w:pPr>
                    <w:pStyle w:val="6"/>
                    <w:ind w:firstLine="0"/>
                    <w:jc w:val="center"/>
                    <w:rPr>
                      <w:color w:val="auto"/>
                      <w:szCs w:val="18"/>
                    </w:rPr>
                  </w:pPr>
                  <w:r>
                    <w:rPr>
                      <w:color w:val="auto"/>
                      <w:szCs w:val="18"/>
                    </w:rPr>
                    <w:t>3</w:t>
                  </w:r>
                </w:p>
              </w:tc>
              <w:tc>
                <w:tcPr>
                  <w:tcW w:w="373" w:type="pct"/>
                  <w:vAlign w:val="center"/>
                </w:tcPr>
                <w:p>
                  <w:pPr>
                    <w:pStyle w:val="6"/>
                    <w:ind w:firstLine="0"/>
                    <w:jc w:val="center"/>
                    <w:rPr>
                      <w:rFonts w:hint="eastAsia" w:eastAsia="宋体"/>
                      <w:color w:val="auto"/>
                      <w:szCs w:val="16"/>
                      <w:lang w:eastAsia="zh-CN"/>
                    </w:rPr>
                  </w:pPr>
                  <w:r>
                    <w:rPr>
                      <w:rFonts w:hint="eastAsia"/>
                      <w:color w:val="auto"/>
                      <w:szCs w:val="18"/>
                      <w:lang w:val="en-US" w:eastAsia="zh-CN"/>
                    </w:rPr>
                    <w:t>挤出机</w:t>
                  </w:r>
                </w:p>
              </w:tc>
              <w:tc>
                <w:tcPr>
                  <w:tcW w:w="284" w:type="pct"/>
                  <w:vMerge w:val="continue"/>
                  <w:vAlign w:val="center"/>
                </w:tcPr>
                <w:p>
                  <w:pPr>
                    <w:pStyle w:val="6"/>
                    <w:jc w:val="center"/>
                    <w:rPr>
                      <w:color w:val="auto"/>
                      <w:szCs w:val="16"/>
                    </w:rPr>
                  </w:pPr>
                </w:p>
              </w:tc>
              <w:tc>
                <w:tcPr>
                  <w:tcW w:w="764" w:type="pct"/>
                  <w:vAlign w:val="center"/>
                </w:tcPr>
                <w:p>
                  <w:pPr>
                    <w:pStyle w:val="6"/>
                    <w:ind w:firstLine="0"/>
                    <w:jc w:val="center"/>
                    <w:rPr>
                      <w:color w:val="auto"/>
                      <w:szCs w:val="16"/>
                    </w:rPr>
                  </w:pPr>
                  <w:r>
                    <w:rPr>
                      <w:color w:val="auto"/>
                      <w:szCs w:val="18"/>
                    </w:rPr>
                    <w:t>65~80</w:t>
                  </w:r>
                </w:p>
              </w:tc>
              <w:tc>
                <w:tcPr>
                  <w:tcW w:w="817" w:type="pct"/>
                  <w:vMerge w:val="continue"/>
                  <w:vAlign w:val="center"/>
                </w:tcPr>
                <w:p>
                  <w:pPr>
                    <w:pStyle w:val="6"/>
                    <w:ind w:firstLine="0"/>
                    <w:jc w:val="center"/>
                    <w:rPr>
                      <w:color w:val="auto"/>
                      <w:szCs w:val="16"/>
                    </w:rPr>
                  </w:pPr>
                </w:p>
              </w:tc>
              <w:tc>
                <w:tcPr>
                  <w:tcW w:w="588" w:type="pct"/>
                  <w:vAlign w:val="center"/>
                </w:tcPr>
                <w:p>
                  <w:pPr>
                    <w:pStyle w:val="6"/>
                    <w:ind w:firstLine="0"/>
                    <w:jc w:val="center"/>
                    <w:rPr>
                      <w:color w:val="auto"/>
                      <w:szCs w:val="16"/>
                    </w:rPr>
                  </w:pPr>
                  <w:r>
                    <w:rPr>
                      <w:rFonts w:hint="eastAsia"/>
                      <w:color w:val="auto"/>
                      <w:szCs w:val="16"/>
                      <w:lang w:val="en-US" w:eastAsia="zh-CN"/>
                    </w:rPr>
                    <w:t>频发</w:t>
                  </w:r>
                </w:p>
              </w:tc>
              <w:tc>
                <w:tcPr>
                  <w:tcW w:w="449" w:type="pct"/>
                  <w:vAlign w:val="center"/>
                </w:tcPr>
                <w:p>
                  <w:pPr>
                    <w:pStyle w:val="6"/>
                    <w:ind w:firstLine="0" w:firstLineChars="0"/>
                    <w:jc w:val="center"/>
                    <w:rPr>
                      <w:color w:val="auto"/>
                      <w:szCs w:val="16"/>
                    </w:rPr>
                  </w:pPr>
                  <w:r>
                    <w:rPr>
                      <w:rFonts w:hint="eastAsia"/>
                      <w:color w:val="auto"/>
                      <w:szCs w:val="16"/>
                      <w:lang w:val="en-US" w:eastAsia="zh-CN"/>
                    </w:rPr>
                    <w:t>250</w:t>
                  </w:r>
                </w:p>
              </w:tc>
              <w:tc>
                <w:tcPr>
                  <w:tcW w:w="488" w:type="pct"/>
                  <w:vAlign w:val="center"/>
                </w:tcPr>
                <w:p>
                  <w:pPr>
                    <w:pStyle w:val="6"/>
                    <w:ind w:firstLine="0" w:firstLineChars="0"/>
                    <w:jc w:val="center"/>
                    <w:rPr>
                      <w:color w:val="auto"/>
                      <w:szCs w:val="16"/>
                    </w:rPr>
                  </w:pPr>
                  <w:r>
                    <w:rPr>
                      <w:rFonts w:hint="eastAsia"/>
                      <w:color w:val="auto"/>
                      <w:szCs w:val="16"/>
                      <w:lang w:val="en-US" w:eastAsia="zh-CN"/>
                    </w:rPr>
                    <w:t>50</w:t>
                  </w:r>
                </w:p>
              </w:tc>
              <w:tc>
                <w:tcPr>
                  <w:tcW w:w="407" w:type="pct"/>
                  <w:vAlign w:val="center"/>
                </w:tcPr>
                <w:p>
                  <w:pPr>
                    <w:pStyle w:val="6"/>
                    <w:ind w:firstLine="0" w:firstLineChars="0"/>
                    <w:jc w:val="center"/>
                    <w:rPr>
                      <w:color w:val="auto"/>
                      <w:szCs w:val="16"/>
                    </w:rPr>
                  </w:pPr>
                  <w:r>
                    <w:rPr>
                      <w:rFonts w:hint="eastAsia"/>
                      <w:color w:val="auto"/>
                      <w:szCs w:val="16"/>
                      <w:lang w:val="en-US" w:eastAsia="zh-CN"/>
                    </w:rPr>
                    <w:t>100</w:t>
                  </w:r>
                </w:p>
              </w:tc>
              <w:tc>
                <w:tcPr>
                  <w:tcW w:w="542" w:type="pct"/>
                  <w:vAlign w:val="center"/>
                </w:tcPr>
                <w:p>
                  <w:pPr>
                    <w:pStyle w:val="6"/>
                    <w:ind w:firstLine="0" w:firstLineChars="0"/>
                    <w:jc w:val="center"/>
                    <w:rPr>
                      <w:color w:val="auto"/>
                      <w:szCs w:val="16"/>
                    </w:rPr>
                  </w:pPr>
                  <w:r>
                    <w:rPr>
                      <w:rFonts w:hint="eastAsia"/>
                      <w:color w:val="auto"/>
                      <w:szCs w:val="16"/>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 w:type="pct"/>
                  <w:vAlign w:val="center"/>
                </w:tcPr>
                <w:p>
                  <w:pPr>
                    <w:pStyle w:val="6"/>
                    <w:ind w:firstLine="0"/>
                    <w:jc w:val="center"/>
                    <w:rPr>
                      <w:color w:val="auto"/>
                      <w:szCs w:val="18"/>
                    </w:rPr>
                  </w:pPr>
                  <w:r>
                    <w:rPr>
                      <w:color w:val="auto"/>
                      <w:szCs w:val="18"/>
                    </w:rPr>
                    <w:t>4</w:t>
                  </w:r>
                </w:p>
              </w:tc>
              <w:tc>
                <w:tcPr>
                  <w:tcW w:w="373" w:type="pct"/>
                  <w:vAlign w:val="center"/>
                </w:tcPr>
                <w:p>
                  <w:pPr>
                    <w:pStyle w:val="6"/>
                    <w:ind w:firstLine="0"/>
                    <w:jc w:val="center"/>
                    <w:rPr>
                      <w:rFonts w:hint="eastAsia" w:eastAsia="宋体"/>
                      <w:color w:val="auto"/>
                      <w:szCs w:val="16"/>
                      <w:lang w:eastAsia="zh-CN"/>
                    </w:rPr>
                  </w:pPr>
                  <w:r>
                    <w:rPr>
                      <w:rFonts w:hint="eastAsia"/>
                      <w:color w:val="auto"/>
                      <w:szCs w:val="18"/>
                      <w:lang w:val="en-US" w:eastAsia="zh-CN"/>
                    </w:rPr>
                    <w:t>切割机</w:t>
                  </w:r>
                </w:p>
              </w:tc>
              <w:tc>
                <w:tcPr>
                  <w:tcW w:w="284" w:type="pct"/>
                  <w:vMerge w:val="continue"/>
                  <w:vAlign w:val="center"/>
                </w:tcPr>
                <w:p>
                  <w:pPr>
                    <w:pStyle w:val="6"/>
                    <w:jc w:val="center"/>
                    <w:rPr>
                      <w:color w:val="auto"/>
                      <w:szCs w:val="16"/>
                    </w:rPr>
                  </w:pPr>
                </w:p>
              </w:tc>
              <w:tc>
                <w:tcPr>
                  <w:tcW w:w="764" w:type="pct"/>
                  <w:vAlign w:val="center"/>
                </w:tcPr>
                <w:p>
                  <w:pPr>
                    <w:pStyle w:val="6"/>
                    <w:ind w:firstLine="0"/>
                    <w:jc w:val="center"/>
                    <w:rPr>
                      <w:color w:val="auto"/>
                      <w:szCs w:val="16"/>
                    </w:rPr>
                  </w:pPr>
                  <w:r>
                    <w:rPr>
                      <w:color w:val="auto"/>
                      <w:szCs w:val="18"/>
                    </w:rPr>
                    <w:t>75~85</w:t>
                  </w:r>
                </w:p>
              </w:tc>
              <w:tc>
                <w:tcPr>
                  <w:tcW w:w="817" w:type="pct"/>
                  <w:vMerge w:val="continue"/>
                  <w:vAlign w:val="center"/>
                </w:tcPr>
                <w:p>
                  <w:pPr>
                    <w:pStyle w:val="6"/>
                    <w:ind w:firstLine="0"/>
                    <w:jc w:val="center"/>
                    <w:rPr>
                      <w:color w:val="auto"/>
                      <w:szCs w:val="16"/>
                    </w:rPr>
                  </w:pPr>
                </w:p>
              </w:tc>
              <w:tc>
                <w:tcPr>
                  <w:tcW w:w="588" w:type="pct"/>
                  <w:vAlign w:val="center"/>
                </w:tcPr>
                <w:p>
                  <w:pPr>
                    <w:pStyle w:val="6"/>
                    <w:ind w:firstLine="0"/>
                    <w:jc w:val="center"/>
                    <w:rPr>
                      <w:color w:val="auto"/>
                      <w:szCs w:val="16"/>
                    </w:rPr>
                  </w:pPr>
                  <w:r>
                    <w:rPr>
                      <w:rFonts w:hint="eastAsia"/>
                      <w:color w:val="auto"/>
                      <w:szCs w:val="16"/>
                      <w:lang w:val="en-US" w:eastAsia="zh-CN"/>
                    </w:rPr>
                    <w:t>频发</w:t>
                  </w:r>
                </w:p>
              </w:tc>
              <w:tc>
                <w:tcPr>
                  <w:tcW w:w="449" w:type="pct"/>
                  <w:vAlign w:val="center"/>
                </w:tcPr>
                <w:p>
                  <w:pPr>
                    <w:pStyle w:val="6"/>
                    <w:ind w:firstLine="0" w:firstLineChars="0"/>
                    <w:jc w:val="center"/>
                    <w:rPr>
                      <w:color w:val="auto"/>
                      <w:szCs w:val="16"/>
                    </w:rPr>
                  </w:pPr>
                  <w:r>
                    <w:rPr>
                      <w:rFonts w:hint="eastAsia"/>
                      <w:color w:val="auto"/>
                      <w:szCs w:val="16"/>
                      <w:lang w:val="en-US" w:eastAsia="zh-CN"/>
                    </w:rPr>
                    <w:t>250</w:t>
                  </w:r>
                </w:p>
              </w:tc>
              <w:tc>
                <w:tcPr>
                  <w:tcW w:w="488" w:type="pct"/>
                  <w:vAlign w:val="center"/>
                </w:tcPr>
                <w:p>
                  <w:pPr>
                    <w:pStyle w:val="6"/>
                    <w:ind w:firstLine="0" w:firstLineChars="0"/>
                    <w:jc w:val="center"/>
                    <w:rPr>
                      <w:color w:val="auto"/>
                      <w:szCs w:val="16"/>
                    </w:rPr>
                  </w:pPr>
                  <w:r>
                    <w:rPr>
                      <w:rFonts w:hint="eastAsia"/>
                      <w:color w:val="auto"/>
                      <w:szCs w:val="16"/>
                      <w:lang w:val="en-US" w:eastAsia="zh-CN"/>
                    </w:rPr>
                    <w:t>50</w:t>
                  </w:r>
                </w:p>
              </w:tc>
              <w:tc>
                <w:tcPr>
                  <w:tcW w:w="407" w:type="pct"/>
                  <w:vAlign w:val="center"/>
                </w:tcPr>
                <w:p>
                  <w:pPr>
                    <w:pStyle w:val="6"/>
                    <w:ind w:firstLine="0" w:firstLineChars="0"/>
                    <w:jc w:val="center"/>
                    <w:rPr>
                      <w:color w:val="auto"/>
                      <w:szCs w:val="16"/>
                    </w:rPr>
                  </w:pPr>
                  <w:r>
                    <w:rPr>
                      <w:rFonts w:hint="eastAsia"/>
                      <w:color w:val="auto"/>
                      <w:szCs w:val="16"/>
                      <w:lang w:val="en-US" w:eastAsia="zh-CN"/>
                    </w:rPr>
                    <w:t>100</w:t>
                  </w:r>
                </w:p>
              </w:tc>
              <w:tc>
                <w:tcPr>
                  <w:tcW w:w="542" w:type="pct"/>
                  <w:vAlign w:val="center"/>
                </w:tcPr>
                <w:p>
                  <w:pPr>
                    <w:pStyle w:val="6"/>
                    <w:ind w:firstLine="0" w:firstLineChars="0"/>
                    <w:jc w:val="center"/>
                    <w:rPr>
                      <w:color w:val="auto"/>
                      <w:szCs w:val="16"/>
                    </w:rPr>
                  </w:pPr>
                  <w:r>
                    <w:rPr>
                      <w:rFonts w:hint="eastAsia"/>
                      <w:color w:val="auto"/>
                      <w:szCs w:val="16"/>
                      <w:lang w:val="en-US" w:eastAsia="zh-CN"/>
                    </w:rPr>
                    <w:t>80</w:t>
                  </w:r>
                </w:p>
              </w:tc>
            </w:tr>
          </w:tbl>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jc w:val="both"/>
              <w:textAlignment w:val="auto"/>
              <w:rPr>
                <w:b/>
                <w:bCs/>
                <w:color w:val="auto"/>
              </w:rPr>
            </w:pPr>
            <w:r>
              <w:rPr>
                <w:b/>
                <w:bCs/>
                <w:color w:val="auto"/>
              </w:rPr>
              <w:t>3.2</w:t>
            </w:r>
            <w:r>
              <w:rPr>
                <w:rFonts w:hint="eastAsia"/>
                <w:b/>
                <w:bCs/>
                <w:color w:val="auto"/>
                <w:lang w:val="en-US" w:eastAsia="zh-CN"/>
              </w:rPr>
              <w:t xml:space="preserve"> </w:t>
            </w:r>
            <w:r>
              <w:rPr>
                <w:b/>
                <w:bCs/>
                <w:color w:val="auto"/>
              </w:rPr>
              <w:t>噪声源强核算</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snapToGrid w:val="0"/>
                <w:color w:val="auto"/>
                <w:sz w:val="24"/>
                <w:highlight w:val="none"/>
              </w:rPr>
            </w:pPr>
            <w:r>
              <w:rPr>
                <w:snapToGrid w:val="0"/>
                <w:color w:val="auto"/>
                <w:sz w:val="24"/>
                <w:highlight w:val="none"/>
              </w:rPr>
              <w:t>根据项目设备的噪声排放特点，按照《</w:t>
            </w:r>
            <w:r>
              <w:rPr>
                <w:rFonts w:hint="eastAsia"/>
                <w:snapToGrid w:val="0"/>
                <w:color w:val="auto"/>
                <w:sz w:val="24"/>
                <w:highlight w:val="none"/>
                <w:lang w:eastAsia="zh-CN"/>
              </w:rPr>
              <w:t>环境影响评价技术导则 声环境</w:t>
            </w:r>
            <w:r>
              <w:rPr>
                <w:snapToGrid w:val="0"/>
                <w:color w:val="auto"/>
                <w:sz w:val="24"/>
                <w:highlight w:val="none"/>
              </w:rPr>
              <w:t>》</w:t>
            </w:r>
            <w:r>
              <w:rPr>
                <w:rFonts w:hint="eastAsia"/>
                <w:snapToGrid w:val="0"/>
                <w:color w:val="auto"/>
                <w:sz w:val="24"/>
                <w:highlight w:val="none"/>
                <w:lang w:eastAsia="zh-CN"/>
              </w:rPr>
              <w:t>（</w:t>
            </w:r>
            <w:r>
              <w:rPr>
                <w:snapToGrid w:val="0"/>
                <w:color w:val="auto"/>
                <w:sz w:val="24"/>
                <w:highlight w:val="none"/>
              </w:rPr>
              <w:t>HJ2.4-</w:t>
            </w:r>
            <w:r>
              <w:rPr>
                <w:rFonts w:hint="eastAsia"/>
                <w:snapToGrid w:val="0"/>
                <w:color w:val="auto"/>
                <w:sz w:val="24"/>
                <w:highlight w:val="none"/>
                <w:lang w:val="en-US" w:eastAsia="zh-CN"/>
              </w:rPr>
              <w:t>2021</w:t>
            </w:r>
            <w:r>
              <w:rPr>
                <w:rFonts w:hint="eastAsia"/>
                <w:snapToGrid w:val="0"/>
                <w:color w:val="auto"/>
                <w:sz w:val="24"/>
                <w:highlight w:val="none"/>
                <w:lang w:eastAsia="zh-CN"/>
              </w:rPr>
              <w:t>）</w:t>
            </w:r>
            <w:r>
              <w:rPr>
                <w:snapToGrid w:val="0"/>
                <w:color w:val="auto"/>
                <w:sz w:val="24"/>
                <w:highlight w:val="none"/>
              </w:rPr>
              <w:t>的要求，选择点声源预测模式预测噪声源排放噪声随距离的衰减变化规律。</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无指向性点声源几何发散衰减的基本公式是：</w:t>
            </w:r>
          </w:p>
          <w:p>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olor w:val="auto"/>
                <w:sz w:val="24"/>
                <w:highlight w:val="none"/>
              </w:rPr>
            </w:pPr>
            <w:r>
              <w:rPr>
                <w:rFonts w:hint="default"/>
                <w:color w:val="auto"/>
                <w:sz w:val="24"/>
                <w:highlight w:val="none"/>
              </w:rPr>
              <w:object>
                <v:shape id="_x0000_i1025" o:spt="75" type="#_x0000_t75" style="height:35.3pt;width:148.2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式中：L</w:t>
            </w:r>
            <w:r>
              <w:rPr>
                <w:rFonts w:hint="eastAsia"/>
                <w:color w:val="auto"/>
                <w:sz w:val="24"/>
                <w:highlight w:val="none"/>
                <w:vertAlign w:val="subscript"/>
                <w:lang w:val="en-US" w:eastAsia="zh-CN"/>
              </w:rPr>
              <w:t>p</w:t>
            </w:r>
            <w:r>
              <w:rPr>
                <w:rFonts w:hint="eastAsia"/>
                <w:color w:val="auto"/>
                <w:sz w:val="24"/>
                <w:highlight w:val="none"/>
                <w:lang w:val="en-US" w:eastAsia="zh-CN"/>
              </w:rPr>
              <w:t>（</w:t>
            </w:r>
            <w:r>
              <w:rPr>
                <w:rFonts w:hint="default"/>
                <w:color w:val="auto"/>
                <w:sz w:val="24"/>
                <w:highlight w:val="none"/>
                <w:lang w:val="en-US" w:eastAsia="zh-CN"/>
              </w:rPr>
              <w:t>r</w:t>
            </w:r>
            <w:r>
              <w:rPr>
                <w:rFonts w:hint="eastAsia"/>
                <w:color w:val="auto"/>
                <w:sz w:val="24"/>
                <w:highlight w:val="none"/>
                <w:lang w:val="en-US" w:eastAsia="zh-CN"/>
              </w:rPr>
              <w:t>）</w:t>
            </w:r>
            <w:r>
              <w:rPr>
                <w:rFonts w:hint="default"/>
                <w:color w:val="auto"/>
                <w:sz w:val="24"/>
                <w:highlight w:val="none"/>
                <w:lang w:val="en-US" w:eastAsia="zh-CN"/>
              </w:rPr>
              <w:t>——预测点处声压级，dB；</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L</w:t>
            </w:r>
            <w:r>
              <w:rPr>
                <w:rFonts w:hint="eastAsia"/>
                <w:color w:val="auto"/>
                <w:sz w:val="24"/>
                <w:highlight w:val="none"/>
                <w:vertAlign w:val="subscript"/>
                <w:lang w:val="en-US" w:eastAsia="zh-CN"/>
              </w:rPr>
              <w:t>p</w:t>
            </w:r>
            <w:r>
              <w:rPr>
                <w:rFonts w:hint="eastAsia"/>
                <w:color w:val="auto"/>
                <w:sz w:val="24"/>
                <w:highlight w:val="none"/>
                <w:lang w:val="en-US" w:eastAsia="zh-CN"/>
              </w:rPr>
              <w:t>（</w:t>
            </w:r>
            <w:r>
              <w:rPr>
                <w:rFonts w:hint="default"/>
                <w:color w:val="auto"/>
                <w:sz w:val="24"/>
                <w:highlight w:val="none"/>
                <w:lang w:val="en-US" w:eastAsia="zh-CN"/>
              </w:rPr>
              <w:t>r</w:t>
            </w:r>
            <w:r>
              <w:rPr>
                <w:rFonts w:hint="default"/>
                <w:color w:val="auto"/>
                <w:sz w:val="24"/>
                <w:highlight w:val="none"/>
                <w:vertAlign w:val="subscript"/>
                <w:lang w:val="en-US" w:eastAsia="zh-CN"/>
              </w:rPr>
              <w:t>0</w:t>
            </w:r>
            <w:r>
              <w:rPr>
                <w:rFonts w:hint="eastAsia"/>
                <w:color w:val="auto"/>
                <w:sz w:val="24"/>
                <w:highlight w:val="none"/>
                <w:lang w:val="en-US" w:eastAsia="zh-CN"/>
              </w:rPr>
              <w:t>）</w:t>
            </w:r>
            <w:r>
              <w:rPr>
                <w:rFonts w:hint="default"/>
                <w:color w:val="auto"/>
                <w:sz w:val="24"/>
                <w:highlight w:val="none"/>
                <w:lang w:val="en-US" w:eastAsia="zh-CN"/>
              </w:rPr>
              <w:t>——参考位置r</w:t>
            </w:r>
            <w:r>
              <w:rPr>
                <w:rFonts w:hint="default"/>
                <w:color w:val="auto"/>
                <w:sz w:val="24"/>
                <w:highlight w:val="none"/>
                <w:vertAlign w:val="subscript"/>
                <w:lang w:val="en-US" w:eastAsia="zh-CN"/>
              </w:rPr>
              <w:t>0</w:t>
            </w:r>
            <w:r>
              <w:rPr>
                <w:rFonts w:hint="default"/>
                <w:color w:val="auto"/>
                <w:sz w:val="24"/>
                <w:highlight w:val="none"/>
                <w:lang w:val="en-US" w:eastAsia="zh-CN"/>
              </w:rPr>
              <w:t>处的声压级，dB；</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r——预测点距声源的距离；</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r</w:t>
            </w:r>
            <w:r>
              <w:rPr>
                <w:rFonts w:hint="eastAsia"/>
                <w:color w:val="auto"/>
                <w:sz w:val="24"/>
                <w:highlight w:val="none"/>
                <w:vertAlign w:val="subscript"/>
                <w:lang w:val="en-US" w:eastAsia="zh-CN"/>
              </w:rPr>
              <w:t>0</w:t>
            </w:r>
            <w:r>
              <w:rPr>
                <w:rFonts w:hint="default"/>
                <w:color w:val="auto"/>
                <w:sz w:val="24"/>
                <w:highlight w:val="none"/>
                <w:lang w:val="en-US" w:eastAsia="zh-CN"/>
              </w:rPr>
              <w:t>——参考位置距声源的距离；</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噪声贡献值（Leqg）计算公式为：</w:t>
            </w:r>
          </w:p>
          <w:p>
            <w:pPr>
              <w:pStyle w:val="8"/>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color w:val="auto"/>
                <w:sz w:val="24"/>
                <w:highlight w:val="none"/>
                <w:lang w:val="en-US" w:eastAsia="zh-CN"/>
              </w:rPr>
            </w:pPr>
            <w:r>
              <w:rPr>
                <w:rFonts w:hint="default"/>
                <w:color w:val="auto"/>
                <w:sz w:val="24"/>
                <w:highlight w:val="none"/>
              </w:rPr>
              <w:object>
                <v:shape id="_x0000_i1026" o:spt="75" type="#_x0000_t75" style="height:32.55pt;width:155.8pt;" o:ole="t" filled="f" o:preferrelative="t" stroked="f" coordsize="21600,21600">
                  <v:path/>
                  <v:fill on="f" focussize="0,0"/>
                  <v:stroke on="f"/>
                  <v:imagedata r:id="rId15" o:title=""/>
                  <o:lock v:ext="edit" aspectratio="t"/>
                  <w10:wrap type="none"/>
                  <w10:anchorlock/>
                </v:shape>
                <o:OLEObject Type="Embed" ProgID="Equation.3" ShapeID="_x0000_i1026" DrawAspect="Content" ObjectID="_1468075726" r:id="rId14">
                  <o:LockedField>false</o:LockedField>
                </o:OLEObject>
              </w:objec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式中：L</w:t>
            </w:r>
            <w:r>
              <w:rPr>
                <w:rFonts w:hint="default"/>
                <w:color w:val="auto"/>
                <w:sz w:val="24"/>
                <w:highlight w:val="none"/>
                <w:vertAlign w:val="subscript"/>
                <w:lang w:val="en-US" w:eastAsia="zh-CN"/>
              </w:rPr>
              <w:t>eqg</w:t>
            </w:r>
            <w:r>
              <w:rPr>
                <w:rFonts w:hint="default"/>
                <w:color w:val="auto"/>
                <w:sz w:val="24"/>
                <w:highlight w:val="none"/>
                <w:lang w:val="en-US" w:eastAsia="zh-CN"/>
              </w:rPr>
              <w:t>——噪声贡献值，dB；</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T——预测计算的时间段，s；</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t</w:t>
            </w:r>
            <w:r>
              <w:rPr>
                <w:rFonts w:hint="default"/>
                <w:color w:val="auto"/>
                <w:sz w:val="24"/>
                <w:highlight w:val="none"/>
                <w:vertAlign w:val="subscript"/>
                <w:lang w:val="en-US" w:eastAsia="zh-CN"/>
              </w:rPr>
              <w:t>i</w:t>
            </w:r>
            <w:r>
              <w:rPr>
                <w:rFonts w:hint="default"/>
                <w:color w:val="auto"/>
                <w:sz w:val="24"/>
                <w:highlight w:val="none"/>
                <w:lang w:val="en-US" w:eastAsia="zh-CN"/>
              </w:rPr>
              <w:t>——i声源在T时段内的运行时间，s；</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right="0" w:firstLine="480" w:firstLineChars="200"/>
              <w:jc w:val="both"/>
              <w:textAlignment w:val="auto"/>
              <w:rPr>
                <w:rFonts w:hint="default"/>
                <w:color w:val="auto"/>
                <w:sz w:val="24"/>
                <w:highlight w:val="none"/>
                <w:lang w:val="en-US" w:eastAsia="zh-CN"/>
              </w:rPr>
            </w:pPr>
            <w:r>
              <w:rPr>
                <w:rFonts w:hint="default"/>
                <w:color w:val="auto"/>
                <w:sz w:val="24"/>
                <w:highlight w:val="none"/>
                <w:lang w:val="en-US" w:eastAsia="zh-CN"/>
              </w:rPr>
              <w:t>L</w:t>
            </w:r>
            <w:r>
              <w:rPr>
                <w:rFonts w:hint="default"/>
                <w:color w:val="auto"/>
                <w:sz w:val="24"/>
                <w:highlight w:val="none"/>
                <w:vertAlign w:val="subscript"/>
                <w:lang w:val="en-US" w:eastAsia="zh-CN"/>
              </w:rPr>
              <w:t>Ai</w:t>
            </w:r>
            <w:r>
              <w:rPr>
                <w:rFonts w:hint="default"/>
                <w:color w:val="auto"/>
                <w:sz w:val="24"/>
                <w:highlight w:val="none"/>
                <w:lang w:val="en-US" w:eastAsia="zh-CN"/>
              </w:rPr>
              <w:t>——i声源在预测点产生的等效连续A声级，dB。</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color w:val="auto"/>
                <w:sz w:val="24"/>
                <w:highlight w:val="none"/>
              </w:rPr>
            </w:pPr>
            <w:r>
              <w:rPr>
                <w:color w:val="auto"/>
                <w:sz w:val="24"/>
                <w:highlight w:val="none"/>
              </w:rPr>
              <w:t>根据以上模式对主要声源噪声衰减进行预测。产噪设备采取隔声、减</w:t>
            </w:r>
            <w:r>
              <w:rPr>
                <w:rFonts w:hint="eastAsia"/>
                <w:color w:val="auto"/>
                <w:sz w:val="24"/>
                <w:highlight w:val="none"/>
                <w:lang w:val="en-US" w:eastAsia="zh-CN"/>
              </w:rPr>
              <w:t>振</w:t>
            </w:r>
            <w:r>
              <w:rPr>
                <w:color w:val="auto"/>
                <w:sz w:val="24"/>
                <w:highlight w:val="none"/>
              </w:rPr>
              <w:t>、吸声等措施后，结合距离衰减，详见噪声衰减预测结果表4-</w:t>
            </w:r>
            <w:r>
              <w:rPr>
                <w:rFonts w:hint="eastAsia"/>
                <w:color w:val="auto"/>
                <w:sz w:val="24"/>
                <w:highlight w:val="none"/>
                <w:lang w:val="en-US" w:eastAsia="zh-CN"/>
              </w:rPr>
              <w:t>11</w:t>
            </w:r>
            <w:r>
              <w:rPr>
                <w:color w:val="auto"/>
                <w:sz w:val="24"/>
                <w:highlight w:val="none"/>
              </w:rPr>
              <w:t>。</w:t>
            </w:r>
          </w:p>
          <w:p>
            <w:pPr>
              <w:keepNext w:val="0"/>
              <w:keepLines w:val="0"/>
              <w:pageBreakBefore w:val="0"/>
              <w:widowControl w:val="0"/>
              <w:kinsoku/>
              <w:wordWrap/>
              <w:overflowPunct/>
              <w:topLinePunct w:val="0"/>
              <w:autoSpaceDE w:val="0"/>
              <w:autoSpaceDN w:val="0"/>
              <w:bidi w:val="0"/>
              <w:adjustRightInd/>
              <w:snapToGrid/>
              <w:spacing w:line="520" w:lineRule="exact"/>
              <w:jc w:val="both"/>
              <w:textAlignment w:val="auto"/>
              <w:rPr>
                <w:b/>
                <w:color w:val="auto"/>
                <w:sz w:val="24"/>
              </w:rPr>
            </w:pPr>
            <w:r>
              <w:rPr>
                <w:b/>
                <w:color w:val="auto"/>
                <w:sz w:val="24"/>
              </w:rPr>
              <w:t>3.3</w:t>
            </w:r>
            <w:r>
              <w:rPr>
                <w:rFonts w:hint="eastAsia"/>
                <w:b/>
                <w:color w:val="auto"/>
                <w:sz w:val="24"/>
                <w:lang w:val="en-US" w:eastAsia="zh-CN"/>
              </w:rPr>
              <w:t xml:space="preserve"> </w:t>
            </w:r>
            <w:r>
              <w:rPr>
                <w:b/>
                <w:color w:val="auto"/>
                <w:sz w:val="24"/>
              </w:rPr>
              <w:t>预测结果</w:t>
            </w:r>
          </w:p>
          <w:p>
            <w:pPr>
              <w:pStyle w:val="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bookmarkStart w:id="1" w:name="_Hlk71786642"/>
            <w:r>
              <w:rPr>
                <w:rFonts w:hint="eastAsia" w:ascii="Times New Roman" w:hAnsi="Times New Roman" w:eastAsia="宋体" w:cs="Times New Roman"/>
                <w:b/>
                <w:bCs/>
                <w:color w:val="auto"/>
                <w:sz w:val="21"/>
                <w:szCs w:val="21"/>
                <w:highlight w:val="none"/>
                <w:lang w:val="en-US" w:eastAsia="zh-CN"/>
              </w:rPr>
              <w:t>表4-11    噪声衰减预测结果一览表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691"/>
              <w:gridCol w:w="1243"/>
              <w:gridCol w:w="1245"/>
              <w:gridCol w:w="1243"/>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tblHeader/>
                <w:jc w:val="center"/>
              </w:trPr>
              <w:tc>
                <w:tcPr>
                  <w:tcW w:w="1038"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噪声源</w:t>
                  </w:r>
                </w:p>
              </w:tc>
              <w:tc>
                <w:tcPr>
                  <w:tcW w:w="1004"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b/>
                      <w:bCs/>
                      <w:color w:val="auto"/>
                      <w:sz w:val="21"/>
                      <w:szCs w:val="21"/>
                      <w:highlight w:val="none"/>
                    </w:rPr>
                  </w:pPr>
                  <w:r>
                    <w:rPr>
                      <w:rFonts w:ascii="Times New Roman" w:hAnsi="Times New Roman" w:eastAsia="宋体"/>
                      <w:b/>
                      <w:bCs/>
                      <w:color w:val="auto"/>
                      <w:sz w:val="21"/>
                      <w:szCs w:val="21"/>
                      <w:highlight w:val="none"/>
                    </w:rPr>
                    <w:t>噪声设备</w:t>
                  </w:r>
                </w:p>
              </w:tc>
              <w:tc>
                <w:tcPr>
                  <w:tcW w:w="2956" w:type="pct"/>
                  <w:gridSpan w:val="4"/>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衰减结果dB(A）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tblHeader/>
                <w:jc w:val="center"/>
              </w:trPr>
              <w:tc>
                <w:tcPr>
                  <w:tcW w:w="10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b/>
                      <w:bCs/>
                      <w:color w:val="auto"/>
                      <w:sz w:val="21"/>
                      <w:szCs w:val="21"/>
                      <w:highlight w:val="none"/>
                    </w:rPr>
                  </w:pPr>
                </w:p>
              </w:tc>
              <w:tc>
                <w:tcPr>
                  <w:tcW w:w="1004"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b/>
                      <w:bCs/>
                      <w:color w:val="auto"/>
                      <w:sz w:val="21"/>
                      <w:szCs w:val="21"/>
                      <w:highlight w:val="none"/>
                    </w:rPr>
                  </w:pP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right="-50"/>
                    <w:jc w:val="center"/>
                    <w:textAlignment w:val="auto"/>
                    <w:rPr>
                      <w:b/>
                      <w:bCs/>
                      <w:color w:val="auto"/>
                      <w:szCs w:val="21"/>
                      <w:highlight w:val="none"/>
                    </w:rPr>
                  </w:pPr>
                  <w:r>
                    <w:rPr>
                      <w:b/>
                      <w:bCs/>
                      <w:color w:val="auto"/>
                      <w:szCs w:val="21"/>
                      <w:highlight w:val="none"/>
                    </w:rPr>
                    <w:t>东</w:t>
                  </w:r>
                </w:p>
              </w:tc>
              <w:tc>
                <w:tcPr>
                  <w:tcW w:w="7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right="-50"/>
                    <w:jc w:val="center"/>
                    <w:textAlignment w:val="auto"/>
                    <w:rPr>
                      <w:b/>
                      <w:bCs/>
                      <w:color w:val="auto"/>
                      <w:szCs w:val="21"/>
                      <w:highlight w:val="none"/>
                    </w:rPr>
                  </w:pPr>
                  <w:r>
                    <w:rPr>
                      <w:b/>
                      <w:bCs/>
                      <w:color w:val="auto"/>
                      <w:szCs w:val="21"/>
                      <w:highlight w:val="none"/>
                    </w:rPr>
                    <w:t>南</w:t>
                  </w:r>
                </w:p>
              </w:tc>
              <w:tc>
                <w:tcPr>
                  <w:tcW w:w="7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right="-50"/>
                    <w:jc w:val="center"/>
                    <w:textAlignment w:val="auto"/>
                    <w:rPr>
                      <w:b/>
                      <w:bCs/>
                      <w:color w:val="auto"/>
                      <w:szCs w:val="21"/>
                      <w:highlight w:val="none"/>
                    </w:rPr>
                  </w:pPr>
                  <w:r>
                    <w:rPr>
                      <w:b/>
                      <w:bCs/>
                      <w:color w:val="auto"/>
                      <w:szCs w:val="21"/>
                      <w:highlight w:val="none"/>
                    </w:rPr>
                    <w:t>西</w:t>
                  </w:r>
                </w:p>
              </w:tc>
              <w:tc>
                <w:tcPr>
                  <w:tcW w:w="74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50" w:right="-50"/>
                    <w:jc w:val="center"/>
                    <w:textAlignment w:val="auto"/>
                    <w:rPr>
                      <w:b/>
                      <w:bCs/>
                      <w:color w:val="auto"/>
                      <w:szCs w:val="21"/>
                      <w:highlight w:val="none"/>
                    </w:rPr>
                  </w:pPr>
                  <w:r>
                    <w:rPr>
                      <w:b/>
                      <w:bCs/>
                      <w:color w:val="auto"/>
                      <w:szCs w:val="21"/>
                      <w:highlight w:val="none"/>
                    </w:rPr>
                    <w:t>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03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生产车间</w:t>
                  </w:r>
                </w:p>
              </w:tc>
              <w:tc>
                <w:tcPr>
                  <w:tcW w:w="10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eastAsia="宋体"/>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破碎机</w:t>
                  </w:r>
                </w:p>
              </w:tc>
              <w:tc>
                <w:tcPr>
                  <w:tcW w:w="738"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40.54</w:t>
                  </w:r>
                </w:p>
              </w:tc>
              <w:tc>
                <w:tcPr>
                  <w:tcW w:w="739"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45.69</w:t>
                  </w:r>
                </w:p>
              </w:tc>
              <w:tc>
                <w:tcPr>
                  <w:tcW w:w="738"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46.33</w:t>
                  </w:r>
                </w:p>
              </w:tc>
              <w:tc>
                <w:tcPr>
                  <w:tcW w:w="741" w:type="pct"/>
                  <w:vMerge w:val="restart"/>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42.58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0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p>
              </w:tc>
              <w:tc>
                <w:tcPr>
                  <w:tcW w:w="10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eastAsia="宋体"/>
                      <w:color w:val="auto"/>
                      <w:kern w:val="2"/>
                      <w:sz w:val="21"/>
                      <w:szCs w:val="21"/>
                      <w:shd w:val="clear" w:color="auto" w:fill="auto"/>
                      <w:lang w:val="en-US" w:eastAsia="zh-CN" w:bidi="ar-SA"/>
                    </w:rPr>
                  </w:pPr>
                  <w:r>
                    <w:rPr>
                      <w:rFonts w:hint="eastAsia" w:eastAsia="宋体"/>
                      <w:color w:val="auto"/>
                      <w:kern w:val="2"/>
                      <w:sz w:val="21"/>
                      <w:szCs w:val="21"/>
                      <w:shd w:val="clear" w:color="auto" w:fill="auto"/>
                      <w:lang w:val="en-US" w:eastAsia="zh-CN" w:bidi="ar-SA"/>
                    </w:rPr>
                    <w:t>甩干机</w:t>
                  </w: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41"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p>
              </w:tc>
              <w:tc>
                <w:tcPr>
                  <w:tcW w:w="10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kern w:val="2"/>
                      <w:sz w:val="21"/>
                      <w:szCs w:val="21"/>
                      <w:shd w:val="clear" w:color="auto" w:fill="auto"/>
                      <w:lang w:val="en-US" w:eastAsia="zh-CN" w:bidi="ar-SA"/>
                    </w:rPr>
                  </w:pPr>
                  <w:r>
                    <w:rPr>
                      <w:rFonts w:hint="eastAsia" w:ascii="Times New Roman" w:hAnsi="Times New Roman" w:eastAsia="宋体" w:cs="Times New Roman"/>
                      <w:color w:val="auto"/>
                      <w:szCs w:val="21"/>
                      <w:highlight w:val="none"/>
                      <w:lang w:val="en-US" w:eastAsia="zh-CN"/>
                    </w:rPr>
                    <w:t>挤出机</w:t>
                  </w: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41"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83" w:hRule="atLeast"/>
                <w:jc w:val="center"/>
              </w:trPr>
              <w:tc>
                <w:tcPr>
                  <w:tcW w:w="103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highlight w:val="none"/>
                      <w:lang w:eastAsia="zh-CN"/>
                    </w:rPr>
                  </w:pPr>
                </w:p>
              </w:tc>
              <w:tc>
                <w:tcPr>
                  <w:tcW w:w="10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切割机</w:t>
                  </w: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9"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38"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c>
                <w:tcPr>
                  <w:tcW w:w="741" w:type="pct"/>
                  <w:vMerge w:val="continue"/>
                  <w:tcBorders>
                    <w:tl2br w:val="nil"/>
                    <w:tr2bl w:val="nil"/>
                  </w:tcBorders>
                  <w:noWrap w:val="0"/>
                  <w:vAlign w:val="center"/>
                </w:tcPr>
                <w:p>
                  <w:pPr>
                    <w:pStyle w:val="16"/>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ascii="Times New Roman" w:hAnsi="Times New Roman" w:eastAsia="宋体"/>
                      <w:color w:val="auto"/>
                      <w:sz w:val="21"/>
                      <w:szCs w:val="21"/>
                      <w:highlight w:val="none"/>
                    </w:rPr>
                  </w:pPr>
                </w:p>
              </w:tc>
            </w:tr>
          </w:tbl>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rFonts w:hint="default" w:eastAsia="宋体"/>
                <w:color w:val="auto"/>
                <w:kern w:val="2"/>
                <w:sz w:val="24"/>
                <w:szCs w:val="24"/>
                <w:lang w:eastAsia="zh-CN"/>
              </w:rPr>
              <w:t>由上表可知，建设项目投入运营后，</w:t>
            </w:r>
            <w:r>
              <w:rPr>
                <w:rFonts w:hint="default" w:eastAsia="宋体"/>
                <w:color w:val="auto"/>
                <w:kern w:val="2"/>
                <w:sz w:val="24"/>
                <w:szCs w:val="24"/>
                <w:lang w:val="en-US" w:eastAsia="zh-CN"/>
              </w:rPr>
              <w:t>项目夜间不生产，昼间</w:t>
            </w:r>
            <w:r>
              <w:rPr>
                <w:rFonts w:hint="default" w:eastAsia="宋体"/>
                <w:color w:val="auto"/>
                <w:kern w:val="2"/>
                <w:sz w:val="24"/>
                <w:szCs w:val="24"/>
                <w:lang w:eastAsia="zh-CN"/>
              </w:rPr>
              <w:t>各厂界噪声可以达到《工业企业厂界环境噪声排放标准》（GB12348-2008）</w:t>
            </w:r>
            <w:r>
              <w:rPr>
                <w:rFonts w:hint="default" w:eastAsia="宋体"/>
                <w:color w:val="auto"/>
                <w:kern w:val="2"/>
                <w:sz w:val="24"/>
                <w:szCs w:val="24"/>
                <w:lang w:val="en-US" w:eastAsia="zh-CN"/>
              </w:rPr>
              <w:t>中3类标准要求</w:t>
            </w:r>
            <w:r>
              <w:rPr>
                <w:rFonts w:hint="default" w:eastAsia="宋体"/>
                <w:color w:val="auto"/>
                <w:kern w:val="2"/>
                <w:sz w:val="24"/>
                <w:szCs w:val="24"/>
                <w:lang w:eastAsia="zh-CN"/>
              </w:rPr>
              <w:t>。</w:t>
            </w:r>
            <w:r>
              <w:rPr>
                <w:color w:val="auto"/>
                <w:sz w:val="24"/>
              </w:rPr>
              <w:t>本项目多数强噪声设备均安装在室内，故该项目建设对周围环境造成影响较小。</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color w:val="auto"/>
                <w:sz w:val="24"/>
              </w:rPr>
              <w:t>综上所述，建设项目噪声排放对周围的环境影响较小，噪声防治措施可行。企业在生产过程中应注意加强设备噪声治理，在项目新建过程中应重视</w:t>
            </w:r>
            <w:r>
              <w:rPr>
                <w:rFonts w:hint="eastAsia"/>
                <w:color w:val="auto"/>
                <w:sz w:val="24"/>
                <w:lang w:eastAsia="zh-CN"/>
              </w:rPr>
              <w:t>减振</w:t>
            </w:r>
            <w:r>
              <w:rPr>
                <w:color w:val="auto"/>
                <w:sz w:val="24"/>
              </w:rPr>
              <w:t>工程的设计及施工质量。确保厂界噪声达标，不影响周边环境。</w:t>
            </w:r>
          </w:p>
          <w:bookmarkEnd w:id="1"/>
          <w:p>
            <w:pPr>
              <w:pStyle w:val="8"/>
              <w:keepNext w:val="0"/>
              <w:keepLines w:val="0"/>
              <w:pageBreakBefore w:val="0"/>
              <w:widowControl w:val="0"/>
              <w:kinsoku/>
              <w:wordWrap/>
              <w:overflowPunct/>
              <w:topLinePunct w:val="0"/>
              <w:autoSpaceDE/>
              <w:autoSpaceDN/>
              <w:bidi w:val="0"/>
              <w:spacing w:after="0" w:line="520" w:lineRule="exact"/>
              <w:ind w:left="0" w:leftChars="0"/>
              <w:contextualSpacing/>
              <w:jc w:val="both"/>
              <w:textAlignment w:val="auto"/>
              <w:rPr>
                <w:b/>
                <w:bCs/>
                <w:color w:val="auto"/>
                <w:szCs w:val="24"/>
              </w:rPr>
            </w:pPr>
            <w:r>
              <w:rPr>
                <w:b/>
                <w:bCs/>
                <w:color w:val="auto"/>
                <w:szCs w:val="24"/>
              </w:rPr>
              <w:t>3.4</w:t>
            </w:r>
            <w:r>
              <w:rPr>
                <w:rFonts w:hint="eastAsia"/>
                <w:b/>
                <w:bCs/>
                <w:color w:val="auto"/>
                <w:szCs w:val="24"/>
                <w:lang w:val="en-US" w:eastAsia="zh-CN"/>
              </w:rPr>
              <w:t xml:space="preserve"> </w:t>
            </w:r>
            <w:r>
              <w:rPr>
                <w:b/>
                <w:bCs/>
                <w:color w:val="auto"/>
                <w:szCs w:val="24"/>
              </w:rPr>
              <w:t>噪声防治措施</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color w:val="auto"/>
                <w:sz w:val="24"/>
              </w:rPr>
              <w:t>项目50m范围内不存在敏感目标，不会对周围敏感点造成影响。</w:t>
            </w:r>
          </w:p>
          <w:p>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尽管项目区产生噪声能够达标排放，但企业运营中仍应严格管理，避免出现噪声扰民现象，具体措施为：</w:t>
            </w:r>
          </w:p>
          <w:p>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（1）加强设备检修维护，避免出现非正常高噪声运转；</w:t>
            </w:r>
          </w:p>
          <w:p>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（2）所有设备全部设置在车间内，严禁露天从事生产、维修活动；</w:t>
            </w:r>
          </w:p>
          <w:p>
            <w:pPr>
              <w:keepNext w:val="0"/>
              <w:keepLines w:val="0"/>
              <w:pageBreakBefore w:val="0"/>
              <w:widowControl w:val="0"/>
              <w:kinsoku/>
              <w:wordWrap/>
              <w:overflowPunct/>
              <w:topLinePunct w:val="0"/>
              <w:autoSpaceDE/>
              <w:autoSpaceDN/>
              <w:bidi w:val="0"/>
              <w:adjustRightInd w:val="0"/>
              <w:snapToGrid w:val="0"/>
              <w:spacing w:line="520" w:lineRule="exact"/>
              <w:ind w:firstLine="489" w:firstLineChars="204"/>
              <w:jc w:val="both"/>
              <w:textAlignment w:val="auto"/>
              <w:rPr>
                <w:color w:val="auto"/>
                <w:sz w:val="24"/>
              </w:rPr>
            </w:pPr>
            <w:r>
              <w:rPr>
                <w:color w:val="auto"/>
                <w:sz w:val="24"/>
              </w:rPr>
              <w:t>（3）对高噪声设备要加装</w:t>
            </w:r>
            <w:r>
              <w:rPr>
                <w:rFonts w:hint="eastAsia"/>
                <w:color w:val="auto"/>
                <w:sz w:val="24"/>
                <w:lang w:eastAsia="zh-CN"/>
              </w:rPr>
              <w:t>减振</w:t>
            </w:r>
            <w:r>
              <w:rPr>
                <w:color w:val="auto"/>
                <w:sz w:val="24"/>
              </w:rPr>
              <w:t>、降噪的防护措施；</w:t>
            </w:r>
          </w:p>
          <w:p>
            <w:pPr>
              <w:keepNext w:val="0"/>
              <w:keepLines w:val="0"/>
              <w:pageBreakBefore w:val="0"/>
              <w:widowControl w:val="0"/>
              <w:kinsoku/>
              <w:wordWrap/>
              <w:overflowPunct/>
              <w:topLinePunct w:val="0"/>
              <w:autoSpaceDE/>
              <w:autoSpaceDN/>
              <w:bidi w:val="0"/>
              <w:adjustRightInd w:val="0"/>
              <w:spacing w:line="520" w:lineRule="exact"/>
              <w:ind w:firstLine="480" w:firstLineChars="200"/>
              <w:jc w:val="both"/>
              <w:textAlignment w:val="auto"/>
              <w:rPr>
                <w:color w:val="auto"/>
                <w:sz w:val="24"/>
              </w:rPr>
            </w:pPr>
            <w:r>
              <w:rPr>
                <w:color w:val="auto"/>
                <w:sz w:val="24"/>
              </w:rPr>
              <w:t>（4）对操作工人直接接触的噪声设备，采用隔声耳罩，对工人形成一定保护，降噪效果可达5~ 20dB(A)。</w:t>
            </w:r>
          </w:p>
          <w:p>
            <w:pPr>
              <w:pStyle w:val="8"/>
              <w:keepNext w:val="0"/>
              <w:keepLines w:val="0"/>
              <w:pageBreakBefore w:val="0"/>
              <w:widowControl w:val="0"/>
              <w:kinsoku/>
              <w:wordWrap/>
              <w:overflowPunct/>
              <w:topLinePunct w:val="0"/>
              <w:autoSpaceDE/>
              <w:autoSpaceDN/>
              <w:bidi w:val="0"/>
              <w:spacing w:after="0" w:line="520" w:lineRule="exact"/>
              <w:ind w:left="0" w:leftChars="0"/>
              <w:contextualSpacing/>
              <w:jc w:val="both"/>
              <w:textAlignment w:val="auto"/>
              <w:rPr>
                <w:b/>
                <w:bCs/>
                <w:color w:val="auto"/>
              </w:rPr>
            </w:pPr>
            <w:r>
              <w:rPr>
                <w:b/>
                <w:bCs/>
                <w:color w:val="auto"/>
              </w:rPr>
              <w:t>3.5</w:t>
            </w:r>
            <w:r>
              <w:rPr>
                <w:rFonts w:hint="eastAsia"/>
                <w:b/>
                <w:bCs/>
                <w:color w:val="auto"/>
                <w:lang w:val="en-US" w:eastAsia="zh-CN"/>
              </w:rPr>
              <w:t xml:space="preserve"> </w:t>
            </w:r>
            <w:r>
              <w:rPr>
                <w:b/>
                <w:bCs/>
                <w:color w:val="auto"/>
                <w:szCs w:val="24"/>
              </w:rPr>
              <w:t>噪声监测计划</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rPr>
            </w:pPr>
            <w:r>
              <w:rPr>
                <w:rFonts w:hint="eastAsia"/>
                <w:color w:val="auto"/>
                <w:sz w:val="24"/>
                <w:lang w:val="en-US" w:eastAsia="zh-CN"/>
              </w:rPr>
              <w:t>根据《</w:t>
            </w:r>
            <w:r>
              <w:rPr>
                <w:rFonts w:hint="default"/>
                <w:color w:val="auto"/>
                <w:sz w:val="24"/>
              </w:rPr>
              <w:t>排污单位自行监测技术指南总则</w:t>
            </w:r>
            <w:r>
              <w:rPr>
                <w:rFonts w:hint="eastAsia"/>
                <w:color w:val="auto"/>
                <w:sz w:val="24"/>
                <w:lang w:eastAsia="zh-CN"/>
              </w:rPr>
              <w:t>》（</w:t>
            </w:r>
            <w:r>
              <w:rPr>
                <w:rFonts w:hint="eastAsia"/>
                <w:color w:val="auto"/>
                <w:sz w:val="24"/>
                <w:lang w:val="en-US" w:eastAsia="zh-CN"/>
              </w:rPr>
              <w:t>HJ819-2017</w:t>
            </w:r>
            <w:r>
              <w:rPr>
                <w:rFonts w:hint="eastAsia"/>
                <w:color w:val="auto"/>
                <w:sz w:val="24"/>
                <w:lang w:eastAsia="zh-CN"/>
              </w:rPr>
              <w:t>）</w:t>
            </w:r>
            <w:r>
              <w:rPr>
                <w:color w:val="auto"/>
                <w:sz w:val="24"/>
              </w:rPr>
              <w:t>本项目噪声监测方案见表4-1</w:t>
            </w:r>
            <w:r>
              <w:rPr>
                <w:rFonts w:hint="eastAsia"/>
                <w:color w:val="auto"/>
                <w:sz w:val="24"/>
                <w:lang w:val="en-US" w:eastAsia="zh-CN"/>
              </w:rPr>
              <w:t>2</w:t>
            </w:r>
            <w:r>
              <w:rPr>
                <w:color w:val="auto"/>
                <w:sz w:val="24"/>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szCs w:val="21"/>
              </w:rPr>
            </w:pPr>
            <w:r>
              <w:rPr>
                <w:b/>
                <w:bCs/>
                <w:color w:val="auto"/>
                <w:szCs w:val="21"/>
              </w:rPr>
              <w:t>表4-1</w:t>
            </w:r>
            <w:r>
              <w:rPr>
                <w:rFonts w:hint="eastAsia"/>
                <w:b/>
                <w:bCs/>
                <w:color w:val="auto"/>
                <w:szCs w:val="21"/>
                <w:lang w:val="en-US" w:eastAsia="zh-CN"/>
              </w:rPr>
              <w:t>2</w:t>
            </w:r>
            <w:r>
              <w:rPr>
                <w:b/>
                <w:bCs/>
                <w:color w:val="auto"/>
                <w:szCs w:val="21"/>
              </w:rPr>
              <w:t xml:space="preserve">    项目运营期噪声监测计划</w:t>
            </w:r>
          </w:p>
          <w:tbl>
            <w:tblPr>
              <w:tblStyle w:val="25"/>
              <w:tblW w:w="4998" w:type="pct"/>
              <w:tblInd w:w="10" w:type="dxa"/>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224"/>
              <w:gridCol w:w="1414"/>
              <w:gridCol w:w="1226"/>
              <w:gridCol w:w="2906"/>
              <w:gridCol w:w="1653"/>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420" w:hRule="atLeast"/>
              </w:trPr>
              <w:tc>
                <w:tcPr>
                  <w:tcW w:w="1199" w:type="dxa"/>
                  <w:vAlign w:val="center"/>
                </w:tcPr>
                <w:p>
                  <w:pPr>
                    <w:pStyle w:val="34"/>
                    <w:adjustRightInd/>
                    <w:snapToGrid/>
                    <w:jc w:val="center"/>
                    <w:rPr>
                      <w:rFonts w:hint="default" w:ascii="Times New Roman" w:hAnsi="Times New Roman"/>
                      <w:color w:val="auto"/>
                      <w:sz w:val="21"/>
                    </w:rPr>
                  </w:pPr>
                  <w:r>
                    <w:rPr>
                      <w:rFonts w:hint="default" w:ascii="Times New Roman" w:hAnsi="Times New Roman"/>
                      <w:color w:val="auto"/>
                      <w:sz w:val="21"/>
                    </w:rPr>
                    <w:t>监测点位</w:t>
                  </w:r>
                </w:p>
              </w:tc>
              <w:tc>
                <w:tcPr>
                  <w:tcW w:w="1384" w:type="dxa"/>
                  <w:vAlign w:val="center"/>
                </w:tcPr>
                <w:p>
                  <w:pPr>
                    <w:pStyle w:val="34"/>
                    <w:adjustRightInd/>
                    <w:snapToGrid/>
                    <w:jc w:val="center"/>
                    <w:rPr>
                      <w:rFonts w:hint="default" w:ascii="Times New Roman" w:hAnsi="Times New Roman"/>
                      <w:color w:val="auto"/>
                      <w:sz w:val="21"/>
                    </w:rPr>
                  </w:pPr>
                  <w:r>
                    <w:rPr>
                      <w:rFonts w:hint="default" w:ascii="Times New Roman" w:hAnsi="Times New Roman"/>
                      <w:color w:val="auto"/>
                      <w:sz w:val="21"/>
                    </w:rPr>
                    <w:t>监测指标</w:t>
                  </w:r>
                </w:p>
              </w:tc>
              <w:tc>
                <w:tcPr>
                  <w:tcW w:w="1200" w:type="dxa"/>
                  <w:vAlign w:val="center"/>
                </w:tcPr>
                <w:p>
                  <w:pPr>
                    <w:pStyle w:val="34"/>
                    <w:adjustRightInd/>
                    <w:snapToGrid/>
                    <w:jc w:val="center"/>
                    <w:rPr>
                      <w:rFonts w:hint="default" w:ascii="Times New Roman" w:hAnsi="Times New Roman"/>
                      <w:color w:val="auto"/>
                      <w:sz w:val="21"/>
                    </w:rPr>
                  </w:pPr>
                  <w:r>
                    <w:rPr>
                      <w:rFonts w:hint="default" w:ascii="Times New Roman" w:hAnsi="Times New Roman"/>
                      <w:color w:val="auto"/>
                      <w:sz w:val="21"/>
                    </w:rPr>
                    <w:t>监测频次</w:t>
                  </w:r>
                </w:p>
              </w:tc>
              <w:tc>
                <w:tcPr>
                  <w:tcW w:w="2845" w:type="dxa"/>
                  <w:vAlign w:val="center"/>
                </w:tcPr>
                <w:p>
                  <w:pPr>
                    <w:pStyle w:val="34"/>
                    <w:adjustRightInd/>
                    <w:snapToGrid/>
                    <w:jc w:val="center"/>
                    <w:rPr>
                      <w:rFonts w:hint="default" w:ascii="Times New Roman" w:hAnsi="Times New Roman"/>
                      <w:color w:val="auto"/>
                      <w:sz w:val="21"/>
                    </w:rPr>
                  </w:pPr>
                  <w:r>
                    <w:rPr>
                      <w:rFonts w:hint="default" w:ascii="Times New Roman" w:hAnsi="Times New Roman"/>
                      <w:color w:val="auto"/>
                      <w:sz w:val="21"/>
                    </w:rPr>
                    <w:t>执行标准</w:t>
                  </w:r>
                </w:p>
              </w:tc>
              <w:tc>
                <w:tcPr>
                  <w:tcW w:w="1618" w:type="dxa"/>
                  <w:vAlign w:val="center"/>
                </w:tcPr>
                <w:p>
                  <w:pPr>
                    <w:pStyle w:val="34"/>
                    <w:adjustRightInd/>
                    <w:snapToGrid/>
                    <w:jc w:val="center"/>
                    <w:rPr>
                      <w:rFonts w:hint="default" w:ascii="Times New Roman" w:hAnsi="Times New Roman"/>
                      <w:color w:val="auto"/>
                      <w:sz w:val="21"/>
                    </w:rPr>
                  </w:pPr>
                  <w:r>
                    <w:rPr>
                      <w:rFonts w:hint="default" w:ascii="Times New Roman" w:hAnsi="Times New Roman"/>
                      <w:color w:val="auto"/>
                      <w:sz w:val="21"/>
                    </w:rPr>
                    <w:t>监测点位</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415" w:hRule="atLeast"/>
              </w:trPr>
              <w:tc>
                <w:tcPr>
                  <w:tcW w:w="1199" w:type="dxa"/>
                  <w:vAlign w:val="center"/>
                </w:tcPr>
                <w:p>
                  <w:pPr>
                    <w:pStyle w:val="34"/>
                    <w:adjustRightInd/>
                    <w:snapToGrid/>
                    <w:jc w:val="center"/>
                    <w:rPr>
                      <w:rFonts w:hint="default" w:ascii="Times New Roman" w:hAnsi="Times New Roman"/>
                      <w:b w:val="0"/>
                      <w:color w:val="auto"/>
                      <w:sz w:val="21"/>
                    </w:rPr>
                  </w:pPr>
                  <w:r>
                    <w:rPr>
                      <w:rFonts w:hint="default" w:ascii="Times New Roman" w:hAnsi="Times New Roman"/>
                      <w:b w:val="0"/>
                      <w:color w:val="auto"/>
                      <w:sz w:val="21"/>
                    </w:rPr>
                    <w:t>厂界外1米处</w:t>
                  </w:r>
                </w:p>
              </w:tc>
              <w:tc>
                <w:tcPr>
                  <w:tcW w:w="1384" w:type="dxa"/>
                  <w:vAlign w:val="center"/>
                </w:tcPr>
                <w:p>
                  <w:pPr>
                    <w:pStyle w:val="34"/>
                    <w:adjustRightInd/>
                    <w:snapToGrid/>
                    <w:jc w:val="center"/>
                    <w:rPr>
                      <w:rFonts w:hint="default" w:ascii="Times New Roman" w:hAnsi="Times New Roman"/>
                      <w:b w:val="0"/>
                      <w:color w:val="auto"/>
                      <w:sz w:val="21"/>
                    </w:rPr>
                  </w:pPr>
                  <w:r>
                    <w:rPr>
                      <w:rFonts w:hint="default" w:ascii="Times New Roman" w:hAnsi="Times New Roman"/>
                      <w:b w:val="0"/>
                      <w:color w:val="auto"/>
                      <w:sz w:val="21"/>
                    </w:rPr>
                    <w:t>等效连续A声级</w:t>
                  </w:r>
                </w:p>
              </w:tc>
              <w:tc>
                <w:tcPr>
                  <w:tcW w:w="1200" w:type="dxa"/>
                  <w:vAlign w:val="center"/>
                </w:tcPr>
                <w:p>
                  <w:pPr>
                    <w:pStyle w:val="34"/>
                    <w:adjustRightInd/>
                    <w:snapToGrid/>
                    <w:jc w:val="center"/>
                    <w:rPr>
                      <w:rFonts w:hint="default" w:ascii="Times New Roman" w:hAnsi="Times New Roman"/>
                      <w:b w:val="0"/>
                      <w:color w:val="auto"/>
                      <w:sz w:val="21"/>
                      <w:highlight w:val="yellow"/>
                    </w:rPr>
                  </w:pPr>
                  <w:r>
                    <w:rPr>
                      <w:rFonts w:hint="default" w:ascii="Times New Roman" w:hAnsi="Times New Roman"/>
                      <w:b w:val="0"/>
                      <w:color w:val="auto"/>
                      <w:sz w:val="21"/>
                    </w:rPr>
                    <w:t>1次/季度</w:t>
                  </w:r>
                </w:p>
              </w:tc>
              <w:tc>
                <w:tcPr>
                  <w:tcW w:w="2845" w:type="dxa"/>
                  <w:vAlign w:val="center"/>
                </w:tcPr>
                <w:p>
                  <w:pPr>
                    <w:pStyle w:val="34"/>
                    <w:adjustRightInd/>
                    <w:snapToGrid/>
                    <w:jc w:val="center"/>
                    <w:rPr>
                      <w:rFonts w:hint="default" w:ascii="Times New Roman" w:hAnsi="Times New Roman"/>
                      <w:b w:val="0"/>
                      <w:color w:val="auto"/>
                      <w:sz w:val="21"/>
                    </w:rPr>
                  </w:pPr>
                  <w:r>
                    <w:rPr>
                      <w:rFonts w:hint="default" w:ascii="Times New Roman" w:hAnsi="Times New Roman"/>
                      <w:b w:val="0"/>
                      <w:color w:val="auto"/>
                      <w:sz w:val="21"/>
                    </w:rPr>
                    <w:t>《工业企业厂界环境噪声排放标准》（GB12348-2008）3类标准</w:t>
                  </w:r>
                </w:p>
              </w:tc>
              <w:tc>
                <w:tcPr>
                  <w:tcW w:w="1618" w:type="dxa"/>
                  <w:vAlign w:val="center"/>
                </w:tcPr>
                <w:p>
                  <w:pPr>
                    <w:pStyle w:val="34"/>
                    <w:adjustRightInd/>
                    <w:snapToGrid/>
                    <w:jc w:val="center"/>
                    <w:rPr>
                      <w:rFonts w:hint="default" w:ascii="Times New Roman" w:hAnsi="Times New Roman"/>
                      <w:b w:val="0"/>
                      <w:color w:val="auto"/>
                      <w:sz w:val="21"/>
                    </w:rPr>
                  </w:pPr>
                  <w:r>
                    <w:rPr>
                      <w:rFonts w:hint="default" w:ascii="Times New Roman" w:hAnsi="Times New Roman"/>
                      <w:b w:val="0"/>
                      <w:color w:val="auto"/>
                      <w:sz w:val="21"/>
                    </w:rPr>
                    <w:t>厂界外1米处</w:t>
                  </w:r>
                </w:p>
              </w:tc>
            </w:tr>
          </w:tbl>
          <w:p>
            <w:pPr>
              <w:pStyle w:val="8"/>
              <w:keepNext w:val="0"/>
              <w:keepLines w:val="0"/>
              <w:pageBreakBefore w:val="0"/>
              <w:widowControl w:val="0"/>
              <w:numPr>
                <w:ilvl w:val="0"/>
                <w:numId w:val="19"/>
              </w:numPr>
              <w:kinsoku/>
              <w:wordWrap/>
              <w:overflowPunct/>
              <w:topLinePunct w:val="0"/>
              <w:autoSpaceDE/>
              <w:autoSpaceDN/>
              <w:bidi w:val="0"/>
              <w:adjustRightInd/>
              <w:snapToGrid/>
              <w:spacing w:after="0" w:line="520" w:lineRule="exact"/>
              <w:ind w:left="0" w:leftChars="0" w:firstLine="0" w:firstLineChars="0"/>
              <w:contextualSpacing/>
              <w:textAlignment w:val="auto"/>
              <w:rPr>
                <w:rFonts w:ascii="Times New Roman" w:hAnsi="Times New Roman" w:eastAsia="宋体" w:cs="Times New Roman"/>
                <w:b/>
                <w:bCs/>
                <w:color w:val="auto"/>
              </w:rPr>
            </w:pPr>
            <w:r>
              <w:rPr>
                <w:rFonts w:ascii="Times New Roman" w:hAnsi="Times New Roman" w:eastAsia="宋体" w:cs="Times New Roman"/>
                <w:b/>
                <w:bCs/>
                <w:color w:val="auto"/>
              </w:rPr>
              <w:t>固体废弃物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sz w:val="24"/>
              </w:rPr>
            </w:pPr>
            <w:r>
              <w:rPr>
                <w:color w:val="auto"/>
                <w:sz w:val="24"/>
              </w:rPr>
              <w:t>本项目营运期产生的固体废物主要为生活垃圾、</w:t>
            </w:r>
            <w:r>
              <w:rPr>
                <w:color w:val="auto"/>
                <w:sz w:val="24"/>
                <w:lang w:val="en-GB"/>
              </w:rPr>
              <w:t>一般</w:t>
            </w:r>
            <w:r>
              <w:rPr>
                <w:color w:val="auto"/>
                <w:sz w:val="24"/>
              </w:rPr>
              <w:t>工业废物、危险废物。</w:t>
            </w:r>
          </w:p>
          <w:p>
            <w:pPr>
              <w:pStyle w:val="8"/>
              <w:keepNext w:val="0"/>
              <w:keepLines w:val="0"/>
              <w:pageBreakBefore w:val="0"/>
              <w:widowControl w:val="0"/>
              <w:kinsoku/>
              <w:wordWrap/>
              <w:overflowPunct/>
              <w:topLinePunct w:val="0"/>
              <w:autoSpaceDE/>
              <w:autoSpaceDN/>
              <w:bidi w:val="0"/>
              <w:spacing w:after="0" w:line="520" w:lineRule="exact"/>
              <w:ind w:left="0" w:leftChars="0"/>
              <w:contextualSpacing/>
              <w:textAlignment w:val="auto"/>
              <w:rPr>
                <w:b/>
                <w:bCs/>
                <w:color w:val="auto"/>
              </w:rPr>
            </w:pPr>
            <w:r>
              <w:rPr>
                <w:b/>
                <w:bCs/>
                <w:color w:val="auto"/>
              </w:rPr>
              <w:t>4.1</w:t>
            </w:r>
            <w:r>
              <w:rPr>
                <w:rFonts w:hint="eastAsia"/>
                <w:b/>
                <w:bCs/>
                <w:color w:val="auto"/>
                <w:lang w:val="en-US" w:eastAsia="zh-CN"/>
              </w:rPr>
              <w:t xml:space="preserve"> </w:t>
            </w:r>
            <w:r>
              <w:rPr>
                <w:b/>
                <w:bCs/>
                <w:color w:val="auto"/>
              </w:rPr>
              <w:t>固废排放一览情况表</w:t>
            </w:r>
          </w:p>
          <w:p>
            <w:pPr>
              <w:keepNext w:val="0"/>
              <w:keepLines w:val="0"/>
              <w:pageBreakBefore w:val="0"/>
              <w:widowControl w:val="0"/>
              <w:kinsoku/>
              <w:wordWrap/>
              <w:overflowPunct/>
              <w:topLinePunct w:val="0"/>
              <w:autoSpaceDE/>
              <w:autoSpaceDN/>
              <w:bidi w:val="0"/>
              <w:spacing w:line="520" w:lineRule="exact"/>
              <w:ind w:firstLine="482" w:firstLineChars="200"/>
              <w:textAlignment w:val="auto"/>
              <w:rPr>
                <w:b/>
                <w:bCs/>
                <w:color w:val="auto"/>
                <w:sz w:val="24"/>
              </w:rPr>
            </w:pPr>
            <w:r>
              <w:rPr>
                <w:b/>
                <w:bCs/>
                <w:color w:val="auto"/>
                <w:sz w:val="24"/>
                <w:lang w:val="en-GB"/>
              </w:rPr>
              <w:t>（</w:t>
            </w:r>
            <w:r>
              <w:rPr>
                <w:b/>
                <w:bCs/>
                <w:color w:val="auto"/>
                <w:sz w:val="24"/>
              </w:rPr>
              <w:t>1</w:t>
            </w:r>
            <w:r>
              <w:rPr>
                <w:b/>
                <w:bCs/>
                <w:color w:val="auto"/>
                <w:sz w:val="24"/>
                <w:lang w:val="en-GB"/>
              </w:rPr>
              <w:t>）</w:t>
            </w:r>
            <w:r>
              <w:rPr>
                <w:rFonts w:hint="eastAsia"/>
                <w:b/>
                <w:bCs/>
                <w:color w:val="auto"/>
                <w:sz w:val="24"/>
                <w:lang w:val="en-US" w:eastAsia="zh-CN"/>
              </w:rPr>
              <w:t>项目</w:t>
            </w:r>
            <w:r>
              <w:rPr>
                <w:b/>
                <w:bCs/>
                <w:color w:val="auto"/>
                <w:sz w:val="24"/>
              </w:rPr>
              <w:t>产生的固体废物</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color w:val="auto"/>
                <w:sz w:val="24"/>
                <w:lang w:val="en-GB"/>
              </w:rPr>
            </w:pPr>
            <w:r>
              <w:rPr>
                <w:color w:val="auto"/>
                <w:sz w:val="24"/>
              </w:rPr>
              <w:t>①</w:t>
            </w:r>
            <w:r>
              <w:rPr>
                <w:color w:val="auto"/>
                <w:sz w:val="24"/>
                <w:lang w:val="en-GB"/>
              </w:rPr>
              <w:t>一般固废</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Times New Roman" w:hAnsi="Times New Roman" w:eastAsia="宋体" w:cs="Times New Roman"/>
                <w:color w:val="auto"/>
                <w:spacing w:val="0"/>
                <w:sz w:val="24"/>
                <w:szCs w:val="24"/>
                <w:highlight w:val="none"/>
                <w:lang w:val="en-US" w:eastAsia="zh-CN"/>
              </w:rPr>
            </w:pPr>
            <w:r>
              <w:rPr>
                <w:rFonts w:hint="eastAsia"/>
                <w:color w:val="auto"/>
                <w:sz w:val="24"/>
                <w:lang w:val="en-US" w:eastAsia="zh-CN"/>
              </w:rPr>
              <w:t>分拣废物（S1）：项目原料人工分拣过程会产生部分本项目不能使用的固体废料，主要为夹带的铁丝、石块等。产生量为3.5t/a，</w:t>
            </w:r>
            <w:r>
              <w:rPr>
                <w:rFonts w:hint="default"/>
                <w:color w:val="auto"/>
                <w:sz w:val="24"/>
                <w:lang w:val="en-US" w:eastAsia="zh-CN"/>
              </w:rPr>
              <w:t>均为一般固废，在厂区</w:t>
            </w:r>
            <w:r>
              <w:rPr>
                <w:rFonts w:hint="eastAsia"/>
                <w:color w:val="auto"/>
                <w:sz w:val="24"/>
                <w:lang w:val="en-US" w:eastAsia="zh-CN"/>
              </w:rPr>
              <w:t>分拣工序设置2个固废收集箱</w:t>
            </w:r>
            <w:r>
              <w:rPr>
                <w:rFonts w:hint="default"/>
                <w:color w:val="auto"/>
                <w:sz w:val="24"/>
                <w:lang w:val="en-US" w:eastAsia="zh-CN"/>
              </w:rPr>
              <w:t>集中</w:t>
            </w:r>
            <w:r>
              <w:rPr>
                <w:rFonts w:hint="eastAsia"/>
                <w:color w:val="auto"/>
                <w:sz w:val="24"/>
                <w:lang w:val="en-US" w:eastAsia="zh-CN"/>
              </w:rPr>
              <w:t>收集，其中铁丝外售废品回收站，石块</w:t>
            </w:r>
            <w:r>
              <w:rPr>
                <w:rFonts w:hint="default"/>
                <w:color w:val="auto"/>
                <w:sz w:val="24"/>
                <w:lang w:val="en-US" w:eastAsia="zh-CN"/>
              </w:rPr>
              <w:t>委托环卫部门统一清运处置。</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color w:val="auto"/>
                <w:sz w:val="24"/>
                <w:lang w:val="en-GB" w:eastAsia="zh-CN"/>
              </w:rPr>
            </w:pPr>
            <w:r>
              <w:rPr>
                <w:rFonts w:hint="eastAsia"/>
                <w:color w:val="auto"/>
                <w:sz w:val="24"/>
                <w:lang w:val="en-US" w:eastAsia="zh-CN"/>
              </w:rPr>
              <w:t>残次品（S2）</w:t>
            </w:r>
            <w:r>
              <w:rPr>
                <w:color w:val="auto"/>
                <w:sz w:val="24"/>
                <w:lang w:val="en-GB"/>
              </w:rPr>
              <w:t>：</w:t>
            </w:r>
            <w:r>
              <w:rPr>
                <w:rFonts w:hint="default"/>
                <w:color w:val="auto"/>
                <w:sz w:val="24"/>
                <w:lang w:val="en-GB" w:eastAsia="zh-CN"/>
              </w:rPr>
              <w:t>本项目塑料颗粒加工生产过程会产生少量残次品，残次品率约为1</w:t>
            </w:r>
            <w:r>
              <w:rPr>
                <w:rFonts w:hint="eastAsia"/>
                <w:color w:val="auto"/>
                <w:sz w:val="24"/>
                <w:lang w:val="en-US" w:eastAsia="zh-CN"/>
              </w:rPr>
              <w:t>%</w:t>
            </w:r>
            <w:r>
              <w:rPr>
                <w:rFonts w:hint="default"/>
                <w:color w:val="auto"/>
                <w:sz w:val="24"/>
                <w:lang w:val="en-GB" w:eastAsia="zh-CN"/>
              </w:rPr>
              <w:t>，则残次品产生量为</w:t>
            </w:r>
            <w:r>
              <w:rPr>
                <w:rFonts w:hint="eastAsia"/>
                <w:color w:val="auto"/>
                <w:sz w:val="24"/>
                <w:lang w:val="en-US" w:eastAsia="zh-CN"/>
              </w:rPr>
              <w:t>54</w:t>
            </w:r>
            <w:r>
              <w:rPr>
                <w:rFonts w:hint="default"/>
                <w:color w:val="auto"/>
                <w:sz w:val="24"/>
                <w:lang w:val="en-GB" w:eastAsia="zh-CN"/>
              </w:rPr>
              <w:t>t/a。残次品</w:t>
            </w:r>
            <w:r>
              <w:rPr>
                <w:rFonts w:hint="eastAsia"/>
                <w:color w:val="auto"/>
                <w:sz w:val="24"/>
                <w:lang w:val="en-US" w:eastAsia="zh-CN"/>
              </w:rPr>
              <w:t>集中收集于生产车间残次品收集区</w:t>
            </w:r>
            <w:r>
              <w:rPr>
                <w:rFonts w:hint="eastAsia"/>
                <w:color w:val="auto"/>
                <w:sz w:val="24"/>
                <w:lang w:val="en-GB" w:eastAsia="zh-CN"/>
              </w:rPr>
              <w:t>，</w:t>
            </w:r>
            <w:r>
              <w:rPr>
                <w:rFonts w:hint="eastAsia"/>
                <w:color w:val="auto"/>
                <w:sz w:val="24"/>
                <w:lang w:val="en-US" w:eastAsia="zh-CN"/>
              </w:rPr>
              <w:t>作为原料再利用</w:t>
            </w:r>
            <w:r>
              <w:rPr>
                <w:rFonts w:hint="default"/>
                <w:color w:val="auto"/>
                <w:sz w:val="24"/>
                <w:lang w:val="en-GB"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rPr>
            </w:pPr>
            <w:r>
              <w:rPr>
                <w:rFonts w:hint="eastAsia"/>
                <w:color w:val="auto"/>
                <w:sz w:val="24"/>
                <w:lang w:val="en-US" w:eastAsia="zh-CN"/>
              </w:rPr>
              <w:t>收集尘</w:t>
            </w:r>
            <w:r>
              <w:rPr>
                <w:rFonts w:hint="eastAsia"/>
                <w:color w:val="auto"/>
                <w:sz w:val="24"/>
                <w:lang w:eastAsia="zh-CN"/>
              </w:rPr>
              <w:t>（</w:t>
            </w:r>
            <w:r>
              <w:rPr>
                <w:rFonts w:hint="eastAsia"/>
                <w:color w:val="auto"/>
                <w:sz w:val="24"/>
                <w:lang w:val="en-US" w:eastAsia="zh-CN"/>
              </w:rPr>
              <w:t>S6</w:t>
            </w:r>
            <w:r>
              <w:rPr>
                <w:rFonts w:hint="eastAsia"/>
                <w:color w:val="auto"/>
                <w:sz w:val="24"/>
                <w:lang w:eastAsia="zh-CN"/>
              </w:rPr>
              <w:t>）：</w:t>
            </w:r>
            <w:r>
              <w:rPr>
                <w:color w:val="auto"/>
                <w:sz w:val="24"/>
              </w:rPr>
              <w:t>项目产生的除尘灰主要为布袋除尘器收集产生，产生量</w:t>
            </w:r>
            <w:r>
              <w:rPr>
                <w:rFonts w:hint="eastAsia"/>
                <w:color w:val="auto"/>
                <w:sz w:val="24"/>
                <w:lang w:val="en-US" w:eastAsia="zh-CN"/>
              </w:rPr>
              <w:t>1.763</w:t>
            </w:r>
            <w:r>
              <w:rPr>
                <w:color w:val="auto"/>
                <w:sz w:val="24"/>
              </w:rPr>
              <w:t>t/a，项目产生的除尘灰</w:t>
            </w:r>
            <w:r>
              <w:rPr>
                <w:rFonts w:hint="eastAsia"/>
                <w:color w:val="auto"/>
                <w:sz w:val="24"/>
                <w:lang w:val="en-US" w:eastAsia="zh-CN"/>
              </w:rPr>
              <w:t>定期清理，清理</w:t>
            </w:r>
            <w:r>
              <w:rPr>
                <w:color w:val="auto"/>
                <w:sz w:val="24"/>
              </w:rPr>
              <w:t>后</w:t>
            </w:r>
            <w:r>
              <w:rPr>
                <w:rFonts w:hint="eastAsia"/>
                <w:color w:val="auto"/>
                <w:sz w:val="24"/>
                <w:lang w:val="en-US" w:eastAsia="zh-CN"/>
              </w:rPr>
              <w:t>回用于生产，不在厂区储存</w:t>
            </w:r>
            <w:r>
              <w:rPr>
                <w:color w:val="auto"/>
                <w:sz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污泥（S8）：项目原料在清洗过程中会产生废渣及泥沙，产生量较小、无重金属、有机污染物等杂质。产生的污泥定期清掏，交由环卫部门统一处理</w:t>
            </w:r>
            <w:r>
              <w:rPr>
                <w:rFonts w:hint="eastAsia" w:cs="Times New Roman"/>
                <w:color w:val="auto"/>
                <w:sz w:val="24"/>
                <w:lang w:val="en-US" w:eastAsia="zh-CN"/>
              </w:rPr>
              <w:t>，不在厂区内储存</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eastAsia" w:eastAsia="宋体"/>
                <w:color w:val="auto"/>
                <w:sz w:val="24"/>
                <w:lang w:val="en-GB" w:eastAsia="zh-CN"/>
              </w:rPr>
            </w:pPr>
            <w:r>
              <w:rPr>
                <w:rFonts w:hint="eastAsia"/>
                <w:color w:val="auto"/>
                <w:sz w:val="24"/>
                <w:lang w:val="en-US" w:eastAsia="zh-CN"/>
              </w:rPr>
              <w:t>②</w:t>
            </w:r>
            <w:r>
              <w:rPr>
                <w:color w:val="auto"/>
                <w:sz w:val="24"/>
                <w:lang w:val="en-GB"/>
              </w:rPr>
              <w:t>生活垃圾</w:t>
            </w:r>
            <w:r>
              <w:rPr>
                <w:rFonts w:hint="eastAsia"/>
                <w:color w:val="auto"/>
                <w:sz w:val="24"/>
                <w:lang w:val="en-GB" w:eastAsia="zh-CN"/>
              </w:rPr>
              <w:t>（</w:t>
            </w:r>
            <w:r>
              <w:rPr>
                <w:rFonts w:hint="eastAsia"/>
                <w:color w:val="auto"/>
                <w:sz w:val="24"/>
                <w:lang w:val="en-US" w:eastAsia="zh-CN"/>
              </w:rPr>
              <w:t>S9</w:t>
            </w:r>
            <w:r>
              <w:rPr>
                <w:rFonts w:hint="eastAsia"/>
                <w:color w:val="auto"/>
                <w:sz w:val="24"/>
                <w:lang w:val="en-GB"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rPr>
            </w:pPr>
            <w:r>
              <w:rPr>
                <w:color w:val="auto"/>
                <w:sz w:val="24"/>
                <w:lang w:val="en-GB"/>
              </w:rPr>
              <w:t>项目</w:t>
            </w:r>
            <w:r>
              <w:rPr>
                <w:color w:val="auto"/>
                <w:sz w:val="24"/>
              </w:rPr>
              <w:t>员工</w:t>
            </w:r>
            <w:r>
              <w:rPr>
                <w:rFonts w:hint="eastAsia"/>
                <w:color w:val="auto"/>
                <w:sz w:val="24"/>
                <w:lang w:val="en-US" w:eastAsia="zh-CN"/>
              </w:rPr>
              <w:t>24</w:t>
            </w:r>
            <w:r>
              <w:rPr>
                <w:color w:val="auto"/>
                <w:sz w:val="24"/>
                <w:lang w:val="en-GB"/>
              </w:rPr>
              <w:t>人，按照每人1kg/d计算，该项目生活垃圾产生量为</w:t>
            </w:r>
            <w:r>
              <w:rPr>
                <w:rFonts w:hint="eastAsia"/>
                <w:color w:val="auto"/>
                <w:sz w:val="24"/>
                <w:lang w:val="en-US" w:eastAsia="zh-CN"/>
              </w:rPr>
              <w:t>24kg/d（5.04t/a）</w:t>
            </w:r>
            <w:r>
              <w:rPr>
                <w:color w:val="auto"/>
                <w:sz w:val="24"/>
                <w:lang w:val="en-GB"/>
              </w:rPr>
              <w:t>。委托环卫部门定期清运。</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color w:val="auto"/>
                <w:sz w:val="24"/>
                <w:lang w:val="en-GB"/>
              </w:rPr>
            </w:pPr>
            <w:r>
              <w:rPr>
                <w:rFonts w:hint="eastAsia"/>
                <w:color w:val="auto"/>
                <w:sz w:val="24"/>
                <w:lang w:val="en-US" w:eastAsia="zh-CN"/>
              </w:rPr>
              <w:t>③</w:t>
            </w:r>
            <w:r>
              <w:rPr>
                <w:color w:val="auto"/>
                <w:sz w:val="24"/>
                <w:lang w:val="en-GB"/>
              </w:rPr>
              <w:t>危险废物</w:t>
            </w:r>
          </w:p>
          <w:p>
            <w:pPr>
              <w:pStyle w:val="48"/>
              <w:keepNext w:val="0"/>
              <w:keepLines w:val="0"/>
              <w:pageBreakBefore w:val="0"/>
              <w:widowControl w:val="0"/>
              <w:tabs>
                <w:tab w:val="left" w:pos="1862"/>
              </w:tabs>
              <w:kinsoku/>
              <w:wordWrap/>
              <w:overflowPunct/>
              <w:topLinePunct w:val="0"/>
              <w:autoSpaceDE/>
              <w:autoSpaceDN/>
              <w:bidi w:val="0"/>
              <w:adjustRightInd/>
              <w:snapToGrid/>
              <w:spacing w:line="520" w:lineRule="exact"/>
              <w:ind w:left="0" w:firstLine="480" w:firstLineChars="200"/>
              <w:textAlignment w:val="auto"/>
              <w:rPr>
                <w:rFonts w:hint="default" w:ascii="Times New Roman" w:hAnsi="Times New Roman" w:cs="Times New Roman"/>
                <w:color w:val="auto"/>
                <w:sz w:val="24"/>
                <w:u w:val="none"/>
                <w:lang w:val="en-US" w:eastAsia="zh-CN" w:bidi="ar-SA"/>
              </w:rPr>
            </w:pPr>
            <w:r>
              <w:rPr>
                <w:rFonts w:hint="eastAsia" w:ascii="Times New Roman" w:hAnsi="Times New Roman" w:cs="Times New Roman"/>
                <w:color w:val="auto"/>
                <w:sz w:val="24"/>
                <w:u w:val="none"/>
                <w:lang w:val="en-US" w:eastAsia="zh-CN" w:bidi="ar-SA"/>
              </w:rPr>
              <w:t>废滤网（S3）：项目原料在造粒工段需要进行加热融化，为保证再生颗粒料的质量，需要对熔融态废料进行过滤后再进行造粒，所使用的滤网随着使用时间的延长，网眼会逐渐变小，直至不能使用，根据同类项目调查，项目滤网使用量约为15～20张/t，则本项目废旧滤网产生量约为21.6t/a，滤网上主要为熔融废塑料的杂质，根据《废塑料加工利用污染防治管理规定》（环境保护部、发展改革委、商务部联合公告2012年第55号）“废塑料加工利用单位应当以环境无害化方式处理废塑料加工利用过程产生的残余垃圾、滤网；禁止交不符合环保要求的单位或个人处置。禁止露天焚烧废塑料及加工利用过程产生的残余垃圾、滤网”。此类废物为废塑料熔融废物，为危险废物，根据《国家危险废物名录》（2016年8月1日实施），本项目产生废滤网属于危险废物，危险废物类别为HW49（900-041-49），集中收集后暂存于厂区危废暂存间，须委托有相关资质单位进行统一处理处置。</w:t>
            </w:r>
          </w:p>
          <w:p>
            <w:pPr>
              <w:pStyle w:val="48"/>
              <w:keepNext w:val="0"/>
              <w:keepLines w:val="0"/>
              <w:pageBreakBefore w:val="0"/>
              <w:widowControl w:val="0"/>
              <w:tabs>
                <w:tab w:val="left" w:pos="1862"/>
              </w:tabs>
              <w:kinsoku/>
              <w:wordWrap/>
              <w:overflowPunct/>
              <w:topLinePunct w:val="0"/>
              <w:autoSpaceDE/>
              <w:autoSpaceDN/>
              <w:bidi w:val="0"/>
              <w:spacing w:line="520" w:lineRule="exact"/>
              <w:ind w:left="0" w:firstLine="480" w:firstLineChars="200"/>
              <w:textAlignment w:val="auto"/>
              <w:rPr>
                <w:rFonts w:hint="eastAsia" w:ascii="Times New Roman" w:hAnsi="Times New Roman" w:cs="Times New Roman"/>
                <w:color w:val="auto"/>
                <w:sz w:val="24"/>
                <w:u w:val="none"/>
                <w:lang w:val="en-US" w:eastAsia="zh-CN" w:bidi="ar-SA"/>
              </w:rPr>
            </w:pPr>
            <w:r>
              <w:rPr>
                <w:rFonts w:hint="eastAsia" w:ascii="Times New Roman" w:hAnsi="Times New Roman" w:cs="Times New Roman"/>
                <w:color w:val="auto"/>
                <w:sz w:val="24"/>
                <w:u w:val="none"/>
                <w:lang w:val="en-US" w:eastAsia="zh-CN" w:bidi="ar-SA"/>
              </w:rPr>
              <w:t>废活性炭（S4）：本项目废活性炭产生量为0.5t/a，危废代码900-039-49，产生的废活性炭收集后暂存于危废间，定期委托有资质单位处置。</w:t>
            </w:r>
          </w:p>
          <w:p>
            <w:pPr>
              <w:pStyle w:val="48"/>
              <w:keepNext w:val="0"/>
              <w:keepLines w:val="0"/>
              <w:pageBreakBefore w:val="0"/>
              <w:widowControl w:val="0"/>
              <w:tabs>
                <w:tab w:val="left" w:pos="1862"/>
              </w:tabs>
              <w:kinsoku/>
              <w:wordWrap/>
              <w:overflowPunct/>
              <w:topLinePunct w:val="0"/>
              <w:autoSpaceDE/>
              <w:autoSpaceDN/>
              <w:bidi w:val="0"/>
              <w:spacing w:line="520" w:lineRule="exact"/>
              <w:ind w:left="0" w:firstLine="480" w:firstLineChars="200"/>
              <w:textAlignment w:val="auto"/>
              <w:rPr>
                <w:rFonts w:ascii="Times New Roman" w:hAnsi="Times New Roman" w:cs="Times New Roman"/>
                <w:color w:val="auto"/>
                <w:sz w:val="24"/>
                <w:u w:val="none"/>
                <w:lang w:val="en-US" w:bidi="ar-SA"/>
              </w:rPr>
            </w:pPr>
            <w:r>
              <w:rPr>
                <w:rFonts w:hint="eastAsia" w:ascii="Times New Roman" w:hAnsi="Times New Roman" w:cs="Times New Roman"/>
                <w:color w:val="auto"/>
                <w:sz w:val="24"/>
                <w:u w:val="none"/>
                <w:lang w:val="en-US" w:eastAsia="zh-CN" w:bidi="ar-SA"/>
              </w:rPr>
              <w:t>废催化剂（S5）：本项目废催化剂产生量为0.05t/a，危废代码772-007-50，产生的废催化剂收集后暂存于危废间，定期委托有资质单位处置。</w:t>
            </w:r>
          </w:p>
          <w:p>
            <w:pPr>
              <w:pStyle w:val="48"/>
              <w:keepNext w:val="0"/>
              <w:keepLines w:val="0"/>
              <w:pageBreakBefore w:val="0"/>
              <w:widowControl w:val="0"/>
              <w:tabs>
                <w:tab w:val="left" w:pos="1862"/>
              </w:tabs>
              <w:kinsoku/>
              <w:wordWrap/>
              <w:overflowPunct/>
              <w:topLinePunct w:val="0"/>
              <w:autoSpaceDE/>
              <w:autoSpaceDN/>
              <w:bidi w:val="0"/>
              <w:spacing w:line="520" w:lineRule="exact"/>
              <w:ind w:left="0" w:firstLine="480" w:firstLineChars="200"/>
              <w:textAlignment w:val="auto"/>
              <w:rPr>
                <w:rFonts w:hint="eastAsia" w:ascii="Times New Roman" w:hAnsi="Times New Roman" w:cs="Times New Roman"/>
                <w:color w:val="auto"/>
                <w:sz w:val="24"/>
                <w:u w:val="none"/>
                <w:lang w:val="en-US" w:eastAsia="zh-CN" w:bidi="ar-SA"/>
              </w:rPr>
            </w:pPr>
            <w:r>
              <w:rPr>
                <w:rFonts w:ascii="Times New Roman" w:hAnsi="Times New Roman" w:cs="Times New Roman"/>
                <w:bCs/>
                <w:color w:val="auto"/>
                <w:kern w:val="0"/>
                <w:sz w:val="24"/>
                <w:u w:val="none"/>
                <w:lang w:val="en-US"/>
              </w:rPr>
              <w:t>废机油</w:t>
            </w:r>
            <w:r>
              <w:rPr>
                <w:rFonts w:hint="eastAsia" w:ascii="Times New Roman" w:hAnsi="Times New Roman" w:cs="Times New Roman"/>
                <w:bCs/>
                <w:color w:val="auto"/>
                <w:kern w:val="0"/>
                <w:sz w:val="24"/>
                <w:u w:val="none"/>
                <w:lang w:val="en-US" w:eastAsia="zh-CN"/>
              </w:rPr>
              <w:t>（S7）</w:t>
            </w:r>
            <w:r>
              <w:rPr>
                <w:rFonts w:ascii="Times New Roman" w:hAnsi="Times New Roman" w:cs="Times New Roman"/>
                <w:bCs/>
                <w:color w:val="auto"/>
                <w:kern w:val="0"/>
                <w:sz w:val="24"/>
                <w:u w:val="none"/>
                <w:lang w:val="en-US"/>
              </w:rPr>
              <w:t>：</w:t>
            </w:r>
            <w:r>
              <w:rPr>
                <w:rFonts w:ascii="Times New Roman" w:hAnsi="Times New Roman" w:cs="Times New Roman"/>
                <w:color w:val="auto"/>
                <w:sz w:val="24"/>
                <w:u w:val="none"/>
                <w:lang w:val="en-US" w:bidi="ar-SA"/>
              </w:rPr>
              <w:t>本项目产生的废机油来源为定期更换机械设备机械用油产生，产生量为0.</w:t>
            </w:r>
            <w:r>
              <w:rPr>
                <w:rFonts w:hint="eastAsia" w:ascii="Times New Roman" w:hAnsi="Times New Roman" w:cs="Times New Roman"/>
                <w:color w:val="auto"/>
                <w:sz w:val="24"/>
                <w:u w:val="none"/>
                <w:lang w:val="en-US" w:eastAsia="zh-CN" w:bidi="ar-SA"/>
              </w:rPr>
              <w:t>8</w:t>
            </w:r>
            <w:r>
              <w:rPr>
                <w:rFonts w:ascii="Times New Roman" w:hAnsi="Times New Roman" w:cs="Times New Roman"/>
                <w:color w:val="auto"/>
                <w:sz w:val="24"/>
                <w:u w:val="none"/>
                <w:lang w:val="en-US" w:bidi="ar-SA"/>
              </w:rPr>
              <w:t>t/a，危废代码900-214-08。</w:t>
            </w:r>
            <w:r>
              <w:rPr>
                <w:rFonts w:hint="eastAsia" w:ascii="Times New Roman" w:hAnsi="Times New Roman" w:cs="Times New Roman"/>
                <w:color w:val="auto"/>
                <w:sz w:val="24"/>
                <w:u w:val="none"/>
                <w:lang w:val="en-US" w:eastAsia="zh-CN" w:bidi="ar-SA"/>
              </w:rPr>
              <w:t>产生的废机油收集后暂存于危废间，定期委托有资质单位处置。</w:t>
            </w:r>
          </w:p>
          <w:p>
            <w:pPr>
              <w:keepNext w:val="0"/>
              <w:keepLines w:val="0"/>
              <w:pageBreakBefore w:val="0"/>
              <w:widowControl w:val="0"/>
              <w:kinsoku/>
              <w:wordWrap/>
              <w:overflowPunct/>
              <w:topLinePunct w:val="0"/>
              <w:autoSpaceDE/>
              <w:autoSpaceDN/>
              <w:bidi w:val="0"/>
              <w:adjustRightInd w:val="0"/>
              <w:spacing w:line="520" w:lineRule="exact"/>
              <w:ind w:firstLine="480" w:firstLineChars="200"/>
              <w:textAlignment w:val="auto"/>
              <w:rPr>
                <w:rFonts w:hint="eastAsia" w:eastAsia="宋体"/>
                <w:color w:val="auto"/>
                <w:sz w:val="24"/>
                <w:lang w:val="en-US" w:eastAsia="zh-CN"/>
              </w:rPr>
            </w:pPr>
            <w:r>
              <w:rPr>
                <w:color w:val="auto"/>
                <w:sz w:val="24"/>
              </w:rPr>
              <w:t>根据项目工程情况可知，本项目固体废物处置情况见表4-1</w:t>
            </w:r>
            <w:r>
              <w:rPr>
                <w:rFonts w:hint="eastAsia"/>
                <w:color w:val="auto"/>
                <w:sz w:val="24"/>
                <w:lang w:val="en-US" w:eastAsia="zh-CN"/>
              </w:rPr>
              <w:t>3</w:t>
            </w:r>
          </w:p>
          <w:p>
            <w:pPr>
              <w:pStyle w:val="49"/>
              <w:keepNext w:val="0"/>
              <w:keepLines w:val="0"/>
              <w:pageBreakBefore w:val="0"/>
              <w:widowControl w:val="0"/>
              <w:kinsoku/>
              <w:wordWrap/>
              <w:overflowPunct/>
              <w:topLinePunct w:val="0"/>
              <w:autoSpaceDE/>
              <w:autoSpaceDN/>
              <w:bidi w:val="0"/>
              <w:adjustRightInd/>
              <w:snapToGrid/>
              <w:spacing w:before="0" w:beforeLines="0" w:line="520" w:lineRule="exact"/>
              <w:ind w:firstLine="0" w:firstLineChars="0"/>
              <w:textAlignment w:val="auto"/>
              <w:rPr>
                <w:rFonts w:hAnsi="Times New Roman"/>
                <w:color w:val="auto"/>
                <w:sz w:val="21"/>
              </w:rPr>
            </w:pPr>
            <w:r>
              <w:rPr>
                <w:rFonts w:hAnsi="Times New Roman"/>
                <w:color w:val="auto"/>
                <w:sz w:val="21"/>
              </w:rPr>
              <w:t>表4-1</w:t>
            </w:r>
            <w:r>
              <w:rPr>
                <w:rFonts w:hint="eastAsia" w:hAnsi="Times New Roman"/>
                <w:color w:val="auto"/>
                <w:sz w:val="21"/>
                <w:lang w:val="en-US" w:eastAsia="zh-CN"/>
              </w:rPr>
              <w:t>3</w:t>
            </w:r>
            <w:r>
              <w:rPr>
                <w:rFonts w:hAnsi="Times New Roman"/>
                <w:color w:val="auto"/>
                <w:sz w:val="21"/>
              </w:rPr>
              <w:t xml:space="preserve">    </w:t>
            </w:r>
            <w:r>
              <w:rPr>
                <w:rFonts w:hAnsi="Times New Roman"/>
                <w:color w:val="auto"/>
                <w:sz w:val="21"/>
                <w:lang w:val="zh-CN"/>
              </w:rPr>
              <w:t>固体废物产生情况汇总</w:t>
            </w:r>
            <w:r>
              <w:rPr>
                <w:rFonts w:hAnsi="Times New Roman"/>
                <w:color w:val="auto"/>
                <w:sz w:val="21"/>
              </w:rPr>
              <w:t>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31"/>
              <w:gridCol w:w="1522"/>
              <w:gridCol w:w="1354"/>
              <w:gridCol w:w="1354"/>
              <w:gridCol w:w="833"/>
              <w:gridCol w:w="12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b/>
                      <w:bCs/>
                      <w:color w:val="auto"/>
                      <w:kern w:val="0"/>
                      <w:szCs w:val="21"/>
                    </w:rPr>
                  </w:pPr>
                  <w:r>
                    <w:rPr>
                      <w:b/>
                      <w:bCs/>
                      <w:color w:val="auto"/>
                      <w:kern w:val="0"/>
                      <w:szCs w:val="21"/>
                    </w:rPr>
                    <w:t>序号</w:t>
                  </w:r>
                </w:p>
              </w:tc>
              <w:tc>
                <w:tcPr>
                  <w:tcW w:w="730" w:type="pct"/>
                  <w:vAlign w:val="center"/>
                </w:tcPr>
                <w:p>
                  <w:pPr>
                    <w:adjustRightInd w:val="0"/>
                    <w:snapToGrid w:val="0"/>
                    <w:jc w:val="center"/>
                    <w:rPr>
                      <w:b/>
                      <w:bCs/>
                      <w:color w:val="auto"/>
                      <w:kern w:val="0"/>
                      <w:szCs w:val="21"/>
                    </w:rPr>
                  </w:pPr>
                  <w:r>
                    <w:rPr>
                      <w:b/>
                      <w:bCs/>
                      <w:color w:val="auto"/>
                      <w:kern w:val="0"/>
                      <w:szCs w:val="21"/>
                    </w:rPr>
                    <w:t>固废名称</w:t>
                  </w:r>
                </w:p>
              </w:tc>
              <w:tc>
                <w:tcPr>
                  <w:tcW w:w="903" w:type="pct"/>
                  <w:vAlign w:val="center"/>
                </w:tcPr>
                <w:p>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代码</w:t>
                  </w:r>
                </w:p>
              </w:tc>
              <w:tc>
                <w:tcPr>
                  <w:tcW w:w="803" w:type="pct"/>
                  <w:vAlign w:val="center"/>
                </w:tcPr>
                <w:p>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类别</w:t>
                  </w:r>
                </w:p>
              </w:tc>
              <w:tc>
                <w:tcPr>
                  <w:tcW w:w="803" w:type="pct"/>
                  <w:vAlign w:val="center"/>
                </w:tcPr>
                <w:p>
                  <w:pPr>
                    <w:adjustRightInd w:val="0"/>
                    <w:snapToGrid w:val="0"/>
                    <w:jc w:val="center"/>
                    <w:rPr>
                      <w:b/>
                      <w:bCs/>
                      <w:color w:val="auto"/>
                      <w:kern w:val="0"/>
                      <w:szCs w:val="21"/>
                    </w:rPr>
                  </w:pPr>
                  <w:r>
                    <w:rPr>
                      <w:b/>
                      <w:bCs/>
                      <w:color w:val="auto"/>
                      <w:kern w:val="0"/>
                      <w:szCs w:val="21"/>
                    </w:rPr>
                    <w:t>产生工序</w:t>
                  </w:r>
                </w:p>
              </w:tc>
              <w:tc>
                <w:tcPr>
                  <w:tcW w:w="494" w:type="pct"/>
                  <w:vAlign w:val="center"/>
                </w:tcPr>
                <w:p>
                  <w:pPr>
                    <w:adjustRightInd w:val="0"/>
                    <w:snapToGrid w:val="0"/>
                    <w:jc w:val="center"/>
                    <w:rPr>
                      <w:b/>
                      <w:bCs/>
                      <w:color w:val="auto"/>
                      <w:kern w:val="0"/>
                      <w:szCs w:val="21"/>
                    </w:rPr>
                  </w:pPr>
                  <w:r>
                    <w:rPr>
                      <w:b/>
                      <w:bCs/>
                      <w:color w:val="auto"/>
                      <w:kern w:val="0"/>
                      <w:szCs w:val="21"/>
                    </w:rPr>
                    <w:t>形态</w:t>
                  </w:r>
                </w:p>
              </w:tc>
              <w:tc>
                <w:tcPr>
                  <w:tcW w:w="758" w:type="pct"/>
                  <w:vAlign w:val="center"/>
                </w:tcPr>
                <w:p>
                  <w:pPr>
                    <w:adjustRightInd w:val="0"/>
                    <w:snapToGrid w:val="0"/>
                    <w:jc w:val="center"/>
                    <w:rPr>
                      <w:b/>
                      <w:bCs/>
                      <w:color w:val="auto"/>
                      <w:kern w:val="0"/>
                      <w:szCs w:val="21"/>
                    </w:rPr>
                  </w:pPr>
                  <w:r>
                    <w:rPr>
                      <w:b/>
                      <w:bCs/>
                      <w:color w:val="auto"/>
                      <w:kern w:val="0"/>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tcBorders>
                    <w:top w:val="single" w:color="auto" w:sz="12" w:space="0"/>
                  </w:tcBorders>
                  <w:vAlign w:val="center"/>
                </w:tcPr>
                <w:p>
                  <w:pPr>
                    <w:adjustRightInd w:val="0"/>
                    <w:snapToGrid w:val="0"/>
                    <w:jc w:val="center"/>
                    <w:rPr>
                      <w:color w:val="auto"/>
                      <w:kern w:val="0"/>
                      <w:szCs w:val="21"/>
                    </w:rPr>
                  </w:pPr>
                  <w:r>
                    <w:rPr>
                      <w:color w:val="auto"/>
                      <w:kern w:val="0"/>
                      <w:szCs w:val="21"/>
                    </w:rPr>
                    <w:t>1</w:t>
                  </w:r>
                </w:p>
              </w:tc>
              <w:tc>
                <w:tcPr>
                  <w:tcW w:w="730" w:type="pct"/>
                  <w:tcBorders>
                    <w:top w:val="single" w:color="auto" w:sz="12" w:space="0"/>
                  </w:tcBorders>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生活垃圾</w:t>
                  </w:r>
                </w:p>
              </w:tc>
              <w:tc>
                <w:tcPr>
                  <w:tcW w:w="903" w:type="pct"/>
                  <w:tcBorders>
                    <w:top w:val="single" w:color="auto" w:sz="12" w:space="0"/>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803" w:type="pct"/>
                  <w:tcBorders>
                    <w:top w:val="single" w:color="auto" w:sz="12" w:space="0"/>
                  </w:tcBorders>
                  <w:vAlign w:val="center"/>
                </w:tcPr>
                <w:p>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w:t>
                  </w:r>
                </w:p>
              </w:tc>
              <w:tc>
                <w:tcPr>
                  <w:tcW w:w="803" w:type="pct"/>
                  <w:tcBorders>
                    <w:top w:val="single" w:color="auto" w:sz="12" w:space="0"/>
                  </w:tcBorders>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color w:val="auto"/>
                      <w:kern w:val="0"/>
                      <w:szCs w:val="21"/>
                    </w:rPr>
                    <w:t>生活</w:t>
                  </w:r>
                </w:p>
              </w:tc>
              <w:tc>
                <w:tcPr>
                  <w:tcW w:w="494" w:type="pct"/>
                  <w:tcBorders>
                    <w:top w:val="single" w:color="auto" w:sz="12" w:space="0"/>
                  </w:tcBorders>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固态</w:t>
                  </w:r>
                </w:p>
              </w:tc>
              <w:tc>
                <w:tcPr>
                  <w:tcW w:w="758" w:type="pct"/>
                  <w:tcBorders>
                    <w:top w:val="single" w:color="auto" w:sz="12" w:space="0"/>
                  </w:tcBorders>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5.04t/a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w:t>
                  </w:r>
                </w:p>
              </w:tc>
              <w:tc>
                <w:tcPr>
                  <w:tcW w:w="730" w:type="pct"/>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残次品</w:t>
                  </w:r>
                </w:p>
              </w:tc>
              <w:tc>
                <w:tcPr>
                  <w:tcW w:w="903" w:type="pct"/>
                  <w:vAlign w:val="center"/>
                </w:tcPr>
                <w:p>
                  <w:pPr>
                    <w:adjustRightInd w:val="0"/>
                    <w:snapToGrid w:val="0"/>
                    <w:jc w:val="center"/>
                    <w:rPr>
                      <w:rFonts w:hint="default"/>
                      <w:color w:val="auto"/>
                      <w:kern w:val="0"/>
                      <w:szCs w:val="21"/>
                      <w:lang w:val="en-US" w:eastAsia="zh-CN"/>
                    </w:rPr>
                  </w:pPr>
                  <w:r>
                    <w:rPr>
                      <w:rFonts w:hint="default"/>
                      <w:color w:val="auto"/>
                      <w:kern w:val="0"/>
                      <w:szCs w:val="21"/>
                      <w:lang w:val="en-US" w:eastAsia="zh-CN"/>
                    </w:rPr>
                    <w:t>900-003-S17</w:t>
                  </w:r>
                </w:p>
              </w:tc>
              <w:tc>
                <w:tcPr>
                  <w:tcW w:w="803"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一般固废</w:t>
                  </w:r>
                </w:p>
              </w:tc>
              <w:tc>
                <w:tcPr>
                  <w:tcW w:w="80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热熔挤出</w:t>
                  </w:r>
                </w:p>
              </w:tc>
              <w:tc>
                <w:tcPr>
                  <w:tcW w:w="494" w:type="pct"/>
                  <w:vAlign w:val="center"/>
                </w:tcPr>
                <w:p>
                  <w:pPr>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固态</w:t>
                  </w:r>
                </w:p>
              </w:tc>
              <w:tc>
                <w:tcPr>
                  <w:tcW w:w="758"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54</w:t>
                  </w:r>
                  <w:r>
                    <w:rPr>
                      <w:color w:val="auto"/>
                      <w:kern w:val="0"/>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w:t>
                  </w:r>
                </w:p>
              </w:tc>
              <w:tc>
                <w:tcPr>
                  <w:tcW w:w="730" w:type="pct"/>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kern w:val="0"/>
                      <w:szCs w:val="21"/>
                      <w:lang w:val="en-US" w:eastAsia="zh-CN"/>
                    </w:rPr>
                    <w:t>收集尘</w:t>
                  </w:r>
                </w:p>
              </w:tc>
              <w:tc>
                <w:tcPr>
                  <w:tcW w:w="903" w:type="pct"/>
                  <w:vAlign w:val="center"/>
                </w:tcPr>
                <w:p>
                  <w:pPr>
                    <w:adjustRightInd w:val="0"/>
                    <w:snapToGrid w:val="0"/>
                    <w:jc w:val="center"/>
                    <w:rPr>
                      <w:color w:val="auto"/>
                      <w:kern w:val="0"/>
                      <w:szCs w:val="21"/>
                    </w:rPr>
                  </w:pPr>
                  <w:r>
                    <w:rPr>
                      <w:color w:val="auto"/>
                      <w:kern w:val="0"/>
                      <w:szCs w:val="21"/>
                    </w:rPr>
                    <w:t>9</w:t>
                  </w:r>
                  <w:r>
                    <w:rPr>
                      <w:rFonts w:hint="default"/>
                      <w:color w:val="auto"/>
                      <w:kern w:val="0"/>
                      <w:szCs w:val="21"/>
                    </w:rPr>
                    <w:t>00-003-S17</w:t>
                  </w:r>
                </w:p>
              </w:tc>
              <w:tc>
                <w:tcPr>
                  <w:tcW w:w="803" w:type="pct"/>
                  <w:vAlign w:val="center"/>
                </w:tcPr>
                <w:p>
                  <w:pPr>
                    <w:adjustRightInd w:val="0"/>
                    <w:snapToGrid w:val="0"/>
                    <w:jc w:val="center"/>
                    <w:rPr>
                      <w:color w:val="auto"/>
                      <w:kern w:val="0"/>
                      <w:szCs w:val="21"/>
                    </w:rPr>
                  </w:pPr>
                  <w:r>
                    <w:rPr>
                      <w:rFonts w:hint="eastAsia"/>
                      <w:color w:val="auto"/>
                      <w:kern w:val="0"/>
                      <w:szCs w:val="21"/>
                      <w:lang w:val="en-US" w:eastAsia="zh-CN"/>
                    </w:rPr>
                    <w:t>一般固废</w:t>
                  </w:r>
                </w:p>
              </w:tc>
              <w:tc>
                <w:tcPr>
                  <w:tcW w:w="80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color w:val="auto"/>
                      <w:kern w:val="0"/>
                      <w:szCs w:val="21"/>
                    </w:rPr>
                    <w:t>布袋除尘器</w:t>
                  </w:r>
                </w:p>
              </w:tc>
              <w:tc>
                <w:tcPr>
                  <w:tcW w:w="494" w:type="pct"/>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color w:val="auto"/>
                      <w:kern w:val="0"/>
                      <w:szCs w:val="21"/>
                    </w:rPr>
                    <w:t>固态</w:t>
                  </w:r>
                </w:p>
              </w:tc>
              <w:tc>
                <w:tcPr>
                  <w:tcW w:w="758"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1.763t/a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4</w:t>
                  </w:r>
                </w:p>
              </w:tc>
              <w:tc>
                <w:tcPr>
                  <w:tcW w:w="730"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分拣废物</w:t>
                  </w:r>
                </w:p>
              </w:tc>
              <w:tc>
                <w:tcPr>
                  <w:tcW w:w="903" w:type="pct"/>
                  <w:vAlign w:val="center"/>
                </w:tcPr>
                <w:p>
                  <w:pPr>
                    <w:adjustRightInd w:val="0"/>
                    <w:snapToGrid w:val="0"/>
                    <w:jc w:val="center"/>
                    <w:rPr>
                      <w:rFonts w:hint="default" w:eastAsia="宋体" w:cs="Times New Roman"/>
                      <w:color w:val="auto"/>
                      <w:kern w:val="0"/>
                      <w:sz w:val="21"/>
                      <w:szCs w:val="21"/>
                      <w:lang w:val="en-US" w:eastAsia="zh-CN" w:bidi="ar-SA"/>
                    </w:rPr>
                  </w:pPr>
                  <w:r>
                    <w:rPr>
                      <w:rFonts w:hint="eastAsia"/>
                      <w:color w:val="auto"/>
                      <w:kern w:val="0"/>
                      <w:szCs w:val="21"/>
                      <w:lang w:val="en-US" w:eastAsia="zh-CN"/>
                    </w:rPr>
                    <w:t>422-999-99</w:t>
                  </w:r>
                </w:p>
              </w:tc>
              <w:tc>
                <w:tcPr>
                  <w:tcW w:w="803" w:type="pct"/>
                  <w:vAlign w:val="center"/>
                </w:tcPr>
                <w:p>
                  <w:pPr>
                    <w:adjustRightInd w:val="0"/>
                    <w:snapToGrid w:val="0"/>
                    <w:jc w:val="center"/>
                    <w:rPr>
                      <w:rFonts w:hint="eastAsia" w:eastAsia="宋体" w:cs="Times New Roman"/>
                      <w:color w:val="auto"/>
                      <w:kern w:val="0"/>
                      <w:sz w:val="21"/>
                      <w:szCs w:val="21"/>
                      <w:lang w:val="en-US" w:eastAsia="zh-CN" w:bidi="ar-SA"/>
                    </w:rPr>
                  </w:pPr>
                  <w:r>
                    <w:rPr>
                      <w:rFonts w:hint="eastAsia"/>
                      <w:color w:val="auto"/>
                      <w:kern w:val="0"/>
                      <w:szCs w:val="21"/>
                      <w:lang w:val="en-US" w:eastAsia="zh-CN"/>
                    </w:rPr>
                    <w:t>一般固废</w:t>
                  </w:r>
                </w:p>
              </w:tc>
              <w:tc>
                <w:tcPr>
                  <w:tcW w:w="80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分拣工序</w:t>
                  </w:r>
                </w:p>
              </w:tc>
              <w:tc>
                <w:tcPr>
                  <w:tcW w:w="494"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固态</w:t>
                  </w:r>
                </w:p>
              </w:tc>
              <w:tc>
                <w:tcPr>
                  <w:tcW w:w="758"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5</w:t>
                  </w:r>
                </w:p>
              </w:tc>
              <w:tc>
                <w:tcPr>
                  <w:tcW w:w="730"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污泥</w:t>
                  </w:r>
                </w:p>
              </w:tc>
              <w:tc>
                <w:tcPr>
                  <w:tcW w:w="90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422-999-61</w:t>
                  </w:r>
                </w:p>
              </w:tc>
              <w:tc>
                <w:tcPr>
                  <w:tcW w:w="803" w:type="pct"/>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一般固废</w:t>
                  </w:r>
                </w:p>
              </w:tc>
              <w:tc>
                <w:tcPr>
                  <w:tcW w:w="803"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沉淀池</w:t>
                  </w:r>
                </w:p>
              </w:tc>
              <w:tc>
                <w:tcPr>
                  <w:tcW w:w="494"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半固态</w:t>
                  </w:r>
                </w:p>
              </w:tc>
              <w:tc>
                <w:tcPr>
                  <w:tcW w:w="758" w:type="pct"/>
                  <w:vAlign w:val="center"/>
                </w:tcPr>
                <w:p>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11.512t/a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6</w:t>
                  </w:r>
                </w:p>
              </w:tc>
              <w:tc>
                <w:tcPr>
                  <w:tcW w:w="730"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废滤网</w:t>
                  </w:r>
                </w:p>
              </w:tc>
              <w:tc>
                <w:tcPr>
                  <w:tcW w:w="9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422-999-06</w:t>
                  </w:r>
                </w:p>
              </w:tc>
              <w:tc>
                <w:tcPr>
                  <w:tcW w:w="8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一般固废</w:t>
                  </w:r>
                </w:p>
              </w:tc>
              <w:tc>
                <w:tcPr>
                  <w:tcW w:w="8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热熔挤出</w:t>
                  </w:r>
                </w:p>
              </w:tc>
              <w:tc>
                <w:tcPr>
                  <w:tcW w:w="494"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固态</w:t>
                  </w:r>
                </w:p>
              </w:tc>
              <w:tc>
                <w:tcPr>
                  <w:tcW w:w="758"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21.6t/a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7</w:t>
                  </w:r>
                </w:p>
              </w:tc>
              <w:tc>
                <w:tcPr>
                  <w:tcW w:w="730"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废机油</w:t>
                  </w:r>
                </w:p>
              </w:tc>
              <w:tc>
                <w:tcPr>
                  <w:tcW w:w="903" w:type="pct"/>
                  <w:vAlign w:val="center"/>
                </w:tcPr>
                <w:p>
                  <w:pPr>
                    <w:adjustRightInd w:val="0"/>
                    <w:snapToGrid w:val="0"/>
                    <w:jc w:val="center"/>
                    <w:rPr>
                      <w:rFonts w:hint="eastAsia"/>
                      <w:color w:val="auto"/>
                      <w:szCs w:val="21"/>
                      <w:lang w:val="en-US" w:eastAsia="zh-CN"/>
                    </w:rPr>
                  </w:pPr>
                  <w:r>
                    <w:rPr>
                      <w:rFonts w:hint="eastAsia"/>
                      <w:color w:val="auto"/>
                      <w:szCs w:val="21"/>
                      <w:lang w:val="en-US" w:eastAsia="zh-CN"/>
                    </w:rPr>
                    <w:t>900-214-08</w:t>
                  </w:r>
                </w:p>
              </w:tc>
              <w:tc>
                <w:tcPr>
                  <w:tcW w:w="8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危险废物</w:t>
                  </w:r>
                </w:p>
              </w:tc>
              <w:tc>
                <w:tcPr>
                  <w:tcW w:w="803"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设备保养</w:t>
                  </w:r>
                </w:p>
              </w:tc>
              <w:tc>
                <w:tcPr>
                  <w:tcW w:w="494"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液态</w:t>
                  </w:r>
                </w:p>
              </w:tc>
              <w:tc>
                <w:tcPr>
                  <w:tcW w:w="758"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8</w:t>
                  </w:r>
                </w:p>
              </w:tc>
              <w:tc>
                <w:tcPr>
                  <w:tcW w:w="730"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废活性炭</w:t>
                  </w:r>
                </w:p>
              </w:tc>
              <w:tc>
                <w:tcPr>
                  <w:tcW w:w="903" w:type="pct"/>
                  <w:vAlign w:val="center"/>
                </w:tcPr>
                <w:p>
                  <w:pPr>
                    <w:adjustRightInd w:val="0"/>
                    <w:snapToGrid w:val="0"/>
                    <w:jc w:val="center"/>
                    <w:rPr>
                      <w:rFonts w:hint="eastAsia"/>
                      <w:color w:val="auto"/>
                      <w:szCs w:val="21"/>
                      <w:lang w:val="en-US" w:eastAsia="zh-CN"/>
                    </w:rPr>
                  </w:pPr>
                  <w:r>
                    <w:rPr>
                      <w:rFonts w:hint="eastAsia"/>
                      <w:color w:val="auto"/>
                      <w:szCs w:val="21"/>
                      <w:lang w:val="en-US" w:eastAsia="zh-CN"/>
                    </w:rPr>
                    <w:t>900-039-49</w:t>
                  </w:r>
                </w:p>
              </w:tc>
              <w:tc>
                <w:tcPr>
                  <w:tcW w:w="8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危险废物</w:t>
                  </w:r>
                </w:p>
              </w:tc>
              <w:tc>
                <w:tcPr>
                  <w:tcW w:w="803"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环保设施</w:t>
                  </w:r>
                </w:p>
              </w:tc>
              <w:tc>
                <w:tcPr>
                  <w:tcW w:w="494"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固态</w:t>
                  </w:r>
                </w:p>
              </w:tc>
              <w:tc>
                <w:tcPr>
                  <w:tcW w:w="758"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5" w:type="pct"/>
                  <w:vAlign w:val="center"/>
                </w:tcPr>
                <w:p>
                  <w:pPr>
                    <w:adjustRightInd w:val="0"/>
                    <w:snapToGrid w:val="0"/>
                    <w:jc w:val="center"/>
                    <w:rPr>
                      <w:rFonts w:hint="default"/>
                      <w:color w:val="auto"/>
                      <w:kern w:val="0"/>
                      <w:szCs w:val="21"/>
                      <w:lang w:val="en-US" w:eastAsia="zh-CN"/>
                    </w:rPr>
                  </w:pPr>
                  <w:r>
                    <w:rPr>
                      <w:rFonts w:hint="eastAsia"/>
                      <w:color w:val="auto"/>
                      <w:kern w:val="0"/>
                      <w:szCs w:val="21"/>
                      <w:lang w:val="en-US" w:eastAsia="zh-CN"/>
                    </w:rPr>
                    <w:t>9</w:t>
                  </w:r>
                </w:p>
              </w:tc>
              <w:tc>
                <w:tcPr>
                  <w:tcW w:w="730"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废催化剂</w:t>
                  </w:r>
                </w:p>
              </w:tc>
              <w:tc>
                <w:tcPr>
                  <w:tcW w:w="903" w:type="pct"/>
                  <w:vAlign w:val="center"/>
                </w:tcPr>
                <w:p>
                  <w:pPr>
                    <w:adjustRightInd w:val="0"/>
                    <w:snapToGrid w:val="0"/>
                    <w:jc w:val="center"/>
                    <w:rPr>
                      <w:rFonts w:hint="eastAsia"/>
                      <w:color w:val="auto"/>
                      <w:szCs w:val="21"/>
                      <w:lang w:val="en-US" w:eastAsia="zh-CN"/>
                    </w:rPr>
                  </w:pPr>
                  <w:r>
                    <w:rPr>
                      <w:rFonts w:hint="eastAsia"/>
                      <w:color w:val="auto"/>
                      <w:szCs w:val="21"/>
                      <w:lang w:val="en-US" w:eastAsia="zh-CN"/>
                    </w:rPr>
                    <w:t>772-007-50</w:t>
                  </w:r>
                </w:p>
              </w:tc>
              <w:tc>
                <w:tcPr>
                  <w:tcW w:w="803" w:type="pct"/>
                  <w:vAlign w:val="center"/>
                </w:tcPr>
                <w:p>
                  <w:pPr>
                    <w:adjustRightInd w:val="0"/>
                    <w:snapToGrid w:val="0"/>
                    <w:jc w:val="center"/>
                    <w:rPr>
                      <w:rFonts w:hint="default"/>
                      <w:color w:val="auto"/>
                      <w:szCs w:val="21"/>
                      <w:lang w:val="en-US" w:eastAsia="zh-CN"/>
                    </w:rPr>
                  </w:pPr>
                  <w:r>
                    <w:rPr>
                      <w:rFonts w:hint="eastAsia"/>
                      <w:color w:val="auto"/>
                      <w:szCs w:val="21"/>
                      <w:lang w:val="en-US" w:eastAsia="zh-CN"/>
                    </w:rPr>
                    <w:t>危险废物</w:t>
                  </w:r>
                </w:p>
              </w:tc>
              <w:tc>
                <w:tcPr>
                  <w:tcW w:w="803"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环保设施</w:t>
                  </w:r>
                </w:p>
              </w:tc>
              <w:tc>
                <w:tcPr>
                  <w:tcW w:w="494"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固态</w:t>
                  </w:r>
                </w:p>
              </w:tc>
              <w:tc>
                <w:tcPr>
                  <w:tcW w:w="758" w:type="pct"/>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0.05t/a</w:t>
                  </w:r>
                </w:p>
              </w:tc>
            </w:tr>
          </w:tbl>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textAlignment w:val="auto"/>
              <w:rPr>
                <w:b/>
                <w:bCs/>
                <w:color w:val="auto"/>
              </w:rPr>
            </w:pPr>
            <w:r>
              <w:rPr>
                <w:b/>
                <w:bCs/>
                <w:color w:val="auto"/>
              </w:rPr>
              <w:t>4.2</w:t>
            </w:r>
            <w:r>
              <w:rPr>
                <w:rFonts w:hint="eastAsia"/>
                <w:b/>
                <w:bCs/>
                <w:color w:val="auto"/>
                <w:lang w:val="en-US" w:eastAsia="zh-CN"/>
              </w:rPr>
              <w:t xml:space="preserve"> </w:t>
            </w:r>
            <w:r>
              <w:rPr>
                <w:b/>
                <w:bCs/>
                <w:color w:val="auto"/>
              </w:rPr>
              <w:t>固废防治措施</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color w:val="auto"/>
                <w:kern w:val="0"/>
                <w:sz w:val="24"/>
              </w:rPr>
            </w:pPr>
            <w:r>
              <w:rPr>
                <w:b/>
                <w:color w:val="auto"/>
                <w:kern w:val="0"/>
                <w:sz w:val="24"/>
              </w:rPr>
              <w:t>一般固废：</w:t>
            </w:r>
            <w:r>
              <w:rPr>
                <w:color w:val="auto"/>
                <w:kern w:val="0"/>
                <w:sz w:val="24"/>
                <w:szCs w:val="24"/>
              </w:rPr>
              <w:t>本项目</w:t>
            </w:r>
            <w:r>
              <w:rPr>
                <w:rFonts w:hint="eastAsia"/>
                <w:color w:val="auto"/>
                <w:kern w:val="0"/>
                <w:sz w:val="24"/>
                <w:szCs w:val="24"/>
              </w:rPr>
              <w:t>产生</w:t>
            </w:r>
            <w:r>
              <w:rPr>
                <w:rFonts w:hint="eastAsia"/>
                <w:color w:val="auto"/>
                <w:kern w:val="0"/>
                <w:sz w:val="24"/>
                <w:szCs w:val="24"/>
                <w:lang w:val="en-US" w:eastAsia="zh-CN"/>
              </w:rPr>
              <w:t>残次品和收集尘集中收集后回用于生产，废铁丝交由废品回收站回收处理，石块等收集后交由环卫部门统一清运</w:t>
            </w:r>
            <w:r>
              <w:rPr>
                <w:color w:val="auto"/>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color w:val="auto"/>
                <w:kern w:val="0"/>
                <w:sz w:val="24"/>
              </w:rPr>
            </w:pPr>
            <w:r>
              <w:rPr>
                <w:b/>
                <w:color w:val="auto"/>
                <w:kern w:val="0"/>
                <w:sz w:val="24"/>
              </w:rPr>
              <w:t>生活垃圾</w:t>
            </w:r>
            <w:r>
              <w:rPr>
                <w:color w:val="auto"/>
                <w:kern w:val="0"/>
                <w:sz w:val="24"/>
              </w:rPr>
              <w:t>：生活垃圾在收集后暂存于厂区垃圾桶，定期委托环卫部门清运。</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b w:val="0"/>
                <w:bCs w:val="0"/>
                <w:color w:val="auto"/>
                <w:kern w:val="0"/>
                <w:sz w:val="24"/>
                <w:lang w:val="en-US" w:eastAsia="zh-CN"/>
              </w:rPr>
            </w:pPr>
            <w:r>
              <w:rPr>
                <w:b/>
                <w:bCs/>
                <w:color w:val="auto"/>
                <w:kern w:val="0"/>
                <w:sz w:val="24"/>
              </w:rPr>
              <w:t>危险废物：</w:t>
            </w:r>
            <w:r>
              <w:rPr>
                <w:rFonts w:hint="eastAsia"/>
                <w:b w:val="0"/>
                <w:bCs w:val="0"/>
                <w:color w:val="auto"/>
                <w:kern w:val="0"/>
                <w:sz w:val="24"/>
                <w:lang w:val="en-US" w:eastAsia="zh-CN"/>
              </w:rPr>
              <w:t>本项目废滤网、废机油、废活性炭和废催化剂收集后暂存于危废间内，定期委托有资质的单位处置。</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contextualSpacing/>
              <w:jc w:val="both"/>
              <w:textAlignment w:val="auto"/>
              <w:rPr>
                <w:rFonts w:hint="eastAsia"/>
                <w:b/>
                <w:bCs/>
                <w:color w:val="auto"/>
                <w:lang w:val="en-US" w:eastAsia="zh-CN"/>
              </w:rPr>
            </w:pPr>
            <w:r>
              <w:rPr>
                <w:rFonts w:hint="eastAsia"/>
                <w:b/>
                <w:bCs/>
                <w:color w:val="auto"/>
                <w:lang w:val="en-US" w:eastAsia="zh-CN"/>
              </w:rPr>
              <w:t>4.3 固废环境管理要求</w:t>
            </w:r>
          </w:p>
          <w:p>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b w:val="0"/>
                <w:bCs w:val="0"/>
                <w:color w:val="auto"/>
                <w:kern w:val="0"/>
                <w:sz w:val="24"/>
                <w:lang w:val="en-US" w:eastAsia="zh-CN"/>
              </w:rPr>
            </w:pPr>
            <w:r>
              <w:rPr>
                <w:rFonts w:hint="default"/>
                <w:b w:val="0"/>
                <w:bCs w:val="0"/>
                <w:color w:val="auto"/>
                <w:kern w:val="0"/>
                <w:sz w:val="24"/>
                <w:lang w:val="en-US" w:eastAsia="zh-CN"/>
              </w:rPr>
              <w:t>本项目残次品和收集尘回用于生产工序，</w:t>
            </w:r>
            <w:r>
              <w:rPr>
                <w:rFonts w:hint="eastAsia"/>
                <w:b w:val="0"/>
                <w:bCs w:val="0"/>
                <w:color w:val="auto"/>
                <w:kern w:val="0"/>
                <w:sz w:val="24"/>
                <w:lang w:val="en-US" w:eastAsia="zh-CN"/>
              </w:rPr>
              <w:t>分拣废物和</w:t>
            </w:r>
            <w:r>
              <w:rPr>
                <w:rFonts w:hint="default"/>
                <w:b w:val="0"/>
                <w:bCs w:val="0"/>
                <w:color w:val="auto"/>
                <w:kern w:val="0"/>
                <w:sz w:val="24"/>
                <w:lang w:val="en-US" w:eastAsia="zh-CN"/>
              </w:rPr>
              <w:t>生活垃圾暂存于垃圾桶中收集后交环卫部门处理，</w:t>
            </w:r>
            <w:r>
              <w:rPr>
                <w:rFonts w:hint="eastAsia"/>
                <w:b w:val="0"/>
                <w:bCs w:val="0"/>
                <w:color w:val="auto"/>
                <w:kern w:val="0"/>
                <w:sz w:val="24"/>
                <w:lang w:val="en-US" w:eastAsia="zh-CN"/>
              </w:rPr>
              <w:t>沉淀池污泥定期清掏，交由环卫部门处理</w:t>
            </w:r>
            <w:r>
              <w:rPr>
                <w:rFonts w:hint="default"/>
                <w:b w:val="0"/>
                <w:bCs w:val="0"/>
                <w:color w:val="auto"/>
                <w:kern w:val="0"/>
                <w:sz w:val="24"/>
                <w:lang w:val="en-US" w:eastAsia="zh-CN"/>
              </w:rPr>
              <w:t>，危险废物</w:t>
            </w:r>
            <w:r>
              <w:rPr>
                <w:rFonts w:hint="eastAsia"/>
                <w:b w:val="0"/>
                <w:bCs w:val="0"/>
                <w:color w:val="auto"/>
                <w:kern w:val="0"/>
                <w:sz w:val="24"/>
                <w:lang w:val="en-US" w:eastAsia="zh-CN"/>
              </w:rPr>
              <w:t>废滤网、</w:t>
            </w:r>
            <w:r>
              <w:rPr>
                <w:rFonts w:hint="default"/>
                <w:b w:val="0"/>
                <w:bCs w:val="0"/>
                <w:color w:val="auto"/>
                <w:kern w:val="0"/>
                <w:sz w:val="24"/>
                <w:lang w:val="en-US" w:eastAsia="zh-CN"/>
              </w:rPr>
              <w:t>废机油</w:t>
            </w:r>
            <w:r>
              <w:rPr>
                <w:rFonts w:hint="eastAsia"/>
                <w:b w:val="0"/>
                <w:bCs w:val="0"/>
                <w:color w:val="auto"/>
                <w:kern w:val="0"/>
                <w:sz w:val="24"/>
                <w:lang w:val="en-US" w:eastAsia="zh-CN"/>
              </w:rPr>
              <w:t>、废活性炭和废催化剂</w:t>
            </w:r>
            <w:r>
              <w:rPr>
                <w:rFonts w:hint="default"/>
                <w:b w:val="0"/>
                <w:bCs w:val="0"/>
                <w:color w:val="auto"/>
                <w:kern w:val="0"/>
                <w:sz w:val="24"/>
                <w:lang w:val="en-US" w:eastAsia="zh-CN"/>
              </w:rPr>
              <w:t>集中收集在危险废物暂存间内，定期委托有资质的单位处置。建设单位严格按照《一般工业固体废物贮存和填埋污染控制标准》（GB18599-2020）对固体废物进行处理处置。</w:t>
            </w:r>
          </w:p>
          <w:p>
            <w:pPr>
              <w:pStyle w:val="33"/>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b w:val="0"/>
                <w:bCs w:val="0"/>
                <w:color w:val="auto"/>
                <w:kern w:val="0"/>
                <w:sz w:val="24"/>
                <w:lang w:val="en-US" w:eastAsia="zh-CN"/>
              </w:rPr>
            </w:pPr>
            <w:r>
              <w:rPr>
                <w:rFonts w:hint="default"/>
                <w:b w:val="0"/>
                <w:bCs w:val="0"/>
                <w:color w:val="auto"/>
                <w:kern w:val="0"/>
                <w:sz w:val="24"/>
                <w:lang w:val="en-US" w:eastAsia="zh-CN"/>
              </w:rPr>
              <w:t>本项目建设1座10m</w:t>
            </w:r>
            <w:r>
              <w:rPr>
                <w:rFonts w:hint="default"/>
                <w:b w:val="0"/>
                <w:bCs w:val="0"/>
                <w:color w:val="auto"/>
                <w:kern w:val="0"/>
                <w:sz w:val="24"/>
                <w:vertAlign w:val="superscript"/>
                <w:lang w:val="en-US" w:eastAsia="zh-CN"/>
              </w:rPr>
              <w:t>2</w:t>
            </w:r>
            <w:r>
              <w:rPr>
                <w:rFonts w:hint="default"/>
                <w:b w:val="0"/>
                <w:bCs w:val="0"/>
                <w:color w:val="auto"/>
                <w:kern w:val="0"/>
                <w:sz w:val="24"/>
                <w:lang w:val="en-US" w:eastAsia="zh-CN"/>
              </w:rPr>
              <w:t>危险废物暂存间，危废暂存间按照《危险废物贮存污染控制标准》（GB18597-2023）中的要求，建设危废暂存间必须做防渗处理，并满足生态环境管理部门的要求，在醒目的位置安装危废的标识牌。危废暂存间用于暂存废机油，危险废物收集后存放于危废暂存间，并做好防扬散、防流失、防渗漏措施，由危废处置单位委托具有危险货物专业运输资质的运输单位进行承运，并根据规定实施危废转移联单制度。</w:t>
            </w:r>
          </w:p>
          <w:p>
            <w:pPr>
              <w:pStyle w:val="47"/>
              <w:keepNext w:val="0"/>
              <w:keepLines w:val="0"/>
              <w:pageBreakBefore w:val="0"/>
              <w:widowControl w:val="0"/>
              <w:numPr>
                <w:ilvl w:val="0"/>
                <w:numId w:val="0"/>
              </w:numPr>
              <w:tabs>
                <w:tab w:val="left" w:pos="366"/>
              </w:tabs>
              <w:kinsoku/>
              <w:wordWrap w:val="0"/>
              <w:overflowPunct/>
              <w:topLinePunct w:val="0"/>
              <w:autoSpaceDE/>
              <w:autoSpaceDN/>
              <w:bidi w:val="0"/>
              <w:adjustRightInd/>
              <w:snapToGrid/>
              <w:spacing w:line="520" w:lineRule="exact"/>
              <w:ind w:right="0" w:rightChars="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 xml:space="preserve">4.4 </w:t>
            </w:r>
            <w:r>
              <w:rPr>
                <w:rFonts w:hint="default" w:ascii="Times New Roman" w:hAnsi="Times New Roman" w:eastAsia="宋体" w:cs="Times New Roman"/>
                <w:b/>
                <w:bCs/>
                <w:color w:val="auto"/>
                <w:spacing w:val="0"/>
                <w:sz w:val="24"/>
                <w:szCs w:val="24"/>
                <w:highlight w:val="none"/>
              </w:rPr>
              <w:t>危废暂存间设计原则</w:t>
            </w:r>
          </w:p>
          <w:p>
            <w:pPr>
              <w:pStyle w:val="47"/>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根据《危险废物贮存污染控制标准》（GB18597-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）要求，危险废物贮存设施（仓库式）的设计原则：</w:t>
            </w:r>
          </w:p>
          <w:p>
            <w:pPr>
              <w:pStyle w:val="47"/>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地面与裙脚要用坚固、防渗的材料建造，建筑材料必须与危险废物相容。</w:t>
            </w:r>
          </w:p>
          <w:p>
            <w:pPr>
              <w:pStyle w:val="47"/>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必须有泄漏液体收集装置、气体导出口及气体净化装置。</w:t>
            </w:r>
          </w:p>
          <w:p>
            <w:pPr>
              <w:pStyle w:val="47"/>
              <w:keepNext w:val="0"/>
              <w:keepLines w:val="0"/>
              <w:pageBreakBefore w:val="0"/>
              <w:widowControl w:val="0"/>
              <w:numPr>
                <w:ilvl w:val="0"/>
                <w:numId w:val="0"/>
              </w:numPr>
              <w:tabs>
                <w:tab w:val="left" w:pos="108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3</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设施内要有安全照明设施和观察窗口。</w:t>
            </w:r>
          </w:p>
          <w:p>
            <w:pPr>
              <w:pStyle w:val="47"/>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4</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用以存放装载液体、半固体危险废物容器的地方，必须有耐腐蚀的硬化地面，且表面无裂隙。</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5</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应设计堵截泄漏的裙脚，地面与裙脚所围建的容积不低于堵截最大容器的最大储量或总储量的五分之一。</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6</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不相容的危险废物必须分开存放，并设有隔离间隔断。</w:t>
            </w:r>
          </w:p>
          <w:p>
            <w:pPr>
              <w:pStyle w:val="47"/>
              <w:keepNext w:val="0"/>
              <w:keepLines w:val="0"/>
              <w:pageBreakBefore w:val="0"/>
              <w:numPr>
                <w:ilvl w:val="0"/>
                <w:numId w:val="0"/>
              </w:numPr>
              <w:tabs>
                <w:tab w:val="left" w:pos="473"/>
              </w:tabs>
              <w:kinsoku/>
              <w:wordWrap w:val="0"/>
              <w:overflowPunct/>
              <w:topLinePunct w:val="0"/>
              <w:autoSpaceDE/>
              <w:autoSpaceDN/>
              <w:bidi w:val="0"/>
              <w:adjustRightInd/>
              <w:spacing w:line="520" w:lineRule="exact"/>
              <w:ind w:right="0" w:rightChars="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 xml:space="preserve">4.5 </w:t>
            </w:r>
            <w:r>
              <w:rPr>
                <w:rFonts w:hint="default" w:ascii="Times New Roman" w:hAnsi="Times New Roman" w:eastAsia="宋体" w:cs="Times New Roman"/>
                <w:b/>
                <w:bCs/>
                <w:color w:val="auto"/>
                <w:spacing w:val="0"/>
                <w:sz w:val="24"/>
                <w:szCs w:val="24"/>
                <w:highlight w:val="none"/>
              </w:rPr>
              <w:t>危险废物的堆放要求</w:t>
            </w:r>
          </w:p>
          <w:p>
            <w:pPr>
              <w:pStyle w:val="47"/>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根据《危险废物贮存污染控制标准》（GB18597-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）要求，危险废物的堆放要求：</w:t>
            </w:r>
          </w:p>
          <w:p>
            <w:pPr>
              <w:pStyle w:val="47"/>
              <w:keepNext w:val="0"/>
              <w:keepLines w:val="0"/>
              <w:pageBreakBefore w:val="0"/>
              <w:widowControl w:val="0"/>
              <w:numPr>
                <w:ilvl w:val="0"/>
                <w:numId w:val="0"/>
              </w:numPr>
              <w:tabs>
                <w:tab w:val="left" w:pos="119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基础必须防渗，防渗层为至少1米厚</w:t>
            </w:r>
            <w:r>
              <w:rPr>
                <w:rFonts w:hint="eastAsia" w:ascii="Times New Roman" w:hAnsi="Times New Roman" w:cs="Times New Roman"/>
                <w:color w:val="auto"/>
                <w:spacing w:val="0"/>
                <w:sz w:val="24"/>
                <w:szCs w:val="24"/>
                <w:highlight w:val="none"/>
                <w:lang w:eastAsia="zh-CN"/>
              </w:rPr>
              <w:t>黏土</w:t>
            </w:r>
            <w:r>
              <w:rPr>
                <w:rFonts w:hint="default" w:ascii="Times New Roman" w:hAnsi="Times New Roman" w:eastAsia="宋体" w:cs="Times New Roman"/>
                <w:color w:val="auto"/>
                <w:spacing w:val="0"/>
                <w:sz w:val="24"/>
                <w:szCs w:val="24"/>
                <w:highlight w:val="none"/>
              </w:rPr>
              <w:t>层（渗透系数≤10</w:t>
            </w:r>
            <w:r>
              <w:rPr>
                <w:rFonts w:hint="default" w:ascii="Times New Roman" w:hAnsi="Times New Roman" w:eastAsia="宋体" w:cs="Times New Roman"/>
                <w:color w:val="auto"/>
                <w:spacing w:val="0"/>
                <w:sz w:val="24"/>
                <w:szCs w:val="24"/>
                <w:highlight w:val="none"/>
                <w:vertAlign w:val="superscript"/>
              </w:rPr>
              <w:t>-7</w:t>
            </w:r>
            <w:r>
              <w:rPr>
                <w:rFonts w:hint="default" w:ascii="Times New Roman" w:hAnsi="Times New Roman" w:eastAsia="宋体" w:cs="Times New Roman"/>
                <w:color w:val="auto"/>
                <w:spacing w:val="0"/>
                <w:sz w:val="24"/>
                <w:szCs w:val="24"/>
                <w:highlight w:val="none"/>
              </w:rPr>
              <w:t>厘米/秒），或2毫米厚高密度聚乙烯，或至少2毫米厚的其它人工材料，渗透系数≤10</w:t>
            </w:r>
            <w:r>
              <w:rPr>
                <w:rFonts w:hint="default" w:ascii="Times New Roman" w:hAnsi="Times New Roman" w:eastAsia="宋体" w:cs="Times New Roman"/>
                <w:color w:val="auto"/>
                <w:spacing w:val="0"/>
                <w:sz w:val="24"/>
                <w:szCs w:val="24"/>
                <w:highlight w:val="none"/>
                <w:vertAlign w:val="superscript"/>
              </w:rPr>
              <w:t>-10</w:t>
            </w:r>
            <w:r>
              <w:rPr>
                <w:rFonts w:hint="default" w:ascii="Times New Roman" w:hAnsi="Times New Roman" w:eastAsia="宋体" w:cs="Times New Roman"/>
                <w:color w:val="auto"/>
                <w:spacing w:val="0"/>
                <w:sz w:val="24"/>
                <w:szCs w:val="24"/>
                <w:highlight w:val="none"/>
              </w:rPr>
              <w:t>厘米/秒。</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2</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堆放危险废物的高度应根据地面承载能力确定。</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3</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衬里放在一个基础或底座上。</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4</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衬里要能够覆盖危险废物或其溶出物可能涉及到的范围。</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5</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衬里材料与堆放危险废物相容。</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6</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在衬里上设计、建造浸出液收集清除系统。</w:t>
            </w:r>
          </w:p>
          <w:p>
            <w:pPr>
              <w:pStyle w:val="47"/>
              <w:keepNext w:val="0"/>
              <w:keepLines w:val="0"/>
              <w:pageBreakBefore w:val="0"/>
              <w:widowControl w:val="0"/>
              <w:numPr>
                <w:ilvl w:val="0"/>
                <w:numId w:val="0"/>
              </w:numPr>
              <w:tabs>
                <w:tab w:val="left" w:pos="119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7</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应设计建造径流疏导系统，保证能防止25年一遇的暴雨不会流到危险废物堆里。</w:t>
            </w:r>
          </w:p>
          <w:p>
            <w:pPr>
              <w:pStyle w:val="47"/>
              <w:keepNext w:val="0"/>
              <w:keepLines w:val="0"/>
              <w:pageBreakBefore w:val="0"/>
              <w:widowControl w:val="0"/>
              <w:numPr>
                <w:ilvl w:val="0"/>
                <w:numId w:val="0"/>
              </w:numPr>
              <w:tabs>
                <w:tab w:val="left" w:pos="119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8</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危险废物堆内设计雨水收集池，并能收集25年一遇的暴雨24小时降水量</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危险废物堆要防风、防雨、防晒。</w:t>
            </w:r>
          </w:p>
          <w:p>
            <w:pPr>
              <w:pStyle w:val="47"/>
              <w:keepNext w:val="0"/>
              <w:keepLines w:val="0"/>
              <w:pageBreakBefore w:val="0"/>
              <w:widowControl w:val="0"/>
              <w:numPr>
                <w:ilvl w:val="0"/>
                <w:numId w:val="0"/>
              </w:numPr>
              <w:tabs>
                <w:tab w:val="left" w:pos="1317"/>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9</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产生量大的危险废物可以散装方式堆放贮存在按上述要求设计的废物堆里。</w:t>
            </w:r>
          </w:p>
          <w:p>
            <w:pPr>
              <w:pStyle w:val="47"/>
              <w:keepNext w:val="0"/>
              <w:keepLines w:val="0"/>
              <w:pageBreakBefore w:val="0"/>
              <w:widowControl w:val="0"/>
              <w:numPr>
                <w:ilvl w:val="0"/>
                <w:numId w:val="0"/>
              </w:numPr>
              <w:tabs>
                <w:tab w:val="left" w:pos="1304"/>
              </w:tabs>
              <w:kinsoku/>
              <w:wordWrap w:val="0"/>
              <w:overflowPunct/>
              <w:topLinePunct w:val="0"/>
              <w:autoSpaceDE/>
              <w:autoSpaceDN/>
              <w:bidi w:val="0"/>
              <w:adjustRightInd/>
              <w:snapToGrid/>
              <w:spacing w:line="520" w:lineRule="exact"/>
              <w:ind w:leftChars="0" w:right="0" w:rightChars="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eastAsia" w:ascii="Times New Roman" w:hAnsi="Times New Roman" w:cs="Times New Roman"/>
                <w:color w:val="auto"/>
                <w:spacing w:val="0"/>
                <w:sz w:val="24"/>
                <w:szCs w:val="24"/>
                <w:highlight w:val="none"/>
                <w:lang w:eastAsia="zh-CN"/>
              </w:rPr>
              <w:t>（</w:t>
            </w:r>
            <w:r>
              <w:rPr>
                <w:rFonts w:hint="eastAsia" w:ascii="Times New Roman" w:hAnsi="Times New Roman" w:cs="Times New Roman"/>
                <w:color w:val="auto"/>
                <w:spacing w:val="0"/>
                <w:sz w:val="24"/>
                <w:szCs w:val="24"/>
                <w:highlight w:val="none"/>
                <w:lang w:val="en-US" w:eastAsia="zh-CN"/>
              </w:rPr>
              <w:t>10</w:t>
            </w:r>
            <w:r>
              <w:rPr>
                <w:rFonts w:hint="eastAsia" w:ascii="Times New Roman" w:hAnsi="Times New Roman"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不相容的危险废物不能堆放在一起。</w:t>
            </w:r>
          </w:p>
          <w:p>
            <w:pPr>
              <w:pStyle w:val="47"/>
              <w:keepNext w:val="0"/>
              <w:keepLines w:val="0"/>
              <w:pageBreakBefore w:val="0"/>
              <w:widowControl w:val="0"/>
              <w:kinsoku/>
              <w:wordWrap w:val="0"/>
              <w:overflowPunct/>
              <w:topLinePunct w:val="0"/>
              <w:autoSpaceDE/>
              <w:autoSpaceDN/>
              <w:bidi w:val="0"/>
              <w:adjustRightInd/>
              <w:snapToGrid/>
              <w:spacing w:line="520" w:lineRule="exact"/>
              <w:ind w:left="0" w:leftChars="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pPr>
              <w:pStyle w:val="47"/>
              <w:keepNext w:val="0"/>
              <w:keepLines w:val="0"/>
              <w:pageBreakBefore w:val="0"/>
              <w:kinsoku/>
              <w:wordWrap w:val="0"/>
              <w:overflowPunct/>
              <w:topLinePunct w:val="0"/>
              <w:autoSpaceDE/>
              <w:autoSpaceDN/>
              <w:bidi w:val="0"/>
              <w:adjustRightInd/>
              <w:spacing w:line="520" w:lineRule="exact"/>
              <w:ind w:right="0"/>
              <w:jc w:val="both"/>
              <w:textAlignment w:val="auto"/>
              <w:rPr>
                <w:rFonts w:hint="default" w:ascii="Times New Roman" w:hAnsi="Times New Roman" w:eastAsia="宋体" w:cs="Times New Roman"/>
                <w:b/>
                <w:bCs/>
                <w:color w:val="auto"/>
                <w:spacing w:val="0"/>
                <w:sz w:val="24"/>
                <w:szCs w:val="24"/>
                <w:highlight w:val="none"/>
              </w:rPr>
            </w:pPr>
            <w:r>
              <w:rPr>
                <w:rFonts w:hint="eastAsia" w:ascii="Times New Roman" w:hAnsi="Times New Roman" w:cs="Times New Roman"/>
                <w:b/>
                <w:bCs/>
                <w:color w:val="auto"/>
                <w:spacing w:val="0"/>
                <w:sz w:val="24"/>
                <w:szCs w:val="24"/>
                <w:highlight w:val="none"/>
                <w:lang w:val="en-US" w:eastAsia="zh-CN"/>
              </w:rPr>
              <w:t>4</w:t>
            </w:r>
            <w:r>
              <w:rPr>
                <w:rFonts w:hint="default" w:ascii="Times New Roman" w:hAnsi="Times New Roman" w:eastAsia="宋体" w:cs="Times New Roman"/>
                <w:b/>
                <w:bCs/>
                <w:color w:val="auto"/>
                <w:spacing w:val="0"/>
                <w:sz w:val="24"/>
                <w:szCs w:val="24"/>
                <w:highlight w:val="none"/>
              </w:rPr>
              <w:t>.</w:t>
            </w:r>
            <w:r>
              <w:rPr>
                <w:rFonts w:hint="eastAsia" w:ascii="Times New Roman" w:hAnsi="Times New Roman" w:eastAsia="宋体" w:cs="Times New Roman"/>
                <w:b/>
                <w:bCs/>
                <w:color w:val="auto"/>
                <w:spacing w:val="0"/>
                <w:sz w:val="24"/>
                <w:szCs w:val="24"/>
                <w:highlight w:val="none"/>
                <w:lang w:val="en-US" w:eastAsia="zh-CN"/>
              </w:rPr>
              <w:t xml:space="preserve">6 </w:t>
            </w:r>
            <w:r>
              <w:rPr>
                <w:rFonts w:hint="default" w:ascii="Times New Roman" w:hAnsi="Times New Roman" w:eastAsia="宋体" w:cs="Times New Roman"/>
                <w:b/>
                <w:bCs/>
                <w:color w:val="auto"/>
                <w:spacing w:val="0"/>
                <w:sz w:val="24"/>
                <w:szCs w:val="24"/>
                <w:highlight w:val="none"/>
              </w:rPr>
              <w:t>危险废物贮存要求</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危险废物的转移和处理必须按照国家危险废弃物管理的规定，严格遵守《危险废物转移联单管理办法》执行。危险废物贮存必须按照《危险废物贮存污染控制标准》（GB18597-</w:t>
            </w:r>
            <w:r>
              <w:rPr>
                <w:rFonts w:hint="eastAsia" w:ascii="Times New Roman" w:hAnsi="Times New Roman" w:eastAsia="宋体" w:cs="Times New Roman"/>
                <w:color w:val="auto"/>
                <w:spacing w:val="0"/>
                <w:sz w:val="24"/>
                <w:szCs w:val="24"/>
                <w:highlight w:val="none"/>
                <w:lang w:val="en-US" w:eastAsia="zh-CN"/>
              </w:rPr>
              <w:t>2023</w:t>
            </w:r>
            <w:r>
              <w:rPr>
                <w:rFonts w:hint="default" w:ascii="Times New Roman" w:hAnsi="Times New Roman" w:eastAsia="宋体" w:cs="Times New Roman"/>
                <w:color w:val="auto"/>
                <w:spacing w:val="0"/>
                <w:sz w:val="24"/>
                <w:szCs w:val="24"/>
                <w:highlight w:val="none"/>
              </w:rPr>
              <w:t>）的规定进行，具体要求如下：</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①危险废物贮存设施必须按照规定设置警示标志；</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②危险废物贮存设施周围应设置围栏或其它防护措施；</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③危险废物贮存设施应配备通讯设备、照明设施、安全防护服装及工具，并设有应急防护设施；</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④危险废物贮存设施内清理出来的泄漏物，一律按危险废物处理；</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⑤危险废物盛放容器要有识别标志、密闭加盖，必须分类储存、禁止混放；</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⑥装载液体、半固体的危险废物的容器内需留足够的空间，容器顶部与液体需留有100mm的空间；</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⑦危险废物贮存设施必须由专人管理，其他人未经允许不得进入库内，危险废物管理人员定期检查危险废物储存容器是否有渗漏，如发现应及时采取措施更换；</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⑧产生的危险废物每次送危险废物贮存设施要进行登记，并</w:t>
            </w:r>
            <w:r>
              <w:rPr>
                <w:rFonts w:hint="eastAsia" w:ascii="Times New Roman" w:hAnsi="Times New Roman" w:cs="Times New Roman"/>
                <w:color w:val="auto"/>
                <w:spacing w:val="0"/>
                <w:sz w:val="24"/>
                <w:szCs w:val="24"/>
                <w:highlight w:val="none"/>
                <w:lang w:eastAsia="zh-CN"/>
              </w:rPr>
              <w:t>做好</w:t>
            </w:r>
            <w:r>
              <w:rPr>
                <w:rFonts w:hint="default" w:ascii="Times New Roman" w:hAnsi="Times New Roman" w:eastAsia="宋体" w:cs="Times New Roman"/>
                <w:color w:val="auto"/>
                <w:spacing w:val="0"/>
                <w:sz w:val="24"/>
                <w:szCs w:val="24"/>
                <w:highlight w:val="none"/>
              </w:rPr>
              <w:t>记录保存完好，每月汇总一次；</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⑨危险废物贮存设施内的危险废物应分类登记存放、禁止混放。</w:t>
            </w:r>
          </w:p>
          <w:p>
            <w:pPr>
              <w:pStyle w:val="47"/>
              <w:keepNext w:val="0"/>
              <w:keepLines w:val="0"/>
              <w:pageBreakBefore w:val="0"/>
              <w:kinsoku/>
              <w:wordWrap w:val="0"/>
              <w:overflowPunct/>
              <w:topLinePunct w:val="0"/>
              <w:autoSpaceDE/>
              <w:autoSpaceDN/>
              <w:bidi w:val="0"/>
              <w:adjustRightInd/>
              <w:spacing w:line="520" w:lineRule="exact"/>
              <w:ind w:left="0" w:right="0" w:firstLine="480" w:firstLineChars="200"/>
              <w:jc w:val="both"/>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通过以上措施处置，项目所产生的固废可达到100%处置率，对区域环境影响不大。</w:t>
            </w:r>
          </w:p>
          <w:p>
            <w:pPr>
              <w:keepNext w:val="0"/>
              <w:keepLines w:val="0"/>
              <w:pageBreakBefore w:val="0"/>
              <w:widowControl w:val="0"/>
              <w:kinsoku/>
              <w:wordWrap w:val="0"/>
              <w:overflowPunct/>
              <w:topLinePunct w:val="0"/>
              <w:autoSpaceDE/>
              <w:autoSpaceDN/>
              <w:bidi w:val="0"/>
              <w:adjustRightInd/>
              <w:snapToGrid/>
              <w:spacing w:line="520" w:lineRule="exact"/>
              <w:jc w:val="both"/>
              <w:textAlignment w:val="auto"/>
              <w:rPr>
                <w:b/>
                <w:bCs/>
                <w:color w:val="auto"/>
                <w:sz w:val="24"/>
                <w:szCs w:val="32"/>
                <w:highlight w:val="none"/>
              </w:rPr>
            </w:pPr>
            <w:r>
              <w:rPr>
                <w:rFonts w:hint="eastAsia" w:ascii="Times New Roman" w:hAnsi="Times New Roman" w:cs="Times New Roman"/>
                <w:b/>
                <w:bCs/>
                <w:color w:val="auto"/>
                <w:spacing w:val="0"/>
                <w:sz w:val="24"/>
                <w:szCs w:val="24"/>
                <w:highlight w:val="none"/>
                <w:lang w:val="en-US" w:eastAsia="zh-CN"/>
              </w:rPr>
              <w:t xml:space="preserve">4.7 </w:t>
            </w:r>
            <w:r>
              <w:rPr>
                <w:rFonts w:hint="eastAsia"/>
                <w:b/>
                <w:bCs/>
                <w:color w:val="auto"/>
                <w:sz w:val="24"/>
                <w:szCs w:val="32"/>
                <w:highlight w:val="none"/>
                <w:lang w:val="en-US" w:eastAsia="zh-CN"/>
              </w:rPr>
              <w:t>危险废物管理要求</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1</w:t>
            </w:r>
            <w:r>
              <w:rPr>
                <w:rFonts w:hint="eastAsia"/>
                <w:color w:val="auto"/>
                <w:sz w:val="24"/>
                <w:szCs w:val="32"/>
                <w:highlight w:val="none"/>
                <w:lang w:val="en-US" w:eastAsia="zh-CN"/>
              </w:rPr>
              <w:t>）危险废物的产生与收集</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eastAsia"/>
                <w:color w:val="auto"/>
                <w:sz w:val="24"/>
                <w:szCs w:val="32"/>
                <w:highlight w:val="none"/>
                <w:lang w:eastAsia="zh-CN"/>
              </w:rPr>
            </w:pPr>
            <w:r>
              <w:rPr>
                <w:rFonts w:hint="default"/>
                <w:color w:val="auto"/>
                <w:sz w:val="24"/>
                <w:szCs w:val="32"/>
                <w:highlight w:val="none"/>
                <w:lang w:val="en-US" w:eastAsia="zh-CN"/>
              </w:rPr>
              <w:t>危险废物在收集时，按《</w:t>
            </w:r>
            <w:r>
              <w:rPr>
                <w:rFonts w:hint="eastAsia"/>
                <w:color w:val="auto"/>
                <w:sz w:val="24"/>
                <w:szCs w:val="32"/>
                <w:highlight w:val="none"/>
                <w:lang w:val="en-US" w:eastAsia="zh-CN"/>
              </w:rPr>
              <w:t>危险废物收集贮存运输技术规范</w:t>
            </w:r>
            <w:r>
              <w:rPr>
                <w:rFonts w:hint="default"/>
                <w:color w:val="auto"/>
                <w:sz w:val="24"/>
                <w:szCs w:val="32"/>
                <w:highlight w:val="none"/>
                <w:lang w:val="en-US" w:eastAsia="zh-CN"/>
              </w:rPr>
              <w:t>》</w:t>
            </w:r>
            <w:r>
              <w:rPr>
                <w:rFonts w:hint="default"/>
                <w:color w:val="auto"/>
                <w:sz w:val="24"/>
                <w:szCs w:val="32"/>
                <w:highlight w:val="none"/>
                <w:lang w:val="en-US" w:eastAsia="en-US"/>
              </w:rPr>
              <w:t>（HJ</w:t>
            </w:r>
            <w:r>
              <w:rPr>
                <w:rFonts w:hint="default" w:ascii="Times New Roman" w:hAnsi="Times New Roman"/>
                <w:color w:val="auto"/>
                <w:sz w:val="24"/>
                <w:szCs w:val="32"/>
                <w:highlight w:val="none"/>
                <w:lang w:val="en-US" w:eastAsia="en-US"/>
              </w:rPr>
              <w:t>2025</w:t>
            </w:r>
            <w:r>
              <w:rPr>
                <w:rFonts w:hint="default"/>
                <w:color w:val="auto"/>
                <w:sz w:val="24"/>
                <w:szCs w:val="32"/>
                <w:highlight w:val="none"/>
                <w:lang w:val="en-US" w:eastAsia="en-US"/>
              </w:rPr>
              <w:t>-</w:t>
            </w:r>
            <w:r>
              <w:rPr>
                <w:rFonts w:hint="default" w:ascii="Times New Roman" w:hAnsi="Times New Roman"/>
                <w:color w:val="auto"/>
                <w:sz w:val="24"/>
                <w:szCs w:val="32"/>
                <w:highlight w:val="none"/>
                <w:lang w:val="en-US" w:eastAsia="en-US"/>
              </w:rPr>
              <w:t>2012</w:t>
            </w:r>
            <w:r>
              <w:rPr>
                <w:rFonts w:hint="default"/>
                <w:color w:val="auto"/>
                <w:sz w:val="24"/>
                <w:szCs w:val="32"/>
                <w:highlight w:val="none"/>
                <w:lang w:val="en-US" w:eastAsia="en-US"/>
              </w:rPr>
              <w:t>）</w:t>
            </w:r>
            <w:r>
              <w:rPr>
                <w:rFonts w:hint="default"/>
                <w:color w:val="auto"/>
                <w:sz w:val="24"/>
                <w:szCs w:val="32"/>
                <w:highlight w:val="none"/>
                <w:lang w:val="en-US" w:eastAsia="zh-CN"/>
              </w:rPr>
              <w:t>要求，根据危险废物的性质和形态，采用相应材质、容器进行安全包装，并在包装的明显位置附上危险废物标签。通过严格检查，严防在装载、搬迁或运输中出现渗漏、溢出、抛洒或挥发等不利情况。</w:t>
            </w:r>
            <w:r>
              <w:rPr>
                <w:rFonts w:hint="default"/>
                <w:color w:val="auto"/>
                <w:sz w:val="24"/>
                <w:szCs w:val="32"/>
                <w:highlight w:val="none"/>
              </w:rPr>
              <w:t>危险废物的收集过程应该以无害化的方式运行，收集过程采取以下防治措施，避免可能引起人身和环境危害事故的发生</w:t>
            </w:r>
            <w:r>
              <w:rPr>
                <w:rFonts w:hint="eastAsia"/>
                <w:color w:val="auto"/>
                <w:sz w:val="24"/>
                <w:szCs w:val="32"/>
                <w:highlight w:val="none"/>
                <w:lang w:eastAsia="zh-CN"/>
              </w:rPr>
              <w:t>：</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1</w:t>
            </w:r>
            <w:r>
              <w:rPr>
                <w:rFonts w:hint="eastAsia"/>
                <w:color w:val="auto"/>
                <w:sz w:val="24"/>
                <w:szCs w:val="32"/>
                <w:highlight w:val="none"/>
                <w:lang w:val="en-US" w:eastAsia="zh-CN"/>
              </w:rPr>
              <w:t>.</w:t>
            </w:r>
            <w:r>
              <w:rPr>
                <w:rFonts w:hint="default"/>
                <w:color w:val="auto"/>
                <w:sz w:val="24"/>
                <w:szCs w:val="32"/>
                <w:highlight w:val="none"/>
              </w:rPr>
              <w:t>危险废物收集和运输人员应配备必要的个人防护装备，如手套、防护镜、防护服、防毒面具或</w:t>
            </w:r>
            <w:r>
              <w:rPr>
                <w:rFonts w:hint="eastAsia"/>
                <w:color w:val="auto"/>
                <w:sz w:val="24"/>
                <w:szCs w:val="32"/>
                <w:highlight w:val="none"/>
                <w:lang w:val="en-US" w:eastAsia="zh-CN"/>
              </w:rPr>
              <w:t>口罩</w:t>
            </w:r>
            <w:r>
              <w:rPr>
                <w:rFonts w:hint="default"/>
                <w:color w:val="auto"/>
                <w:sz w:val="24"/>
                <w:szCs w:val="32"/>
                <w:highlight w:val="none"/>
              </w:rPr>
              <w:t>等，防止收集和运输过程对人体健康可能存在的潜在影响；</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2</w:t>
            </w:r>
            <w:r>
              <w:rPr>
                <w:rFonts w:hint="eastAsia"/>
                <w:color w:val="auto"/>
                <w:sz w:val="24"/>
                <w:szCs w:val="32"/>
                <w:highlight w:val="none"/>
                <w:lang w:val="en-US" w:eastAsia="zh-CN"/>
              </w:rPr>
              <w:t>.</w:t>
            </w:r>
            <w:r>
              <w:rPr>
                <w:rFonts w:hint="default"/>
                <w:color w:val="auto"/>
                <w:sz w:val="24"/>
                <w:szCs w:val="32"/>
                <w:highlight w:val="none"/>
              </w:rPr>
              <w:t>危险废物运输前，应进行合理包装，防止运输过程出现泄漏；</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ascii="Times New Roman" w:hAnsi="Times New Roman"/>
                <w:color w:val="auto"/>
                <w:sz w:val="24"/>
                <w:szCs w:val="32"/>
                <w:highlight w:val="none"/>
                <w:lang w:val="en-US" w:eastAsia="zh-CN"/>
              </w:rPr>
              <w:t>3</w:t>
            </w:r>
            <w:r>
              <w:rPr>
                <w:rFonts w:hint="eastAsia"/>
                <w:color w:val="auto"/>
                <w:sz w:val="24"/>
                <w:szCs w:val="32"/>
                <w:highlight w:val="none"/>
                <w:lang w:val="en-US" w:eastAsia="zh-CN"/>
              </w:rPr>
              <w:t>.</w:t>
            </w:r>
            <w:r>
              <w:rPr>
                <w:rFonts w:hint="default"/>
                <w:color w:val="auto"/>
                <w:sz w:val="24"/>
                <w:szCs w:val="32"/>
                <w:highlight w:val="none"/>
              </w:rPr>
              <w:t>废矿物油有渗漏或泄漏的，其渗漏或泄漏液应储存在密闭的、与危废相容的容器中。</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rPr>
              <w:t>危废在堆存期间必须严格按照《危险废物贮存污染控制标准》（GB</w:t>
            </w:r>
            <w:r>
              <w:rPr>
                <w:rFonts w:hint="default" w:ascii="Times New Roman" w:hAnsi="Times New Roman"/>
                <w:color w:val="auto"/>
                <w:sz w:val="24"/>
                <w:szCs w:val="32"/>
                <w:highlight w:val="none"/>
              </w:rPr>
              <w:t>18597</w:t>
            </w:r>
            <w:r>
              <w:rPr>
                <w:rFonts w:hint="default"/>
                <w:color w:val="auto"/>
                <w:sz w:val="24"/>
                <w:szCs w:val="32"/>
                <w:highlight w:val="none"/>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rPr>
              <w:t>）有关规定执行，将危险废物通过专用容器分类收集，贴上危险废物的标签，于项目所设置的危险废物暂存间内独立存放。危险废物收集容器材质和衬里必须与危险废物相容，危险废物暂存库地面要求渗透系数应满足≤</w:t>
            </w:r>
            <w:r>
              <w:rPr>
                <w:rFonts w:hint="default" w:ascii="Times New Roman" w:hAnsi="Times New Roman"/>
                <w:color w:val="auto"/>
                <w:sz w:val="24"/>
                <w:szCs w:val="32"/>
                <w:highlight w:val="none"/>
              </w:rPr>
              <w:t>1</w:t>
            </w:r>
            <w:r>
              <w:rPr>
                <w:rFonts w:hint="default"/>
                <w:color w:val="auto"/>
                <w:sz w:val="24"/>
                <w:szCs w:val="32"/>
                <w:highlight w:val="none"/>
              </w:rPr>
              <w:t>×</w:t>
            </w:r>
            <w:r>
              <w:rPr>
                <w:rFonts w:hint="default" w:ascii="Times New Roman" w:hAnsi="Times New Roman"/>
                <w:color w:val="auto"/>
                <w:sz w:val="24"/>
                <w:szCs w:val="32"/>
                <w:highlight w:val="none"/>
              </w:rPr>
              <w:t>10</w:t>
            </w:r>
            <w:r>
              <w:rPr>
                <w:rFonts w:hint="default"/>
                <w:color w:val="auto"/>
                <w:sz w:val="24"/>
                <w:szCs w:val="32"/>
                <w:highlight w:val="none"/>
                <w:vertAlign w:val="superscript"/>
              </w:rPr>
              <w:t>-</w:t>
            </w:r>
            <w:r>
              <w:rPr>
                <w:rFonts w:hint="default" w:ascii="Times New Roman" w:hAnsi="Times New Roman"/>
                <w:color w:val="auto"/>
                <w:sz w:val="24"/>
                <w:szCs w:val="32"/>
                <w:highlight w:val="none"/>
                <w:vertAlign w:val="superscript"/>
              </w:rPr>
              <w:t>10</w:t>
            </w:r>
            <w:r>
              <w:rPr>
                <w:rFonts w:hint="default"/>
                <w:color w:val="auto"/>
                <w:sz w:val="24"/>
                <w:szCs w:val="32"/>
                <w:highlight w:val="none"/>
              </w:rPr>
              <w:t>cm/s。危废应填写《危险废弃物</w:t>
            </w:r>
            <w:r>
              <w:rPr>
                <w:rFonts w:hint="eastAsia"/>
                <w:color w:val="auto"/>
                <w:sz w:val="24"/>
                <w:szCs w:val="32"/>
                <w:highlight w:val="none"/>
                <w:lang w:val="en-US" w:eastAsia="zh-CN"/>
              </w:rPr>
              <w:t>贮存环节记录表</w:t>
            </w:r>
            <w:r>
              <w:rPr>
                <w:rFonts w:hint="default"/>
                <w:color w:val="auto"/>
                <w:sz w:val="24"/>
                <w:szCs w:val="32"/>
                <w:highlight w:val="none"/>
              </w:rPr>
              <w:t>》，严格按照《危险废物贮存污染控制标准》（GB</w:t>
            </w:r>
            <w:r>
              <w:rPr>
                <w:rFonts w:hint="default" w:ascii="Times New Roman" w:hAnsi="Times New Roman"/>
                <w:color w:val="auto"/>
                <w:sz w:val="24"/>
                <w:szCs w:val="32"/>
                <w:highlight w:val="none"/>
              </w:rPr>
              <w:t>18597</w:t>
            </w:r>
            <w:r>
              <w:rPr>
                <w:rFonts w:hint="default"/>
                <w:color w:val="auto"/>
                <w:sz w:val="24"/>
                <w:szCs w:val="32"/>
                <w:highlight w:val="none"/>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rPr>
              <w:t>）中要求执行。按照危险废物特性分类进行收集，按种类分别存放，且不同废物间有明显间隔。</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）危险废物的贮存</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①</w:t>
            </w:r>
            <w:r>
              <w:rPr>
                <w:rFonts w:hint="eastAsia"/>
                <w:color w:val="auto"/>
                <w:sz w:val="24"/>
                <w:szCs w:val="32"/>
                <w:highlight w:val="none"/>
                <w:lang w:val="en-US" w:eastAsia="zh-CN"/>
              </w:rPr>
              <w:t>本</w:t>
            </w:r>
            <w:r>
              <w:rPr>
                <w:rFonts w:hint="default"/>
                <w:color w:val="auto"/>
                <w:sz w:val="24"/>
                <w:szCs w:val="32"/>
                <w:highlight w:val="none"/>
                <w:lang w:val="en-US" w:eastAsia="zh-CN"/>
              </w:rPr>
              <w:t>项目危废暂存间严格按《危险废物贮存污染控制标准》（GBl</w:t>
            </w:r>
            <w:r>
              <w:rPr>
                <w:rFonts w:hint="default" w:ascii="Times New Roman" w:hAnsi="Times New Roman"/>
                <w:color w:val="auto"/>
                <w:sz w:val="24"/>
                <w:szCs w:val="32"/>
                <w:highlight w:val="none"/>
                <w:lang w:val="en-US" w:eastAsia="zh-CN"/>
              </w:rPr>
              <w:t>8597</w:t>
            </w:r>
            <w:r>
              <w:rPr>
                <w:rFonts w:hint="default"/>
                <w:color w:val="auto"/>
                <w:sz w:val="24"/>
                <w:szCs w:val="32"/>
                <w:highlight w:val="none"/>
                <w:lang w:val="en-US" w:eastAsia="zh-CN"/>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lang w:val="en-US" w:eastAsia="zh-CN"/>
              </w:rPr>
              <w:t>、危险废物的其他相关规定进行设计建设，</w:t>
            </w:r>
            <w:r>
              <w:rPr>
                <w:rFonts w:hint="default"/>
                <w:color w:val="auto"/>
                <w:sz w:val="24"/>
                <w:szCs w:val="32"/>
                <w:highlight w:val="none"/>
              </w:rPr>
              <w:t>做到</w:t>
            </w:r>
            <w:r>
              <w:rPr>
                <w:rFonts w:hint="eastAsia"/>
                <w:color w:val="auto"/>
                <w:sz w:val="24"/>
                <w:szCs w:val="32"/>
                <w:highlight w:val="none"/>
                <w:lang w:eastAsia="zh-CN"/>
              </w:rPr>
              <w:t>“</w:t>
            </w:r>
            <w:r>
              <w:rPr>
                <w:rFonts w:hint="eastAsia"/>
                <w:color w:val="auto"/>
                <w:sz w:val="24"/>
                <w:szCs w:val="32"/>
                <w:highlight w:val="none"/>
                <w:lang w:val="en-US" w:eastAsia="zh-CN"/>
              </w:rPr>
              <w:t>五</w:t>
            </w:r>
            <w:r>
              <w:rPr>
                <w:rFonts w:hint="default"/>
                <w:color w:val="auto"/>
                <w:sz w:val="24"/>
                <w:szCs w:val="32"/>
                <w:highlight w:val="none"/>
              </w:rPr>
              <w:t>防</w:t>
            </w:r>
            <w:r>
              <w:rPr>
                <w:rFonts w:hint="eastAsia"/>
                <w:color w:val="auto"/>
                <w:sz w:val="24"/>
                <w:szCs w:val="32"/>
                <w:highlight w:val="none"/>
                <w:lang w:eastAsia="zh-CN"/>
              </w:rPr>
              <w:t>”</w:t>
            </w:r>
            <w:r>
              <w:rPr>
                <w:rFonts w:hint="default"/>
                <w:color w:val="auto"/>
                <w:sz w:val="24"/>
                <w:szCs w:val="32"/>
                <w:highlight w:val="none"/>
              </w:rPr>
              <w:t>（防风、防雨、防晒、防渗漏</w:t>
            </w:r>
            <w:r>
              <w:rPr>
                <w:rFonts w:hint="eastAsia"/>
                <w:color w:val="auto"/>
                <w:sz w:val="24"/>
                <w:szCs w:val="32"/>
                <w:highlight w:val="none"/>
                <w:lang w:eastAsia="zh-CN"/>
              </w:rPr>
              <w:t>、</w:t>
            </w:r>
            <w:r>
              <w:rPr>
                <w:rFonts w:hint="eastAsia"/>
                <w:color w:val="auto"/>
                <w:sz w:val="24"/>
                <w:szCs w:val="32"/>
                <w:highlight w:val="none"/>
                <w:lang w:val="en-US" w:eastAsia="zh-CN"/>
              </w:rPr>
              <w:t>防腐</w:t>
            </w:r>
            <w:r>
              <w:rPr>
                <w:rFonts w:hint="default"/>
                <w:color w:val="auto"/>
                <w:sz w:val="24"/>
                <w:szCs w:val="32"/>
                <w:highlight w:val="none"/>
              </w:rPr>
              <w:t>），明确防渗措施和渗漏收集措施</w:t>
            </w:r>
            <w:r>
              <w:rPr>
                <w:rFonts w:hint="default"/>
                <w:color w:val="auto"/>
                <w:sz w:val="24"/>
                <w:szCs w:val="32"/>
                <w:highlight w:val="none"/>
                <w:lang w:eastAsia="zh-CN"/>
              </w:rPr>
              <w:t>。</w:t>
            </w:r>
            <w:r>
              <w:rPr>
                <w:rFonts w:hint="default"/>
                <w:color w:val="auto"/>
                <w:sz w:val="24"/>
                <w:szCs w:val="32"/>
                <w:highlight w:val="none"/>
                <w:lang w:val="en-US" w:eastAsia="zh-CN"/>
              </w:rPr>
              <w:t>对地面防腐防渗，基础防渗层为至少</w:t>
            </w:r>
            <w:r>
              <w:rPr>
                <w:rFonts w:hint="default" w:ascii="Times New Roman" w:hAnsi="Times New Roman"/>
                <w:color w:val="auto"/>
                <w:sz w:val="24"/>
                <w:szCs w:val="32"/>
                <w:highlight w:val="none"/>
                <w:lang w:val="en-US" w:eastAsia="zh-CN"/>
              </w:rPr>
              <w:t>1</w:t>
            </w:r>
            <w:r>
              <w:rPr>
                <w:rFonts w:hint="default"/>
                <w:color w:val="auto"/>
                <w:sz w:val="24"/>
                <w:szCs w:val="32"/>
                <w:highlight w:val="none"/>
                <w:lang w:val="en-US" w:eastAsia="zh-CN"/>
              </w:rPr>
              <w:t>m厚粘土层（渗透系数≤</w:t>
            </w:r>
            <w:r>
              <w:rPr>
                <w:rFonts w:hint="default" w:ascii="Times New Roman" w:hAnsi="Times New Roman"/>
                <w:color w:val="auto"/>
                <w:sz w:val="24"/>
                <w:szCs w:val="32"/>
                <w:highlight w:val="none"/>
                <w:lang w:val="en-US" w:eastAsia="zh-CN"/>
              </w:rPr>
              <w:t>10</w:t>
            </w:r>
            <w:r>
              <w:rPr>
                <w:rFonts w:hint="default"/>
                <w:color w:val="auto"/>
                <w:sz w:val="24"/>
                <w:szCs w:val="32"/>
                <w:highlight w:val="none"/>
                <w:vertAlign w:val="superscript"/>
                <w:lang w:val="en-US" w:eastAsia="zh-CN"/>
              </w:rPr>
              <w:t>-</w:t>
            </w:r>
            <w:r>
              <w:rPr>
                <w:rFonts w:hint="default" w:ascii="Times New Roman" w:hAnsi="Times New Roman"/>
                <w:color w:val="auto"/>
                <w:sz w:val="24"/>
                <w:szCs w:val="32"/>
                <w:highlight w:val="none"/>
                <w:vertAlign w:val="superscript"/>
                <w:lang w:val="en-US" w:eastAsia="zh-CN"/>
              </w:rPr>
              <w:t>7</w:t>
            </w:r>
            <w:r>
              <w:rPr>
                <w:rFonts w:hint="default"/>
                <w:color w:val="auto"/>
                <w:sz w:val="24"/>
                <w:szCs w:val="32"/>
                <w:highlight w:val="none"/>
                <w:lang w:val="en-US" w:eastAsia="zh-CN"/>
              </w:rPr>
              <w:t>cm/s）或</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mm厚高密度聚乙烯，或至少</w:t>
            </w:r>
            <w:r>
              <w:rPr>
                <w:rFonts w:hint="default" w:ascii="Times New Roman" w:hAnsi="Times New Roman"/>
                <w:color w:val="auto"/>
                <w:sz w:val="24"/>
                <w:szCs w:val="32"/>
                <w:highlight w:val="none"/>
                <w:lang w:val="en-US" w:eastAsia="zh-CN"/>
              </w:rPr>
              <w:t>2</w:t>
            </w:r>
            <w:r>
              <w:rPr>
                <w:rFonts w:hint="default"/>
                <w:color w:val="auto"/>
                <w:sz w:val="24"/>
                <w:szCs w:val="32"/>
                <w:highlight w:val="none"/>
                <w:lang w:val="en-US" w:eastAsia="zh-CN"/>
              </w:rPr>
              <w:t>mm厚的其他人工材料（渗透系数≤</w:t>
            </w:r>
            <w:r>
              <w:rPr>
                <w:rFonts w:hint="default" w:ascii="Times New Roman" w:hAnsi="Times New Roman"/>
                <w:color w:val="auto"/>
                <w:sz w:val="24"/>
                <w:szCs w:val="32"/>
                <w:highlight w:val="none"/>
                <w:lang w:val="en-US" w:eastAsia="zh-CN"/>
              </w:rPr>
              <w:t>10</w:t>
            </w:r>
            <w:r>
              <w:rPr>
                <w:rFonts w:hint="default"/>
                <w:color w:val="auto"/>
                <w:sz w:val="24"/>
                <w:szCs w:val="32"/>
                <w:highlight w:val="none"/>
                <w:vertAlign w:val="superscript"/>
                <w:lang w:val="en-US" w:eastAsia="zh-CN"/>
              </w:rPr>
              <w:t>-</w:t>
            </w:r>
            <w:r>
              <w:rPr>
                <w:rFonts w:hint="default" w:ascii="Times New Roman" w:hAnsi="Times New Roman"/>
                <w:color w:val="auto"/>
                <w:sz w:val="24"/>
                <w:szCs w:val="32"/>
                <w:highlight w:val="none"/>
                <w:vertAlign w:val="superscript"/>
                <w:lang w:val="en-US" w:eastAsia="zh-CN"/>
              </w:rPr>
              <w:t>10</w:t>
            </w:r>
            <w:r>
              <w:rPr>
                <w:rFonts w:hint="default"/>
                <w:color w:val="auto"/>
                <w:sz w:val="24"/>
                <w:szCs w:val="32"/>
                <w:highlight w:val="none"/>
                <w:lang w:val="en-US" w:eastAsia="zh-CN"/>
              </w:rPr>
              <w:t>cm/s）。设有围堰、应急事故池等可收集</w:t>
            </w:r>
            <w:r>
              <w:rPr>
                <w:rFonts w:hint="eastAsia"/>
                <w:color w:val="auto"/>
                <w:sz w:val="24"/>
                <w:szCs w:val="32"/>
                <w:highlight w:val="none"/>
                <w:lang w:val="en-US" w:eastAsia="zh-CN"/>
              </w:rPr>
              <w:t>泄漏</w:t>
            </w:r>
            <w:r>
              <w:rPr>
                <w:rFonts w:hint="default"/>
                <w:color w:val="auto"/>
                <w:sz w:val="24"/>
                <w:szCs w:val="32"/>
                <w:highlight w:val="none"/>
                <w:lang w:val="en-US" w:eastAsia="zh-CN"/>
              </w:rPr>
              <w:t>的液态危险废物。</w:t>
            </w:r>
          </w:p>
          <w:p>
            <w:pPr>
              <w:keepNext w:val="0"/>
              <w:keepLines w:val="0"/>
              <w:pageBreakBefore w:val="0"/>
              <w:widowControl w:val="0"/>
              <w:tabs>
                <w:tab w:val="left" w:pos="195"/>
              </w:tabs>
              <w:kinsoku/>
              <w:wordWrap w:val="0"/>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②危险废物单独分类收集、存放管理</w:t>
            </w:r>
            <w:r>
              <w:rPr>
                <w:rFonts w:hint="eastAsia"/>
                <w:color w:val="auto"/>
                <w:sz w:val="24"/>
                <w:szCs w:val="32"/>
                <w:highlight w:val="none"/>
                <w:lang w:eastAsia="zh-CN"/>
              </w:rPr>
              <w:t>。</w:t>
            </w:r>
            <w:r>
              <w:rPr>
                <w:rFonts w:hint="eastAsia"/>
                <w:color w:val="auto"/>
                <w:sz w:val="24"/>
                <w:szCs w:val="32"/>
                <w:highlight w:val="none"/>
                <w:lang w:val="en-US" w:eastAsia="zh-CN"/>
              </w:rPr>
              <w:t>废矿物油用专用标准铁桶贮存；</w:t>
            </w:r>
            <w:r>
              <w:rPr>
                <w:rFonts w:hint="default"/>
                <w:color w:val="auto"/>
                <w:sz w:val="24"/>
                <w:szCs w:val="32"/>
                <w:highlight w:val="none"/>
                <w:lang w:val="en-US" w:eastAsia="zh-CN"/>
              </w:rPr>
              <w:t>对危险废物的容器或包装物以及收集、贮存、运输危险废物的设施、场所，必须设置危险废物醒目的警示标志。</w:t>
            </w:r>
            <w:r>
              <w:rPr>
                <w:rFonts w:hint="default"/>
                <w:color w:val="auto"/>
                <w:sz w:val="24"/>
                <w:szCs w:val="32"/>
                <w:highlight w:val="none"/>
              </w:rPr>
              <w:t>危险废物盛装容器上粘贴清晰易辨的标签，储罐上应粘贴</w:t>
            </w:r>
            <w:r>
              <w:rPr>
                <w:rFonts w:hint="eastAsia"/>
                <w:color w:val="auto"/>
                <w:sz w:val="24"/>
                <w:szCs w:val="32"/>
                <w:highlight w:val="none"/>
                <w:lang w:val="en-US" w:eastAsia="zh-CN"/>
              </w:rPr>
              <w:t>危险废物标识</w:t>
            </w:r>
            <w:r>
              <w:rPr>
                <w:rFonts w:hint="default"/>
                <w:color w:val="auto"/>
                <w:sz w:val="24"/>
                <w:szCs w:val="32"/>
                <w:highlight w:val="none"/>
              </w:rPr>
              <w:t>标签，并注明危险废物的来源、数量等；</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③对危险废物的出入流动做好记录；</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④不同类危险废物容器之间留有间隔和搬运通道；</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⑤配备消防设备和报警装置。</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3</w:t>
            </w:r>
            <w:r>
              <w:rPr>
                <w:rFonts w:hint="eastAsia"/>
                <w:color w:val="auto"/>
                <w:sz w:val="24"/>
                <w:szCs w:val="32"/>
                <w:highlight w:val="none"/>
                <w:lang w:val="en-US" w:eastAsia="zh-CN"/>
              </w:rPr>
              <w:t>）危险废物的转移及运输</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厂内转移均在</w:t>
            </w:r>
            <w:r>
              <w:rPr>
                <w:rFonts w:hint="eastAsia"/>
                <w:color w:val="auto"/>
                <w:sz w:val="24"/>
                <w:szCs w:val="32"/>
                <w:highlight w:val="none"/>
                <w:lang w:val="en-US" w:eastAsia="zh-CN"/>
              </w:rPr>
              <w:t>危废</w:t>
            </w:r>
            <w:r>
              <w:rPr>
                <w:rFonts w:hint="default"/>
                <w:color w:val="auto"/>
                <w:sz w:val="24"/>
                <w:szCs w:val="32"/>
                <w:highlight w:val="none"/>
                <w:lang w:val="en-US" w:eastAsia="zh-CN"/>
              </w:rPr>
              <w:t>暂存间内部进行，且暂存间地面防腐防渗，设有围堰、应急事故池等可收集</w:t>
            </w:r>
            <w:r>
              <w:rPr>
                <w:rFonts w:hint="eastAsia"/>
                <w:color w:val="auto"/>
                <w:sz w:val="24"/>
                <w:szCs w:val="32"/>
                <w:highlight w:val="none"/>
                <w:lang w:val="en-US" w:eastAsia="zh-CN"/>
              </w:rPr>
              <w:t>泄漏</w:t>
            </w:r>
            <w:r>
              <w:rPr>
                <w:rFonts w:hint="default"/>
                <w:color w:val="auto"/>
                <w:sz w:val="24"/>
                <w:szCs w:val="32"/>
                <w:highlight w:val="none"/>
                <w:lang w:val="en-US" w:eastAsia="zh-CN"/>
              </w:rPr>
              <w:t>的液态危险废物，场内转移运输过程对环境影响不大</w:t>
            </w:r>
            <w:r>
              <w:rPr>
                <w:rFonts w:hint="eastAsia"/>
                <w:color w:val="auto"/>
                <w:sz w:val="24"/>
                <w:szCs w:val="32"/>
                <w:highlight w:val="none"/>
                <w:lang w:val="en-US" w:eastAsia="zh-CN"/>
              </w:rPr>
              <w:t>。</w:t>
            </w:r>
            <w:r>
              <w:rPr>
                <w:rFonts w:hint="default"/>
                <w:color w:val="auto"/>
                <w:sz w:val="24"/>
                <w:szCs w:val="32"/>
                <w:highlight w:val="none"/>
                <w:lang w:val="en-US" w:eastAsia="zh-CN"/>
              </w:rPr>
              <w:t>危险废物自暂存间外运</w:t>
            </w:r>
            <w:r>
              <w:rPr>
                <w:rFonts w:hint="eastAsia"/>
                <w:color w:val="auto"/>
                <w:sz w:val="24"/>
                <w:szCs w:val="32"/>
                <w:highlight w:val="none"/>
                <w:lang w:val="en-US" w:eastAsia="zh-CN"/>
              </w:rPr>
              <w:t>至</w:t>
            </w:r>
            <w:r>
              <w:rPr>
                <w:rFonts w:hint="default"/>
                <w:color w:val="auto"/>
                <w:sz w:val="24"/>
                <w:szCs w:val="32"/>
                <w:highlight w:val="none"/>
                <w:lang w:val="en-US" w:eastAsia="zh-CN"/>
              </w:rPr>
              <w:t>有危废处置资质</w:t>
            </w:r>
            <w:r>
              <w:rPr>
                <w:rFonts w:hint="eastAsia"/>
                <w:color w:val="auto"/>
                <w:sz w:val="24"/>
                <w:szCs w:val="32"/>
                <w:highlight w:val="none"/>
                <w:lang w:val="en-US" w:eastAsia="zh-CN"/>
              </w:rPr>
              <w:t>的</w:t>
            </w:r>
            <w:r>
              <w:rPr>
                <w:rFonts w:hint="default"/>
                <w:color w:val="auto"/>
                <w:sz w:val="24"/>
                <w:szCs w:val="32"/>
                <w:highlight w:val="none"/>
                <w:lang w:val="en-US" w:eastAsia="zh-CN"/>
              </w:rPr>
              <w:t>单位</w:t>
            </w:r>
            <w:r>
              <w:rPr>
                <w:rFonts w:hint="eastAsia"/>
                <w:color w:val="auto"/>
                <w:sz w:val="24"/>
                <w:szCs w:val="32"/>
                <w:highlight w:val="none"/>
                <w:lang w:val="en-US" w:eastAsia="zh-CN"/>
              </w:rPr>
              <w:t>进行</w:t>
            </w:r>
            <w:r>
              <w:rPr>
                <w:rFonts w:hint="default"/>
                <w:color w:val="auto"/>
                <w:sz w:val="24"/>
                <w:szCs w:val="32"/>
                <w:highlight w:val="none"/>
                <w:lang w:val="en-US" w:eastAsia="zh-CN"/>
              </w:rPr>
              <w:t>处置，</w:t>
            </w:r>
            <w:r>
              <w:rPr>
                <w:rFonts w:hint="eastAsia"/>
                <w:color w:val="auto"/>
                <w:sz w:val="24"/>
                <w:szCs w:val="32"/>
                <w:highlight w:val="none"/>
                <w:lang w:val="en-US" w:eastAsia="zh-CN"/>
              </w:rPr>
              <w:t>整个运输过程由具备危险废物运输资质的运输单位承担</w:t>
            </w:r>
            <w:r>
              <w:rPr>
                <w:rFonts w:hint="default"/>
                <w:color w:val="auto"/>
                <w:sz w:val="24"/>
                <w:szCs w:val="32"/>
                <w:highlight w:val="none"/>
                <w:lang w:val="en-US" w:eastAsia="zh-CN"/>
              </w:rPr>
              <w:t>，</w:t>
            </w:r>
            <w:r>
              <w:rPr>
                <w:rFonts w:hint="eastAsia"/>
                <w:color w:val="auto"/>
                <w:sz w:val="24"/>
                <w:szCs w:val="32"/>
                <w:highlight w:val="none"/>
                <w:lang w:val="en-US" w:eastAsia="zh-CN"/>
              </w:rPr>
              <w:t>危废转</w:t>
            </w:r>
            <w:r>
              <w:rPr>
                <w:rFonts w:hint="default"/>
                <w:color w:val="auto"/>
                <w:sz w:val="24"/>
                <w:szCs w:val="32"/>
                <w:highlight w:val="none"/>
                <w:lang w:val="en-US" w:eastAsia="zh-CN"/>
              </w:rPr>
              <w:t>运过程对环境影响不大。危险废物转移严格按照</w:t>
            </w:r>
            <w:r>
              <w:rPr>
                <w:rFonts w:hint="default"/>
                <w:color w:val="auto"/>
                <w:sz w:val="24"/>
                <w:szCs w:val="32"/>
                <w:highlight w:val="none"/>
              </w:rPr>
              <w:t>《危险废物收集贮存运输技术规范》（HJ</w:t>
            </w:r>
            <w:r>
              <w:rPr>
                <w:rFonts w:hint="default" w:ascii="Times New Roman" w:hAnsi="Times New Roman"/>
                <w:color w:val="auto"/>
                <w:sz w:val="24"/>
                <w:szCs w:val="32"/>
                <w:highlight w:val="none"/>
              </w:rPr>
              <w:t>2025</w:t>
            </w: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2012</w:t>
            </w:r>
            <w:r>
              <w:rPr>
                <w:rFonts w:hint="default"/>
                <w:color w:val="auto"/>
                <w:sz w:val="24"/>
                <w:szCs w:val="32"/>
                <w:highlight w:val="none"/>
              </w:rPr>
              <w:t>）及</w:t>
            </w:r>
            <w:r>
              <w:rPr>
                <w:rFonts w:hint="default"/>
                <w:color w:val="auto"/>
                <w:sz w:val="24"/>
                <w:szCs w:val="32"/>
                <w:highlight w:val="none"/>
                <w:lang w:val="en-US" w:eastAsia="zh-CN"/>
              </w:rPr>
              <w:t>《</w:t>
            </w:r>
            <w:r>
              <w:rPr>
                <w:rFonts w:hint="eastAsia"/>
                <w:color w:val="auto"/>
                <w:sz w:val="24"/>
                <w:szCs w:val="32"/>
                <w:highlight w:val="none"/>
                <w:lang w:val="en-US" w:eastAsia="zh-CN"/>
              </w:rPr>
              <w:t>危险废物转移管理办法</w:t>
            </w:r>
            <w:r>
              <w:rPr>
                <w:rFonts w:hint="default"/>
                <w:color w:val="auto"/>
                <w:sz w:val="24"/>
                <w:szCs w:val="32"/>
                <w:highlight w:val="none"/>
                <w:lang w:val="en-US" w:eastAsia="zh-CN"/>
              </w:rPr>
              <w:t>》（</w:t>
            </w:r>
            <w:r>
              <w:rPr>
                <w:rFonts w:hint="eastAsia"/>
                <w:color w:val="auto"/>
                <w:sz w:val="24"/>
                <w:szCs w:val="32"/>
                <w:highlight w:val="none"/>
                <w:lang w:val="en-US" w:eastAsia="zh-CN"/>
              </w:rPr>
              <w:t>部令 第</w:t>
            </w:r>
            <w:r>
              <w:rPr>
                <w:rFonts w:hint="eastAsia" w:ascii="Times New Roman" w:hAnsi="Times New Roman"/>
                <w:color w:val="auto"/>
                <w:sz w:val="24"/>
                <w:szCs w:val="32"/>
                <w:highlight w:val="none"/>
                <w:lang w:val="en-US" w:eastAsia="zh-CN"/>
              </w:rPr>
              <w:t>23</w:t>
            </w:r>
            <w:r>
              <w:rPr>
                <w:rFonts w:hint="eastAsia"/>
                <w:color w:val="auto"/>
                <w:sz w:val="24"/>
                <w:szCs w:val="32"/>
                <w:highlight w:val="none"/>
                <w:lang w:val="en-US" w:eastAsia="zh-CN"/>
              </w:rPr>
              <w:t>号</w:t>
            </w:r>
            <w:r>
              <w:rPr>
                <w:rFonts w:hint="default"/>
                <w:color w:val="auto"/>
                <w:sz w:val="24"/>
                <w:szCs w:val="32"/>
                <w:highlight w:val="none"/>
                <w:lang w:val="en-US" w:eastAsia="zh-CN"/>
              </w:rPr>
              <w:t>）执行。</w:t>
            </w:r>
            <w:r>
              <w:rPr>
                <w:rFonts w:hint="default"/>
                <w:color w:val="auto"/>
                <w:sz w:val="24"/>
                <w:szCs w:val="32"/>
                <w:highlight w:val="none"/>
              </w:rPr>
              <w:t>危险废物厂区内部转运应综合考虑厂区情况避开办公区，采用专用的工具，内部转运结束后应对转运路线进行检查和清理确保无危险废物遗失在转运路线并进行记录。危险废物公路运输应按照《道路危险货物运输管理规定》（交通部令</w:t>
            </w:r>
            <w:r>
              <w:rPr>
                <w:rFonts w:hint="eastAsia"/>
                <w:color w:val="auto"/>
                <w:sz w:val="24"/>
                <w:szCs w:val="32"/>
                <w:highlight w:val="none"/>
              </w:rPr>
              <w:t>〔</w:t>
            </w:r>
            <w:r>
              <w:rPr>
                <w:rFonts w:hint="default" w:ascii="Times New Roman" w:hAnsi="Times New Roman"/>
                <w:color w:val="auto"/>
                <w:sz w:val="24"/>
                <w:szCs w:val="32"/>
                <w:highlight w:val="none"/>
              </w:rPr>
              <w:t>20</w:t>
            </w:r>
            <w:r>
              <w:rPr>
                <w:rFonts w:hint="eastAsia" w:ascii="Times New Roman" w:hAnsi="Times New Roman"/>
                <w:color w:val="auto"/>
                <w:sz w:val="24"/>
                <w:szCs w:val="32"/>
                <w:highlight w:val="none"/>
                <w:lang w:val="en-US" w:eastAsia="zh-CN"/>
              </w:rPr>
              <w:t>16</w:t>
            </w:r>
            <w:r>
              <w:rPr>
                <w:rFonts w:hint="default"/>
                <w:color w:val="auto"/>
                <w:sz w:val="24"/>
                <w:szCs w:val="32"/>
                <w:highlight w:val="none"/>
              </w:rPr>
              <w:t>年</w:t>
            </w:r>
            <w:r>
              <w:rPr>
                <w:rFonts w:hint="eastAsia"/>
                <w:color w:val="auto"/>
                <w:sz w:val="24"/>
                <w:szCs w:val="32"/>
                <w:highlight w:val="none"/>
              </w:rPr>
              <w:t>〕</w:t>
            </w:r>
            <w:r>
              <w:rPr>
                <w:rFonts w:hint="default"/>
                <w:color w:val="auto"/>
                <w:sz w:val="24"/>
                <w:szCs w:val="32"/>
                <w:highlight w:val="none"/>
              </w:rPr>
              <w:t>第</w:t>
            </w:r>
            <w:r>
              <w:rPr>
                <w:rFonts w:hint="eastAsia" w:ascii="Times New Roman" w:hAnsi="Times New Roman"/>
                <w:color w:val="auto"/>
                <w:sz w:val="24"/>
                <w:szCs w:val="32"/>
                <w:highlight w:val="none"/>
                <w:lang w:val="en-US" w:eastAsia="zh-CN"/>
              </w:rPr>
              <w:t>36</w:t>
            </w:r>
            <w:r>
              <w:rPr>
                <w:rFonts w:hint="default"/>
                <w:color w:val="auto"/>
                <w:sz w:val="24"/>
                <w:szCs w:val="32"/>
                <w:highlight w:val="none"/>
              </w:rPr>
              <w:t>号）执行。</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对于危险废物的运输要求如下：</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①运输危险废物的运输车辆应按</w:t>
            </w:r>
            <w:r>
              <w:rPr>
                <w:rFonts w:hint="eastAsia"/>
                <w:color w:val="auto"/>
                <w:sz w:val="24"/>
                <w:szCs w:val="32"/>
                <w:highlight w:val="none"/>
                <w:lang w:val="en-US" w:eastAsia="zh-CN"/>
              </w:rPr>
              <w:t>《</w:t>
            </w:r>
            <w:r>
              <w:rPr>
                <w:rFonts w:hint="eastAsia"/>
                <w:color w:val="auto"/>
                <w:sz w:val="24"/>
                <w:szCs w:val="32"/>
                <w:highlight w:val="none"/>
              </w:rPr>
              <w:t>道路运输危险货物车辆标志</w:t>
            </w:r>
            <w:r>
              <w:rPr>
                <w:rFonts w:hint="eastAsia"/>
                <w:color w:val="auto"/>
                <w:sz w:val="24"/>
                <w:szCs w:val="32"/>
                <w:highlight w:val="none"/>
                <w:lang w:eastAsia="zh-CN"/>
              </w:rPr>
              <w:t>》（</w:t>
            </w:r>
            <w:r>
              <w:rPr>
                <w:rFonts w:hint="default"/>
                <w:color w:val="auto"/>
                <w:sz w:val="24"/>
                <w:szCs w:val="32"/>
                <w:highlight w:val="none"/>
              </w:rPr>
              <w:t>GB</w:t>
            </w:r>
            <w:r>
              <w:rPr>
                <w:rFonts w:hint="default" w:ascii="Times New Roman" w:hAnsi="Times New Roman"/>
                <w:color w:val="auto"/>
                <w:sz w:val="24"/>
                <w:szCs w:val="32"/>
                <w:highlight w:val="none"/>
              </w:rPr>
              <w:t>13392</w:t>
            </w:r>
            <w:r>
              <w:rPr>
                <w:rFonts w:hint="eastAsia"/>
                <w:color w:val="auto"/>
                <w:sz w:val="24"/>
                <w:szCs w:val="32"/>
                <w:highlight w:val="none"/>
                <w:lang w:val="en-US" w:eastAsia="zh-CN"/>
              </w:rPr>
              <w:t>-</w:t>
            </w:r>
            <w:r>
              <w:rPr>
                <w:rFonts w:hint="eastAsia" w:ascii="Times New Roman" w:hAnsi="Times New Roman"/>
                <w:color w:val="auto"/>
                <w:sz w:val="24"/>
                <w:szCs w:val="32"/>
                <w:highlight w:val="none"/>
                <w:lang w:val="en-US" w:eastAsia="zh-CN"/>
              </w:rPr>
              <w:t>2005</w:t>
            </w:r>
            <w:r>
              <w:rPr>
                <w:rFonts w:hint="eastAsia"/>
                <w:color w:val="auto"/>
                <w:sz w:val="24"/>
                <w:szCs w:val="32"/>
                <w:highlight w:val="none"/>
                <w:lang w:val="en-US" w:eastAsia="zh-CN"/>
              </w:rPr>
              <w:t>）</w:t>
            </w:r>
            <w:r>
              <w:rPr>
                <w:rFonts w:hint="default"/>
                <w:color w:val="auto"/>
                <w:sz w:val="24"/>
                <w:szCs w:val="32"/>
                <w:highlight w:val="none"/>
              </w:rPr>
              <w:t>的规定悬挂相应标志。</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②</w:t>
            </w:r>
            <w:r>
              <w:rPr>
                <w:rFonts w:hint="default"/>
                <w:color w:val="auto"/>
                <w:sz w:val="24"/>
                <w:szCs w:val="32"/>
                <w:highlight w:val="none"/>
                <w:lang w:val="en-US" w:eastAsia="zh-CN"/>
              </w:rPr>
              <w:t>专用车辆应当配备符合有关国家标准以及与所载运的危险货物相适应的应急处理器材和安全防护设备。</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③运输车辆在公路上行驶应持有通行证。其上应证明废物的来源、性质、运往地点，必要时须有单位人员负责押运工作。</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④运输公司应制定详细的运输方案及路线，并制定事故应急预案，配备事故应急及个人防护设备，以保证在收集、运输过程中发生事故时能有效地减少以至防止对环境的污染。</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⑤运输时应采取有效的包装措施，以防止有害成分的泄漏污染。</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rPr>
              <w:t>⑥运输车辆驾驶员和押运人员需持有</w:t>
            </w:r>
            <w:r>
              <w:rPr>
                <w:rFonts w:hint="eastAsia"/>
                <w:color w:val="auto"/>
                <w:sz w:val="24"/>
                <w:szCs w:val="32"/>
                <w:highlight w:val="none"/>
                <w:lang w:eastAsia="zh-CN"/>
              </w:rPr>
              <w:t>“</w:t>
            </w:r>
            <w:r>
              <w:rPr>
                <w:rFonts w:hint="default"/>
                <w:color w:val="auto"/>
                <w:sz w:val="24"/>
                <w:szCs w:val="32"/>
                <w:highlight w:val="none"/>
              </w:rPr>
              <w:t>道路危险货物运输资格证</w:t>
            </w:r>
            <w:r>
              <w:rPr>
                <w:rFonts w:hint="eastAsia"/>
                <w:color w:val="auto"/>
                <w:sz w:val="24"/>
                <w:szCs w:val="32"/>
                <w:highlight w:val="none"/>
                <w:lang w:eastAsia="zh-CN"/>
              </w:rPr>
              <w:t>”，</w:t>
            </w:r>
            <w:r>
              <w:rPr>
                <w:rFonts w:hint="default"/>
                <w:color w:val="auto"/>
                <w:sz w:val="24"/>
                <w:szCs w:val="32"/>
                <w:highlight w:val="none"/>
              </w:rPr>
              <w:t>必须经过危险废物和应急救援方面的培训，包括防火、防泄漏以及应急联络等。</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⑦危险废物禁止混入非危险废物中贮存，禁止与乘客在同一运输工具上载运。</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rPr>
              <w:t>⑧运输路线尽量避开饮用水源保护区及其他特殊敏感区</w:t>
            </w:r>
            <w:r>
              <w:rPr>
                <w:rFonts w:hint="default"/>
                <w:color w:val="auto"/>
                <w:sz w:val="24"/>
                <w:szCs w:val="32"/>
                <w:highlight w:val="none"/>
                <w:lang w:eastAsia="zh-CN"/>
              </w:rPr>
              <w:t>。</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eastAsia="zh-CN"/>
              </w:rPr>
              <w:t>（</w:t>
            </w:r>
            <w:r>
              <w:rPr>
                <w:rFonts w:hint="default" w:ascii="Times New Roman" w:hAnsi="Times New Roman"/>
                <w:color w:val="auto"/>
                <w:sz w:val="24"/>
                <w:szCs w:val="32"/>
                <w:highlight w:val="none"/>
                <w:lang w:val="en-US" w:eastAsia="zh-CN"/>
              </w:rPr>
              <w:t>4</w:t>
            </w:r>
            <w:r>
              <w:rPr>
                <w:rFonts w:hint="default"/>
                <w:color w:val="auto"/>
                <w:sz w:val="24"/>
                <w:szCs w:val="32"/>
                <w:highlight w:val="none"/>
                <w:lang w:val="en-US" w:eastAsia="zh-CN"/>
              </w:rPr>
              <w:t>）</w:t>
            </w:r>
            <w:r>
              <w:rPr>
                <w:rFonts w:hint="default"/>
                <w:color w:val="auto"/>
                <w:sz w:val="24"/>
                <w:szCs w:val="32"/>
                <w:highlight w:val="none"/>
              </w:rPr>
              <w:t>联单制度</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lang w:val="en-US" w:eastAsia="zh-CN"/>
              </w:rPr>
              <w:t>建设单位必须建立危险废物</w:t>
            </w:r>
            <w:r>
              <w:rPr>
                <w:rFonts w:hint="eastAsia"/>
                <w:color w:val="auto"/>
                <w:sz w:val="24"/>
                <w:szCs w:val="24"/>
                <w:highlight w:val="none"/>
                <w:lang w:val="en-US" w:eastAsia="zh-CN"/>
              </w:rPr>
              <w:t>转移联单</w:t>
            </w:r>
            <w:r>
              <w:rPr>
                <w:rFonts w:hint="default"/>
                <w:color w:val="auto"/>
                <w:sz w:val="24"/>
                <w:szCs w:val="24"/>
                <w:highlight w:val="none"/>
                <w:lang w:val="en-US" w:eastAsia="zh-CN"/>
              </w:rPr>
              <w:t>制度，</w:t>
            </w:r>
            <w:r>
              <w:rPr>
                <w:rFonts w:hint="default"/>
                <w:color w:val="auto"/>
                <w:sz w:val="24"/>
                <w:szCs w:val="24"/>
                <w:highlight w:val="none"/>
              </w:rPr>
              <w:t>收集贮存的危险废物应严格按照《</w:t>
            </w:r>
            <w:r>
              <w:rPr>
                <w:rFonts w:hint="eastAsia"/>
                <w:color w:val="auto"/>
                <w:sz w:val="24"/>
                <w:szCs w:val="24"/>
                <w:highlight w:val="none"/>
                <w:lang w:eastAsia="zh-CN"/>
              </w:rPr>
              <w:t>危险废物转移管理办法</w:t>
            </w:r>
            <w:r>
              <w:rPr>
                <w:rFonts w:hint="default"/>
                <w:color w:val="auto"/>
                <w:sz w:val="24"/>
                <w:szCs w:val="24"/>
                <w:highlight w:val="none"/>
              </w:rPr>
              <w:t>》中的有关要求管理，危险废物转移程序如下：</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eastAsia" w:eastAsia="宋体"/>
                <w:color w:val="auto"/>
                <w:sz w:val="24"/>
                <w:szCs w:val="24"/>
                <w:highlight w:val="none"/>
                <w:lang w:eastAsia="zh-CN"/>
              </w:rPr>
            </w:pPr>
            <w:r>
              <w:rPr>
                <w:rFonts w:hint="default"/>
                <w:color w:val="auto"/>
                <w:sz w:val="24"/>
                <w:szCs w:val="24"/>
                <w:highlight w:val="none"/>
              </w:rPr>
              <w:t>①危险废物</w:t>
            </w:r>
            <w:r>
              <w:rPr>
                <w:rFonts w:hint="eastAsia"/>
                <w:color w:val="auto"/>
                <w:sz w:val="24"/>
                <w:szCs w:val="24"/>
                <w:highlight w:val="none"/>
                <w:lang w:eastAsia="zh-CN"/>
              </w:rPr>
              <w:t>转移联单</w:t>
            </w:r>
            <w:r>
              <w:rPr>
                <w:rFonts w:hint="default"/>
                <w:color w:val="auto"/>
                <w:sz w:val="24"/>
                <w:szCs w:val="24"/>
                <w:highlight w:val="none"/>
              </w:rPr>
              <w:t>应当根据危险废物管理计划中填报的危险废物转移等备案信息填写、运行</w:t>
            </w:r>
            <w:r>
              <w:rPr>
                <w:rFonts w:hint="eastAsia"/>
                <w:color w:val="auto"/>
                <w:sz w:val="24"/>
                <w:szCs w:val="24"/>
                <w:highlight w:val="none"/>
                <w:lang w:eastAsia="zh-CN"/>
              </w:rPr>
              <w:t>。</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②采用联运方式转移危险废物的，前一承运人和后一承运人应当明确运输交接的时间和地点。后一承运人应当核实危险废物</w:t>
            </w:r>
            <w:r>
              <w:rPr>
                <w:rFonts w:hint="eastAsia"/>
                <w:color w:val="auto"/>
                <w:sz w:val="24"/>
                <w:szCs w:val="24"/>
                <w:highlight w:val="none"/>
                <w:lang w:eastAsia="zh-CN"/>
              </w:rPr>
              <w:t>转移联单</w:t>
            </w:r>
            <w:r>
              <w:rPr>
                <w:rFonts w:hint="default"/>
                <w:color w:val="auto"/>
                <w:sz w:val="24"/>
                <w:szCs w:val="24"/>
                <w:highlight w:val="none"/>
              </w:rPr>
              <w:t>确定的移出人信息、前一承运人信息及危险废物相关信息。</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③移出人每转移一车（船或者其他运输工具）次同类危险废物，应当填写、运行一份危险废物</w:t>
            </w:r>
            <w:r>
              <w:rPr>
                <w:rFonts w:hint="eastAsia"/>
                <w:color w:val="auto"/>
                <w:sz w:val="24"/>
                <w:szCs w:val="24"/>
                <w:highlight w:val="none"/>
                <w:lang w:eastAsia="zh-CN"/>
              </w:rPr>
              <w:t>电子转移联单</w:t>
            </w:r>
            <w:r>
              <w:rPr>
                <w:rFonts w:hint="default"/>
                <w:color w:val="auto"/>
                <w:sz w:val="24"/>
                <w:szCs w:val="24"/>
                <w:highlight w:val="none"/>
              </w:rPr>
              <w:t>；每车（船或者其他运输工具）次转移多类危险废物的，可以填写、运行一份危险废物</w:t>
            </w:r>
            <w:r>
              <w:rPr>
                <w:rFonts w:hint="eastAsia"/>
                <w:color w:val="auto"/>
                <w:sz w:val="24"/>
                <w:szCs w:val="24"/>
                <w:highlight w:val="none"/>
                <w:lang w:eastAsia="zh-CN"/>
              </w:rPr>
              <w:t>电子转移联单</w:t>
            </w:r>
            <w:r>
              <w:rPr>
                <w:rFonts w:hint="default"/>
                <w:color w:val="auto"/>
                <w:sz w:val="24"/>
                <w:szCs w:val="24"/>
                <w:highlight w:val="none"/>
              </w:rPr>
              <w:t>，也可以每一类危险废物填写、运行一份危险废物</w:t>
            </w:r>
            <w:r>
              <w:rPr>
                <w:rFonts w:hint="eastAsia"/>
                <w:color w:val="auto"/>
                <w:sz w:val="24"/>
                <w:szCs w:val="24"/>
                <w:highlight w:val="none"/>
                <w:lang w:eastAsia="zh-CN"/>
              </w:rPr>
              <w:t>电子转移联单</w:t>
            </w:r>
            <w:r>
              <w:rPr>
                <w:rFonts w:hint="default"/>
                <w:color w:val="auto"/>
                <w:sz w:val="24"/>
                <w:szCs w:val="24"/>
                <w:highlight w:val="none"/>
              </w:rPr>
              <w:t>。</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rPr>
            </w:pPr>
            <w:r>
              <w:rPr>
                <w:rFonts w:hint="default"/>
                <w:color w:val="auto"/>
                <w:sz w:val="24"/>
                <w:szCs w:val="24"/>
                <w:highlight w:val="none"/>
              </w:rPr>
              <w:t>④采用联运方式转移危险废物的，前一承运人和后一承运人应当明确运输交接的时间和地点。后一承运人应当核实危险废物</w:t>
            </w:r>
            <w:r>
              <w:rPr>
                <w:rFonts w:hint="eastAsia"/>
                <w:color w:val="auto"/>
                <w:sz w:val="24"/>
                <w:szCs w:val="24"/>
                <w:highlight w:val="none"/>
                <w:lang w:eastAsia="zh-CN"/>
              </w:rPr>
              <w:t>电子转移联单</w:t>
            </w:r>
            <w:r>
              <w:rPr>
                <w:rFonts w:hint="default"/>
                <w:color w:val="auto"/>
                <w:sz w:val="24"/>
                <w:szCs w:val="24"/>
                <w:highlight w:val="none"/>
              </w:rPr>
              <w:t>确定的移出人信息、前一承运人信息及危险废物相关信息。</w:t>
            </w:r>
          </w:p>
          <w:p>
            <w:pPr>
              <w:keepNext w:val="0"/>
              <w:keepLines w:val="0"/>
              <w:pageBreakBefore w:val="0"/>
              <w:tabs>
                <w:tab w:val="left" w:pos="195"/>
              </w:tabs>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24"/>
                <w:highlight w:val="none"/>
                <w:lang w:val="en-US"/>
              </w:rPr>
            </w:pPr>
            <w:r>
              <w:rPr>
                <w:rFonts w:hint="default"/>
                <w:color w:val="auto"/>
                <w:sz w:val="24"/>
                <w:szCs w:val="24"/>
                <w:highlight w:val="none"/>
              </w:rPr>
              <w:t>转移危险废物的，须按照国家有关规定</w:t>
            </w:r>
            <w:r>
              <w:rPr>
                <w:rFonts w:hint="eastAsia"/>
                <w:color w:val="auto"/>
                <w:sz w:val="24"/>
                <w:szCs w:val="24"/>
                <w:highlight w:val="none"/>
                <w:lang w:val="en-US" w:eastAsia="zh-CN"/>
              </w:rPr>
              <w:t>通过国家危险废物信息管理</w:t>
            </w:r>
            <w:r>
              <w:rPr>
                <w:rFonts w:hint="default"/>
                <w:color w:val="auto"/>
                <w:sz w:val="24"/>
                <w:szCs w:val="24"/>
                <w:highlight w:val="none"/>
              </w:rPr>
              <w:t>填写危险废物</w:t>
            </w:r>
            <w:r>
              <w:rPr>
                <w:rFonts w:hint="eastAsia"/>
                <w:color w:val="auto"/>
                <w:sz w:val="24"/>
                <w:szCs w:val="24"/>
                <w:highlight w:val="none"/>
                <w:lang w:val="en-US" w:eastAsia="zh-CN"/>
              </w:rPr>
              <w:t>电子</w:t>
            </w:r>
            <w:r>
              <w:rPr>
                <w:rFonts w:hint="eastAsia"/>
                <w:color w:val="auto"/>
                <w:sz w:val="24"/>
                <w:szCs w:val="24"/>
                <w:highlight w:val="none"/>
                <w:lang w:eastAsia="zh-CN"/>
              </w:rPr>
              <w:t>转移联单</w:t>
            </w:r>
            <w:r>
              <w:rPr>
                <w:rFonts w:hint="default"/>
                <w:color w:val="auto"/>
                <w:sz w:val="24"/>
                <w:szCs w:val="24"/>
                <w:highlight w:val="none"/>
              </w:rPr>
              <w:t>，并向危险废物移出地设区的市级以上地方人民政府环境保护行政主管部门提出申请。移出地设区的市级以上地方人民政府环境保护行政主管部门应当经接受地设区的市级以上地方人民政府环境保护行政主管部门同意后，方可批准转移该危险废物。未经批准，不得转移。转移危险废物途</w:t>
            </w:r>
            <w:r>
              <w:rPr>
                <w:rFonts w:hint="eastAsia"/>
                <w:color w:val="auto"/>
                <w:sz w:val="24"/>
                <w:szCs w:val="24"/>
                <w:highlight w:val="none"/>
                <w:lang w:val="en-US" w:eastAsia="zh-CN"/>
              </w:rPr>
              <w:t>经</w:t>
            </w:r>
            <w:r>
              <w:rPr>
                <w:rFonts w:hint="default"/>
                <w:color w:val="auto"/>
                <w:sz w:val="24"/>
                <w:szCs w:val="24"/>
                <w:highlight w:val="none"/>
              </w:rPr>
              <w:t>移出地、接受地以外行政区域的，危险废物移出地设区的市级以上地方人民政府环境保护行政主管部门应当及时通知沿途经过的设区的市级以上地方人民政府环境保护行政主管部门。</w:t>
            </w:r>
          </w:p>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5</w:t>
            </w:r>
            <w:r>
              <w:rPr>
                <w:rFonts w:hint="default"/>
                <w:color w:val="auto"/>
                <w:sz w:val="24"/>
                <w:szCs w:val="32"/>
                <w:highlight w:val="none"/>
                <w:lang w:val="en-US" w:eastAsia="zh-CN"/>
              </w:rPr>
              <w:t>）委托处置</w:t>
            </w:r>
          </w:p>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eastAsia"/>
                <w:color w:val="auto"/>
                <w:sz w:val="24"/>
                <w:szCs w:val="32"/>
                <w:highlight w:val="none"/>
                <w:lang w:val="en-US" w:eastAsia="zh-CN"/>
              </w:rPr>
              <w:t>危废</w:t>
            </w:r>
            <w:r>
              <w:rPr>
                <w:rFonts w:hint="default"/>
                <w:color w:val="auto"/>
                <w:sz w:val="24"/>
                <w:szCs w:val="32"/>
                <w:highlight w:val="none"/>
                <w:lang w:val="en-US" w:eastAsia="zh-CN"/>
              </w:rPr>
              <w:t>暂存间贮存的危险废物由有危废处置资质</w:t>
            </w:r>
            <w:r>
              <w:rPr>
                <w:rFonts w:hint="eastAsia"/>
                <w:color w:val="auto"/>
                <w:sz w:val="24"/>
                <w:szCs w:val="32"/>
                <w:highlight w:val="none"/>
                <w:lang w:val="en-US" w:eastAsia="zh-CN"/>
              </w:rPr>
              <w:t>的</w:t>
            </w:r>
            <w:r>
              <w:rPr>
                <w:rFonts w:hint="default"/>
                <w:color w:val="auto"/>
                <w:sz w:val="24"/>
                <w:szCs w:val="32"/>
                <w:highlight w:val="none"/>
                <w:lang w:val="en-US" w:eastAsia="zh-CN"/>
              </w:rPr>
              <w:t>单位</w:t>
            </w:r>
            <w:r>
              <w:rPr>
                <w:rFonts w:hint="eastAsia"/>
                <w:color w:val="auto"/>
                <w:sz w:val="24"/>
                <w:szCs w:val="32"/>
                <w:highlight w:val="none"/>
                <w:lang w:val="en-US" w:eastAsia="zh-CN"/>
              </w:rPr>
              <w:t>进行</w:t>
            </w:r>
            <w:r>
              <w:rPr>
                <w:rFonts w:hint="default"/>
                <w:color w:val="auto"/>
                <w:sz w:val="24"/>
                <w:szCs w:val="32"/>
                <w:highlight w:val="none"/>
                <w:lang w:val="en-US" w:eastAsia="zh-CN"/>
              </w:rPr>
              <w:t>处置，危废处置单位使用专用车辆至厂内收集、转移危险废物，建设单位不自行外运、转移</w:t>
            </w:r>
            <w:r>
              <w:rPr>
                <w:rFonts w:hint="eastAsia"/>
                <w:color w:val="auto"/>
                <w:sz w:val="24"/>
                <w:szCs w:val="32"/>
                <w:highlight w:val="none"/>
                <w:lang w:val="en-US" w:eastAsia="zh-CN"/>
              </w:rPr>
              <w:t>。</w:t>
            </w:r>
            <w:r>
              <w:rPr>
                <w:rFonts w:hint="default"/>
                <w:color w:val="auto"/>
                <w:sz w:val="24"/>
                <w:szCs w:val="32"/>
                <w:highlight w:val="none"/>
                <w:lang w:val="en-US" w:eastAsia="zh-CN"/>
              </w:rPr>
              <w:t>危险废物委托</w:t>
            </w:r>
            <w:r>
              <w:rPr>
                <w:rFonts w:hint="eastAsia"/>
                <w:color w:val="auto"/>
                <w:sz w:val="24"/>
                <w:szCs w:val="32"/>
                <w:highlight w:val="none"/>
                <w:lang w:val="en-US" w:eastAsia="zh-CN"/>
              </w:rPr>
              <w:t>处置</w:t>
            </w:r>
            <w:r>
              <w:rPr>
                <w:rFonts w:hint="default"/>
                <w:color w:val="auto"/>
                <w:sz w:val="24"/>
                <w:szCs w:val="32"/>
                <w:highlight w:val="none"/>
                <w:lang w:val="en-US" w:eastAsia="zh-CN"/>
              </w:rPr>
              <w:t>后</w:t>
            </w:r>
            <w:r>
              <w:rPr>
                <w:rFonts w:hint="eastAsia"/>
                <w:color w:val="auto"/>
                <w:sz w:val="24"/>
                <w:szCs w:val="32"/>
                <w:highlight w:val="none"/>
                <w:lang w:val="en-US" w:eastAsia="zh-CN"/>
              </w:rPr>
              <w:t>，</w:t>
            </w:r>
            <w:r>
              <w:rPr>
                <w:rFonts w:hint="default"/>
                <w:color w:val="auto"/>
                <w:sz w:val="24"/>
                <w:szCs w:val="32"/>
                <w:highlight w:val="none"/>
                <w:lang w:val="en-US" w:eastAsia="zh-CN"/>
              </w:rPr>
              <w:t>对环境影响不大。</w:t>
            </w:r>
          </w:p>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rPr>
            </w:pPr>
            <w:r>
              <w:rPr>
                <w:rFonts w:hint="default"/>
                <w:color w:val="auto"/>
                <w:sz w:val="24"/>
                <w:szCs w:val="32"/>
                <w:highlight w:val="none"/>
                <w:lang w:val="en-US" w:eastAsia="zh-CN"/>
              </w:rPr>
              <w:t>（</w:t>
            </w:r>
            <w:r>
              <w:rPr>
                <w:rFonts w:hint="default" w:ascii="Times New Roman" w:hAnsi="Times New Roman"/>
                <w:color w:val="auto"/>
                <w:sz w:val="24"/>
                <w:szCs w:val="32"/>
                <w:highlight w:val="none"/>
                <w:lang w:val="en-US" w:eastAsia="zh-CN"/>
              </w:rPr>
              <w:t>6</w:t>
            </w:r>
            <w:r>
              <w:rPr>
                <w:rFonts w:hint="default"/>
                <w:color w:val="auto"/>
                <w:sz w:val="24"/>
                <w:szCs w:val="32"/>
                <w:highlight w:val="none"/>
                <w:lang w:val="en-US" w:eastAsia="zh-CN"/>
              </w:rPr>
              <w:t>）管理措施</w:t>
            </w:r>
          </w:p>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企业应结合自身实际，建立危险废物管理台账，规范危险废物情况的记录，记录上须注明危险废物的种类、来源、数量、性质、产生环节、利用处置和包装容器的类别、入库日期、存放库位、废物出库日期及接收单位名称，确保厂内所有危险废物流向清楚规范。</w:t>
            </w:r>
          </w:p>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按规定申报危险废物产生、贮存、转移、利用处置等信息，制定和落实危险废物年度管理计划，执行危险废物申报登记制度，并在</w:t>
            </w:r>
            <w:r>
              <w:rPr>
                <w:rFonts w:hint="eastAsia"/>
                <w:color w:val="auto"/>
                <w:sz w:val="24"/>
                <w:szCs w:val="32"/>
                <w:highlight w:val="none"/>
                <w:lang w:val="en-US" w:eastAsia="zh-CN"/>
              </w:rPr>
              <w:t>“固废管理系统”</w:t>
            </w:r>
            <w:r>
              <w:rPr>
                <w:rFonts w:hint="default"/>
                <w:color w:val="auto"/>
                <w:sz w:val="24"/>
                <w:szCs w:val="32"/>
                <w:highlight w:val="none"/>
                <w:lang w:val="en-US" w:eastAsia="zh-CN"/>
              </w:rPr>
              <w:t>中备案。及时向当地环保部门申报危险废物种类、产生量、流向、处置等资料，办理临时申报登记手续。严格执行危险废物交换转移审批制度。所有危险废物交换转移向环保部门提出申请，经环保部门预审后报上级环保部门批准。危险废物交换转移前到当地环保部门网上申请联单。绝不擅自交换、向无危险废物经营许可证单位转移。必须定期对所暂存的危险废物包装容器及暂存设施进行检查，发现破损，应及时采取措施清理更换。</w:t>
            </w:r>
          </w:p>
          <w:p>
            <w:pPr>
              <w:pStyle w:val="11"/>
              <w:keepNext w:val="0"/>
              <w:keepLines w:val="0"/>
              <w:pageBreakBefore w:val="0"/>
              <w:kinsoku/>
              <w:wordWrap/>
              <w:overflowPunct/>
              <w:topLinePunct w:val="0"/>
              <w:autoSpaceDE/>
              <w:autoSpaceDN/>
              <w:bidi w:val="0"/>
              <w:adjustRightInd/>
              <w:spacing w:before="0" w:after="0" w:line="520" w:lineRule="exact"/>
              <w:ind w:right="0" w:firstLine="480" w:firstLineChars="200"/>
              <w:jc w:val="both"/>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7</w:t>
            </w:r>
            <w:r>
              <w:rPr>
                <w:rFonts w:hint="eastAsia"/>
                <w:color w:val="auto"/>
                <w:sz w:val="24"/>
                <w:szCs w:val="24"/>
                <w:highlight w:val="none"/>
                <w:lang w:eastAsia="zh-CN"/>
              </w:rPr>
              <w:t>）</w:t>
            </w:r>
            <w:r>
              <w:rPr>
                <w:color w:val="auto"/>
                <w:sz w:val="24"/>
                <w:szCs w:val="24"/>
                <w:highlight w:val="none"/>
              </w:rPr>
              <w:t>标识标牌管理</w:t>
            </w:r>
          </w:p>
          <w:p>
            <w:pPr>
              <w:pStyle w:val="11"/>
              <w:keepNext w:val="0"/>
              <w:keepLines w:val="0"/>
              <w:pageBreakBefore w:val="0"/>
              <w:kinsoku/>
              <w:wordWrap/>
              <w:overflowPunct/>
              <w:topLinePunct w:val="0"/>
              <w:autoSpaceDE/>
              <w:autoSpaceDN/>
              <w:bidi w:val="0"/>
              <w:adjustRightInd/>
              <w:spacing w:before="0" w:after="0" w:line="520" w:lineRule="exact"/>
              <w:ind w:right="0" w:firstLine="480" w:firstLineChars="200"/>
              <w:jc w:val="both"/>
              <w:textAlignment w:val="auto"/>
              <w:rPr>
                <w:color w:val="auto"/>
                <w:sz w:val="24"/>
                <w:szCs w:val="24"/>
                <w:highlight w:val="none"/>
              </w:rPr>
            </w:pPr>
            <w:r>
              <w:rPr>
                <w:color w:val="auto"/>
                <w:sz w:val="24"/>
                <w:szCs w:val="24"/>
                <w:highlight w:val="none"/>
              </w:rPr>
              <w:t>本项目危废间应根据《环境保护图形标志固体废物贮存（处置）场》（GB</w:t>
            </w:r>
            <w:r>
              <w:rPr>
                <w:rFonts w:ascii="Times New Roman" w:hAnsi="Times New Roman"/>
                <w:color w:val="auto"/>
                <w:sz w:val="24"/>
                <w:szCs w:val="24"/>
                <w:highlight w:val="none"/>
              </w:rPr>
              <w:t>15562</w:t>
            </w:r>
            <w:r>
              <w:rPr>
                <w:color w:val="auto"/>
                <w:sz w:val="24"/>
                <w:szCs w:val="24"/>
                <w:highlight w:val="none"/>
              </w:rPr>
              <w:t>.</w:t>
            </w:r>
            <w:r>
              <w:rPr>
                <w:rFonts w:ascii="Times New Roman" w:hAnsi="Times New Roman"/>
                <w:color w:val="auto"/>
                <w:sz w:val="24"/>
                <w:szCs w:val="24"/>
                <w:highlight w:val="none"/>
              </w:rPr>
              <w:t>2</w:t>
            </w:r>
            <w:r>
              <w:rPr>
                <w:color w:val="auto"/>
                <w:sz w:val="24"/>
                <w:szCs w:val="24"/>
                <w:highlight w:val="none"/>
              </w:rPr>
              <w:t>-</w:t>
            </w:r>
            <w:r>
              <w:rPr>
                <w:rFonts w:ascii="Times New Roman" w:hAnsi="Times New Roman"/>
                <w:color w:val="auto"/>
                <w:sz w:val="24"/>
                <w:szCs w:val="24"/>
                <w:highlight w:val="none"/>
              </w:rPr>
              <w:t>1995</w:t>
            </w:r>
            <w:r>
              <w:rPr>
                <w:color w:val="auto"/>
                <w:sz w:val="24"/>
                <w:szCs w:val="24"/>
                <w:highlight w:val="none"/>
              </w:rPr>
              <w:t>）中有关规定，设置国家环保局统一制作的环境保护图形标志牌。危废间图形标志见下表：</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b/>
                <w:bCs/>
                <w:color w:val="auto"/>
                <w:highlight w:val="none"/>
              </w:rPr>
            </w:pPr>
            <w:r>
              <w:rPr>
                <w:b/>
                <w:bCs/>
                <w:color w:val="auto"/>
                <w:highlight w:val="none"/>
              </w:rPr>
              <w:t>表</w:t>
            </w:r>
            <w:r>
              <w:rPr>
                <w:rFonts w:hint="eastAsia" w:ascii="Times New Roman" w:hAnsi="Times New Roman"/>
                <w:b/>
                <w:bCs/>
                <w:color w:val="auto"/>
                <w:highlight w:val="none"/>
                <w:lang w:val="en-US" w:eastAsia="zh-CN"/>
              </w:rPr>
              <w:t>4</w:t>
            </w:r>
            <w:r>
              <w:rPr>
                <w:rFonts w:hint="eastAsia"/>
                <w:b/>
                <w:bCs/>
                <w:color w:val="auto"/>
                <w:highlight w:val="none"/>
                <w:lang w:val="en-US" w:eastAsia="zh-CN"/>
              </w:rPr>
              <w:t>-14</w:t>
            </w:r>
            <w:r>
              <w:rPr>
                <w:b/>
                <w:bCs/>
                <w:color w:val="auto"/>
                <w:highlight w:val="none"/>
              </w:rPr>
              <w:t xml:space="preserve">    危废间的图形标志</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108" w:type="dxa"/>
                <w:bottom w:w="0" w:type="dxa"/>
                <w:right w:w="108" w:type="dxa"/>
              </w:tblCellMar>
            </w:tblPr>
            <w:tblGrid>
              <w:gridCol w:w="1946"/>
              <w:gridCol w:w="1929"/>
              <w:gridCol w:w="1688"/>
              <w:gridCol w:w="2863"/>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提示图形符号</w:t>
                  </w:r>
                </w:p>
              </w:tc>
              <w:tc>
                <w:tcPr>
                  <w:tcW w:w="1144"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警告图形符号</w:t>
                  </w:r>
                </w:p>
              </w:tc>
              <w:tc>
                <w:tcPr>
                  <w:tcW w:w="1001"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名称</w:t>
                  </w:r>
                </w:p>
              </w:tc>
              <w:tc>
                <w:tcPr>
                  <w:tcW w:w="1698"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功能</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108" w:type="dxa"/>
                  <w:bottom w:w="0" w:type="dxa"/>
                  <w:right w:w="108" w:type="dxa"/>
                </w:tblCellMar>
              </w:tblPrEx>
              <w:trPr>
                <w:trHeight w:val="340" w:hRule="atLeast"/>
                <w:jc w:val="center"/>
              </w:trPr>
              <w:tc>
                <w:tcPr>
                  <w:tcW w:w="1154" w:type="pct"/>
                  <w:tcBorders>
                    <w:tl2br w:val="nil"/>
                    <w:tr2bl w:val="nil"/>
                  </w:tcBorders>
                  <w:noWrap w:val="0"/>
                  <w:vAlign w:val="center"/>
                </w:tcPr>
                <w:p>
                  <w:pPr>
                    <w:pStyle w:val="32"/>
                    <w:spacing w:line="240" w:lineRule="auto"/>
                    <w:rPr>
                      <w:rFonts w:hint="eastAsia"/>
                      <w:color w:val="auto"/>
                      <w:highlight w:val="none"/>
                    </w:rPr>
                  </w:pPr>
                  <w:r>
                    <w:rPr>
                      <w:rFonts w:hint="default" w:ascii="Times New Roman" w:hAnsi="Times New Roman" w:eastAsia="宋体" w:cs="Times New Roman"/>
                      <w:color w:val="auto"/>
                      <w:szCs w:val="21"/>
                      <w:lang w:val="en-US" w:eastAsia="zh-CN"/>
                    </w:rPr>
                    <w:drawing>
                      <wp:inline distT="0" distB="0" distL="114300" distR="114300">
                        <wp:extent cx="1055370" cy="972185"/>
                        <wp:effectExtent l="0" t="0" r="11430" b="18415"/>
                        <wp:docPr id="21" name="图片 21" descr="微信截图_202303291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30329111333"/>
                                <pic:cNvPicPr>
                                  <a:picLocks noChangeAspect="1"/>
                                </pic:cNvPicPr>
                              </pic:nvPicPr>
                              <pic:blipFill>
                                <a:blip r:embed="rId16"/>
                                <a:stretch>
                                  <a:fillRect/>
                                </a:stretch>
                              </pic:blipFill>
                              <pic:spPr>
                                <a:xfrm>
                                  <a:off x="0" y="0"/>
                                  <a:ext cx="1055370" cy="972185"/>
                                </a:xfrm>
                                <a:prstGeom prst="rect">
                                  <a:avLst/>
                                </a:prstGeom>
                                <a:noFill/>
                                <a:ln>
                                  <a:noFill/>
                                </a:ln>
                              </pic:spPr>
                            </pic:pic>
                          </a:graphicData>
                        </a:graphic>
                      </wp:inline>
                    </w:drawing>
                  </w:r>
                </w:p>
              </w:tc>
              <w:tc>
                <w:tcPr>
                  <w:tcW w:w="1144" w:type="pct"/>
                  <w:tcBorders>
                    <w:tl2br w:val="nil"/>
                    <w:tr2bl w:val="nil"/>
                  </w:tcBorders>
                  <w:noWrap w:val="0"/>
                  <w:vAlign w:val="center"/>
                </w:tcPr>
                <w:p>
                  <w:pPr>
                    <w:pStyle w:val="32"/>
                    <w:spacing w:line="240" w:lineRule="auto"/>
                    <w:rPr>
                      <w:rFonts w:hint="eastAsia"/>
                      <w:color w:val="auto"/>
                      <w:highlight w:val="none"/>
                    </w:rPr>
                  </w:pPr>
                  <w:r>
                    <w:rPr>
                      <w:rFonts w:hint="default" w:ascii="Times New Roman" w:hAnsi="Times New Roman" w:eastAsia="宋体" w:cs="Times New Roman"/>
                      <w:color w:val="auto"/>
                      <w:szCs w:val="21"/>
                    </w:rPr>
                    <w:drawing>
                      <wp:inline distT="0" distB="0" distL="114300" distR="114300">
                        <wp:extent cx="1003935" cy="972185"/>
                        <wp:effectExtent l="0" t="0" r="5715" b="18415"/>
                        <wp:docPr id="19" name="图片 20" descr="C:\Users\26055\Desktop\危险废物贮存设施.png危险废物贮存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26055\Desktop\危险废物贮存设施.png危险废物贮存设施"/>
                                <pic:cNvPicPr>
                                  <a:picLocks noChangeAspect="1"/>
                                </pic:cNvPicPr>
                              </pic:nvPicPr>
                              <pic:blipFill>
                                <a:blip r:embed="rId17"/>
                                <a:stretch>
                                  <a:fillRect/>
                                </a:stretch>
                              </pic:blipFill>
                              <pic:spPr>
                                <a:xfrm>
                                  <a:off x="0" y="0"/>
                                  <a:ext cx="1003935" cy="972185"/>
                                </a:xfrm>
                                <a:prstGeom prst="rect">
                                  <a:avLst/>
                                </a:prstGeom>
                                <a:noFill/>
                                <a:ln>
                                  <a:noFill/>
                                </a:ln>
                              </pic:spPr>
                            </pic:pic>
                          </a:graphicData>
                        </a:graphic>
                      </wp:inline>
                    </w:drawing>
                  </w:r>
                </w:p>
              </w:tc>
              <w:tc>
                <w:tcPr>
                  <w:tcW w:w="1001"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危险废物</w:t>
                  </w:r>
                </w:p>
              </w:tc>
              <w:tc>
                <w:tcPr>
                  <w:tcW w:w="1698" w:type="pct"/>
                  <w:tcBorders>
                    <w:tl2br w:val="nil"/>
                    <w:tr2bl w:val="nil"/>
                  </w:tcBorders>
                  <w:noWrap w:val="0"/>
                  <w:vAlign w:val="center"/>
                </w:tcPr>
                <w:p>
                  <w:pPr>
                    <w:pStyle w:val="32"/>
                    <w:spacing w:line="240" w:lineRule="auto"/>
                    <w:rPr>
                      <w:rFonts w:hint="eastAsia"/>
                      <w:color w:val="auto"/>
                      <w:highlight w:val="none"/>
                    </w:rPr>
                  </w:pPr>
                  <w:r>
                    <w:rPr>
                      <w:rFonts w:hint="eastAsia"/>
                      <w:color w:val="auto"/>
                      <w:highlight w:val="none"/>
                    </w:rPr>
                    <w:t>表示危险废物贮存、处置场</w:t>
                  </w:r>
                </w:p>
              </w:tc>
            </w:tr>
          </w:tbl>
          <w:p>
            <w:pPr>
              <w:keepNext w:val="0"/>
              <w:keepLines w:val="0"/>
              <w:pageBreakBefore w:val="0"/>
              <w:widowControl/>
              <w:suppressLineNumbers w:val="0"/>
              <w:kinsoku/>
              <w:wordWrap/>
              <w:overflowPunct/>
              <w:topLinePunct w:val="0"/>
              <w:autoSpaceDE/>
              <w:autoSpaceDN/>
              <w:bidi w:val="0"/>
              <w:adjustRightInd/>
              <w:snapToGrid/>
              <w:spacing w:line="520" w:lineRule="exact"/>
              <w:ind w:leftChars="0" w:firstLine="480" w:firstLineChars="200"/>
              <w:jc w:val="both"/>
              <w:textAlignment w:val="auto"/>
              <w:rPr>
                <w:rFonts w:hint="default"/>
                <w:color w:val="auto"/>
                <w:sz w:val="24"/>
                <w:szCs w:val="32"/>
                <w:highlight w:val="none"/>
                <w:lang w:val="en-US" w:eastAsia="zh-CN"/>
              </w:rPr>
            </w:pPr>
            <w:r>
              <w:rPr>
                <w:rFonts w:hint="default"/>
                <w:color w:val="auto"/>
                <w:sz w:val="24"/>
                <w:szCs w:val="32"/>
                <w:highlight w:val="none"/>
                <w:lang w:val="en-US" w:eastAsia="zh-CN"/>
              </w:rPr>
              <w:t>综上，</w:t>
            </w:r>
            <w:r>
              <w:rPr>
                <w:rFonts w:hint="eastAsia"/>
                <w:color w:val="auto"/>
                <w:sz w:val="24"/>
                <w:szCs w:val="32"/>
                <w:highlight w:val="none"/>
                <w:lang w:val="en-US" w:eastAsia="zh-CN"/>
              </w:rPr>
              <w:t>本项目</w:t>
            </w:r>
            <w:r>
              <w:rPr>
                <w:rFonts w:hint="default"/>
                <w:color w:val="auto"/>
                <w:sz w:val="24"/>
                <w:szCs w:val="32"/>
                <w:highlight w:val="none"/>
                <w:lang w:val="en-US" w:eastAsia="zh-CN"/>
              </w:rPr>
              <w:t>按照《危险废物贮存污染控制标准》（GB</w:t>
            </w:r>
            <w:r>
              <w:rPr>
                <w:rFonts w:hint="default" w:ascii="Times New Roman" w:hAnsi="Times New Roman"/>
                <w:color w:val="auto"/>
                <w:sz w:val="24"/>
                <w:szCs w:val="32"/>
                <w:highlight w:val="none"/>
                <w:lang w:val="en-US" w:eastAsia="zh-CN"/>
              </w:rPr>
              <w:t>18597</w:t>
            </w:r>
            <w:r>
              <w:rPr>
                <w:rFonts w:hint="default"/>
                <w:color w:val="auto"/>
                <w:sz w:val="24"/>
                <w:szCs w:val="32"/>
                <w:highlight w:val="none"/>
                <w:lang w:val="en-US" w:eastAsia="zh-CN"/>
              </w:rPr>
              <w:t>-</w:t>
            </w:r>
            <w:r>
              <w:rPr>
                <w:rFonts w:hint="eastAsia" w:ascii="Times New Roman" w:hAnsi="Times New Roman"/>
                <w:color w:val="auto"/>
                <w:sz w:val="24"/>
                <w:szCs w:val="32"/>
                <w:highlight w:val="none"/>
                <w:lang w:val="en-US" w:eastAsia="zh-CN"/>
              </w:rPr>
              <w:t>2023）</w:t>
            </w:r>
            <w:r>
              <w:rPr>
                <w:rFonts w:hint="default"/>
                <w:color w:val="auto"/>
                <w:sz w:val="24"/>
                <w:szCs w:val="32"/>
                <w:highlight w:val="none"/>
                <w:lang w:val="en-US" w:eastAsia="zh-CN"/>
              </w:rPr>
              <w:t>相关要求进行</w:t>
            </w:r>
            <w:r>
              <w:rPr>
                <w:rFonts w:hint="eastAsia"/>
                <w:color w:val="auto"/>
                <w:sz w:val="24"/>
                <w:szCs w:val="32"/>
                <w:highlight w:val="none"/>
                <w:lang w:val="en-US" w:eastAsia="zh-CN"/>
              </w:rPr>
              <w:t>建设</w:t>
            </w:r>
            <w:r>
              <w:rPr>
                <w:rFonts w:hint="default"/>
                <w:color w:val="auto"/>
                <w:sz w:val="24"/>
                <w:szCs w:val="32"/>
                <w:highlight w:val="none"/>
                <w:lang w:val="en-US" w:eastAsia="zh-CN"/>
              </w:rPr>
              <w:t>，危险废物委托有危废处置资质的单位处理，不混入生活垃圾或随意丢弃，项目运营期产生的危险废物妥善处理后对周边环境影响较小。</w:t>
            </w:r>
          </w:p>
          <w:p>
            <w:pPr>
              <w:keepNext w:val="0"/>
              <w:keepLines w:val="0"/>
              <w:pageBreakBefore w:val="0"/>
              <w:numPr>
                <w:ilvl w:val="0"/>
                <w:numId w:val="19"/>
              </w:numPr>
              <w:kinsoku/>
              <w:wordWrap/>
              <w:bidi w:val="0"/>
              <w:spacing w:line="520" w:lineRule="exact"/>
              <w:ind w:left="0" w:leftChars="0" w:firstLine="0" w:firstLineChars="0"/>
              <w:jc w:val="both"/>
              <w:textAlignment w:val="auto"/>
              <w:rPr>
                <w:b/>
                <w:bCs/>
                <w:color w:val="auto"/>
                <w:sz w:val="24"/>
              </w:rPr>
            </w:pPr>
            <w:r>
              <w:rPr>
                <w:b/>
                <w:bCs/>
                <w:color w:val="auto"/>
                <w:sz w:val="24"/>
              </w:rPr>
              <w:t>地下水、土壤</w:t>
            </w:r>
          </w:p>
          <w:p>
            <w:pPr>
              <w:keepNext w:val="0"/>
              <w:keepLines w:val="0"/>
              <w:pageBreakBefore w:val="0"/>
              <w:kinsoku/>
              <w:wordWrap/>
              <w:autoSpaceDE w:val="0"/>
              <w:autoSpaceDN w:val="0"/>
              <w:bidi w:val="0"/>
              <w:spacing w:line="520" w:lineRule="exact"/>
              <w:ind w:firstLine="480" w:firstLineChars="200"/>
              <w:jc w:val="both"/>
              <w:textAlignment w:val="auto"/>
              <w:rPr>
                <w:color w:val="auto"/>
                <w:sz w:val="24"/>
              </w:rPr>
            </w:pPr>
            <w:r>
              <w:rPr>
                <w:color w:val="auto"/>
                <w:sz w:val="24"/>
              </w:rPr>
              <w:t>本项目对厂区可能</w:t>
            </w:r>
            <w:r>
              <w:rPr>
                <w:rFonts w:hint="eastAsia"/>
                <w:color w:val="auto"/>
                <w:sz w:val="24"/>
                <w:lang w:eastAsia="zh-CN"/>
              </w:rPr>
              <w:t>泄漏</w:t>
            </w:r>
            <w:r>
              <w:rPr>
                <w:color w:val="auto"/>
                <w:sz w:val="24"/>
              </w:rPr>
              <w:t>污染物的地面进行防渗处理，可有效</w:t>
            </w:r>
            <w:r>
              <w:rPr>
                <w:rFonts w:hint="eastAsia"/>
                <w:color w:val="auto"/>
                <w:sz w:val="24"/>
                <w:lang w:eastAsia="zh-CN"/>
              </w:rPr>
              <w:t>防止</w:t>
            </w:r>
            <w:r>
              <w:rPr>
                <w:color w:val="auto"/>
                <w:sz w:val="24"/>
              </w:rPr>
              <w:t>污染物渗入地下及土壤，并及时将渗漏、泄漏的污染物收集并进行集中处理。依据地下水导则中相关分区防控措施，结合项目的性质、包气带岩性结构、污染控制难易程度及地下水环境风险，按照重点防渗区、简单防渗区和一般污染防渗区进行分区防渗，防渗层结构依据不同防渗区要求单独使用一种材料或者多种材料结合使用。根据本项目特点，环评要求项目采取的防渗措施包括：</w:t>
            </w:r>
          </w:p>
          <w:p>
            <w:pPr>
              <w:keepNext w:val="0"/>
              <w:keepLines w:val="0"/>
              <w:pageBreakBefore w:val="0"/>
              <w:kinsoku/>
              <w:wordWrap/>
              <w:bidi w:val="0"/>
              <w:spacing w:line="520" w:lineRule="exact"/>
              <w:ind w:firstLine="480" w:firstLineChars="200"/>
              <w:jc w:val="both"/>
              <w:textAlignment w:val="auto"/>
              <w:rPr>
                <w:rFonts w:hint="default" w:eastAsia="宋体"/>
                <w:color w:val="auto"/>
                <w:sz w:val="24"/>
                <w:highlight w:val="none"/>
                <w:lang w:val="en-US" w:eastAsia="zh-CN"/>
              </w:rPr>
            </w:pPr>
            <w:r>
              <w:rPr>
                <w:color w:val="auto"/>
                <w:sz w:val="24"/>
                <w:highlight w:val="none"/>
              </w:rPr>
              <w:t>简单防渗区：</w:t>
            </w:r>
            <w:r>
              <w:rPr>
                <w:rFonts w:hint="eastAsia"/>
                <w:color w:val="auto"/>
                <w:sz w:val="24"/>
                <w:highlight w:val="none"/>
                <w:lang w:val="en-US" w:eastAsia="zh-CN"/>
              </w:rPr>
              <w:t>生产车间采用水泥硬化防渗，并用防渗材料进行防渗，防渗系数达到1×10</w:t>
            </w:r>
            <w:r>
              <w:rPr>
                <w:rFonts w:hint="eastAsia"/>
                <w:color w:val="auto"/>
                <w:sz w:val="24"/>
                <w:highlight w:val="none"/>
                <w:vertAlign w:val="superscript"/>
                <w:lang w:val="en-US" w:eastAsia="zh-CN"/>
              </w:rPr>
              <w:t>-7</w:t>
            </w:r>
            <w:r>
              <w:rPr>
                <w:rFonts w:hint="eastAsia"/>
                <w:color w:val="auto"/>
                <w:sz w:val="24"/>
                <w:highlight w:val="none"/>
                <w:vertAlign w:val="baseline"/>
                <w:lang w:val="en-US" w:eastAsia="zh-CN"/>
              </w:rPr>
              <w:t>cm/s以下</w:t>
            </w:r>
            <w:r>
              <w:rPr>
                <w:color w:val="auto"/>
                <w:sz w:val="24"/>
                <w:highlight w:val="none"/>
              </w:rPr>
              <w:t>。</w:t>
            </w:r>
            <w:r>
              <w:rPr>
                <w:rFonts w:hint="eastAsia"/>
                <w:color w:val="auto"/>
                <w:sz w:val="24"/>
                <w:highlight w:val="none"/>
                <w:lang w:val="en-US" w:eastAsia="zh-CN"/>
              </w:rPr>
              <w:t>厂区其他地面除绿化用地、预留空地外采取灰土铺底，在上层铺10-15cm的混凝土进行硬化。</w:t>
            </w:r>
          </w:p>
          <w:p>
            <w:pPr>
              <w:keepNext w:val="0"/>
              <w:keepLines w:val="0"/>
              <w:pageBreakBefore w:val="0"/>
              <w:kinsoku/>
              <w:wordWrap/>
              <w:bidi w:val="0"/>
              <w:spacing w:line="520" w:lineRule="exact"/>
              <w:ind w:firstLine="480" w:firstLineChars="200"/>
              <w:jc w:val="both"/>
              <w:textAlignment w:val="auto"/>
              <w:rPr>
                <w:rFonts w:hint="eastAsia"/>
                <w:color w:val="auto"/>
                <w:sz w:val="24"/>
                <w:highlight w:val="none"/>
                <w:vertAlign w:val="baseline"/>
                <w:lang w:val="en-US" w:eastAsia="zh-CN"/>
              </w:rPr>
            </w:pPr>
            <w:r>
              <w:rPr>
                <w:rFonts w:hint="eastAsia"/>
                <w:color w:val="auto"/>
                <w:sz w:val="24"/>
                <w:highlight w:val="none"/>
                <w:lang w:val="en-US" w:eastAsia="zh-CN"/>
              </w:rPr>
              <w:t>一般防渗区：沉淀池采用一般防渗方式，要求防渗性能达到渗透系数＜10</w:t>
            </w:r>
            <w:r>
              <w:rPr>
                <w:rFonts w:hint="eastAsia"/>
                <w:color w:val="auto"/>
                <w:sz w:val="24"/>
                <w:highlight w:val="none"/>
                <w:vertAlign w:val="superscript"/>
                <w:lang w:val="en-US" w:eastAsia="zh-CN"/>
              </w:rPr>
              <w:t>-7</w:t>
            </w:r>
            <w:r>
              <w:rPr>
                <w:rFonts w:hint="eastAsia"/>
                <w:color w:val="auto"/>
                <w:sz w:val="24"/>
                <w:highlight w:val="none"/>
                <w:vertAlign w:val="baseline"/>
                <w:lang w:val="en-US" w:eastAsia="zh-CN"/>
              </w:rPr>
              <w:t>cm/s的防渗性能。</w:t>
            </w:r>
          </w:p>
          <w:p>
            <w:pPr>
              <w:keepNext w:val="0"/>
              <w:keepLines w:val="0"/>
              <w:pageBreakBefore w:val="0"/>
              <w:kinsoku/>
              <w:wordWrap/>
              <w:bidi w:val="0"/>
              <w:spacing w:line="520" w:lineRule="exact"/>
              <w:ind w:firstLine="480" w:firstLineChars="200"/>
              <w:jc w:val="both"/>
              <w:textAlignment w:val="auto"/>
              <w:rPr>
                <w:rFonts w:hint="eastAsia"/>
                <w:color w:val="auto"/>
                <w:sz w:val="24"/>
                <w:highlight w:val="none"/>
              </w:rPr>
            </w:pPr>
            <w:r>
              <w:rPr>
                <w:rFonts w:hint="eastAsia"/>
                <w:color w:val="auto"/>
                <w:sz w:val="24"/>
                <w:highlight w:val="none"/>
                <w:vertAlign w:val="baseline"/>
                <w:lang w:val="en-US" w:eastAsia="zh-CN"/>
              </w:rPr>
              <w:t>重点防渗区：危废暂存间区域地面全部硬化，底部和四壁均先采用三合土打底，在铺设20cm水泥，表面均匀涂刷2层防渗胶层，确保防渗系数达到1×10</w:t>
            </w:r>
            <w:r>
              <w:rPr>
                <w:rFonts w:hint="eastAsia"/>
                <w:color w:val="auto"/>
                <w:sz w:val="24"/>
                <w:highlight w:val="none"/>
                <w:vertAlign w:val="superscript"/>
                <w:lang w:val="en-US" w:eastAsia="zh-CN"/>
              </w:rPr>
              <w:t>-10</w:t>
            </w:r>
            <w:r>
              <w:rPr>
                <w:rFonts w:hint="eastAsia"/>
                <w:color w:val="auto"/>
                <w:sz w:val="24"/>
                <w:highlight w:val="none"/>
                <w:vertAlign w:val="baseline"/>
                <w:lang w:val="en-US" w:eastAsia="zh-CN"/>
              </w:rPr>
              <w:t>cm/s以下。项目危废暂存间严格按照《危险废物贮存污染控制标准》（GB18597-2023）中有关规定进行建设和防渗处置。</w:t>
            </w:r>
          </w:p>
          <w:p>
            <w:pPr>
              <w:keepNext w:val="0"/>
              <w:keepLines w:val="0"/>
              <w:pageBreakBefore w:val="0"/>
              <w:kinsoku/>
              <w:wordWrap/>
              <w:bidi w:val="0"/>
              <w:spacing w:line="520" w:lineRule="exact"/>
              <w:ind w:firstLine="480" w:firstLineChars="200"/>
              <w:jc w:val="both"/>
              <w:textAlignment w:val="auto"/>
              <w:rPr>
                <w:color w:val="auto"/>
                <w:sz w:val="24"/>
                <w:highlight w:val="none"/>
              </w:rPr>
            </w:pPr>
            <w:r>
              <w:rPr>
                <w:color w:val="auto"/>
                <w:sz w:val="24"/>
                <w:highlight w:val="none"/>
              </w:rPr>
              <w:t>在认真采取以上措施的基础上，一旦发生溢出与渗漏事故，渗漏物质将由于防渗层的保护作用，积聚在地面上，不会对地下水及土壤造成影响。</w:t>
            </w:r>
          </w:p>
          <w:p>
            <w:pPr>
              <w:keepNext w:val="0"/>
              <w:keepLines w:val="0"/>
              <w:pageBreakBefore w:val="0"/>
              <w:numPr>
                <w:ilvl w:val="0"/>
                <w:numId w:val="19"/>
              </w:numPr>
              <w:kinsoku/>
              <w:wordWrap/>
              <w:overflowPunct w:val="0"/>
              <w:bidi w:val="0"/>
              <w:spacing w:line="520" w:lineRule="exact"/>
              <w:ind w:left="0" w:leftChars="0" w:firstLine="0" w:firstLineChars="0"/>
              <w:jc w:val="both"/>
              <w:textAlignment w:val="auto"/>
              <w:rPr>
                <w:b/>
                <w:bCs/>
                <w:color w:val="auto"/>
                <w:sz w:val="24"/>
              </w:rPr>
            </w:pPr>
            <w:r>
              <w:rPr>
                <w:b/>
                <w:bCs/>
                <w:color w:val="auto"/>
                <w:sz w:val="24"/>
              </w:rPr>
              <w:t>环境风险分析</w:t>
            </w:r>
          </w:p>
          <w:p>
            <w:pPr>
              <w:keepNext w:val="0"/>
              <w:keepLines w:val="0"/>
              <w:pageBreakBefore w:val="0"/>
              <w:kinsoku/>
              <w:wordWrap/>
              <w:bidi w:val="0"/>
              <w:spacing w:line="520" w:lineRule="exact"/>
              <w:ind w:firstLine="480" w:firstLineChars="200"/>
              <w:jc w:val="both"/>
              <w:textAlignment w:val="auto"/>
              <w:rPr>
                <w:rFonts w:hint="default" w:ascii="Times New Roman" w:hAnsi="Times New Roman" w:eastAsia="宋体" w:cs="Times New Roman"/>
                <w:color w:val="auto"/>
                <w:sz w:val="24"/>
                <w:szCs w:val="24"/>
                <w:lang w:val="en-US"/>
              </w:rPr>
            </w:pPr>
            <w:r>
              <w:rPr>
                <w:rFonts w:hint="eastAsia" w:ascii="宋体" w:hAnsi="宋体" w:eastAsia="宋体" w:cs="宋体"/>
                <w:color w:val="auto"/>
                <w:sz w:val="24"/>
                <w:szCs w:val="24"/>
                <w:lang w:val="en-US"/>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w:t>
            </w:r>
            <w:r>
              <w:rPr>
                <w:rFonts w:hint="default" w:ascii="Times New Roman" w:hAnsi="Times New Roman" w:eastAsia="宋体" w:cs="Times New Roman"/>
                <w:color w:val="auto"/>
                <w:sz w:val="24"/>
                <w:szCs w:val="24"/>
                <w:lang w:val="en-US"/>
              </w:rPr>
              <w:t>境影响和损害程度，提出合理可行的防范、应急与减缓措施，使建设项目风险</w:t>
            </w:r>
            <w:r>
              <w:rPr>
                <w:rFonts w:hint="eastAsia" w:cs="Times New Roman"/>
                <w:color w:val="auto"/>
                <w:sz w:val="24"/>
                <w:szCs w:val="24"/>
                <w:lang w:val="en-US" w:eastAsia="zh-CN"/>
              </w:rPr>
              <w:t>事故</w:t>
            </w:r>
            <w:r>
              <w:rPr>
                <w:rFonts w:hint="default" w:ascii="Times New Roman" w:hAnsi="Times New Roman" w:eastAsia="宋体" w:cs="Times New Roman"/>
                <w:color w:val="auto"/>
                <w:sz w:val="24"/>
                <w:szCs w:val="24"/>
                <w:lang w:val="en-US"/>
              </w:rPr>
              <w:t>率、损失和环境影响能够达到可接受水平。</w:t>
            </w:r>
          </w:p>
          <w:p>
            <w:pPr>
              <w:keepNext w:val="0"/>
              <w:keepLines w:val="0"/>
              <w:pageBreakBefore w:val="0"/>
              <w:widowControl/>
              <w:suppressLineNumbers w:val="0"/>
              <w:kinsoku/>
              <w:wordWrap/>
              <w:bidi w:val="0"/>
              <w:spacing w:line="520" w:lineRule="exact"/>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6.1</w:t>
            </w:r>
            <w:r>
              <w:rPr>
                <w:rFonts w:hint="eastAsia"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en-US" w:eastAsia="zh-CN" w:bidi="ar"/>
              </w:rPr>
              <w:t xml:space="preserve">风险调查、风险潜势初判及评价等级 </w:t>
            </w:r>
          </w:p>
          <w:p>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ascii="Times New Roman"/>
                <w:color w:val="auto"/>
                <w:sz w:val="24"/>
                <w:szCs w:val="24"/>
              </w:rPr>
            </w:pPr>
            <w:r>
              <w:rPr>
                <w:rFonts w:hint="default" w:ascii="Times New Roman" w:hAnsi="Times New Roman" w:eastAsia="宋体" w:cs="Times New Roman"/>
                <w:color w:val="auto"/>
                <w:kern w:val="0"/>
                <w:sz w:val="24"/>
                <w:szCs w:val="24"/>
                <w:lang w:val="en-US" w:eastAsia="zh-CN" w:bidi="ar"/>
              </w:rPr>
              <w:t>根据《建设项目环境风险评价技术导则》（HJ169-2018）中附录 B 中的危险物质</w:t>
            </w:r>
            <w:r>
              <w:rPr>
                <w:rFonts w:ascii="Times New Roman"/>
                <w:color w:val="auto"/>
                <w:sz w:val="24"/>
                <w:szCs w:val="24"/>
                <w:lang w:bidi="ar"/>
              </w:rPr>
              <w:t>。</w:t>
            </w:r>
          </w:p>
          <w:p>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根据识别，本项目的主要风险源为</w:t>
            </w:r>
            <w:r>
              <w:rPr>
                <w:rFonts w:hint="eastAsia" w:cs="Times New Roman"/>
                <w:color w:val="auto"/>
                <w:kern w:val="0"/>
                <w:sz w:val="24"/>
                <w:szCs w:val="24"/>
                <w:lang w:val="en-US" w:eastAsia="zh-CN" w:bidi="ar"/>
              </w:rPr>
              <w:t>设备保养产生的废机油</w:t>
            </w:r>
            <w:r>
              <w:rPr>
                <w:rFonts w:hint="default" w:ascii="Times New Roman" w:hAnsi="Times New Roman" w:eastAsia="宋体" w:cs="Times New Roman"/>
                <w:color w:val="auto"/>
                <w:kern w:val="0"/>
                <w:sz w:val="24"/>
                <w:szCs w:val="24"/>
                <w:lang w:val="en-US" w:eastAsia="zh-CN" w:bidi="ar"/>
              </w:rPr>
              <w:t>。根据风险调查需要分析计算的危险物质，其临界量可按表B.2中推荐值选取，其主要风险因素为生产过程中产生的泄漏等。</w:t>
            </w:r>
          </w:p>
          <w:p>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重大危险源的识别依据《危险化学品重大危险源辨识》（GB18218-2018）有关危险物质的定义和储存的临界量来判断。</w:t>
            </w:r>
          </w:p>
          <w:p>
            <w:pPr>
              <w:keepNext w:val="0"/>
              <w:keepLines w:val="0"/>
              <w:pageBreakBefore w:val="0"/>
              <w:widowControl/>
              <w:kinsoku/>
              <w:wordWrap/>
              <w:topLinePunct/>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（1）生产单元、储存单元内存在的危险化学品为单一品种，该危险化学品的数量</w:t>
            </w:r>
            <w:r>
              <w:rPr>
                <w:rFonts w:hint="eastAsia" w:cs="Times New Roman"/>
                <w:color w:val="auto"/>
                <w:kern w:val="0"/>
                <w:sz w:val="24"/>
                <w:szCs w:val="24"/>
                <w:lang w:val="en-US" w:eastAsia="zh-CN" w:bidi="ar"/>
              </w:rPr>
              <w:t>即</w:t>
            </w:r>
            <w:r>
              <w:rPr>
                <w:rFonts w:hint="default" w:ascii="Times New Roman" w:hAnsi="Times New Roman" w:eastAsia="宋体" w:cs="Times New Roman"/>
                <w:color w:val="auto"/>
                <w:kern w:val="0"/>
                <w:sz w:val="24"/>
                <w:szCs w:val="24"/>
                <w:lang w:val="en-US" w:eastAsia="zh-CN" w:bidi="ar"/>
              </w:rPr>
              <w:t>为单元内危险化学品的总量，若等于或超过相应的临界量，则定为重大危险源。</w:t>
            </w:r>
          </w:p>
          <w:p>
            <w:pPr>
              <w:keepNext w:val="0"/>
              <w:keepLines w:val="0"/>
              <w:pageBreakBefore w:val="0"/>
              <w:widowControl/>
              <w:kinsoku/>
              <w:wordWrap/>
              <w:topLinePunct/>
              <w:bidi w:val="0"/>
              <w:adjustRightInd w:val="0"/>
              <w:snapToGrid w:val="0"/>
              <w:spacing w:line="520" w:lineRule="exact"/>
              <w:ind w:firstLine="480" w:firstLineChars="200"/>
              <w:jc w:val="both"/>
              <w:textAlignment w:val="auto"/>
              <w:rPr>
                <w:color w:val="auto"/>
                <w:sz w:val="24"/>
              </w:rPr>
            </w:pPr>
            <w:r>
              <w:rPr>
                <w:rFonts w:hint="default" w:ascii="Times New Roman" w:hAnsi="Times New Roman" w:eastAsia="宋体" w:cs="Times New Roman"/>
                <w:color w:val="auto"/>
                <w:kern w:val="0"/>
                <w:sz w:val="24"/>
                <w:szCs w:val="24"/>
                <w:lang w:val="en-US" w:eastAsia="zh-CN" w:bidi="ar"/>
              </w:rPr>
              <w:t>（2）生产单元、储存单元内存在的危险化学品为多品种时，则按式（1）计算，若满足式（1），则定为重大危险源；</w:t>
            </w:r>
          </w:p>
          <w:p>
            <w:pPr>
              <w:keepNext/>
              <w:keepLines/>
              <w:widowControl/>
              <w:spacing w:line="360" w:lineRule="auto"/>
              <w:outlineLvl w:val="2"/>
              <w:rPr>
                <w:b/>
                <w:bCs/>
                <w:color w:val="auto"/>
                <w:kern w:val="0"/>
                <w:sz w:val="24"/>
                <w:szCs w:val="22"/>
              </w:rPr>
            </w:pPr>
            <w:r>
              <w:rPr>
                <w:b/>
                <w:bCs/>
                <w:color w:val="auto"/>
                <w:kern w:val="0"/>
                <w:position w:val="-10"/>
                <w:sz w:val="28"/>
                <w:szCs w:val="28"/>
              </w:rPr>
              <w:pict>
                <v:shape id="Object 2" o:spid="_x0000_s1026" o:spt="75" type="#_x0000_t75" style="position:absolute;left:0pt;margin-left:96.1pt;margin-top:3.9pt;height:18.4pt;width:213.95pt;mso-wrap-distance-bottom:0pt;mso-wrap-distance-left:9pt;mso-wrap-distance-right:9pt;mso-wrap-distance-top:0pt;z-index:-251657216;mso-width-relative:page;mso-height-relative:page;" o:ole="t" filled="f" o:preferrelative="t" stroked="f" coordsize="21600,21600">
                  <v:path/>
                  <v:fill on="f" focussize="0,0"/>
                  <v:stroke on="f"/>
                  <v:imagedata r:id="rId19" o:title=""/>
                  <o:lock v:ext="edit" aspectratio="t"/>
                  <w10:wrap type="square"/>
                </v:shape>
                <o:OLEObject Type="Embed" ProgID="" ShapeID="Object 2" DrawAspect="Content" ObjectID="_1468075727" r:id="rId18">
                  <o:LockedField>false</o:LockedField>
                </o:OLEObject>
              </w:pict>
            </w:r>
            <w:r>
              <w:rPr>
                <w:b/>
                <w:bCs/>
                <w:color w:val="auto"/>
                <w:kern w:val="0"/>
                <w:sz w:val="30"/>
                <w:szCs w:val="30"/>
              </w:rPr>
              <w:t xml:space="preserve"> </w:t>
            </w:r>
          </w:p>
          <w:p>
            <w:pPr>
              <w:overflowPunct w:val="0"/>
              <w:spacing w:line="360" w:lineRule="auto"/>
              <w:rPr>
                <w:color w:val="auto"/>
                <w:kern w:val="0"/>
                <w:sz w:val="24"/>
                <w:szCs w:val="22"/>
              </w:rPr>
            </w:pPr>
            <w:r>
              <w:rPr>
                <w:color w:val="auto"/>
                <w:kern w:val="0"/>
                <w:sz w:val="24"/>
                <w:szCs w:val="22"/>
              </w:rPr>
              <w:t xml:space="preserve"> </w:t>
            </w:r>
          </w:p>
          <w:p>
            <w:pPr>
              <w:keepNext w:val="0"/>
              <w:keepLines w:val="0"/>
              <w:pageBreakBefore w:val="0"/>
              <w:widowControl w:val="0"/>
              <w:kinsoku/>
              <w:wordWrap/>
              <w:overflowPunct w:val="0"/>
              <w:topLinePunct w:val="0"/>
              <w:autoSpaceDE/>
              <w:autoSpaceDN/>
              <w:bidi w:val="0"/>
              <w:adjustRightInd/>
              <w:snapToGrid/>
              <w:spacing w:line="520" w:lineRule="exact"/>
              <w:ind w:firstLine="960" w:firstLineChars="400"/>
              <w:textAlignment w:val="auto"/>
              <w:rPr>
                <w:color w:val="auto"/>
                <w:kern w:val="0"/>
                <w:sz w:val="24"/>
                <w:szCs w:val="22"/>
              </w:rPr>
            </w:pPr>
            <w:r>
              <w:rPr>
                <w:color w:val="auto"/>
                <w:kern w:val="0"/>
                <w:sz w:val="24"/>
                <w:szCs w:val="22"/>
              </w:rPr>
              <w:t xml:space="preserve">式中：S——辨识指标；  </w:t>
            </w:r>
          </w:p>
          <w:p>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 xml:space="preserve">          q</w:t>
            </w:r>
            <w:r>
              <w:rPr>
                <w:color w:val="auto"/>
                <w:kern w:val="0"/>
                <w:sz w:val="24"/>
                <w:szCs w:val="22"/>
                <w:vertAlign w:val="subscript"/>
              </w:rPr>
              <w:t>1</w:t>
            </w:r>
            <w:r>
              <w:rPr>
                <w:color w:val="auto"/>
                <w:kern w:val="0"/>
                <w:sz w:val="24"/>
                <w:szCs w:val="22"/>
              </w:rPr>
              <w:t>、q</w:t>
            </w:r>
            <w:r>
              <w:rPr>
                <w:color w:val="auto"/>
                <w:kern w:val="0"/>
                <w:sz w:val="24"/>
                <w:szCs w:val="22"/>
                <w:vertAlign w:val="subscript"/>
              </w:rPr>
              <w:t>2</w:t>
            </w:r>
            <w:r>
              <w:rPr>
                <w:color w:val="auto"/>
                <w:kern w:val="0"/>
                <w:sz w:val="24"/>
                <w:szCs w:val="22"/>
              </w:rPr>
              <w:t>、q</w:t>
            </w:r>
            <w:r>
              <w:rPr>
                <w:color w:val="auto"/>
                <w:kern w:val="0"/>
                <w:sz w:val="24"/>
                <w:szCs w:val="22"/>
                <w:vertAlign w:val="subscript"/>
              </w:rPr>
              <w:t>n</w:t>
            </w:r>
            <w:r>
              <w:rPr>
                <w:color w:val="auto"/>
                <w:kern w:val="0"/>
                <w:sz w:val="24"/>
                <w:szCs w:val="22"/>
              </w:rPr>
              <w:t>——每种危险化学品实际存在量，t。</w:t>
            </w:r>
          </w:p>
          <w:p>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 xml:space="preserve">          Q</w:t>
            </w:r>
            <w:r>
              <w:rPr>
                <w:color w:val="auto"/>
                <w:kern w:val="0"/>
                <w:sz w:val="24"/>
                <w:szCs w:val="22"/>
                <w:vertAlign w:val="subscript"/>
              </w:rPr>
              <w:t>1</w:t>
            </w:r>
            <w:r>
              <w:rPr>
                <w:color w:val="auto"/>
                <w:kern w:val="0"/>
                <w:sz w:val="24"/>
                <w:szCs w:val="22"/>
              </w:rPr>
              <w:t>、Q</w:t>
            </w:r>
            <w:r>
              <w:rPr>
                <w:color w:val="auto"/>
                <w:kern w:val="0"/>
                <w:sz w:val="24"/>
                <w:szCs w:val="22"/>
                <w:vertAlign w:val="subscript"/>
              </w:rPr>
              <w:t>2</w:t>
            </w:r>
            <w:r>
              <w:rPr>
                <w:color w:val="auto"/>
                <w:kern w:val="0"/>
                <w:sz w:val="24"/>
                <w:szCs w:val="22"/>
              </w:rPr>
              <w:t>、Q</w:t>
            </w:r>
            <w:r>
              <w:rPr>
                <w:color w:val="auto"/>
                <w:kern w:val="0"/>
                <w:sz w:val="24"/>
                <w:szCs w:val="22"/>
                <w:vertAlign w:val="subscript"/>
              </w:rPr>
              <w:t>3</w:t>
            </w:r>
            <w:r>
              <w:rPr>
                <w:color w:val="auto"/>
                <w:kern w:val="0"/>
                <w:sz w:val="24"/>
                <w:szCs w:val="22"/>
              </w:rPr>
              <w:t>——与每种危险化学品相对应的临界量，t。</w:t>
            </w:r>
          </w:p>
          <w:p>
            <w:pPr>
              <w:keepNext w:val="0"/>
              <w:keepLines w:val="0"/>
              <w:pageBreakBefore w:val="0"/>
              <w:widowControl w:val="0"/>
              <w:kinsoku/>
              <w:wordWrap/>
              <w:overflowPunct w:val="0"/>
              <w:topLinePunct w:val="0"/>
              <w:autoSpaceDE/>
              <w:autoSpaceDN/>
              <w:bidi w:val="0"/>
              <w:adjustRightInd/>
              <w:snapToGrid/>
              <w:spacing w:line="520" w:lineRule="exact"/>
              <w:ind w:firstLine="480" w:firstLineChars="200"/>
              <w:textAlignment w:val="auto"/>
              <w:rPr>
                <w:color w:val="auto"/>
                <w:kern w:val="0"/>
                <w:sz w:val="24"/>
                <w:szCs w:val="22"/>
              </w:rPr>
            </w:pPr>
            <w:r>
              <w:rPr>
                <w:color w:val="auto"/>
                <w:kern w:val="0"/>
                <w:sz w:val="24"/>
                <w:szCs w:val="22"/>
              </w:rPr>
              <w:t>根据以上分析，辨识本单位危险化学品重大危险源见表4-1</w:t>
            </w:r>
            <w:r>
              <w:rPr>
                <w:rFonts w:hint="eastAsia"/>
                <w:color w:val="auto"/>
                <w:kern w:val="0"/>
                <w:sz w:val="24"/>
                <w:szCs w:val="22"/>
                <w:lang w:val="en-US" w:eastAsia="zh-CN"/>
              </w:rPr>
              <w:t>5</w:t>
            </w:r>
            <w:r>
              <w:rPr>
                <w:color w:val="auto"/>
                <w:kern w:val="0"/>
                <w:sz w:val="24"/>
                <w:szCs w:val="22"/>
              </w:rPr>
              <w:t>。</w:t>
            </w:r>
          </w:p>
          <w:p>
            <w:pPr>
              <w:keepNext w:val="0"/>
              <w:keepLines w:val="0"/>
              <w:pageBreakBefore w:val="0"/>
              <w:widowControl w:val="0"/>
              <w:kinsoku/>
              <w:wordWrap/>
              <w:overflowPunct/>
              <w:topLinePunct w:val="0"/>
              <w:autoSpaceDE w:val="0"/>
              <w:autoSpaceDN/>
              <w:bidi w:val="0"/>
              <w:adjustRightInd/>
              <w:snapToGrid/>
              <w:spacing w:line="520" w:lineRule="exact"/>
              <w:jc w:val="center"/>
              <w:textAlignment w:val="auto"/>
              <w:rPr>
                <w:b/>
                <w:color w:val="auto"/>
                <w:szCs w:val="21"/>
              </w:rPr>
            </w:pPr>
            <w:r>
              <w:rPr>
                <w:b/>
                <w:color w:val="auto"/>
                <w:szCs w:val="21"/>
                <w:lang w:bidi="ar"/>
              </w:rPr>
              <w:t>表4-1</w:t>
            </w:r>
            <w:r>
              <w:rPr>
                <w:rFonts w:hint="eastAsia"/>
                <w:b/>
                <w:color w:val="auto"/>
                <w:szCs w:val="21"/>
                <w:lang w:val="en-US" w:eastAsia="zh-CN" w:bidi="ar"/>
              </w:rPr>
              <w:t>5</w:t>
            </w:r>
            <w:r>
              <w:rPr>
                <w:b/>
                <w:color w:val="auto"/>
                <w:szCs w:val="21"/>
                <w:lang w:bidi="ar"/>
              </w:rPr>
              <w:t xml:space="preserve">   </w:t>
            </w:r>
            <w:r>
              <w:rPr>
                <w:rFonts w:hint="eastAsia"/>
                <w:b/>
                <w:color w:val="auto"/>
                <w:szCs w:val="21"/>
                <w:lang w:val="en-US" w:eastAsia="zh-CN" w:bidi="ar"/>
              </w:rPr>
              <w:t xml:space="preserve"> </w:t>
            </w:r>
            <w:r>
              <w:rPr>
                <w:b/>
                <w:color w:val="auto"/>
                <w:szCs w:val="21"/>
                <w:lang w:bidi="ar"/>
              </w:rPr>
              <w:t>危险物质临界量及实际存量</w:t>
            </w:r>
          </w:p>
          <w:tbl>
            <w:tblPr>
              <w:tblStyle w:val="25"/>
              <w:tblW w:w="83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693"/>
              <w:gridCol w:w="2135"/>
              <w:gridCol w:w="1032"/>
              <w:gridCol w:w="1597"/>
              <w:gridCol w:w="1121"/>
              <w:gridCol w:w="17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4" w:hRule="atLeast"/>
                <w:jc w:val="center"/>
              </w:trPr>
              <w:tc>
                <w:tcPr>
                  <w:tcW w:w="693" w:type="dxa"/>
                  <w:vMerge w:val="restart"/>
                  <w:tcBorders>
                    <w:tl2br w:val="nil"/>
                    <w:tr2bl w:val="nil"/>
                  </w:tcBorders>
                  <w:noWrap w:val="0"/>
                  <w:tcMar>
                    <w:left w:w="108" w:type="dxa"/>
                    <w:right w:w="108" w:type="dxa"/>
                  </w:tcMar>
                  <w:vAlign w:val="center"/>
                </w:tcPr>
                <w:p>
                  <w:pPr>
                    <w:jc w:val="center"/>
                    <w:rPr>
                      <w:color w:val="auto"/>
                      <w:szCs w:val="21"/>
                    </w:rPr>
                  </w:pPr>
                  <w:r>
                    <w:rPr>
                      <w:color w:val="auto"/>
                      <w:szCs w:val="21"/>
                    </w:rPr>
                    <w:t>序号</w:t>
                  </w:r>
                </w:p>
              </w:tc>
              <w:tc>
                <w:tcPr>
                  <w:tcW w:w="3167" w:type="dxa"/>
                  <w:gridSpan w:val="2"/>
                  <w:tcBorders>
                    <w:tl2br w:val="nil"/>
                    <w:tr2bl w:val="nil"/>
                  </w:tcBorders>
                  <w:noWrap w:val="0"/>
                  <w:tcMar>
                    <w:left w:w="108" w:type="dxa"/>
                    <w:right w:w="108" w:type="dxa"/>
                  </w:tcMar>
                  <w:vAlign w:val="center"/>
                </w:tcPr>
                <w:p>
                  <w:pPr>
                    <w:jc w:val="center"/>
                    <w:rPr>
                      <w:color w:val="auto"/>
                      <w:szCs w:val="21"/>
                    </w:rPr>
                  </w:pPr>
                  <w:r>
                    <w:rPr>
                      <w:color w:val="auto"/>
                      <w:szCs w:val="21"/>
                    </w:rPr>
                    <w:t>危险物质</w:t>
                  </w:r>
                </w:p>
              </w:tc>
              <w:tc>
                <w:tcPr>
                  <w:tcW w:w="1597" w:type="dxa"/>
                  <w:vMerge w:val="restart"/>
                  <w:tcBorders>
                    <w:tl2br w:val="nil"/>
                    <w:tr2bl w:val="nil"/>
                  </w:tcBorders>
                  <w:noWrap w:val="0"/>
                  <w:tcMar>
                    <w:left w:w="108" w:type="dxa"/>
                    <w:right w:w="108" w:type="dxa"/>
                  </w:tcMar>
                  <w:vAlign w:val="center"/>
                </w:tcPr>
                <w:p>
                  <w:pPr>
                    <w:jc w:val="center"/>
                    <w:rPr>
                      <w:color w:val="auto"/>
                      <w:szCs w:val="21"/>
                    </w:rPr>
                  </w:pPr>
                  <w:r>
                    <w:rPr>
                      <w:color w:val="auto"/>
                      <w:szCs w:val="21"/>
                    </w:rPr>
                    <w:t>储存/使用量</w:t>
                  </w:r>
                </w:p>
              </w:tc>
              <w:tc>
                <w:tcPr>
                  <w:tcW w:w="1121" w:type="dxa"/>
                  <w:vMerge w:val="restart"/>
                  <w:tcBorders>
                    <w:tl2br w:val="nil"/>
                    <w:tr2bl w:val="nil"/>
                  </w:tcBorders>
                  <w:noWrap w:val="0"/>
                  <w:tcMar>
                    <w:left w:w="108" w:type="dxa"/>
                    <w:right w:w="108" w:type="dxa"/>
                  </w:tcMar>
                  <w:vAlign w:val="center"/>
                </w:tcPr>
                <w:p>
                  <w:pPr>
                    <w:jc w:val="center"/>
                    <w:rPr>
                      <w:color w:val="auto"/>
                      <w:szCs w:val="21"/>
                    </w:rPr>
                  </w:pPr>
                  <w:r>
                    <w:rPr>
                      <w:color w:val="auto"/>
                      <w:szCs w:val="21"/>
                    </w:rPr>
                    <w:t>临界量</w:t>
                  </w:r>
                </w:p>
              </w:tc>
              <w:tc>
                <w:tcPr>
                  <w:tcW w:w="1771" w:type="dxa"/>
                  <w:vMerge w:val="restart"/>
                  <w:tcBorders>
                    <w:tl2br w:val="nil"/>
                    <w:tr2bl w:val="nil"/>
                  </w:tcBorders>
                  <w:noWrap w:val="0"/>
                  <w:tcMar>
                    <w:left w:w="108" w:type="dxa"/>
                    <w:right w:w="108" w:type="dxa"/>
                  </w:tcMar>
                  <w:vAlign w:val="center"/>
                </w:tcPr>
                <w:p>
                  <w:pPr>
                    <w:jc w:val="center"/>
                    <w:rPr>
                      <w:color w:val="auto"/>
                      <w:szCs w:val="21"/>
                    </w:rPr>
                  </w:pPr>
                  <w:r>
                    <w:rPr>
                      <w:color w:val="auto"/>
                      <w:szCs w:val="21"/>
                    </w:rPr>
                    <w:t xml:space="preserve">该种危险物 </w:t>
                  </w:r>
                </w:p>
                <w:p>
                  <w:pPr>
                    <w:jc w:val="center"/>
                    <w:rPr>
                      <w:color w:val="auto"/>
                      <w:szCs w:val="21"/>
                    </w:rPr>
                  </w:pPr>
                  <w:r>
                    <w:rPr>
                      <w:color w:val="auto"/>
                      <w:szCs w:val="21"/>
                    </w:rPr>
                    <w:t>质Q值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12" w:hRule="atLeast"/>
                <w:jc w:val="center"/>
              </w:trPr>
              <w:tc>
                <w:tcPr>
                  <w:tcW w:w="693" w:type="dxa"/>
                  <w:vMerge w:val="continue"/>
                  <w:tcBorders>
                    <w:tl2br w:val="nil"/>
                    <w:tr2bl w:val="nil"/>
                  </w:tcBorders>
                  <w:noWrap w:val="0"/>
                  <w:tcMar>
                    <w:left w:w="108" w:type="dxa"/>
                    <w:right w:w="108" w:type="dxa"/>
                  </w:tcMar>
                  <w:vAlign w:val="center"/>
                </w:tcPr>
                <w:p>
                  <w:pPr>
                    <w:jc w:val="center"/>
                    <w:rPr>
                      <w:color w:val="auto"/>
                      <w:szCs w:val="21"/>
                    </w:rPr>
                  </w:pPr>
                </w:p>
              </w:tc>
              <w:tc>
                <w:tcPr>
                  <w:tcW w:w="2135" w:type="dxa"/>
                  <w:tcBorders>
                    <w:tl2br w:val="nil"/>
                    <w:tr2bl w:val="nil"/>
                  </w:tcBorders>
                  <w:noWrap w:val="0"/>
                  <w:tcMar>
                    <w:left w:w="108" w:type="dxa"/>
                    <w:right w:w="108" w:type="dxa"/>
                  </w:tcMar>
                  <w:vAlign w:val="center"/>
                </w:tcPr>
                <w:p>
                  <w:pPr>
                    <w:jc w:val="center"/>
                    <w:rPr>
                      <w:color w:val="auto"/>
                      <w:szCs w:val="21"/>
                    </w:rPr>
                  </w:pPr>
                  <w:r>
                    <w:rPr>
                      <w:color w:val="auto"/>
                      <w:szCs w:val="21"/>
                    </w:rPr>
                    <w:t>物质名称</w:t>
                  </w:r>
                </w:p>
              </w:tc>
              <w:tc>
                <w:tcPr>
                  <w:tcW w:w="1032" w:type="dxa"/>
                  <w:tcBorders>
                    <w:tl2br w:val="nil"/>
                    <w:tr2bl w:val="nil"/>
                  </w:tcBorders>
                  <w:noWrap w:val="0"/>
                  <w:tcMar>
                    <w:left w:w="108" w:type="dxa"/>
                    <w:right w:w="108" w:type="dxa"/>
                  </w:tcMar>
                  <w:vAlign w:val="center"/>
                </w:tcPr>
                <w:p>
                  <w:pPr>
                    <w:jc w:val="center"/>
                    <w:rPr>
                      <w:color w:val="auto"/>
                      <w:szCs w:val="21"/>
                    </w:rPr>
                  </w:pPr>
                  <w:r>
                    <w:rPr>
                      <w:color w:val="auto"/>
                      <w:sz w:val="20"/>
                      <w:szCs w:val="20"/>
                      <w:lang w:bidi="en-US"/>
                    </w:rPr>
                    <w:t>CAS</w:t>
                  </w:r>
                  <w:r>
                    <w:rPr>
                      <w:color w:val="auto"/>
                      <w:sz w:val="20"/>
                      <w:szCs w:val="20"/>
                    </w:rPr>
                    <w:t>号</w:t>
                  </w:r>
                </w:p>
              </w:tc>
              <w:tc>
                <w:tcPr>
                  <w:tcW w:w="1597" w:type="dxa"/>
                  <w:vMerge w:val="continue"/>
                  <w:tcBorders>
                    <w:tl2br w:val="nil"/>
                    <w:tr2bl w:val="nil"/>
                  </w:tcBorders>
                  <w:noWrap w:val="0"/>
                  <w:tcMar>
                    <w:left w:w="108" w:type="dxa"/>
                    <w:right w:w="108" w:type="dxa"/>
                  </w:tcMar>
                  <w:vAlign w:val="center"/>
                </w:tcPr>
                <w:p>
                  <w:pPr>
                    <w:jc w:val="center"/>
                    <w:rPr>
                      <w:color w:val="auto"/>
                      <w:szCs w:val="21"/>
                    </w:rPr>
                  </w:pPr>
                </w:p>
              </w:tc>
              <w:tc>
                <w:tcPr>
                  <w:tcW w:w="1121" w:type="dxa"/>
                  <w:vMerge w:val="continue"/>
                  <w:tcBorders>
                    <w:tl2br w:val="nil"/>
                    <w:tr2bl w:val="nil"/>
                  </w:tcBorders>
                  <w:noWrap w:val="0"/>
                  <w:tcMar>
                    <w:left w:w="108" w:type="dxa"/>
                    <w:right w:w="108" w:type="dxa"/>
                  </w:tcMar>
                  <w:vAlign w:val="center"/>
                </w:tcPr>
                <w:p>
                  <w:pPr>
                    <w:jc w:val="center"/>
                    <w:rPr>
                      <w:color w:val="auto"/>
                      <w:szCs w:val="21"/>
                    </w:rPr>
                  </w:pPr>
                </w:p>
              </w:tc>
              <w:tc>
                <w:tcPr>
                  <w:tcW w:w="1771" w:type="dxa"/>
                  <w:vMerge w:val="continue"/>
                  <w:tcBorders>
                    <w:tl2br w:val="nil"/>
                    <w:tr2bl w:val="nil"/>
                  </w:tcBorders>
                  <w:noWrap w:val="0"/>
                  <w:tcMar>
                    <w:left w:w="108" w:type="dxa"/>
                    <w:right w:w="108" w:type="dxa"/>
                  </w:tcMar>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59" w:hRule="atLeast"/>
                <w:jc w:val="center"/>
              </w:trPr>
              <w:tc>
                <w:tcPr>
                  <w:tcW w:w="693" w:type="dxa"/>
                  <w:tcBorders>
                    <w:tl2br w:val="nil"/>
                    <w:tr2bl w:val="nil"/>
                  </w:tcBorders>
                  <w:noWrap w:val="0"/>
                  <w:tcMar>
                    <w:left w:w="108" w:type="dxa"/>
                    <w:right w:w="108" w:type="dxa"/>
                  </w:tcMar>
                  <w:vAlign w:val="center"/>
                </w:tcPr>
                <w:p>
                  <w:pPr>
                    <w:jc w:val="center"/>
                    <w:rPr>
                      <w:color w:val="auto"/>
                      <w:szCs w:val="21"/>
                    </w:rPr>
                  </w:pPr>
                  <w:r>
                    <w:rPr>
                      <w:color w:val="auto"/>
                      <w:szCs w:val="21"/>
                    </w:rPr>
                    <w:t>1</w:t>
                  </w:r>
                </w:p>
              </w:tc>
              <w:tc>
                <w:tcPr>
                  <w:tcW w:w="2135" w:type="dxa"/>
                  <w:tcBorders>
                    <w:tl2br w:val="nil"/>
                    <w:tr2bl w:val="nil"/>
                  </w:tcBorders>
                  <w:noWrap w:val="0"/>
                  <w:tcMar>
                    <w:left w:w="108" w:type="dxa"/>
                    <w:right w:w="108" w:type="dxa"/>
                  </w:tcMar>
                  <w:vAlign w:val="center"/>
                </w:tcPr>
                <w:p>
                  <w:pPr>
                    <w:jc w:val="center"/>
                    <w:rPr>
                      <w:rFonts w:hint="default" w:eastAsia="宋体"/>
                      <w:color w:val="auto"/>
                      <w:szCs w:val="21"/>
                      <w:lang w:val="en-US" w:eastAsia="zh-CN"/>
                    </w:rPr>
                  </w:pPr>
                  <w:r>
                    <w:rPr>
                      <w:rFonts w:hint="eastAsia"/>
                      <w:color w:val="auto"/>
                      <w:szCs w:val="21"/>
                      <w:lang w:val="en-US" w:eastAsia="zh-CN"/>
                    </w:rPr>
                    <w:t>废机油</w:t>
                  </w:r>
                </w:p>
              </w:tc>
              <w:tc>
                <w:tcPr>
                  <w:tcW w:w="1032" w:type="dxa"/>
                  <w:tcBorders>
                    <w:tl2br w:val="nil"/>
                    <w:tr2bl w:val="nil"/>
                  </w:tcBorders>
                  <w:noWrap w:val="0"/>
                  <w:tcMar>
                    <w:left w:w="108" w:type="dxa"/>
                    <w:right w:w="108" w:type="dxa"/>
                  </w:tcMar>
                  <w:vAlign w:val="center"/>
                </w:tcPr>
                <w:p>
                  <w:pPr>
                    <w:jc w:val="center"/>
                    <w:rPr>
                      <w:color w:val="auto"/>
                      <w:szCs w:val="21"/>
                    </w:rPr>
                  </w:pPr>
                  <w:r>
                    <w:rPr>
                      <w:color w:val="auto"/>
                      <w:sz w:val="20"/>
                      <w:szCs w:val="20"/>
                      <w:lang w:bidi="en-US"/>
                    </w:rPr>
                    <w:t>/</w:t>
                  </w:r>
                </w:p>
              </w:tc>
              <w:tc>
                <w:tcPr>
                  <w:tcW w:w="1597" w:type="dxa"/>
                  <w:tcBorders>
                    <w:tl2br w:val="nil"/>
                    <w:tr2bl w:val="nil"/>
                  </w:tcBorders>
                  <w:noWrap w:val="0"/>
                  <w:tcMar>
                    <w:left w:w="108" w:type="dxa"/>
                    <w:right w:w="108" w:type="dxa"/>
                  </w:tcMar>
                  <w:vAlign w:val="center"/>
                </w:tcPr>
                <w:p>
                  <w:pPr>
                    <w:jc w:val="center"/>
                    <w:rPr>
                      <w:rFonts w:hint="default" w:eastAsia="宋体"/>
                      <w:color w:val="auto"/>
                      <w:szCs w:val="21"/>
                      <w:lang w:val="en-US" w:eastAsia="zh-CN"/>
                    </w:rPr>
                  </w:pPr>
                  <w:r>
                    <w:rPr>
                      <w:rFonts w:hint="eastAsia"/>
                      <w:color w:val="auto"/>
                      <w:szCs w:val="21"/>
                      <w:lang w:val="en-US" w:eastAsia="zh-CN"/>
                    </w:rPr>
                    <w:t>0.8</w:t>
                  </w:r>
                </w:p>
              </w:tc>
              <w:tc>
                <w:tcPr>
                  <w:tcW w:w="1121" w:type="dxa"/>
                  <w:tcBorders>
                    <w:tl2br w:val="nil"/>
                    <w:tr2bl w:val="nil"/>
                  </w:tcBorders>
                  <w:noWrap w:val="0"/>
                  <w:tcMar>
                    <w:left w:w="108" w:type="dxa"/>
                    <w:right w:w="108" w:type="dxa"/>
                  </w:tcMar>
                  <w:vAlign w:val="center"/>
                </w:tcPr>
                <w:p>
                  <w:pPr>
                    <w:jc w:val="center"/>
                    <w:rPr>
                      <w:color w:val="auto"/>
                      <w:szCs w:val="21"/>
                    </w:rPr>
                  </w:pPr>
                  <w:r>
                    <w:rPr>
                      <w:color w:val="auto"/>
                      <w:szCs w:val="21"/>
                    </w:rPr>
                    <w:t>2500t</w:t>
                  </w:r>
                </w:p>
              </w:tc>
              <w:tc>
                <w:tcPr>
                  <w:tcW w:w="1771" w:type="dxa"/>
                  <w:tcBorders>
                    <w:tl2br w:val="nil"/>
                    <w:tr2bl w:val="nil"/>
                  </w:tcBorders>
                  <w:noWrap w:val="0"/>
                  <w:tcMar>
                    <w:left w:w="108" w:type="dxa"/>
                    <w:right w:w="108" w:type="dxa"/>
                  </w:tcMar>
                  <w:vAlign w:val="center"/>
                </w:tcPr>
                <w:p>
                  <w:pPr>
                    <w:jc w:val="center"/>
                    <w:rPr>
                      <w:rFonts w:hint="default" w:eastAsia="宋体"/>
                      <w:color w:val="auto"/>
                      <w:szCs w:val="21"/>
                      <w:lang w:val="en-US" w:eastAsia="zh-CN"/>
                    </w:rPr>
                  </w:pPr>
                  <w:r>
                    <w:rPr>
                      <w:rFonts w:hint="eastAsia"/>
                      <w:color w:val="auto"/>
                      <w:szCs w:val="21"/>
                      <w:lang w:val="en-US" w:eastAsia="zh-CN"/>
                    </w:rPr>
                    <w:t>0.0003</w:t>
                  </w:r>
                </w:p>
              </w:tc>
            </w:tr>
          </w:tbl>
          <w:p>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color w:val="auto"/>
                <w:spacing w:val="-4"/>
                <w:sz w:val="24"/>
                <w:szCs w:val="24"/>
                <w:lang w:bidi="ar"/>
              </w:rPr>
            </w:pPr>
            <w:r>
              <w:rPr>
                <w:color w:val="auto"/>
                <w:spacing w:val="-4"/>
                <w:sz w:val="24"/>
                <w:szCs w:val="24"/>
                <w:lang w:bidi="ar"/>
              </w:rPr>
              <w:t>依据《建设项目环境风险评价技术导则》（HJ/T169-2018），建设项目环境风险评价工作级别按表4-1</w:t>
            </w:r>
            <w:r>
              <w:rPr>
                <w:rFonts w:hint="eastAsia"/>
                <w:color w:val="auto"/>
                <w:spacing w:val="-4"/>
                <w:sz w:val="24"/>
                <w:szCs w:val="24"/>
                <w:lang w:val="en-US" w:eastAsia="zh-CN" w:bidi="ar"/>
              </w:rPr>
              <w:t>6</w:t>
            </w:r>
            <w:r>
              <w:rPr>
                <w:color w:val="auto"/>
                <w:spacing w:val="-4"/>
                <w:sz w:val="24"/>
                <w:szCs w:val="24"/>
                <w:lang w:bidi="ar"/>
              </w:rPr>
              <w:t>进行划分。</w:t>
            </w:r>
          </w:p>
          <w:p>
            <w:pPr>
              <w:keepNext w:val="0"/>
              <w:keepLines w:val="0"/>
              <w:pageBreakBefore w:val="0"/>
              <w:widowControl w:val="0"/>
              <w:tabs>
                <w:tab w:val="left" w:pos="438"/>
              </w:tabs>
              <w:kinsoku/>
              <w:wordWrap/>
              <w:overflowPunct/>
              <w:topLinePunct w:val="0"/>
              <w:autoSpaceDE/>
              <w:autoSpaceDN/>
              <w:bidi w:val="0"/>
              <w:adjustRightInd/>
              <w:snapToGrid/>
              <w:spacing w:line="520" w:lineRule="exact"/>
              <w:jc w:val="center"/>
              <w:textAlignment w:val="auto"/>
              <w:rPr>
                <w:b/>
                <w:color w:val="auto"/>
                <w:szCs w:val="21"/>
              </w:rPr>
            </w:pPr>
            <w:r>
              <w:rPr>
                <w:b/>
                <w:color w:val="auto"/>
                <w:szCs w:val="21"/>
              </w:rPr>
              <w:t>表4-1</w:t>
            </w:r>
            <w:r>
              <w:rPr>
                <w:rFonts w:hint="eastAsia"/>
                <w:b/>
                <w:color w:val="auto"/>
                <w:szCs w:val="21"/>
                <w:lang w:val="en-US" w:eastAsia="zh-CN"/>
              </w:rPr>
              <w:t xml:space="preserve">6  </w:t>
            </w:r>
            <w:r>
              <w:rPr>
                <w:b/>
                <w:color w:val="auto"/>
                <w:szCs w:val="21"/>
              </w:rPr>
              <w:t xml:space="preserve">  评价工作级别</w:t>
            </w:r>
          </w:p>
          <w:tbl>
            <w:tblPr>
              <w:tblStyle w:val="25"/>
              <w:tblW w:w="8314"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211"/>
              <w:gridCol w:w="1693"/>
              <w:gridCol w:w="1980"/>
              <w:gridCol w:w="1769"/>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398" w:hRule="atLeast"/>
                <w:jc w:val="center"/>
              </w:trPr>
              <w:tc>
                <w:tcPr>
                  <w:tcW w:w="999" w:type="pct"/>
                  <w:tcBorders>
                    <w:top w:val="single" w:color="auto" w:sz="12" w:space="0"/>
                    <w:left w:val="nil"/>
                  </w:tcBorders>
                  <w:noWrap w:val="0"/>
                  <w:vAlign w:val="center"/>
                </w:tcPr>
                <w:p>
                  <w:pPr>
                    <w:jc w:val="center"/>
                    <w:textAlignment w:val="baseline"/>
                    <w:rPr>
                      <w:color w:val="auto"/>
                      <w:szCs w:val="21"/>
                    </w:rPr>
                  </w:pPr>
                  <w:r>
                    <w:rPr>
                      <w:color w:val="auto"/>
                      <w:szCs w:val="21"/>
                    </w:rPr>
                    <w:t>环境风险潜势</w:t>
                  </w:r>
                </w:p>
              </w:tc>
              <w:tc>
                <w:tcPr>
                  <w:tcW w:w="728" w:type="pct"/>
                  <w:tcBorders>
                    <w:top w:val="single" w:color="auto" w:sz="12" w:space="0"/>
                  </w:tcBorders>
                  <w:noWrap w:val="0"/>
                  <w:vAlign w:val="center"/>
                </w:tcPr>
                <w:p>
                  <w:pPr>
                    <w:jc w:val="center"/>
                    <w:textAlignment w:val="baseline"/>
                    <w:rPr>
                      <w:color w:val="auto"/>
                      <w:szCs w:val="21"/>
                    </w:rPr>
                  </w:pPr>
                  <w:r>
                    <w:rPr>
                      <w:color w:val="auto"/>
                      <w:szCs w:val="21"/>
                    </w:rPr>
                    <w:t>Ⅳ、 Ⅳ</w:t>
                  </w:r>
                  <w:r>
                    <w:rPr>
                      <w:color w:val="auto"/>
                      <w:szCs w:val="21"/>
                      <w:vertAlign w:val="superscript"/>
                    </w:rPr>
                    <w:t>+</w:t>
                  </w:r>
                  <w:r>
                    <w:rPr>
                      <w:color w:val="auto"/>
                      <w:szCs w:val="21"/>
                    </w:rPr>
                    <w:t xml:space="preserve"> </w:t>
                  </w:r>
                </w:p>
              </w:tc>
              <w:tc>
                <w:tcPr>
                  <w:tcW w:w="1018" w:type="pct"/>
                  <w:tcBorders>
                    <w:top w:val="single" w:color="auto" w:sz="12" w:space="0"/>
                  </w:tcBorders>
                  <w:noWrap w:val="0"/>
                  <w:vAlign w:val="center"/>
                </w:tcPr>
                <w:p>
                  <w:pPr>
                    <w:jc w:val="center"/>
                    <w:textAlignment w:val="baseline"/>
                    <w:rPr>
                      <w:color w:val="auto"/>
                      <w:szCs w:val="21"/>
                    </w:rPr>
                  </w:pPr>
                  <w:r>
                    <w:rPr>
                      <w:color w:val="auto"/>
                      <w:szCs w:val="21"/>
                    </w:rPr>
                    <w:t xml:space="preserve">Ⅲ  </w:t>
                  </w:r>
                </w:p>
              </w:tc>
              <w:tc>
                <w:tcPr>
                  <w:tcW w:w="1191" w:type="pct"/>
                  <w:tcBorders>
                    <w:top w:val="single" w:color="auto" w:sz="12" w:space="0"/>
                  </w:tcBorders>
                  <w:noWrap w:val="0"/>
                  <w:vAlign w:val="center"/>
                </w:tcPr>
                <w:p>
                  <w:pPr>
                    <w:jc w:val="center"/>
                    <w:textAlignment w:val="baseline"/>
                    <w:rPr>
                      <w:color w:val="auto"/>
                      <w:szCs w:val="21"/>
                    </w:rPr>
                  </w:pPr>
                  <w:r>
                    <w:rPr>
                      <w:color w:val="auto"/>
                      <w:szCs w:val="21"/>
                    </w:rPr>
                    <w:t>Ⅱ</w:t>
                  </w:r>
                </w:p>
              </w:tc>
              <w:tc>
                <w:tcPr>
                  <w:tcW w:w="1062" w:type="pct"/>
                  <w:tcBorders>
                    <w:top w:val="single" w:color="auto" w:sz="12" w:space="0"/>
                    <w:right w:val="nil"/>
                  </w:tcBorders>
                  <w:noWrap w:val="0"/>
                  <w:vAlign w:val="center"/>
                </w:tcPr>
                <w:p>
                  <w:pPr>
                    <w:jc w:val="center"/>
                    <w:textAlignment w:val="baseline"/>
                    <w:rPr>
                      <w:color w:val="auto"/>
                      <w:szCs w:val="21"/>
                    </w:rPr>
                  </w:pPr>
                  <w:r>
                    <w:rPr>
                      <w:color w:val="auto"/>
                      <w:szCs w:val="21"/>
                    </w:rPr>
                    <w:t>Ⅰ</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99" w:type="pct"/>
                  <w:tcBorders>
                    <w:left w:val="nil"/>
                  </w:tcBorders>
                  <w:noWrap w:val="0"/>
                  <w:vAlign w:val="center"/>
                </w:tcPr>
                <w:p>
                  <w:pPr>
                    <w:jc w:val="center"/>
                    <w:textAlignment w:val="baseline"/>
                    <w:rPr>
                      <w:color w:val="auto"/>
                      <w:szCs w:val="21"/>
                    </w:rPr>
                  </w:pPr>
                  <w:r>
                    <w:rPr>
                      <w:color w:val="auto"/>
                      <w:szCs w:val="21"/>
                    </w:rPr>
                    <w:t>评价工作等级</w:t>
                  </w:r>
                </w:p>
              </w:tc>
              <w:tc>
                <w:tcPr>
                  <w:tcW w:w="728" w:type="pct"/>
                  <w:noWrap w:val="0"/>
                  <w:vAlign w:val="center"/>
                </w:tcPr>
                <w:p>
                  <w:pPr>
                    <w:jc w:val="center"/>
                    <w:textAlignment w:val="baseline"/>
                    <w:rPr>
                      <w:color w:val="auto"/>
                      <w:szCs w:val="21"/>
                    </w:rPr>
                  </w:pPr>
                  <w:r>
                    <w:rPr>
                      <w:color w:val="auto"/>
                      <w:szCs w:val="21"/>
                    </w:rPr>
                    <w:t>一</w:t>
                  </w:r>
                </w:p>
              </w:tc>
              <w:tc>
                <w:tcPr>
                  <w:tcW w:w="1018" w:type="pct"/>
                  <w:noWrap w:val="0"/>
                  <w:vAlign w:val="center"/>
                </w:tcPr>
                <w:p>
                  <w:pPr>
                    <w:jc w:val="center"/>
                    <w:textAlignment w:val="baseline"/>
                    <w:rPr>
                      <w:color w:val="auto"/>
                      <w:szCs w:val="21"/>
                    </w:rPr>
                  </w:pPr>
                  <w:r>
                    <w:rPr>
                      <w:color w:val="auto"/>
                      <w:szCs w:val="21"/>
                    </w:rPr>
                    <w:t>二</w:t>
                  </w:r>
                </w:p>
              </w:tc>
              <w:tc>
                <w:tcPr>
                  <w:tcW w:w="1191" w:type="pct"/>
                  <w:noWrap w:val="0"/>
                  <w:vAlign w:val="center"/>
                </w:tcPr>
                <w:p>
                  <w:pPr>
                    <w:jc w:val="center"/>
                    <w:textAlignment w:val="baseline"/>
                    <w:rPr>
                      <w:color w:val="auto"/>
                      <w:szCs w:val="21"/>
                    </w:rPr>
                  </w:pPr>
                  <w:r>
                    <w:rPr>
                      <w:color w:val="auto"/>
                      <w:szCs w:val="21"/>
                    </w:rPr>
                    <w:t>三</w:t>
                  </w:r>
                </w:p>
              </w:tc>
              <w:tc>
                <w:tcPr>
                  <w:tcW w:w="1062" w:type="pct"/>
                  <w:tcBorders>
                    <w:right w:val="nil"/>
                  </w:tcBorders>
                  <w:noWrap w:val="0"/>
                  <w:vAlign w:val="center"/>
                </w:tcPr>
                <w:p>
                  <w:pPr>
                    <w:jc w:val="center"/>
                    <w:textAlignment w:val="baseline"/>
                    <w:rPr>
                      <w:color w:val="auto"/>
                      <w:szCs w:val="21"/>
                    </w:rPr>
                  </w:pPr>
                  <w:r>
                    <w:rPr>
                      <w:color w:val="auto"/>
                      <w:szCs w:val="21"/>
                    </w:rPr>
                    <w:t>简单分析</w:t>
                  </w:r>
                  <w:r>
                    <w:rPr>
                      <w:color w:val="auto"/>
                      <w:szCs w:val="21"/>
                      <w:vertAlign w:val="superscript"/>
                    </w:rPr>
                    <w:t>a</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5000" w:type="pct"/>
                  <w:gridSpan w:val="5"/>
                  <w:tcBorders>
                    <w:left w:val="nil"/>
                    <w:bottom w:val="single" w:color="auto" w:sz="12" w:space="0"/>
                    <w:right w:val="nil"/>
                  </w:tcBorders>
                  <w:noWrap w:val="0"/>
                  <w:vAlign w:val="center"/>
                </w:tcPr>
                <w:p>
                  <w:pPr>
                    <w:jc w:val="left"/>
                    <w:textAlignment w:val="baseline"/>
                    <w:rPr>
                      <w:color w:val="auto"/>
                      <w:szCs w:val="21"/>
                    </w:rPr>
                  </w:pPr>
                  <w:r>
                    <w:rPr>
                      <w:color w:val="auto"/>
                      <w:szCs w:val="21"/>
                      <w:vertAlign w:val="superscript"/>
                    </w:rPr>
                    <w:t>a</w:t>
                  </w:r>
                  <w:r>
                    <w:rPr>
                      <w:color w:val="auto"/>
                      <w:szCs w:val="21"/>
                    </w:rPr>
                    <w:t>是相对于详细评价工作内容而言，在描述危险物质、环境影响途径、环境危害后果、风险防范措施等方面给出定性说明</w:t>
                  </w:r>
                </w:p>
              </w:tc>
            </w:tr>
          </w:tbl>
          <w:p>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rFonts w:hint="default" w:ascii="Times New Roman" w:hAnsi="Times New Roman" w:eastAsia="宋体" w:cs="Times New Roman"/>
                <w:color w:val="auto"/>
                <w:spacing w:val="-4"/>
                <w:sz w:val="24"/>
                <w:lang w:bidi="ar"/>
              </w:rPr>
            </w:pPr>
            <w:r>
              <w:rPr>
                <w:rFonts w:hint="default" w:ascii="Times New Roman" w:hAnsi="Times New Roman" w:eastAsia="宋体" w:cs="Times New Roman"/>
                <w:color w:val="auto"/>
                <w:spacing w:val="-4"/>
                <w:sz w:val="24"/>
                <w:lang w:bidi="ar"/>
              </w:rPr>
              <w:t>根据导则附录C中计算物质的Q值为0.000</w:t>
            </w:r>
            <w:r>
              <w:rPr>
                <w:rFonts w:hint="eastAsia" w:eastAsia="宋体" w:cs="Times New Roman"/>
                <w:color w:val="auto"/>
                <w:spacing w:val="-4"/>
                <w:sz w:val="24"/>
                <w:lang w:val="en-US" w:eastAsia="zh-CN" w:bidi="ar"/>
              </w:rPr>
              <w:t>3</w:t>
            </w:r>
            <w:r>
              <w:rPr>
                <w:rFonts w:hint="default" w:ascii="Times New Roman" w:hAnsi="Times New Roman" w:eastAsia="宋体" w:cs="Times New Roman"/>
                <w:color w:val="auto"/>
                <w:spacing w:val="-4"/>
                <w:sz w:val="24"/>
                <w:lang w:bidi="ar"/>
              </w:rPr>
              <w:t>＜1，同时，附录C中规定“当Q＜1时，该项目环境风险潜势为Ⅰ”。</w:t>
            </w:r>
          </w:p>
          <w:p>
            <w:pPr>
              <w:keepNext w:val="0"/>
              <w:keepLines w:val="0"/>
              <w:pageBreakBefore w:val="0"/>
              <w:widowControl w:val="0"/>
              <w:kinsoku/>
              <w:wordWrap/>
              <w:overflowPunct/>
              <w:topLinePunct w:val="0"/>
              <w:autoSpaceDE w:val="0"/>
              <w:autoSpaceDN/>
              <w:bidi w:val="0"/>
              <w:adjustRightInd/>
              <w:snapToGrid/>
              <w:spacing w:line="520" w:lineRule="exact"/>
              <w:ind w:firstLine="464" w:firstLineChars="200"/>
              <w:jc w:val="both"/>
              <w:textAlignment w:val="auto"/>
              <w:rPr>
                <w:rFonts w:hint="default" w:ascii="Times New Roman" w:hAnsi="Times New Roman" w:eastAsia="宋体" w:cs="Times New Roman"/>
                <w:color w:val="auto"/>
                <w:spacing w:val="-4"/>
                <w:sz w:val="24"/>
                <w:lang w:bidi="ar"/>
              </w:rPr>
            </w:pPr>
            <w:r>
              <w:rPr>
                <w:rFonts w:hint="default" w:ascii="Times New Roman" w:hAnsi="Times New Roman" w:eastAsia="宋体" w:cs="Times New Roman"/>
                <w:color w:val="auto"/>
                <w:spacing w:val="-4"/>
                <w:sz w:val="24"/>
                <w:lang w:bidi="ar"/>
              </w:rPr>
              <w:t>根据表4-1</w:t>
            </w:r>
            <w:r>
              <w:rPr>
                <w:rFonts w:hint="eastAsia" w:cs="Times New Roman"/>
                <w:color w:val="auto"/>
                <w:spacing w:val="-4"/>
                <w:sz w:val="24"/>
                <w:lang w:val="en-US" w:eastAsia="zh-CN" w:bidi="ar"/>
              </w:rPr>
              <w:t>7</w:t>
            </w:r>
            <w:r>
              <w:rPr>
                <w:rFonts w:hint="default" w:ascii="Times New Roman" w:hAnsi="Times New Roman" w:eastAsia="宋体" w:cs="Times New Roman"/>
                <w:color w:val="auto"/>
                <w:spacing w:val="-4"/>
                <w:sz w:val="24"/>
                <w:lang w:bidi="ar"/>
              </w:rPr>
              <w:t>规定，本次评价只对环境风险进行简单分析。</w:t>
            </w:r>
          </w:p>
          <w:p>
            <w:pPr>
              <w:keepNext w:val="0"/>
              <w:keepLines w:val="0"/>
              <w:pageBreakBefore w:val="0"/>
              <w:widowControl w:val="0"/>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6.2</w:t>
            </w:r>
            <w:r>
              <w:rPr>
                <w:b/>
                <w:bCs/>
                <w:color w:val="auto"/>
                <w:sz w:val="24"/>
              </w:rPr>
              <w:t>环境风险识别</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eastAsia="宋体"/>
                <w:color w:val="auto"/>
                <w:sz w:val="24"/>
                <w:lang w:val="en-US" w:eastAsia="zh-CN"/>
              </w:rPr>
            </w:pPr>
            <w:r>
              <w:rPr>
                <w:color w:val="auto"/>
                <w:sz w:val="24"/>
              </w:rPr>
              <w:t>依据《建设项目环境风险评价技术导则》（HJ169-2018），结合本项目实际情况，</w:t>
            </w:r>
            <w:r>
              <w:rPr>
                <w:rFonts w:hint="eastAsia"/>
                <w:color w:val="auto"/>
                <w:sz w:val="24"/>
                <w:lang w:val="en-US" w:eastAsia="zh-CN"/>
              </w:rPr>
              <w:t>本次评价认为项目火灾负荷大。废机油使用过程中发生泄漏，易发生火灾</w:t>
            </w:r>
            <w:r>
              <w:rPr>
                <w:rFonts w:hint="eastAsia"/>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520" w:lineRule="exact"/>
              <w:textAlignment w:val="auto"/>
              <w:rPr>
                <w:b/>
                <w:bCs/>
                <w:color w:val="auto"/>
                <w:sz w:val="24"/>
              </w:rPr>
            </w:pPr>
            <w:r>
              <w:rPr>
                <w:rFonts w:hint="eastAsia"/>
                <w:b/>
                <w:bCs/>
                <w:color w:val="auto"/>
                <w:sz w:val="24"/>
                <w:lang w:val="en-US" w:eastAsia="zh-CN"/>
              </w:rPr>
              <w:t>6.3</w:t>
            </w:r>
            <w:r>
              <w:rPr>
                <w:b/>
                <w:bCs/>
                <w:color w:val="auto"/>
                <w:sz w:val="24"/>
              </w:rPr>
              <w:t>环境风险分析</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b/>
                <w:bCs/>
                <w:color w:val="auto"/>
                <w:szCs w:val="21"/>
              </w:rPr>
            </w:pPr>
            <w:r>
              <w:rPr>
                <w:b/>
                <w:bCs/>
                <w:color w:val="auto"/>
                <w:szCs w:val="21"/>
              </w:rPr>
              <w:t>表4-</w:t>
            </w:r>
            <w:r>
              <w:rPr>
                <w:rFonts w:hint="eastAsia"/>
                <w:b/>
                <w:bCs/>
                <w:color w:val="auto"/>
                <w:szCs w:val="21"/>
                <w:lang w:val="en-US" w:eastAsia="zh-CN"/>
              </w:rPr>
              <w:t>17</w:t>
            </w:r>
            <w:r>
              <w:rPr>
                <w:b/>
                <w:bCs/>
                <w:color w:val="auto"/>
                <w:szCs w:val="21"/>
              </w:rPr>
              <w:t xml:space="preserve"> </w:t>
            </w:r>
            <w:r>
              <w:rPr>
                <w:rFonts w:hint="eastAsia"/>
                <w:b/>
                <w:bCs/>
                <w:color w:val="auto"/>
                <w:szCs w:val="21"/>
                <w:lang w:val="en-US" w:eastAsia="zh-CN"/>
              </w:rPr>
              <w:t xml:space="preserve">   </w:t>
            </w:r>
            <w:r>
              <w:rPr>
                <w:b/>
                <w:bCs/>
                <w:color w:val="auto"/>
                <w:szCs w:val="21"/>
              </w:rPr>
              <w:t>本项目环境风险一览表</w:t>
            </w:r>
          </w:p>
          <w:tbl>
            <w:tblPr>
              <w:tblStyle w:val="25"/>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978"/>
              <w:gridCol w:w="1541"/>
              <w:gridCol w:w="1812"/>
              <w:gridCol w:w="36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281" w:type="pct"/>
                  <w:tcBorders>
                    <w:tl2br w:val="nil"/>
                    <w:tr2bl w:val="nil"/>
                  </w:tcBorders>
                  <w:vAlign w:val="center"/>
                </w:tcPr>
                <w:p>
                  <w:pPr>
                    <w:jc w:val="center"/>
                    <w:rPr>
                      <w:color w:val="auto"/>
                      <w:szCs w:val="21"/>
                    </w:rPr>
                  </w:pPr>
                  <w:r>
                    <w:rPr>
                      <w:color w:val="auto"/>
                      <w:szCs w:val="21"/>
                    </w:rPr>
                    <w:t>序号</w:t>
                  </w:r>
                </w:p>
              </w:tc>
              <w:tc>
                <w:tcPr>
                  <w:tcW w:w="580" w:type="pct"/>
                  <w:tcBorders>
                    <w:tl2br w:val="nil"/>
                    <w:tr2bl w:val="nil"/>
                  </w:tcBorders>
                  <w:vAlign w:val="center"/>
                </w:tcPr>
                <w:p>
                  <w:pPr>
                    <w:jc w:val="center"/>
                    <w:rPr>
                      <w:color w:val="auto"/>
                      <w:szCs w:val="21"/>
                    </w:rPr>
                  </w:pPr>
                  <w:r>
                    <w:rPr>
                      <w:color w:val="auto"/>
                      <w:szCs w:val="21"/>
                    </w:rPr>
                    <w:t>风险源</w:t>
                  </w:r>
                </w:p>
              </w:tc>
              <w:tc>
                <w:tcPr>
                  <w:tcW w:w="914" w:type="pct"/>
                  <w:tcBorders>
                    <w:tl2br w:val="nil"/>
                    <w:tr2bl w:val="nil"/>
                  </w:tcBorders>
                  <w:vAlign w:val="center"/>
                </w:tcPr>
                <w:p>
                  <w:pPr>
                    <w:jc w:val="center"/>
                    <w:rPr>
                      <w:color w:val="auto"/>
                      <w:szCs w:val="21"/>
                    </w:rPr>
                  </w:pPr>
                  <w:r>
                    <w:rPr>
                      <w:color w:val="auto"/>
                      <w:szCs w:val="21"/>
                    </w:rPr>
                    <w:t>风险类型</w:t>
                  </w:r>
                </w:p>
              </w:tc>
              <w:tc>
                <w:tcPr>
                  <w:tcW w:w="1075" w:type="pct"/>
                  <w:tcBorders>
                    <w:tl2br w:val="nil"/>
                    <w:tr2bl w:val="nil"/>
                  </w:tcBorders>
                  <w:vAlign w:val="center"/>
                </w:tcPr>
                <w:p>
                  <w:pPr>
                    <w:jc w:val="center"/>
                    <w:rPr>
                      <w:color w:val="auto"/>
                      <w:szCs w:val="21"/>
                    </w:rPr>
                  </w:pPr>
                  <w:r>
                    <w:rPr>
                      <w:color w:val="auto"/>
                      <w:szCs w:val="21"/>
                    </w:rPr>
                    <w:t>主要污染途径</w:t>
                  </w:r>
                </w:p>
              </w:tc>
              <w:tc>
                <w:tcPr>
                  <w:tcW w:w="2147" w:type="pct"/>
                  <w:tcBorders>
                    <w:tl2br w:val="nil"/>
                    <w:tr2bl w:val="nil"/>
                  </w:tcBorders>
                  <w:vAlign w:val="center"/>
                </w:tcPr>
                <w:p>
                  <w:pPr>
                    <w:jc w:val="center"/>
                    <w:rPr>
                      <w:color w:val="auto"/>
                      <w:szCs w:val="21"/>
                    </w:rPr>
                  </w:pPr>
                  <w:r>
                    <w:rPr>
                      <w:color w:val="auto"/>
                      <w:szCs w:val="21"/>
                    </w:rPr>
                    <w:t>可能造成的危害后果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35" w:hRule="atLeast"/>
                <w:jc w:val="center"/>
              </w:trPr>
              <w:tc>
                <w:tcPr>
                  <w:tcW w:w="281" w:type="pct"/>
                  <w:tcBorders>
                    <w:tl2br w:val="nil"/>
                    <w:tr2bl w:val="nil"/>
                  </w:tcBorders>
                  <w:vAlign w:val="center"/>
                </w:tcPr>
                <w:p>
                  <w:pPr>
                    <w:jc w:val="center"/>
                    <w:rPr>
                      <w:color w:val="auto"/>
                      <w:szCs w:val="21"/>
                    </w:rPr>
                  </w:pPr>
                  <w:r>
                    <w:rPr>
                      <w:color w:val="auto"/>
                      <w:szCs w:val="21"/>
                    </w:rPr>
                    <w:t>1</w:t>
                  </w:r>
                </w:p>
              </w:tc>
              <w:tc>
                <w:tcPr>
                  <w:tcW w:w="580" w:type="pct"/>
                  <w:vMerge w:val="restart"/>
                  <w:tcBorders>
                    <w:tl2br w:val="nil"/>
                    <w:tr2bl w:val="nil"/>
                  </w:tcBorders>
                  <w:vAlign w:val="center"/>
                </w:tcPr>
                <w:p>
                  <w:pPr>
                    <w:jc w:val="center"/>
                    <w:rPr>
                      <w:color w:val="auto"/>
                      <w:szCs w:val="21"/>
                    </w:rPr>
                  </w:pPr>
                  <w:r>
                    <w:rPr>
                      <w:color w:val="auto"/>
                      <w:szCs w:val="21"/>
                    </w:rPr>
                    <w:t>废机油</w:t>
                  </w:r>
                </w:p>
              </w:tc>
              <w:tc>
                <w:tcPr>
                  <w:tcW w:w="914" w:type="pct"/>
                  <w:tcBorders>
                    <w:tl2br w:val="nil"/>
                    <w:tr2bl w:val="nil"/>
                  </w:tcBorders>
                  <w:vAlign w:val="center"/>
                </w:tcPr>
                <w:p>
                  <w:pPr>
                    <w:jc w:val="center"/>
                    <w:rPr>
                      <w:color w:val="auto"/>
                      <w:szCs w:val="21"/>
                    </w:rPr>
                  </w:pPr>
                  <w:r>
                    <w:rPr>
                      <w:color w:val="auto"/>
                      <w:szCs w:val="21"/>
                    </w:rPr>
                    <w:t>废机油发生火灾、爆炸引发伴生/次生污染物排放</w:t>
                  </w:r>
                </w:p>
              </w:tc>
              <w:tc>
                <w:tcPr>
                  <w:tcW w:w="1075" w:type="pct"/>
                  <w:tcBorders>
                    <w:tl2br w:val="nil"/>
                    <w:tr2bl w:val="nil"/>
                  </w:tcBorders>
                  <w:vAlign w:val="center"/>
                </w:tcPr>
                <w:p>
                  <w:pPr>
                    <w:jc w:val="center"/>
                    <w:rPr>
                      <w:color w:val="auto"/>
                      <w:szCs w:val="21"/>
                    </w:rPr>
                  </w:pPr>
                  <w:r>
                    <w:rPr>
                      <w:color w:val="auto"/>
                      <w:szCs w:val="21"/>
                    </w:rPr>
                    <w:t>废机油泄漏→发生火灾爆炸→燃烧形成的伴生/次生污染物随风速和风向扩散到大气环境；</w:t>
                  </w:r>
                </w:p>
              </w:tc>
              <w:tc>
                <w:tcPr>
                  <w:tcW w:w="2147" w:type="pct"/>
                  <w:tcBorders>
                    <w:tl2br w:val="nil"/>
                    <w:tr2bl w:val="nil"/>
                  </w:tcBorders>
                  <w:vAlign w:val="center"/>
                </w:tcPr>
                <w:p>
                  <w:pPr>
                    <w:jc w:val="center"/>
                    <w:rPr>
                      <w:color w:val="auto"/>
                      <w:szCs w:val="21"/>
                    </w:rPr>
                  </w:pPr>
                  <w:r>
                    <w:rPr>
                      <w:color w:val="auto"/>
                      <w:szCs w:val="21"/>
                    </w:rPr>
                    <w:t>发生火灾、爆炸事件时会产生大量的NOx、CO 等可能引发伴生/次生污染的物质，造成厂区周边大气环境明显污染及人员伤亡；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72" w:hRule="atLeast"/>
                <w:jc w:val="center"/>
              </w:trPr>
              <w:tc>
                <w:tcPr>
                  <w:tcW w:w="281" w:type="pct"/>
                  <w:tcBorders>
                    <w:tl2br w:val="nil"/>
                    <w:tr2bl w:val="nil"/>
                  </w:tcBorders>
                  <w:vAlign w:val="center"/>
                </w:tcPr>
                <w:p>
                  <w:pPr>
                    <w:jc w:val="center"/>
                    <w:rPr>
                      <w:color w:val="auto"/>
                      <w:szCs w:val="21"/>
                    </w:rPr>
                  </w:pPr>
                  <w:r>
                    <w:rPr>
                      <w:color w:val="auto"/>
                      <w:szCs w:val="21"/>
                    </w:rPr>
                    <w:t>2</w:t>
                  </w:r>
                </w:p>
              </w:tc>
              <w:tc>
                <w:tcPr>
                  <w:tcW w:w="580" w:type="pct"/>
                  <w:vMerge w:val="continue"/>
                  <w:tcBorders>
                    <w:tl2br w:val="nil"/>
                    <w:tr2bl w:val="nil"/>
                  </w:tcBorders>
                  <w:vAlign w:val="center"/>
                </w:tcPr>
                <w:p>
                  <w:pPr>
                    <w:jc w:val="center"/>
                    <w:rPr>
                      <w:color w:val="auto"/>
                      <w:szCs w:val="21"/>
                    </w:rPr>
                  </w:pPr>
                </w:p>
              </w:tc>
              <w:tc>
                <w:tcPr>
                  <w:tcW w:w="914" w:type="pct"/>
                  <w:tcBorders>
                    <w:tl2br w:val="nil"/>
                    <w:tr2bl w:val="nil"/>
                  </w:tcBorders>
                  <w:vAlign w:val="center"/>
                </w:tcPr>
                <w:p>
                  <w:pPr>
                    <w:jc w:val="center"/>
                    <w:rPr>
                      <w:color w:val="auto"/>
                      <w:szCs w:val="21"/>
                    </w:rPr>
                  </w:pPr>
                  <w:r>
                    <w:rPr>
                      <w:color w:val="auto"/>
                      <w:szCs w:val="21"/>
                    </w:rPr>
                    <w:t>废机油</w:t>
                  </w:r>
                </w:p>
              </w:tc>
              <w:tc>
                <w:tcPr>
                  <w:tcW w:w="1075" w:type="pct"/>
                  <w:tcBorders>
                    <w:tl2br w:val="nil"/>
                    <w:tr2bl w:val="nil"/>
                  </w:tcBorders>
                  <w:vAlign w:val="center"/>
                </w:tcPr>
                <w:p>
                  <w:pPr>
                    <w:jc w:val="center"/>
                    <w:rPr>
                      <w:color w:val="auto"/>
                      <w:szCs w:val="21"/>
                    </w:rPr>
                  </w:pPr>
                  <w:r>
                    <w:rPr>
                      <w:color w:val="auto"/>
                      <w:szCs w:val="21"/>
                    </w:rPr>
                    <w:t>废机油/消防水→随地表径流进入地表水体→通过破损的地面等下渗经包气带进入潜层地下水造成污染</w:t>
                  </w:r>
                </w:p>
              </w:tc>
              <w:tc>
                <w:tcPr>
                  <w:tcW w:w="2147" w:type="pct"/>
                  <w:tcBorders>
                    <w:tl2br w:val="nil"/>
                    <w:tr2bl w:val="nil"/>
                  </w:tcBorders>
                  <w:vAlign w:val="center"/>
                </w:tcPr>
                <w:p>
                  <w:pPr>
                    <w:jc w:val="center"/>
                    <w:rPr>
                      <w:color w:val="auto"/>
                      <w:szCs w:val="21"/>
                    </w:rPr>
                  </w:pPr>
                  <w:r>
                    <w:rPr>
                      <w:color w:val="auto"/>
                      <w:szCs w:val="21"/>
                    </w:rPr>
                    <w:t>①一般情况下，废机油泄漏产生的泄漏液和火灾产生的消防废水可能流入到地表水环境中对地表水体造成污染，进而通过破损的地面等下渗经包气带进入潜层地下水造成污染；②暴雨等异常天气下，泄漏液、消防废水和被污染的雨水等导致产生更多的污染水可能流入到地表水环境对地表水体造成污染，进而通过破损的地面等下渗经包气带进入潜层地下水造成污染。</w:t>
                  </w:r>
                </w:p>
              </w:tc>
            </w:tr>
          </w:tbl>
          <w:p>
            <w:pPr>
              <w:keepNext w:val="0"/>
              <w:keepLines w:val="0"/>
              <w:pageBreakBefore w:val="0"/>
              <w:widowControl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 xml:space="preserve">6.4 </w:t>
            </w:r>
            <w:r>
              <w:rPr>
                <w:b/>
                <w:bCs/>
                <w:color w:val="auto"/>
                <w:sz w:val="24"/>
              </w:rPr>
              <w:t>环境风险防范措施及应急要求</w:t>
            </w:r>
          </w:p>
          <w:p>
            <w:pPr>
              <w:keepNext w:val="0"/>
              <w:keepLines w:val="0"/>
              <w:pageBreakBefore w:val="0"/>
              <w:widowControl/>
              <w:tabs>
                <w:tab w:val="left" w:pos="334"/>
              </w:tabs>
              <w:kinsoku/>
              <w:wordWrap/>
              <w:overflowPunct/>
              <w:topLinePunct w:val="0"/>
              <w:autoSpaceDE/>
              <w:autoSpaceDN/>
              <w:bidi w:val="0"/>
              <w:adjustRightInd/>
              <w:snapToGrid/>
              <w:spacing w:line="520" w:lineRule="exact"/>
              <w:jc w:val="both"/>
              <w:textAlignment w:val="auto"/>
              <w:rPr>
                <w:b/>
                <w:bCs/>
                <w:color w:val="auto"/>
              </w:rPr>
            </w:pPr>
            <w:r>
              <w:rPr>
                <w:rFonts w:hint="eastAsia"/>
                <w:b/>
                <w:bCs/>
                <w:color w:val="auto"/>
                <w:kern w:val="0"/>
                <w:sz w:val="24"/>
                <w:lang w:val="en-US" w:eastAsia="zh-CN" w:bidi="ar"/>
              </w:rPr>
              <w:t>6.4</w:t>
            </w:r>
            <w:r>
              <w:rPr>
                <w:b/>
                <w:bCs/>
                <w:color w:val="auto"/>
                <w:kern w:val="0"/>
                <w:sz w:val="24"/>
                <w:lang w:bidi="ar"/>
              </w:rPr>
              <w:t>.1 环境风险事故防范措施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本项目风险物质为废机油泄漏和火灾，根据实际情况，评价提出以下风险防范措施。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w:t>
            </w:r>
            <w:r>
              <w:rPr>
                <w:rFonts w:hint="eastAsia"/>
                <w:color w:val="auto"/>
                <w:sz w:val="24"/>
                <w:lang w:val="en-US" w:eastAsia="zh-CN"/>
              </w:rPr>
              <w:t>1</w:t>
            </w:r>
            <w:r>
              <w:rPr>
                <w:color w:val="auto"/>
                <w:sz w:val="24"/>
              </w:rPr>
              <w:t>）火灾防范措施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本项目在运营期使用的机械设备都是利用电能，如果管理维护不当发生线路老化、短路等现象，可导致</w:t>
            </w:r>
            <w:r>
              <w:rPr>
                <w:rFonts w:hint="eastAsia"/>
                <w:color w:val="auto"/>
                <w:sz w:val="24"/>
                <w:lang w:val="en-US" w:eastAsia="zh-CN"/>
              </w:rPr>
              <w:t>火灾</w:t>
            </w:r>
            <w:r>
              <w:rPr>
                <w:color w:val="auto"/>
                <w:sz w:val="24"/>
              </w:rPr>
              <w:t>。因此本项目在运营期间，应加强对生产运营设备的维护管理，保证通风设备以及除尘设施的正常运行，定期进行检修，同时加强员工的管理以及风险防范意识，通过设置短路保护电路等措施，及时发现设备及线路中存在的问题，消除隐患，并配备相应的消防器材和应急设备。</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w:t>
            </w:r>
            <w:r>
              <w:rPr>
                <w:rFonts w:hint="eastAsia"/>
                <w:color w:val="auto"/>
                <w:sz w:val="24"/>
                <w:lang w:val="en-US" w:eastAsia="zh-CN"/>
              </w:rPr>
              <w:t>2</w:t>
            </w:r>
            <w:r>
              <w:rPr>
                <w:color w:val="auto"/>
                <w:sz w:val="24"/>
              </w:rPr>
              <w:t>）污染物事故性排放防范措施</w:t>
            </w:r>
          </w:p>
          <w:p>
            <w:pPr>
              <w:keepNext w:val="0"/>
              <w:keepLines w:val="0"/>
              <w:pageBreakBefore w:val="0"/>
              <w:widowControl/>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加强生产区域的管理，加强环保设施的运营维护与保养，提高员工的风险防范意识，定期组织员工进行演练，提高员工的实际操作技能。</w:t>
            </w:r>
          </w:p>
          <w:p>
            <w:pPr>
              <w:keepNext w:val="0"/>
              <w:keepLines w:val="0"/>
              <w:pageBreakBefore w:val="0"/>
              <w:widowControl/>
              <w:kinsoku/>
              <w:wordWrap/>
              <w:overflowPunct/>
              <w:topLinePunct w:val="0"/>
              <w:autoSpaceDE/>
              <w:autoSpaceDN/>
              <w:bidi w:val="0"/>
              <w:adjustRightInd/>
              <w:snapToGrid/>
              <w:spacing w:line="520" w:lineRule="exact"/>
              <w:jc w:val="both"/>
              <w:textAlignment w:val="auto"/>
              <w:rPr>
                <w:b/>
                <w:bCs/>
                <w:color w:val="auto"/>
              </w:rPr>
            </w:pPr>
            <w:r>
              <w:rPr>
                <w:rFonts w:hint="eastAsia"/>
                <w:b/>
                <w:bCs/>
                <w:color w:val="auto"/>
                <w:kern w:val="0"/>
                <w:sz w:val="24"/>
                <w:lang w:val="en-US" w:eastAsia="zh-CN" w:bidi="ar"/>
              </w:rPr>
              <w:t>6.4</w:t>
            </w:r>
            <w:r>
              <w:rPr>
                <w:b/>
                <w:bCs/>
                <w:color w:val="auto"/>
                <w:kern w:val="0"/>
                <w:sz w:val="24"/>
                <w:lang w:bidi="ar"/>
              </w:rPr>
              <w:t>.2 环境风险管理</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（1）树立环境风险意识</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该项目客观上存在着一定的不安全因素，对周围环境存在着潜在的威胁。发生环境安全事故后，对周围环境有难以弥补的损害，所以在贯彻“安全第一，预防为主”的方针同时，应树立环境风险意识，强化环境风险责任，体现出环境保护的内容。</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（2）实行全面环境安全管理制度</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项目在生产过程中有可能发生各种事故，事故发生后均会对环境造成不同程度的污染，因此应该针对该项目开展全面、全员、全过程的系数安全管理，把环境安全工作的重点放在消除系统的潜在危险上，并从整体和全局上促进该项目各个环节的环境安全运作，并建立监察、管理、检测、信息系统和科学决策体系，实行环境安全目标管理。</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（3）加强资料的日常记录与管理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加强对生产过程中的各项操作参数等资料的日常记录及管理，及时发现问题并采取减缓危害的措施。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（4）应对措施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事故发生的可能性总是存在的，为减少事故发生后造成的损失，尤其是减少对环境造成严重的污染，建设单位除一方面要落实已制定的各种安全管理制度以及上述所列各项风险减缓措施，另一方面，建设单位还应对发生各类风险事故后</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采取必要的事故应急措施，建议建设单位对以下几方面予以着重考虑：</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①发生事故后，应进行事故后果评价，并将有关情况通报给上级环保主管部门。</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②定期举行应急培训活动，对该项目相关人员进行事故应急培训，提高事故发生后的应急处理能力；对新上岗的工作人员、实习人员、进行岗前安全、环保培训，重点部门的人员定期轮训；在对项目相关系统人员进行知识培训后，还对其进行了责任分配制度，确保不出现意外。</w:t>
            </w:r>
          </w:p>
          <w:p>
            <w:pPr>
              <w:keepNext w:val="0"/>
              <w:keepLines w:val="0"/>
              <w:pageBreakBefore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6.4</w:t>
            </w:r>
            <w:r>
              <w:rPr>
                <w:b/>
                <w:bCs/>
                <w:color w:val="auto"/>
                <w:sz w:val="24"/>
              </w:rPr>
              <w:t>.3 应急预案</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事故应急预案是在发生事故后，按照预先制订的方案采取的一系列的措施，将事故的损失降低到</w:t>
            </w:r>
            <w:r>
              <w:rPr>
                <w:rFonts w:hint="eastAsia"/>
                <w:color w:val="auto"/>
                <w:sz w:val="24"/>
                <w:lang w:eastAsia="zh-CN"/>
              </w:rPr>
              <w:t>最低程度</w:t>
            </w:r>
            <w:r>
              <w:rPr>
                <w:color w:val="auto"/>
                <w:sz w:val="24"/>
              </w:rPr>
              <w:t>。本工程应急预案重点如下：</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A</w:t>
            </w:r>
            <w:r>
              <w:rPr>
                <w:rFonts w:hint="eastAsia"/>
                <w:color w:val="auto"/>
                <w:sz w:val="24"/>
                <w:lang w:eastAsia="zh-CN"/>
              </w:rPr>
              <w:t>.</w:t>
            </w:r>
            <w:r>
              <w:rPr>
                <w:color w:val="auto"/>
                <w:sz w:val="24"/>
              </w:rPr>
              <w:t>必须制定应急计划、方案和程序</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为了使突发事故发生后能</w:t>
            </w:r>
            <w:r>
              <w:rPr>
                <w:rFonts w:hint="eastAsia"/>
                <w:color w:val="auto"/>
                <w:sz w:val="24"/>
                <w:lang w:eastAsia="zh-CN"/>
              </w:rPr>
              <w:t>有条不紊地</w:t>
            </w:r>
            <w:r>
              <w:rPr>
                <w:color w:val="auto"/>
                <w:sz w:val="24"/>
              </w:rPr>
              <w:t>处理事故，在工程投产之前就应制定好事故应急计划和方案，以备在发生事故后有备无患。</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B</w:t>
            </w:r>
            <w:r>
              <w:rPr>
                <w:rFonts w:hint="eastAsia"/>
                <w:color w:val="auto"/>
                <w:sz w:val="24"/>
                <w:lang w:eastAsia="zh-CN"/>
              </w:rPr>
              <w:t>.</w:t>
            </w:r>
            <w:r>
              <w:rPr>
                <w:color w:val="auto"/>
                <w:sz w:val="24"/>
              </w:rPr>
              <w:t>成立重大事故</w:t>
            </w:r>
            <w:r>
              <w:rPr>
                <w:rFonts w:hint="eastAsia"/>
                <w:color w:val="auto"/>
                <w:sz w:val="24"/>
                <w:lang w:eastAsia="zh-CN"/>
              </w:rPr>
              <w:t>应急救援</w:t>
            </w:r>
            <w:r>
              <w:rPr>
                <w:color w:val="auto"/>
                <w:sz w:val="24"/>
              </w:rPr>
              <w:t>小组</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成立由厂长、分管厂长及生产、安全、环保、保卫等部门组成的重大事故应急救援小组，一旦发生事故，救援小组便及时</w:t>
            </w:r>
            <w:r>
              <w:rPr>
                <w:rFonts w:hint="eastAsia"/>
                <w:color w:val="auto"/>
                <w:sz w:val="24"/>
                <w:lang w:val="en-US" w:eastAsia="zh-CN"/>
              </w:rPr>
              <w:t>履</w:t>
            </w:r>
            <w:r>
              <w:rPr>
                <w:color w:val="auto"/>
                <w:sz w:val="24"/>
              </w:rPr>
              <w:t>行其相应的职责，处理事故。</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C</w:t>
            </w:r>
            <w:r>
              <w:rPr>
                <w:rFonts w:hint="eastAsia"/>
                <w:color w:val="auto"/>
                <w:sz w:val="24"/>
                <w:lang w:eastAsia="zh-CN"/>
              </w:rPr>
              <w:t>.</w:t>
            </w:r>
            <w:r>
              <w:rPr>
                <w:color w:val="auto"/>
                <w:sz w:val="24"/>
              </w:rPr>
              <w:t>事故发生后应采取紧急隔离和疏散措施</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一旦发生突发事故，应及时发出警报，并在救援小组的领导下，紧急隔离危险物品，切断电源，疏散人群，抢救受害人员。</w:t>
            </w:r>
          </w:p>
          <w:p>
            <w:pPr>
              <w:keepNext w:val="0"/>
              <w:keepLines w:val="0"/>
              <w:pageBreakBefore w:val="0"/>
              <w:kinsoku/>
              <w:wordWrap/>
              <w:overflowPunct/>
              <w:topLinePunct w:val="0"/>
              <w:autoSpaceDE/>
              <w:autoSpaceDN/>
              <w:bidi w:val="0"/>
              <w:adjustRightInd/>
              <w:snapToGrid/>
              <w:spacing w:line="520" w:lineRule="exact"/>
              <w:jc w:val="both"/>
              <w:textAlignment w:val="auto"/>
              <w:rPr>
                <w:b/>
                <w:bCs/>
                <w:color w:val="auto"/>
                <w:sz w:val="24"/>
              </w:rPr>
            </w:pPr>
            <w:r>
              <w:rPr>
                <w:rFonts w:hint="eastAsia"/>
                <w:b/>
                <w:bCs/>
                <w:color w:val="auto"/>
                <w:sz w:val="24"/>
                <w:lang w:val="en-US" w:eastAsia="zh-CN"/>
              </w:rPr>
              <w:t>6.5</w:t>
            </w:r>
            <w:r>
              <w:rPr>
                <w:b/>
                <w:bCs/>
                <w:color w:val="auto"/>
                <w:sz w:val="24"/>
              </w:rPr>
              <w:t xml:space="preserve"> 分析结论</w:t>
            </w:r>
          </w:p>
          <w:p>
            <w:pPr>
              <w:keepNext w:val="0"/>
              <w:keepLines w:val="0"/>
              <w:pageBreakBefore w:val="0"/>
              <w:kinsoku/>
              <w:wordWrap/>
              <w:overflowPunct/>
              <w:topLinePunct w:val="0"/>
              <w:autoSpaceDE/>
              <w:autoSpaceDN/>
              <w:bidi w:val="0"/>
              <w:adjustRightInd/>
              <w:snapToGrid/>
              <w:spacing w:line="520" w:lineRule="exact"/>
              <w:ind w:firstLine="480" w:firstLineChars="200"/>
              <w:jc w:val="both"/>
              <w:textAlignment w:val="auto"/>
              <w:rPr>
                <w:color w:val="auto"/>
                <w:sz w:val="24"/>
              </w:rPr>
            </w:pPr>
            <w:r>
              <w:rPr>
                <w:color w:val="auto"/>
                <w:sz w:val="24"/>
              </w:rPr>
              <w:t>建设单位须进一步加强风险管理，严格风险管理机制，落实本评价提出的环境风险防范措施和应急措施，并应经常或定期开展应急救援培训和演练，一旦发生事故，能够及时启动应急预案，将风险事故的影响降到较低水平。在此基础上，本项目环境风险可接受。</w:t>
            </w:r>
          </w:p>
          <w:p>
            <w:pPr>
              <w:keepNext w:val="0"/>
              <w:keepLines w:val="0"/>
              <w:pageBreakBefore w:val="0"/>
              <w:widowControl w:val="0"/>
              <w:tabs>
                <w:tab w:val="left" w:pos="438"/>
              </w:tabs>
              <w:kinsoku/>
              <w:wordWrap/>
              <w:overflowPunct/>
              <w:topLinePunct w:val="0"/>
              <w:autoSpaceDE/>
              <w:autoSpaceDN/>
              <w:bidi w:val="0"/>
              <w:adjustRightInd/>
              <w:snapToGrid/>
              <w:spacing w:line="520" w:lineRule="exact"/>
              <w:jc w:val="center"/>
              <w:textAlignment w:val="auto"/>
              <w:rPr>
                <w:color w:val="auto"/>
                <w:sz w:val="24"/>
              </w:rPr>
            </w:pPr>
            <w:r>
              <w:rPr>
                <w:b/>
                <w:color w:val="auto"/>
                <w:szCs w:val="21"/>
              </w:rPr>
              <w:t xml:space="preserve"> 表4-</w:t>
            </w:r>
            <w:r>
              <w:rPr>
                <w:rFonts w:hint="eastAsia"/>
                <w:b/>
                <w:color w:val="auto"/>
                <w:szCs w:val="21"/>
                <w:lang w:val="en-US" w:eastAsia="zh-CN"/>
              </w:rPr>
              <w:t>18</w:t>
            </w:r>
            <w:r>
              <w:rPr>
                <w:b/>
                <w:color w:val="auto"/>
                <w:szCs w:val="21"/>
              </w:rPr>
              <w:t xml:space="preserve">    建设项目环境风险简单分析内容表</w:t>
            </w:r>
          </w:p>
          <w:tbl>
            <w:tblPr>
              <w:tblStyle w:val="26"/>
              <w:tblW w:w="815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101"/>
              <w:gridCol w:w="2374"/>
              <w:gridCol w:w="876"/>
              <w:gridCol w:w="2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建设项目名称</w:t>
                  </w:r>
                </w:p>
              </w:tc>
              <w:tc>
                <w:tcPr>
                  <w:tcW w:w="4071" w:type="pct"/>
                  <w:gridSpan w:val="4"/>
                  <w:tcBorders>
                    <w:tl2br w:val="nil"/>
                    <w:tr2bl w:val="nil"/>
                  </w:tcBorders>
                  <w:vAlign w:val="center"/>
                </w:tcPr>
                <w:p>
                  <w:pPr>
                    <w:jc w:val="center"/>
                    <w:rPr>
                      <w:rFonts w:hint="default"/>
                      <w:color w:val="auto"/>
                      <w:szCs w:val="21"/>
                      <w:lang w:val="en-US"/>
                    </w:rPr>
                  </w:pPr>
                  <w:r>
                    <w:rPr>
                      <w:rFonts w:hint="eastAsia"/>
                      <w:color w:val="auto"/>
                      <w:szCs w:val="21"/>
                      <w:lang w:val="en-US" w:eastAsia="zh-CN"/>
                    </w:rPr>
                    <w:t>新疆源铭强塑贸易有限公司年产5400吨塑料再生颗粒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建设地点</w:t>
                  </w:r>
                </w:p>
              </w:tc>
              <w:tc>
                <w:tcPr>
                  <w:tcW w:w="4071" w:type="pct"/>
                  <w:gridSpan w:val="4"/>
                  <w:tcBorders>
                    <w:tl2br w:val="nil"/>
                    <w:tr2bl w:val="nil"/>
                  </w:tcBorders>
                  <w:vAlign w:val="center"/>
                </w:tcPr>
                <w:p>
                  <w:pPr>
                    <w:jc w:val="center"/>
                    <w:rPr>
                      <w:color w:val="auto"/>
                      <w:szCs w:val="21"/>
                    </w:rPr>
                  </w:pPr>
                  <w:r>
                    <w:rPr>
                      <w:color w:val="auto"/>
                      <w:szCs w:val="21"/>
                    </w:rPr>
                    <w:t>新疆维吾尔自治区</w:t>
                  </w:r>
                  <w:r>
                    <w:rPr>
                      <w:rFonts w:hint="eastAsia"/>
                      <w:color w:val="auto"/>
                      <w:szCs w:val="21"/>
                      <w:lang w:eastAsia="zh-CN"/>
                    </w:rPr>
                    <w:t>阜康</w:t>
                  </w:r>
                  <w:r>
                    <w:rPr>
                      <w:rFonts w:hint="eastAsia"/>
                      <w:color w:val="auto"/>
                      <w:szCs w:val="21"/>
                      <w:lang w:val="en-US" w:eastAsia="zh-CN"/>
                    </w:rPr>
                    <w:t>市</w:t>
                  </w:r>
                  <w:r>
                    <w:rPr>
                      <w:rFonts w:hint="eastAsia"/>
                      <w:color w:val="auto"/>
                      <w:szCs w:val="21"/>
                      <w:lang w:eastAsia="zh-CN"/>
                    </w:rPr>
                    <w:t>苏通小微创业园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28" w:type="pct"/>
                  <w:tcBorders>
                    <w:tl2br w:val="nil"/>
                    <w:tr2bl w:val="nil"/>
                  </w:tcBorders>
                  <w:vAlign w:val="center"/>
                </w:tcPr>
                <w:p>
                  <w:pPr>
                    <w:jc w:val="center"/>
                    <w:rPr>
                      <w:color w:val="auto"/>
                      <w:szCs w:val="21"/>
                    </w:rPr>
                  </w:pPr>
                  <w:r>
                    <w:rPr>
                      <w:color w:val="auto"/>
                      <w:szCs w:val="21"/>
                    </w:rPr>
                    <w:t>地理坐标</w:t>
                  </w:r>
                </w:p>
              </w:tc>
              <w:tc>
                <w:tcPr>
                  <w:tcW w:w="675" w:type="pct"/>
                  <w:tcBorders>
                    <w:tl2br w:val="nil"/>
                    <w:tr2bl w:val="nil"/>
                  </w:tcBorders>
                  <w:vAlign w:val="center"/>
                </w:tcPr>
                <w:p>
                  <w:pPr>
                    <w:jc w:val="center"/>
                    <w:rPr>
                      <w:color w:val="auto"/>
                      <w:szCs w:val="21"/>
                    </w:rPr>
                  </w:pPr>
                  <w:r>
                    <w:rPr>
                      <w:color w:val="auto"/>
                      <w:szCs w:val="21"/>
                    </w:rPr>
                    <w:t>经度</w:t>
                  </w:r>
                </w:p>
              </w:tc>
              <w:tc>
                <w:tcPr>
                  <w:tcW w:w="1456" w:type="pct"/>
                  <w:tcBorders>
                    <w:tl2br w:val="nil"/>
                    <w:tr2bl w:val="nil"/>
                  </w:tcBorders>
                  <w:vAlign w:val="center"/>
                </w:tcPr>
                <w:p>
                  <w:pPr>
                    <w:jc w:val="center"/>
                    <w:rPr>
                      <w:color w:val="auto"/>
                      <w:szCs w:val="21"/>
                    </w:rPr>
                  </w:pPr>
                  <w:r>
                    <w:rPr>
                      <w:color w:val="auto"/>
                      <w:szCs w:val="21"/>
                    </w:rPr>
                    <w:t>87度</w:t>
                  </w:r>
                  <w:r>
                    <w:rPr>
                      <w:rFonts w:hint="eastAsia"/>
                      <w:color w:val="auto"/>
                      <w:szCs w:val="21"/>
                      <w:lang w:val="en-US" w:eastAsia="zh-CN"/>
                    </w:rPr>
                    <w:t>49</w:t>
                  </w:r>
                  <w:r>
                    <w:rPr>
                      <w:color w:val="auto"/>
                      <w:szCs w:val="21"/>
                    </w:rPr>
                    <w:t>分</w:t>
                  </w:r>
                  <w:r>
                    <w:rPr>
                      <w:rFonts w:hint="eastAsia"/>
                      <w:color w:val="auto"/>
                      <w:szCs w:val="21"/>
                      <w:lang w:val="en-US" w:eastAsia="zh-CN"/>
                    </w:rPr>
                    <w:t>26.404</w:t>
                  </w:r>
                  <w:r>
                    <w:rPr>
                      <w:color w:val="auto"/>
                      <w:szCs w:val="21"/>
                    </w:rPr>
                    <w:t>秒</w:t>
                  </w:r>
                </w:p>
              </w:tc>
              <w:tc>
                <w:tcPr>
                  <w:tcW w:w="537" w:type="pct"/>
                  <w:tcBorders>
                    <w:tl2br w:val="nil"/>
                    <w:tr2bl w:val="nil"/>
                  </w:tcBorders>
                  <w:vAlign w:val="center"/>
                </w:tcPr>
                <w:p>
                  <w:pPr>
                    <w:jc w:val="center"/>
                    <w:rPr>
                      <w:color w:val="auto"/>
                      <w:szCs w:val="21"/>
                    </w:rPr>
                  </w:pPr>
                  <w:r>
                    <w:rPr>
                      <w:color w:val="auto"/>
                      <w:szCs w:val="21"/>
                    </w:rPr>
                    <w:t>纬度</w:t>
                  </w:r>
                </w:p>
              </w:tc>
              <w:tc>
                <w:tcPr>
                  <w:tcW w:w="1401" w:type="pct"/>
                  <w:tcBorders>
                    <w:tl2br w:val="nil"/>
                    <w:tr2bl w:val="nil"/>
                  </w:tcBorders>
                  <w:vAlign w:val="center"/>
                </w:tcPr>
                <w:p>
                  <w:pPr>
                    <w:jc w:val="center"/>
                    <w:rPr>
                      <w:color w:val="auto"/>
                      <w:szCs w:val="21"/>
                    </w:rPr>
                  </w:pPr>
                  <w:r>
                    <w:rPr>
                      <w:color w:val="auto"/>
                      <w:szCs w:val="21"/>
                    </w:rPr>
                    <w:t>44度</w:t>
                  </w:r>
                  <w:r>
                    <w:rPr>
                      <w:rFonts w:hint="eastAsia"/>
                      <w:color w:val="auto"/>
                      <w:szCs w:val="21"/>
                      <w:lang w:val="en-US" w:eastAsia="zh-CN"/>
                    </w:rPr>
                    <w:t>09</w:t>
                  </w:r>
                  <w:r>
                    <w:rPr>
                      <w:color w:val="auto"/>
                      <w:szCs w:val="21"/>
                    </w:rPr>
                    <w:t>分</w:t>
                  </w:r>
                  <w:r>
                    <w:rPr>
                      <w:rFonts w:hint="eastAsia"/>
                      <w:color w:val="auto"/>
                      <w:szCs w:val="21"/>
                      <w:lang w:val="en-US" w:eastAsia="zh-CN"/>
                    </w:rPr>
                    <w:t>23.893</w:t>
                  </w:r>
                  <w:r>
                    <w:rPr>
                      <w:color w:val="auto"/>
                      <w:szCs w:val="21"/>
                    </w:rPr>
                    <w:t>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主要危险物质及分布</w:t>
                  </w:r>
                </w:p>
              </w:tc>
              <w:tc>
                <w:tcPr>
                  <w:tcW w:w="4071" w:type="pct"/>
                  <w:gridSpan w:val="4"/>
                  <w:tcBorders>
                    <w:tl2br w:val="nil"/>
                    <w:tr2bl w:val="nil"/>
                  </w:tcBorders>
                  <w:vAlign w:val="center"/>
                </w:tcPr>
                <w:p>
                  <w:pPr>
                    <w:jc w:val="center"/>
                    <w:rPr>
                      <w:color w:val="auto"/>
                      <w:szCs w:val="21"/>
                    </w:rPr>
                  </w:pPr>
                  <w:r>
                    <w:rPr>
                      <w:color w:val="auto"/>
                      <w:szCs w:val="21"/>
                    </w:rPr>
                    <w:t>主要危险物质：废机油</w:t>
                  </w:r>
                </w:p>
                <w:p>
                  <w:pPr>
                    <w:jc w:val="center"/>
                    <w:rPr>
                      <w:rFonts w:hint="eastAsia" w:eastAsia="宋体"/>
                      <w:color w:val="auto"/>
                      <w:szCs w:val="21"/>
                      <w:lang w:eastAsia="zh-CN"/>
                    </w:rPr>
                  </w:pPr>
                  <w:r>
                    <w:rPr>
                      <w:color w:val="auto"/>
                      <w:szCs w:val="21"/>
                    </w:rPr>
                    <w:t>分布：</w:t>
                  </w:r>
                  <w:r>
                    <w:rPr>
                      <w:rFonts w:hint="eastAsia"/>
                      <w:color w:val="auto"/>
                      <w:szCs w:val="21"/>
                      <w:lang w:val="en-US" w:eastAsia="zh-CN"/>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环境影响途径及危害后果</w:t>
                  </w:r>
                </w:p>
              </w:tc>
              <w:tc>
                <w:tcPr>
                  <w:tcW w:w="4071" w:type="pct"/>
                  <w:gridSpan w:val="4"/>
                  <w:tcBorders>
                    <w:tl2br w:val="nil"/>
                    <w:tr2bl w:val="nil"/>
                  </w:tcBorders>
                  <w:vAlign w:val="center"/>
                </w:tcPr>
                <w:p>
                  <w:pPr>
                    <w:rPr>
                      <w:color w:val="auto"/>
                      <w:szCs w:val="21"/>
                    </w:rPr>
                  </w:pPr>
                  <w:r>
                    <w:rPr>
                      <w:color w:val="auto"/>
                      <w:szCs w:val="21"/>
                    </w:rPr>
                    <w:t>一旦废机油泄漏、火灾引发的次生污染，将会给附近地下水、大气、土壤带来一定污染，短时间难以得到修复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风险防范措施要求</w:t>
                  </w:r>
                </w:p>
              </w:tc>
              <w:tc>
                <w:tcPr>
                  <w:tcW w:w="4071" w:type="pct"/>
                  <w:gridSpan w:val="4"/>
                  <w:tcBorders>
                    <w:tl2br w:val="nil"/>
                    <w:tr2bl w:val="nil"/>
                  </w:tcBorders>
                  <w:vAlign w:val="center"/>
                </w:tcPr>
                <w:p>
                  <w:pPr>
                    <w:rPr>
                      <w:rFonts w:hint="default" w:eastAsia="宋体"/>
                      <w:color w:val="auto"/>
                      <w:szCs w:val="21"/>
                      <w:lang w:val="en-US" w:eastAsia="zh-CN"/>
                    </w:rPr>
                  </w:pPr>
                  <w:r>
                    <w:rPr>
                      <w:rFonts w:hint="eastAsia"/>
                      <w:color w:val="auto"/>
                      <w:szCs w:val="21"/>
                      <w:lang w:val="en-US" w:eastAsia="zh-CN"/>
                    </w:rPr>
                    <w:t>详见报告章节6.4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 w:type="pct"/>
                  <w:tcBorders>
                    <w:tl2br w:val="nil"/>
                    <w:tr2bl w:val="nil"/>
                  </w:tcBorders>
                  <w:vAlign w:val="center"/>
                </w:tcPr>
                <w:p>
                  <w:pPr>
                    <w:jc w:val="center"/>
                    <w:rPr>
                      <w:color w:val="auto"/>
                      <w:szCs w:val="21"/>
                    </w:rPr>
                  </w:pPr>
                  <w:r>
                    <w:rPr>
                      <w:color w:val="auto"/>
                      <w:szCs w:val="21"/>
                    </w:rPr>
                    <w:t>填表说明</w:t>
                  </w:r>
                </w:p>
              </w:tc>
              <w:tc>
                <w:tcPr>
                  <w:tcW w:w="4071" w:type="pct"/>
                  <w:gridSpan w:val="4"/>
                  <w:tcBorders>
                    <w:tl2br w:val="nil"/>
                    <w:tr2bl w:val="nil"/>
                  </w:tcBorders>
                  <w:vAlign w:val="center"/>
                </w:tcPr>
                <w:p>
                  <w:pPr>
                    <w:jc w:val="center"/>
                    <w:rPr>
                      <w:color w:val="auto"/>
                      <w:szCs w:val="21"/>
                    </w:rPr>
                  </w:pPr>
                  <w:r>
                    <w:rPr>
                      <w:color w:val="auto"/>
                      <w:szCs w:val="21"/>
                    </w:rPr>
                    <w:t>本项目</w:t>
                  </w:r>
                  <w:r>
                    <w:rPr>
                      <w:rFonts w:hint="eastAsia"/>
                      <w:color w:val="auto"/>
                      <w:szCs w:val="21"/>
                      <w:lang w:eastAsia="zh-CN"/>
                    </w:rPr>
                    <w:t>主要是涉及</w:t>
                  </w:r>
                  <w:r>
                    <w:rPr>
                      <w:color w:val="auto"/>
                      <w:szCs w:val="21"/>
                    </w:rPr>
                    <w:t>的危险物质</w:t>
                  </w:r>
                  <w:r>
                    <w:rPr>
                      <w:rFonts w:hint="eastAsia"/>
                      <w:color w:val="auto"/>
                      <w:szCs w:val="21"/>
                      <w:lang w:eastAsia="zh-CN"/>
                    </w:rPr>
                    <w:t>泄漏</w:t>
                  </w:r>
                  <w:r>
                    <w:rPr>
                      <w:color w:val="auto"/>
                      <w:szCs w:val="21"/>
                    </w:rPr>
                    <w:t>可能性小，所涉及工艺较成熟，危险性较低，环境敏感度较低。并且项目风险潜势为I，可开展简单分析。</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rPr>
            </w:pPr>
            <w:r>
              <w:rPr>
                <w:color w:val="auto"/>
                <w:sz w:val="24"/>
              </w:rPr>
              <w:t>因此，本项目严格采取上述措施以后，运营期间发生环境风险概率较小，所以本项目的事故风险水平是可以接受的。</w:t>
            </w:r>
          </w:p>
          <w:p>
            <w:pPr>
              <w:pageBreakBefore w:val="0"/>
              <w:numPr>
                <w:ilvl w:val="0"/>
                <w:numId w:val="19"/>
              </w:numPr>
              <w:kinsoku/>
              <w:overflowPunct/>
              <w:autoSpaceDE/>
              <w:autoSpaceDN/>
              <w:bidi w:val="0"/>
              <w:adjustRightInd w:val="0"/>
              <w:snapToGrid w:val="0"/>
              <w:spacing w:line="480" w:lineRule="exact"/>
              <w:ind w:left="0" w:leftChars="0" w:firstLine="0" w:firstLineChars="0"/>
              <w:rPr>
                <w:rFonts w:hint="eastAsia" w:eastAsia="宋体"/>
                <w:b/>
                <w:bCs/>
                <w:color w:val="auto"/>
                <w:sz w:val="24"/>
                <w:lang w:eastAsia="zh-CN"/>
              </w:rPr>
            </w:pPr>
            <w:r>
              <w:rPr>
                <w:b/>
                <w:bCs/>
                <w:color w:val="auto"/>
                <w:sz w:val="24"/>
              </w:rPr>
              <w:t>排污口规范化</w:t>
            </w:r>
            <w:r>
              <w:rPr>
                <w:rFonts w:hint="eastAsia"/>
                <w:b/>
                <w:bCs/>
                <w:color w:val="auto"/>
                <w:sz w:val="24"/>
                <w:lang w:eastAsia="zh-CN"/>
              </w:rPr>
              <w:t>设置要求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baseline"/>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根据《固定源废气监测技术规范》（ HJ/T397-2007）和《污水监测技术规范》（HJ 91.1-2019）对排污口进行规范化设置。</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废气采样位置应优先选择在垂直管段，应避开烟道弯头和断面急剧变化的部位。采样位置应设置在距弯头、阀门、变径管下游方向不小于6 倍直径，和距上述部件上游方向不小于 3 倍直径处。</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废气排放口必要时应设置采样平台，采样平台应有足够的工作面积使工作人员安全、方便地操作。平台面积应不小于 1.5 m，并设有 1.1 m 高的护和不低于 10 cm 的脚部挡板，采样平台的承重应不小于 200 kg/m，采样孔距平台面为 1.2~1.3 m。</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污水排放口应满足现场采样和流量测定的要求，原则上设在厂界内，或厂界外不超过10 m的范围内。</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污水排放管道或渠道监测断面应为矩形、圆形、梯形等规则形状。测流段水流应平直、稳定、有一定水位高度。用暗管或暗渠排污的，须设置一段能满足采样条件和流量测量的明渠。</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污水面在地面以下超过 1 m 的排放口，应配建取样台阶或梯架。监测平台面积应不小于 1m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，平台应设置不低于 1.2 m 的防护栏。</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排放口应按照 GB 15562.1 的要求设置明显标志，并应加强日常管理和维护，确保监测人员的安全，经常进行排放口的清障、疏通工作；保证污水监测点位场所通风、照明正常；产生有毒有害气体的监测场所应强制设置通风系统，并安装相应的气体浓度安全报警装置。</w:t>
            </w:r>
          </w:p>
          <w:p>
            <w:pPr>
              <w:keepNext w:val="0"/>
              <w:keepLines w:val="0"/>
              <w:pageBreakBefore w:val="0"/>
              <w:widowControl/>
              <w:numPr>
                <w:ilvl w:val="0"/>
                <w:numId w:val="21"/>
              </w:numPr>
              <w:kinsoku/>
              <w:wordWrap/>
              <w:overflowPunct/>
              <w:topLinePunct w:val="0"/>
              <w:autoSpaceDE/>
              <w:autoSpaceDN/>
              <w:bidi w:val="0"/>
              <w:adjustRightInd/>
              <w:snapToGrid/>
              <w:spacing w:line="520" w:lineRule="exact"/>
              <w:ind w:left="0" w:leftChars="0" w:firstLine="397" w:firstLineChars="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经生态环境主管部门确认的排放口不得随意改动。因生产工艺或其他原因需变更持放口时，须按以上要求重新确认。</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环境保护图形标志具体设置图形见表4-19。</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color w:val="auto"/>
                <w:sz w:val="24"/>
                <w:lang w:val="en-US" w:eastAsia="zh-CN"/>
              </w:rPr>
            </w:pPr>
          </w:p>
          <w:p>
            <w:pPr>
              <w:pStyle w:val="5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ind w:left="0" w:leftChars="0"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表4-</w:t>
            </w:r>
            <w:r>
              <w:rPr>
                <w:rFonts w:hint="eastAsia" w:hAnsi="Times New Roman" w:cs="Times New Roman"/>
                <w:b/>
                <w:bCs/>
                <w:color w:val="auto"/>
                <w:sz w:val="21"/>
                <w:szCs w:val="21"/>
                <w:lang w:val="en-US" w:eastAsia="zh-CN"/>
              </w:rPr>
              <w:t>19</w:t>
            </w:r>
            <w:r>
              <w:rPr>
                <w:rFonts w:hint="eastAsia" w:ascii="Times New Roman" w:hAnsi="Times New Roman" w:eastAsia="宋体" w:cs="Times New Roman"/>
                <w:b/>
                <w:bCs/>
                <w:color w:val="auto"/>
                <w:sz w:val="21"/>
                <w:szCs w:val="21"/>
                <w:lang w:val="en-US" w:eastAsia="zh-CN"/>
              </w:rPr>
              <w:t xml:space="preserve">   各排污口环境保护图形标志</w:t>
            </w:r>
          </w:p>
          <w:tbl>
            <w:tblPr>
              <w:tblStyle w:val="25"/>
              <w:tblW w:w="81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108" w:type="dxa"/>
                <w:bottom w:w="0" w:type="dxa"/>
                <w:right w:w="108" w:type="dxa"/>
              </w:tblCellMar>
            </w:tblPr>
            <w:tblGrid>
              <w:gridCol w:w="1173"/>
              <w:gridCol w:w="1361"/>
              <w:gridCol w:w="1361"/>
              <w:gridCol w:w="1361"/>
              <w:gridCol w:w="1361"/>
              <w:gridCol w:w="1533"/>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697" w:hRule="atLeast"/>
                <w:jc w:val="center"/>
              </w:trPr>
              <w:tc>
                <w:tcPr>
                  <w:tcW w:w="117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名称</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废气排放口</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废水排放口</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噪声排放源</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lang w:val="en-US" w:eastAsia="zh-Hans"/>
                    </w:rPr>
                  </w:pPr>
                  <w:r>
                    <w:rPr>
                      <w:rFonts w:hint="default" w:ascii="Times New Roman" w:hAnsi="Times New Roman" w:cs="Times New Roman"/>
                      <w:b/>
                      <w:bCs/>
                      <w:color w:val="auto"/>
                      <w:sz w:val="21"/>
                      <w:lang w:val="en-US" w:eastAsia="zh-Hans"/>
                    </w:rPr>
                    <w:t>一般固体废物</w:t>
                  </w:r>
                </w:p>
              </w:tc>
              <w:tc>
                <w:tcPr>
                  <w:tcW w:w="1533" w:type="dxa"/>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危险废物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228" w:hRule="atLeast"/>
                <w:jc w:val="center"/>
              </w:trPr>
              <w:tc>
                <w:tcPr>
                  <w:tcW w:w="1173" w:type="dxa"/>
                  <w:tcBorders>
                    <w:tl2br w:val="nil"/>
                    <w:tr2bl w:val="nil"/>
                  </w:tcBorders>
                  <w:noWrap w:val="0"/>
                  <w:vAlign w:val="center"/>
                </w:tcPr>
                <w:p>
                  <w:pPr>
                    <w:pStyle w:val="32"/>
                    <w:ind w:left="0" w:leftChars="0" w:firstLine="0" w:firstLineChars="0"/>
                    <w:jc w:val="center"/>
                    <w:rPr>
                      <w:rFonts w:hint="default" w:ascii="Times New Roman" w:hAnsi="Times New Roman" w:eastAsia="宋体" w:cs="Times New Roman"/>
                      <w:color w:val="auto"/>
                      <w:kern w:val="2"/>
                      <w:sz w:val="21"/>
                      <w:szCs w:val="24"/>
                      <w:lang w:val="en-US" w:eastAsia="zh-Hans" w:bidi="ar-SA"/>
                    </w:rPr>
                  </w:pPr>
                  <w:r>
                    <w:rPr>
                      <w:rFonts w:hint="default" w:ascii="Times New Roman" w:hAnsi="Times New Roman" w:eastAsia="宋体" w:cs="Times New Roman"/>
                      <w:color w:val="auto"/>
                      <w:kern w:val="2"/>
                      <w:sz w:val="21"/>
                      <w:szCs w:val="24"/>
                      <w:lang w:val="en-US" w:eastAsia="zh-Hans" w:bidi="ar-SA"/>
                    </w:rPr>
                    <w:t>提示图形</w:t>
                  </w:r>
                </w:p>
                <w:p>
                  <w:pPr>
                    <w:pStyle w:val="32"/>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2"/>
                      <w:sz w:val="21"/>
                      <w:szCs w:val="24"/>
                      <w:lang w:val="en-US" w:eastAsia="zh-Hans" w:bidi="ar-SA"/>
                    </w:rPr>
                    <w:t>符号</w:t>
                  </w:r>
                </w:p>
              </w:tc>
              <w:tc>
                <w:tcPr>
                  <w:tcW w:w="1361" w:type="dxa"/>
                  <w:tcBorders>
                    <w:tl2br w:val="nil"/>
                    <w:tr2bl w:val="nil"/>
                  </w:tcBorders>
                  <w:noWrap w:val="0"/>
                  <w:vAlign w:val="center"/>
                </w:tcPr>
                <w:p>
                  <w:pPr>
                    <w:pStyle w:val="3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0"/>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pPr>
                    <w:pStyle w:val="3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21"/>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pPr>
                    <w:pStyle w:val="3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22"/>
                                <a:stretch>
                                  <a:fillRect/>
                                </a:stretch>
                              </pic:blipFill>
                              <pic:spPr>
                                <a:xfrm>
                                  <a:off x="0" y="0"/>
                                  <a:ext cx="720090" cy="720090"/>
                                </a:xfrm>
                                <a:prstGeom prst="rect">
                                  <a:avLst/>
                                </a:prstGeom>
                                <a:noFill/>
                                <a:ln>
                                  <a:noFill/>
                                </a:ln>
                              </pic:spPr>
                            </pic:pic>
                          </a:graphicData>
                        </a:graphic>
                      </wp:inline>
                    </w:drawing>
                  </w:r>
                </w:p>
              </w:tc>
              <w:tc>
                <w:tcPr>
                  <w:tcW w:w="1361" w:type="dxa"/>
                  <w:tcBorders>
                    <w:tl2br w:val="nil"/>
                    <w:tr2bl w:val="nil"/>
                  </w:tcBorders>
                  <w:noWrap w:val="0"/>
                  <w:vAlign w:val="center"/>
                </w:tcPr>
                <w:p>
                  <w:pPr>
                    <w:pStyle w:val="3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720090" cy="720090"/>
                        <wp:effectExtent l="0" t="0" r="3810" b="381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3"/>
                                <a:stretch>
                                  <a:fillRect/>
                                </a:stretch>
                              </pic:blipFill>
                              <pic:spPr>
                                <a:xfrm>
                                  <a:off x="0" y="0"/>
                                  <a:ext cx="720090" cy="720090"/>
                                </a:xfrm>
                                <a:prstGeom prst="rect">
                                  <a:avLst/>
                                </a:prstGeom>
                                <a:noFill/>
                                <a:ln>
                                  <a:noFill/>
                                </a:ln>
                              </pic:spPr>
                            </pic:pic>
                          </a:graphicData>
                        </a:graphic>
                      </wp:inline>
                    </w:drawing>
                  </w:r>
                </w:p>
              </w:tc>
              <w:tc>
                <w:tcPr>
                  <w:tcW w:w="1533" w:type="dxa"/>
                  <w:tcBorders>
                    <w:tl2br w:val="nil"/>
                    <w:tr2bl w:val="nil"/>
                  </w:tcBorders>
                  <w:noWrap w:val="0"/>
                  <w:vAlign w:val="center"/>
                </w:tcPr>
                <w:p>
                  <w:pPr>
                    <w:pStyle w:val="32"/>
                    <w:ind w:left="0" w:leftChars="0" w:firstLine="0" w:firstLineChars="0"/>
                    <w:jc w:val="center"/>
                    <w:rPr>
                      <w:rFonts w:hint="default" w:ascii="Times New Roman" w:hAnsi="Times New Roman" w:cs="Times New Roman"/>
                      <w:color w:val="auto"/>
                    </w:rPr>
                  </w:pPr>
                  <w:r>
                    <w:rPr>
                      <w:rFonts w:hint="default" w:ascii="宋体" w:hAnsi="宋体" w:eastAsia="宋体" w:cs="宋体"/>
                      <w:color w:val="auto"/>
                      <w:spacing w:val="0"/>
                      <w:kern w:val="0"/>
                      <w:sz w:val="21"/>
                      <w:szCs w:val="21"/>
                      <w:lang w:val="en-US" w:eastAsia="zh-CN" w:bidi="ar-SA"/>
                    </w:rPr>
                    <w:drawing>
                      <wp:inline distT="0" distB="0" distL="114300" distR="114300">
                        <wp:extent cx="819150" cy="728980"/>
                        <wp:effectExtent l="0" t="0" r="0" b="13970"/>
                        <wp:docPr id="53" name="图片 6" descr="16915097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1691509705211"/>
                                <pic:cNvPicPr>
                                  <a:picLocks noChangeAspect="1"/>
                                </pic:cNvPicPr>
                              </pic:nvPicPr>
                              <pic:blipFill>
                                <a:blip r:embed="rId24"/>
                                <a:stretch>
                                  <a:fillRect/>
                                </a:stretch>
                              </pic:blipFill>
                              <pic:spPr>
                                <a:xfrm>
                                  <a:off x="0" y="0"/>
                                  <a:ext cx="819150" cy="72898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1170" w:hRule="atLeast"/>
                <w:jc w:val="center"/>
              </w:trPr>
              <w:tc>
                <w:tcPr>
                  <w:tcW w:w="117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功能</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表示废气向大气环境排放</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表示废水向水环境排放</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表示噪声向外环境排放</w:t>
                  </w:r>
                </w:p>
              </w:tc>
              <w:tc>
                <w:tcPr>
                  <w:tcW w:w="1361"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表示一般固体废物贮存、处置场所</w:t>
                  </w:r>
                </w:p>
              </w:tc>
              <w:tc>
                <w:tcPr>
                  <w:tcW w:w="153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lang w:val="en-US" w:eastAsia="zh-Hans"/>
                    </w:rPr>
                  </w:pPr>
                  <w:r>
                    <w:rPr>
                      <w:rFonts w:hint="default" w:ascii="Times New Roman" w:hAnsi="Times New Roman" w:cs="Times New Roman"/>
                      <w:color w:val="auto"/>
                      <w:sz w:val="21"/>
                      <w:lang w:val="en-US" w:eastAsia="zh-Hans"/>
                    </w:rPr>
                    <w:t>表示危险废物贮存、处置场</w:t>
                  </w:r>
                </w:p>
              </w:tc>
            </w:tr>
          </w:tbl>
          <w:p>
            <w:pPr>
              <w:keepNext w:val="0"/>
              <w:keepLines w:val="0"/>
              <w:pageBreakBefore w:val="0"/>
              <w:widowControl w:val="0"/>
              <w:numPr>
                <w:ilvl w:val="0"/>
                <w:numId w:val="19"/>
              </w:numPr>
              <w:kinsoku/>
              <w:wordWrap/>
              <w:overflowPunct/>
              <w:topLinePunct w:val="0"/>
              <w:autoSpaceDE/>
              <w:autoSpaceDN/>
              <w:bidi w:val="0"/>
              <w:adjustRightInd/>
              <w:snapToGrid/>
              <w:spacing w:line="520" w:lineRule="exact"/>
              <w:ind w:left="0" w:leftChars="0" w:firstLine="0" w:firstLineChars="0"/>
              <w:textAlignment w:val="auto"/>
              <w:rPr>
                <w:b/>
                <w:color w:val="auto"/>
                <w:sz w:val="24"/>
              </w:rPr>
            </w:pPr>
            <w:r>
              <w:rPr>
                <w:b/>
                <w:color w:val="auto"/>
                <w:sz w:val="24"/>
              </w:rPr>
              <w:t>环保投资估算</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auto"/>
                <w:highlight w:val="none"/>
              </w:rPr>
            </w:pPr>
            <w:r>
              <w:rPr>
                <w:bCs/>
                <w:color w:val="auto"/>
                <w:sz w:val="24"/>
                <w:highlight w:val="none"/>
              </w:rPr>
              <w:t>建设项目总投资</w:t>
            </w:r>
            <w:r>
              <w:rPr>
                <w:rFonts w:hint="eastAsia"/>
                <w:bCs/>
                <w:color w:val="auto"/>
                <w:sz w:val="24"/>
                <w:highlight w:val="none"/>
                <w:lang w:val="en-US" w:eastAsia="zh-CN"/>
              </w:rPr>
              <w:t>550</w:t>
            </w:r>
            <w:r>
              <w:rPr>
                <w:rFonts w:hint="eastAsia"/>
                <w:bCs/>
                <w:color w:val="auto"/>
                <w:sz w:val="24"/>
                <w:highlight w:val="none"/>
              </w:rPr>
              <w:t>万元</w:t>
            </w:r>
            <w:r>
              <w:rPr>
                <w:bCs/>
                <w:color w:val="auto"/>
                <w:sz w:val="24"/>
                <w:highlight w:val="none"/>
              </w:rPr>
              <w:t>，其中环保投资</w:t>
            </w:r>
            <w:r>
              <w:rPr>
                <w:rFonts w:hint="eastAsia"/>
                <w:bCs/>
                <w:color w:val="auto"/>
                <w:sz w:val="24"/>
                <w:highlight w:val="none"/>
                <w:lang w:val="en-US" w:eastAsia="zh-CN"/>
              </w:rPr>
              <w:t>39</w:t>
            </w:r>
            <w:r>
              <w:rPr>
                <w:bCs/>
                <w:color w:val="auto"/>
                <w:sz w:val="24"/>
                <w:highlight w:val="none"/>
              </w:rPr>
              <w:t>万元，占总投资比例为</w:t>
            </w:r>
            <w:r>
              <w:rPr>
                <w:rFonts w:hint="eastAsia"/>
                <w:bCs/>
                <w:color w:val="auto"/>
                <w:sz w:val="24"/>
                <w:highlight w:val="none"/>
                <w:lang w:val="en-US" w:eastAsia="zh-CN"/>
              </w:rPr>
              <w:t>7.09</w:t>
            </w:r>
            <w:r>
              <w:rPr>
                <w:bCs/>
                <w:color w:val="auto"/>
                <w:sz w:val="24"/>
                <w:highlight w:val="none"/>
              </w:rPr>
              <w:t>%</w:t>
            </w:r>
            <w:r>
              <w:rPr>
                <w:rFonts w:hint="eastAsia"/>
                <w:bCs/>
                <w:color w:val="auto"/>
                <w:highlight w:val="none"/>
              </w:rPr>
              <w:t>。</w:t>
            </w:r>
          </w:p>
          <w:p>
            <w:pPr>
              <w:keepNext w:val="0"/>
              <w:keepLines w:val="0"/>
              <w:pageBreakBefore w:val="0"/>
              <w:widowControl/>
              <w:kinsoku/>
              <w:wordWrap/>
              <w:overflowPunct/>
              <w:topLinePunct w:val="0"/>
              <w:autoSpaceDE/>
              <w:autoSpaceDN/>
              <w:bidi w:val="0"/>
              <w:adjustRightInd w:val="0"/>
              <w:snapToGrid w:val="0"/>
              <w:spacing w:line="520" w:lineRule="exact"/>
              <w:ind w:firstLine="2665" w:firstLineChars="1196"/>
              <w:textAlignment w:val="auto"/>
              <w:rPr>
                <w:b/>
                <w:color w:val="auto"/>
                <w:spacing w:val="6"/>
                <w:szCs w:val="21"/>
                <w:highlight w:val="none"/>
              </w:rPr>
            </w:pPr>
            <w:r>
              <w:rPr>
                <w:b/>
                <w:color w:val="auto"/>
                <w:spacing w:val="6"/>
                <w:szCs w:val="21"/>
                <w:highlight w:val="none"/>
              </w:rPr>
              <w:t>表4-</w:t>
            </w:r>
            <w:r>
              <w:rPr>
                <w:rFonts w:hint="eastAsia"/>
                <w:b/>
                <w:color w:val="auto"/>
                <w:spacing w:val="6"/>
                <w:szCs w:val="21"/>
                <w:highlight w:val="none"/>
                <w:lang w:val="en-US" w:eastAsia="zh-CN"/>
              </w:rPr>
              <w:t>20</w:t>
            </w:r>
            <w:r>
              <w:rPr>
                <w:b/>
                <w:color w:val="auto"/>
                <w:spacing w:val="6"/>
                <w:szCs w:val="21"/>
                <w:highlight w:val="none"/>
              </w:rPr>
              <w:t xml:space="preserve">  </w:t>
            </w:r>
            <w:r>
              <w:rPr>
                <w:rFonts w:hint="eastAsia"/>
                <w:b/>
                <w:color w:val="auto"/>
                <w:spacing w:val="6"/>
                <w:szCs w:val="21"/>
                <w:highlight w:val="none"/>
              </w:rPr>
              <w:t xml:space="preserve">  </w:t>
            </w:r>
            <w:r>
              <w:rPr>
                <w:b/>
                <w:color w:val="auto"/>
                <w:spacing w:val="6"/>
                <w:szCs w:val="21"/>
                <w:highlight w:val="none"/>
              </w:rPr>
              <w:t>环保投资一览表</w:t>
            </w:r>
          </w:p>
          <w:tbl>
            <w:tblPr>
              <w:tblStyle w:val="25"/>
              <w:tblW w:w="86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6"/>
              <w:gridCol w:w="789"/>
              <w:gridCol w:w="5339"/>
              <w:gridCol w:w="1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21" w:type="pct"/>
                  <w:tcBorders>
                    <w:bottom w:val="single" w:color="auto" w:sz="12" w:space="0"/>
                  </w:tcBorders>
                  <w:vAlign w:val="center"/>
                </w:tcPr>
                <w:p>
                  <w:pPr>
                    <w:jc w:val="center"/>
                    <w:rPr>
                      <w:b/>
                      <w:bCs/>
                      <w:color w:val="auto"/>
                      <w:szCs w:val="21"/>
                      <w:highlight w:val="none"/>
                    </w:rPr>
                  </w:pPr>
                  <w:r>
                    <w:rPr>
                      <w:b/>
                      <w:bCs/>
                      <w:color w:val="auto"/>
                      <w:szCs w:val="21"/>
                      <w:highlight w:val="none"/>
                    </w:rPr>
                    <w:t>序号</w:t>
                  </w:r>
                </w:p>
              </w:tc>
              <w:tc>
                <w:tcPr>
                  <w:tcW w:w="457" w:type="pct"/>
                  <w:tcBorders>
                    <w:bottom w:val="single" w:color="auto" w:sz="12" w:space="0"/>
                  </w:tcBorders>
                  <w:vAlign w:val="center"/>
                </w:tcPr>
                <w:p>
                  <w:pPr>
                    <w:jc w:val="center"/>
                    <w:rPr>
                      <w:b/>
                      <w:bCs/>
                      <w:color w:val="auto"/>
                      <w:szCs w:val="21"/>
                      <w:highlight w:val="none"/>
                    </w:rPr>
                  </w:pPr>
                  <w:r>
                    <w:rPr>
                      <w:b/>
                      <w:bCs/>
                      <w:color w:val="auto"/>
                      <w:szCs w:val="21"/>
                      <w:highlight w:val="none"/>
                    </w:rPr>
                    <w:t>项目</w:t>
                  </w:r>
                </w:p>
              </w:tc>
              <w:tc>
                <w:tcPr>
                  <w:tcW w:w="3092" w:type="pct"/>
                  <w:tcBorders>
                    <w:bottom w:val="single" w:color="auto" w:sz="12" w:space="0"/>
                  </w:tcBorders>
                  <w:vAlign w:val="center"/>
                </w:tcPr>
                <w:p>
                  <w:pPr>
                    <w:jc w:val="center"/>
                    <w:rPr>
                      <w:b/>
                      <w:bCs/>
                      <w:color w:val="auto"/>
                      <w:szCs w:val="21"/>
                      <w:highlight w:val="none"/>
                    </w:rPr>
                  </w:pPr>
                  <w:r>
                    <w:rPr>
                      <w:b/>
                      <w:bCs/>
                      <w:color w:val="auto"/>
                      <w:szCs w:val="21"/>
                      <w:highlight w:val="none"/>
                    </w:rPr>
                    <w:t>环保设施</w:t>
                  </w:r>
                </w:p>
              </w:tc>
              <w:tc>
                <w:tcPr>
                  <w:tcW w:w="1029" w:type="pct"/>
                  <w:tcBorders>
                    <w:bottom w:val="single" w:color="auto" w:sz="12" w:space="0"/>
                  </w:tcBorders>
                  <w:vAlign w:val="center"/>
                </w:tcPr>
                <w:p>
                  <w:pPr>
                    <w:jc w:val="center"/>
                    <w:rPr>
                      <w:b/>
                      <w:bCs/>
                      <w:color w:val="auto"/>
                      <w:szCs w:val="21"/>
                      <w:highlight w:val="none"/>
                    </w:rPr>
                  </w:pPr>
                  <w:r>
                    <w:rPr>
                      <w:b/>
                      <w:bCs/>
                      <w:color w:val="auto"/>
                      <w:szCs w:val="21"/>
                      <w:highlight w:val="none"/>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1" w:type="pct"/>
                  <w:tcBorders>
                    <w:top w:val="single" w:color="auto" w:sz="12" w:space="0"/>
                    <w:bottom w:val="single" w:color="auto" w:sz="6" w:space="0"/>
                  </w:tcBorders>
                  <w:vAlign w:val="center"/>
                </w:tcPr>
                <w:p>
                  <w:pPr>
                    <w:jc w:val="center"/>
                    <w:rPr>
                      <w:color w:val="auto"/>
                      <w:szCs w:val="21"/>
                      <w:highlight w:val="none"/>
                    </w:rPr>
                  </w:pPr>
                  <w:r>
                    <w:rPr>
                      <w:color w:val="auto"/>
                      <w:szCs w:val="21"/>
                      <w:highlight w:val="none"/>
                    </w:rPr>
                    <w:t>1</w:t>
                  </w:r>
                </w:p>
              </w:tc>
              <w:tc>
                <w:tcPr>
                  <w:tcW w:w="457" w:type="pct"/>
                  <w:vMerge w:val="restart"/>
                  <w:tcBorders>
                    <w:top w:val="single" w:color="auto" w:sz="12" w:space="0"/>
                  </w:tcBorders>
                  <w:vAlign w:val="center"/>
                </w:tcPr>
                <w:p>
                  <w:pPr>
                    <w:jc w:val="center"/>
                    <w:rPr>
                      <w:color w:val="auto"/>
                      <w:szCs w:val="21"/>
                      <w:highlight w:val="none"/>
                    </w:rPr>
                  </w:pPr>
                  <w:r>
                    <w:rPr>
                      <w:color w:val="auto"/>
                      <w:szCs w:val="21"/>
                      <w:highlight w:val="none"/>
                    </w:rPr>
                    <w:t>废水</w:t>
                  </w:r>
                </w:p>
              </w:tc>
              <w:tc>
                <w:tcPr>
                  <w:tcW w:w="3092" w:type="pct"/>
                  <w:tcBorders>
                    <w:top w:val="single" w:color="auto" w:sz="12" w:space="0"/>
                    <w:bottom w:val="single" w:color="auto" w:sz="6" w:space="0"/>
                  </w:tcBorders>
                  <w:vAlign w:val="center"/>
                </w:tcPr>
                <w:p>
                  <w:pPr>
                    <w:jc w:val="center"/>
                    <w:rPr>
                      <w:color w:val="auto"/>
                      <w:szCs w:val="21"/>
                      <w:highlight w:val="none"/>
                    </w:rPr>
                  </w:pPr>
                  <w:r>
                    <w:rPr>
                      <w:color w:val="auto"/>
                      <w:szCs w:val="21"/>
                      <w:highlight w:val="none"/>
                    </w:rPr>
                    <w:t>办公生活污水排入园区管网</w:t>
                  </w:r>
                </w:p>
              </w:tc>
              <w:tc>
                <w:tcPr>
                  <w:tcW w:w="1029" w:type="pct"/>
                  <w:tcBorders>
                    <w:top w:val="single" w:color="auto" w:sz="12" w:space="0"/>
                    <w:bottom w:val="single" w:color="auto" w:sz="6" w:space="0"/>
                  </w:tcBorders>
                  <w:vAlign w:val="center"/>
                </w:tcPr>
                <w:p>
                  <w:pPr>
                    <w:jc w:val="center"/>
                    <w:rPr>
                      <w:color w:val="auto"/>
                      <w:szCs w:val="21"/>
                      <w:highlight w:val="none"/>
                    </w:rPr>
                  </w:pP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1" w:type="pct"/>
                  <w:tcBorders>
                    <w:top w:val="single" w:color="auto" w:sz="6" w:space="0"/>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2</w:t>
                  </w:r>
                </w:p>
              </w:tc>
              <w:tc>
                <w:tcPr>
                  <w:tcW w:w="457" w:type="pct"/>
                  <w:vMerge w:val="continue"/>
                  <w:tcBorders>
                    <w:tl2br w:val="nil"/>
                    <w:tr2bl w:val="nil"/>
                  </w:tcBorders>
                  <w:vAlign w:val="center"/>
                </w:tcPr>
                <w:p>
                  <w:pPr>
                    <w:jc w:val="center"/>
                    <w:rPr>
                      <w:color w:val="auto"/>
                      <w:szCs w:val="21"/>
                      <w:highlight w:val="none"/>
                    </w:rPr>
                  </w:pPr>
                </w:p>
              </w:tc>
              <w:tc>
                <w:tcPr>
                  <w:tcW w:w="3092" w:type="pct"/>
                  <w:tcBorders>
                    <w:top w:val="single" w:color="auto" w:sz="6" w:space="0"/>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1座30m</w:t>
                  </w:r>
                  <w:r>
                    <w:rPr>
                      <w:rFonts w:hint="eastAsia"/>
                      <w:color w:val="auto"/>
                      <w:szCs w:val="21"/>
                      <w:highlight w:val="none"/>
                      <w:vertAlign w:val="superscript"/>
                      <w:lang w:val="en-US" w:eastAsia="zh-CN"/>
                    </w:rPr>
                    <w:t>3</w:t>
                  </w:r>
                  <w:r>
                    <w:rPr>
                      <w:rFonts w:hint="eastAsia"/>
                      <w:color w:val="auto"/>
                      <w:szCs w:val="21"/>
                      <w:highlight w:val="none"/>
                      <w:lang w:val="en-US" w:eastAsia="zh-CN"/>
                    </w:rPr>
                    <w:t>沉淀池+1座30m</w:t>
                  </w:r>
                  <w:r>
                    <w:rPr>
                      <w:rFonts w:hint="eastAsia"/>
                      <w:color w:val="auto"/>
                      <w:szCs w:val="21"/>
                      <w:highlight w:val="none"/>
                      <w:vertAlign w:val="superscript"/>
                      <w:lang w:val="en-US" w:eastAsia="zh-CN"/>
                    </w:rPr>
                    <w:t>3</w:t>
                  </w:r>
                  <w:r>
                    <w:rPr>
                      <w:rFonts w:hint="eastAsia"/>
                      <w:color w:val="auto"/>
                      <w:szCs w:val="21"/>
                      <w:highlight w:val="none"/>
                      <w:lang w:val="en-US" w:eastAsia="zh-CN"/>
                    </w:rPr>
                    <w:t>循环水池</w:t>
                  </w:r>
                </w:p>
              </w:tc>
              <w:tc>
                <w:tcPr>
                  <w:tcW w:w="1029" w:type="pct"/>
                  <w:tcBorders>
                    <w:top w:val="single" w:color="auto" w:sz="6" w:space="0"/>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1"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457" w:type="pct"/>
                  <w:vMerge w:val="restart"/>
                  <w:tcBorders>
                    <w:tl2br w:val="nil"/>
                    <w:tr2bl w:val="nil"/>
                  </w:tcBorders>
                  <w:vAlign w:val="center"/>
                </w:tcPr>
                <w:p>
                  <w:pPr>
                    <w:jc w:val="center"/>
                    <w:rPr>
                      <w:color w:val="auto"/>
                      <w:szCs w:val="21"/>
                      <w:highlight w:val="none"/>
                    </w:rPr>
                  </w:pPr>
                  <w:r>
                    <w:rPr>
                      <w:color w:val="auto"/>
                      <w:szCs w:val="21"/>
                      <w:highlight w:val="none"/>
                    </w:rPr>
                    <w:t>废气</w:t>
                  </w:r>
                </w:p>
              </w:tc>
              <w:tc>
                <w:tcPr>
                  <w:tcW w:w="3092"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热熔挤出废气采用活性炭吸附+催化燃烧装置</w:t>
                  </w:r>
                </w:p>
              </w:tc>
              <w:tc>
                <w:tcPr>
                  <w:tcW w:w="1029"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21"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4</w:t>
                  </w:r>
                </w:p>
              </w:tc>
              <w:tc>
                <w:tcPr>
                  <w:tcW w:w="457" w:type="pct"/>
                  <w:vMerge w:val="continue"/>
                  <w:tcBorders>
                    <w:tl2br w:val="nil"/>
                    <w:tr2bl w:val="nil"/>
                  </w:tcBorders>
                  <w:vAlign w:val="center"/>
                </w:tcPr>
                <w:p>
                  <w:pPr>
                    <w:jc w:val="center"/>
                    <w:rPr>
                      <w:color w:val="auto"/>
                      <w:szCs w:val="21"/>
                      <w:highlight w:val="none"/>
                    </w:rPr>
                  </w:pPr>
                </w:p>
              </w:tc>
              <w:tc>
                <w:tcPr>
                  <w:tcW w:w="3092"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破碎废气采用布袋除尘器</w:t>
                  </w:r>
                </w:p>
              </w:tc>
              <w:tc>
                <w:tcPr>
                  <w:tcW w:w="1029" w:type="pct"/>
                  <w:tcBorders>
                    <w:tl2br w:val="nil"/>
                    <w:tr2bl w:val="nil"/>
                  </w:tcBorders>
                  <w:vAlign w:val="center"/>
                </w:tcPr>
                <w:p>
                  <w:pPr>
                    <w:jc w:val="center"/>
                    <w:rPr>
                      <w:rFonts w:hint="default"/>
                      <w:color w:val="auto"/>
                      <w:szCs w:val="21"/>
                      <w:highlight w:val="none"/>
                      <w:lang w:val="en-US" w:eastAsia="zh-CN"/>
                    </w:rPr>
                  </w:pPr>
                  <w:r>
                    <w:rPr>
                      <w:rFonts w:hint="eastAsia"/>
                      <w:color w:val="auto"/>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5</w:t>
                  </w:r>
                </w:p>
              </w:tc>
              <w:tc>
                <w:tcPr>
                  <w:tcW w:w="457" w:type="pct"/>
                  <w:tcBorders>
                    <w:tl2br w:val="nil"/>
                    <w:tr2bl w:val="nil"/>
                  </w:tcBorders>
                  <w:vAlign w:val="center"/>
                </w:tcPr>
                <w:p>
                  <w:pPr>
                    <w:jc w:val="center"/>
                    <w:rPr>
                      <w:color w:val="auto"/>
                      <w:szCs w:val="21"/>
                      <w:highlight w:val="none"/>
                    </w:rPr>
                  </w:pPr>
                  <w:r>
                    <w:rPr>
                      <w:color w:val="auto"/>
                      <w:szCs w:val="21"/>
                      <w:highlight w:val="none"/>
                    </w:rPr>
                    <w:t>噪声</w:t>
                  </w:r>
                </w:p>
              </w:tc>
              <w:tc>
                <w:tcPr>
                  <w:tcW w:w="3092" w:type="pct"/>
                  <w:tcBorders>
                    <w:tl2br w:val="nil"/>
                    <w:tr2bl w:val="nil"/>
                  </w:tcBorders>
                  <w:vAlign w:val="center"/>
                </w:tcPr>
                <w:p>
                  <w:pPr>
                    <w:jc w:val="center"/>
                    <w:rPr>
                      <w:color w:val="auto"/>
                      <w:szCs w:val="21"/>
                      <w:highlight w:val="none"/>
                    </w:rPr>
                  </w:pPr>
                  <w:r>
                    <w:rPr>
                      <w:color w:val="auto"/>
                      <w:szCs w:val="21"/>
                      <w:highlight w:val="none"/>
                    </w:rPr>
                    <w:t>选用低噪声设备，采取减振、密闭、隔声、消声等措施</w:t>
                  </w:r>
                </w:p>
              </w:tc>
              <w:tc>
                <w:tcPr>
                  <w:tcW w:w="1029"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pct"/>
                  <w:tcBorders>
                    <w:tl2br w:val="nil"/>
                    <w:tr2bl w:val="nil"/>
                  </w:tcBorders>
                  <w:vAlign w:val="center"/>
                </w:tcPr>
                <w:p>
                  <w:pPr>
                    <w:jc w:val="center"/>
                    <w:rPr>
                      <w:color w:val="auto"/>
                      <w:szCs w:val="21"/>
                      <w:highlight w:val="none"/>
                    </w:rPr>
                  </w:pPr>
                  <w:r>
                    <w:rPr>
                      <w:rFonts w:hint="eastAsia"/>
                      <w:color w:val="auto"/>
                      <w:szCs w:val="21"/>
                      <w:highlight w:val="none"/>
                    </w:rPr>
                    <w:t>6</w:t>
                  </w:r>
                </w:p>
              </w:tc>
              <w:tc>
                <w:tcPr>
                  <w:tcW w:w="457" w:type="pct"/>
                  <w:tcBorders>
                    <w:tl2br w:val="nil"/>
                    <w:tr2bl w:val="nil"/>
                  </w:tcBorders>
                  <w:vAlign w:val="center"/>
                </w:tcPr>
                <w:p>
                  <w:pPr>
                    <w:jc w:val="center"/>
                    <w:rPr>
                      <w:color w:val="auto"/>
                      <w:szCs w:val="21"/>
                      <w:highlight w:val="none"/>
                    </w:rPr>
                  </w:pPr>
                  <w:r>
                    <w:rPr>
                      <w:color w:val="auto"/>
                      <w:szCs w:val="21"/>
                      <w:highlight w:val="none"/>
                    </w:rPr>
                    <w:t>固体废物</w:t>
                  </w:r>
                </w:p>
              </w:tc>
              <w:tc>
                <w:tcPr>
                  <w:tcW w:w="3092" w:type="pct"/>
                  <w:tcBorders>
                    <w:tl2br w:val="nil"/>
                    <w:tr2bl w:val="nil"/>
                  </w:tcBorders>
                  <w:vAlign w:val="center"/>
                </w:tcPr>
                <w:p>
                  <w:pPr>
                    <w:jc w:val="center"/>
                    <w:rPr>
                      <w:color w:val="auto"/>
                      <w:szCs w:val="21"/>
                      <w:highlight w:val="none"/>
                    </w:rPr>
                  </w:pPr>
                  <w:r>
                    <w:rPr>
                      <w:color w:val="auto"/>
                      <w:szCs w:val="21"/>
                      <w:highlight w:val="none"/>
                    </w:rPr>
                    <w:t>生活垃圾箱、生活垃圾定期清运、</w:t>
                  </w:r>
                  <w:r>
                    <w:rPr>
                      <w:rFonts w:hint="eastAsia"/>
                      <w:color w:val="auto"/>
                      <w:szCs w:val="21"/>
                      <w:highlight w:val="none"/>
                      <w:lang w:val="en-US" w:eastAsia="zh-CN"/>
                    </w:rPr>
                    <w:t>危险废物暂存间，</w:t>
                  </w:r>
                  <w:r>
                    <w:rPr>
                      <w:color w:val="auto"/>
                      <w:szCs w:val="21"/>
                      <w:highlight w:val="none"/>
                    </w:rPr>
                    <w:t>固体废物清运，</w:t>
                  </w:r>
                  <w:r>
                    <w:rPr>
                      <w:rFonts w:hint="eastAsia"/>
                      <w:color w:val="auto"/>
                      <w:szCs w:val="21"/>
                      <w:highlight w:val="none"/>
                      <w:lang w:val="en-US" w:eastAsia="zh-CN"/>
                    </w:rPr>
                    <w:t>危废</w:t>
                  </w:r>
                  <w:r>
                    <w:rPr>
                      <w:color w:val="auto"/>
                      <w:szCs w:val="21"/>
                      <w:highlight w:val="none"/>
                    </w:rPr>
                    <w:t>委托资质单位处置</w:t>
                  </w:r>
                </w:p>
              </w:tc>
              <w:tc>
                <w:tcPr>
                  <w:tcW w:w="1029" w:type="pct"/>
                  <w:tcBorders>
                    <w:tl2br w:val="nil"/>
                    <w:tr2bl w:val="nil"/>
                  </w:tcBorders>
                  <w:vAlign w:val="center"/>
                </w:tcPr>
                <w:p>
                  <w:pPr>
                    <w:jc w:val="center"/>
                    <w:rPr>
                      <w:rFonts w:hint="eastAsia" w:eastAsia="宋体"/>
                      <w:color w:val="auto"/>
                      <w:szCs w:val="21"/>
                      <w:highlight w:val="none"/>
                      <w:lang w:val="en-US" w:eastAsia="zh-CN"/>
                    </w:rPr>
                  </w:pPr>
                  <w:r>
                    <w:rPr>
                      <w:rFonts w:hint="eastAsia"/>
                      <w:color w:val="auto"/>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1" w:type="pct"/>
                  <w:tcBorders>
                    <w:tl2br w:val="nil"/>
                    <w:tr2bl w:val="nil"/>
                  </w:tcBorders>
                  <w:vAlign w:val="center"/>
                </w:tcPr>
                <w:p>
                  <w:pPr>
                    <w:jc w:val="center"/>
                    <w:rPr>
                      <w:color w:val="auto"/>
                      <w:szCs w:val="21"/>
                      <w:highlight w:val="none"/>
                    </w:rPr>
                  </w:pPr>
                </w:p>
              </w:tc>
              <w:tc>
                <w:tcPr>
                  <w:tcW w:w="3549" w:type="pct"/>
                  <w:gridSpan w:val="2"/>
                  <w:tcBorders>
                    <w:tl2br w:val="nil"/>
                    <w:tr2bl w:val="nil"/>
                  </w:tcBorders>
                  <w:vAlign w:val="center"/>
                </w:tcPr>
                <w:p>
                  <w:pPr>
                    <w:jc w:val="center"/>
                    <w:rPr>
                      <w:color w:val="auto"/>
                      <w:szCs w:val="21"/>
                      <w:highlight w:val="none"/>
                    </w:rPr>
                  </w:pPr>
                  <w:r>
                    <w:rPr>
                      <w:color w:val="auto"/>
                      <w:szCs w:val="21"/>
                      <w:highlight w:val="none"/>
                    </w:rPr>
                    <w:t>总计</w:t>
                  </w:r>
                </w:p>
              </w:tc>
              <w:tc>
                <w:tcPr>
                  <w:tcW w:w="1029"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39</w:t>
                  </w:r>
                </w:p>
              </w:tc>
            </w:tr>
          </w:tbl>
          <w:p>
            <w:pPr>
              <w:pStyle w:val="11"/>
              <w:spacing w:before="0" w:after="0" w:line="360" w:lineRule="auto"/>
              <w:ind w:firstLine="480" w:firstLineChars="200"/>
              <w:rPr>
                <w:bCs/>
                <w:color w:val="auto"/>
                <w:sz w:val="24"/>
                <w:szCs w:val="22"/>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2" w:name="_Hlk54167917"/>
      <w:r>
        <w:rPr>
          <w:rFonts w:ascii="Times New Roman" w:hAnsi="Times New Roman" w:eastAsia="黑体"/>
          <w:snapToGrid w:val="0"/>
          <w:color w:val="auto"/>
          <w:sz w:val="30"/>
          <w:szCs w:val="30"/>
        </w:rPr>
        <w:t>环境保护措施监督检查清单</w:t>
      </w:r>
      <w:bookmarkEnd w:id="2"/>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689"/>
        <w:gridCol w:w="1217"/>
        <w:gridCol w:w="1843"/>
        <w:gridCol w:w="2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51" w:type="dxa"/>
            <w:tcBorders>
              <w:tl2br w:val="single" w:color="auto" w:sz="4" w:space="0"/>
            </w:tcBorders>
          </w:tcPr>
          <w:p>
            <w:pPr>
              <w:adjustRightInd w:val="0"/>
              <w:snapToGrid w:val="0"/>
              <w:jc w:val="center"/>
              <w:rPr>
                <w:color w:val="auto"/>
                <w:sz w:val="24"/>
                <w:szCs w:val="24"/>
              </w:rPr>
            </w:pPr>
            <w:r>
              <w:rPr>
                <w:rFonts w:hint="eastAsia"/>
                <w:color w:val="auto"/>
                <w:sz w:val="24"/>
                <w:szCs w:val="24"/>
              </w:rPr>
              <w:t xml:space="preserve">      </w:t>
            </w:r>
            <w:r>
              <w:rPr>
                <w:color w:val="auto"/>
                <w:sz w:val="24"/>
                <w:szCs w:val="24"/>
              </w:rPr>
              <w:t>内容</w:t>
            </w:r>
          </w:p>
          <w:p>
            <w:pPr>
              <w:adjustRightInd w:val="0"/>
              <w:snapToGrid w:val="0"/>
              <w:rPr>
                <w:color w:val="auto"/>
                <w:sz w:val="24"/>
                <w:szCs w:val="24"/>
              </w:rPr>
            </w:pPr>
            <w:r>
              <w:rPr>
                <w:color w:val="auto"/>
                <w:sz w:val="24"/>
                <w:szCs w:val="24"/>
              </w:rPr>
              <w:t>要素</w:t>
            </w:r>
          </w:p>
        </w:tc>
        <w:tc>
          <w:tcPr>
            <w:tcW w:w="1689" w:type="dxa"/>
            <w:vAlign w:val="center"/>
          </w:tcPr>
          <w:p>
            <w:pPr>
              <w:adjustRightInd w:val="0"/>
              <w:snapToGrid w:val="0"/>
              <w:jc w:val="center"/>
              <w:rPr>
                <w:color w:val="auto"/>
                <w:sz w:val="24"/>
                <w:szCs w:val="24"/>
              </w:rPr>
            </w:pPr>
            <w:r>
              <w:rPr>
                <w:color w:val="auto"/>
                <w:sz w:val="24"/>
                <w:szCs w:val="24"/>
              </w:rPr>
              <w:t>排放口</w:t>
            </w:r>
            <w:r>
              <w:rPr>
                <w:rFonts w:hint="eastAsia"/>
                <w:color w:val="auto"/>
                <w:sz w:val="24"/>
                <w:szCs w:val="24"/>
                <w:lang w:eastAsia="zh-CN"/>
              </w:rPr>
              <w:t>（</w:t>
            </w:r>
            <w:r>
              <w:rPr>
                <w:color w:val="auto"/>
                <w:sz w:val="24"/>
                <w:szCs w:val="24"/>
              </w:rPr>
              <w:t>编号、</w:t>
            </w:r>
          </w:p>
          <w:p>
            <w:pPr>
              <w:adjustRightInd w:val="0"/>
              <w:snapToGrid w:val="0"/>
              <w:jc w:val="center"/>
              <w:rPr>
                <w:color w:val="auto"/>
                <w:sz w:val="24"/>
                <w:szCs w:val="24"/>
              </w:rPr>
            </w:pPr>
            <w:r>
              <w:rPr>
                <w:color w:val="auto"/>
                <w:sz w:val="24"/>
                <w:szCs w:val="24"/>
              </w:rPr>
              <w:t>名称</w:t>
            </w:r>
            <w:r>
              <w:rPr>
                <w:rFonts w:hint="eastAsia"/>
                <w:color w:val="auto"/>
                <w:sz w:val="24"/>
                <w:szCs w:val="24"/>
                <w:lang w:eastAsia="zh-CN"/>
              </w:rPr>
              <w:t>）</w:t>
            </w:r>
            <w:r>
              <w:rPr>
                <w:color w:val="auto"/>
                <w:sz w:val="24"/>
                <w:szCs w:val="24"/>
              </w:rPr>
              <w:t>/污染源</w:t>
            </w:r>
          </w:p>
        </w:tc>
        <w:tc>
          <w:tcPr>
            <w:tcW w:w="1217" w:type="dxa"/>
            <w:vAlign w:val="center"/>
          </w:tcPr>
          <w:p>
            <w:pPr>
              <w:adjustRightInd w:val="0"/>
              <w:snapToGrid w:val="0"/>
              <w:jc w:val="center"/>
              <w:rPr>
                <w:color w:val="auto"/>
                <w:sz w:val="24"/>
                <w:szCs w:val="24"/>
              </w:rPr>
            </w:pPr>
            <w:r>
              <w:rPr>
                <w:color w:val="auto"/>
                <w:sz w:val="24"/>
                <w:szCs w:val="24"/>
              </w:rPr>
              <w:t>污染物项目</w:t>
            </w:r>
          </w:p>
        </w:tc>
        <w:tc>
          <w:tcPr>
            <w:tcW w:w="1843" w:type="dxa"/>
            <w:vAlign w:val="center"/>
          </w:tcPr>
          <w:p>
            <w:pPr>
              <w:adjustRightInd w:val="0"/>
              <w:snapToGrid w:val="0"/>
              <w:jc w:val="center"/>
              <w:rPr>
                <w:color w:val="auto"/>
                <w:sz w:val="24"/>
                <w:szCs w:val="24"/>
              </w:rPr>
            </w:pPr>
            <w:r>
              <w:rPr>
                <w:color w:val="auto"/>
                <w:sz w:val="24"/>
                <w:szCs w:val="24"/>
              </w:rPr>
              <w:t>环境保护措施</w:t>
            </w:r>
          </w:p>
        </w:tc>
        <w:tc>
          <w:tcPr>
            <w:tcW w:w="2600" w:type="dxa"/>
            <w:vAlign w:val="center"/>
          </w:tcPr>
          <w:p>
            <w:pPr>
              <w:adjustRightInd w:val="0"/>
              <w:snapToGrid w:val="0"/>
              <w:jc w:val="center"/>
              <w:rPr>
                <w:color w:val="auto"/>
                <w:sz w:val="24"/>
                <w:szCs w:val="24"/>
              </w:rPr>
            </w:pPr>
            <w:r>
              <w:rPr>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51" w:type="dxa"/>
            <w:vMerge w:val="restart"/>
            <w:vAlign w:val="center"/>
          </w:tcPr>
          <w:p>
            <w:pPr>
              <w:adjustRightInd w:val="0"/>
              <w:snapToGrid w:val="0"/>
              <w:jc w:val="center"/>
              <w:rPr>
                <w:color w:val="auto"/>
                <w:sz w:val="24"/>
                <w:szCs w:val="24"/>
              </w:rPr>
            </w:pPr>
            <w:r>
              <w:rPr>
                <w:color w:val="auto"/>
                <w:sz w:val="24"/>
                <w:szCs w:val="24"/>
              </w:rPr>
              <w:t>大气环境</w:t>
            </w:r>
          </w:p>
        </w:tc>
        <w:tc>
          <w:tcPr>
            <w:tcW w:w="1689" w:type="dxa"/>
            <w:vAlign w:val="center"/>
          </w:tcPr>
          <w:p>
            <w:pPr>
              <w:adjustRightInd w:val="0"/>
              <w:snapToGrid w:val="0"/>
              <w:jc w:val="center"/>
              <w:rPr>
                <w:color w:val="auto"/>
                <w:sz w:val="24"/>
                <w:szCs w:val="24"/>
              </w:rPr>
            </w:pPr>
            <w:r>
              <w:rPr>
                <w:color w:val="auto"/>
                <w:sz w:val="24"/>
                <w:szCs w:val="24"/>
              </w:rPr>
              <w:t>排气筒DA001</w:t>
            </w:r>
          </w:p>
        </w:tc>
        <w:tc>
          <w:tcPr>
            <w:tcW w:w="1217" w:type="dxa"/>
            <w:vAlign w:val="center"/>
          </w:tcPr>
          <w:p>
            <w:pPr>
              <w:adjustRightInd w:val="0"/>
              <w:snapToGrid w:val="0"/>
              <w:jc w:val="center"/>
              <w:rPr>
                <w:rFonts w:hint="default" w:eastAsia="宋体"/>
                <w:color w:val="auto"/>
                <w:sz w:val="24"/>
                <w:szCs w:val="24"/>
                <w:lang w:val="en-US" w:eastAsia="zh-CN"/>
              </w:rPr>
            </w:pPr>
            <w:r>
              <w:rPr>
                <w:color w:val="auto"/>
                <w:sz w:val="24"/>
                <w:szCs w:val="24"/>
              </w:rPr>
              <w:t>颗粒物</w:t>
            </w:r>
          </w:p>
        </w:tc>
        <w:tc>
          <w:tcPr>
            <w:tcW w:w="1843" w:type="dxa"/>
            <w:vAlign w:val="center"/>
          </w:tcPr>
          <w:p>
            <w:pPr>
              <w:adjustRightInd w:val="0"/>
              <w:snapToGrid w:val="0"/>
              <w:jc w:val="center"/>
              <w:rPr>
                <w:rFonts w:hint="default" w:eastAsia="宋体"/>
                <w:color w:val="auto"/>
                <w:sz w:val="24"/>
                <w:szCs w:val="24"/>
                <w:lang w:val="en-US" w:eastAsia="zh-CN"/>
              </w:rPr>
            </w:pPr>
            <w:r>
              <w:rPr>
                <w:color w:val="auto"/>
                <w:sz w:val="24"/>
                <w:szCs w:val="24"/>
              </w:rPr>
              <w:t>集气罩+布袋除尘器+15m高排气筒</w:t>
            </w:r>
          </w:p>
        </w:tc>
        <w:tc>
          <w:tcPr>
            <w:tcW w:w="2600" w:type="dxa"/>
            <w:vMerge w:val="restart"/>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《合成树脂工业污染物排放标准》（GB31572-2015）表5大气污染物特别排放限值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51" w:type="dxa"/>
            <w:vMerge w:val="continue"/>
            <w:vAlign w:val="center"/>
          </w:tcPr>
          <w:p>
            <w:pPr>
              <w:adjustRightInd w:val="0"/>
              <w:snapToGrid w:val="0"/>
              <w:jc w:val="center"/>
              <w:rPr>
                <w:color w:val="auto"/>
                <w:sz w:val="24"/>
                <w:szCs w:val="24"/>
              </w:rPr>
            </w:pPr>
          </w:p>
        </w:tc>
        <w:tc>
          <w:tcPr>
            <w:tcW w:w="1689" w:type="dxa"/>
            <w:vAlign w:val="center"/>
          </w:tcPr>
          <w:p>
            <w:pPr>
              <w:adjustRightInd w:val="0"/>
              <w:snapToGrid w:val="0"/>
              <w:jc w:val="center"/>
              <w:rPr>
                <w:color w:val="auto"/>
                <w:sz w:val="24"/>
                <w:szCs w:val="24"/>
              </w:rPr>
            </w:pPr>
            <w:r>
              <w:rPr>
                <w:color w:val="auto"/>
                <w:sz w:val="24"/>
                <w:szCs w:val="24"/>
              </w:rPr>
              <w:t>排气筒DA002</w:t>
            </w:r>
          </w:p>
        </w:tc>
        <w:tc>
          <w:tcPr>
            <w:tcW w:w="1217" w:type="dxa"/>
            <w:vAlign w:val="center"/>
          </w:tcPr>
          <w:p>
            <w:pPr>
              <w:adjustRightInd w:val="0"/>
              <w:snapToGrid w:val="0"/>
              <w:jc w:val="center"/>
              <w:rPr>
                <w:color w:val="auto"/>
                <w:sz w:val="24"/>
                <w:szCs w:val="24"/>
              </w:rPr>
            </w:pPr>
            <w:r>
              <w:rPr>
                <w:rFonts w:hint="eastAsia"/>
                <w:color w:val="auto"/>
                <w:sz w:val="24"/>
                <w:szCs w:val="24"/>
                <w:lang w:val="en-US" w:eastAsia="zh-CN"/>
              </w:rPr>
              <w:t>非甲烷总烃</w:t>
            </w:r>
          </w:p>
        </w:tc>
        <w:tc>
          <w:tcPr>
            <w:tcW w:w="1843" w:type="dxa"/>
            <w:vAlign w:val="center"/>
          </w:tcPr>
          <w:p>
            <w:pPr>
              <w:adjustRightInd w:val="0"/>
              <w:snapToGrid w:val="0"/>
              <w:jc w:val="center"/>
              <w:rPr>
                <w:color w:val="auto"/>
                <w:sz w:val="24"/>
                <w:szCs w:val="24"/>
              </w:rPr>
            </w:pPr>
            <w:r>
              <w:rPr>
                <w:rFonts w:hint="eastAsia"/>
                <w:color w:val="auto"/>
                <w:sz w:val="24"/>
                <w:szCs w:val="24"/>
                <w:lang w:val="en-US" w:eastAsia="zh-CN"/>
              </w:rPr>
              <w:t>集气罩+活性炭吸附+催化燃烧+15m高排气筒</w:t>
            </w:r>
          </w:p>
        </w:tc>
        <w:tc>
          <w:tcPr>
            <w:tcW w:w="2600" w:type="dxa"/>
            <w:vMerge w:val="continue"/>
            <w:vAlign w:val="center"/>
          </w:tcPr>
          <w:p>
            <w:pPr>
              <w:adjustRightInd w:val="0"/>
              <w:snapToGrid w:val="0"/>
              <w:jc w:val="center"/>
              <w:rPr>
                <w:rFonts w:hint="eastAsia" w:eastAsia="宋体"/>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451" w:type="dxa"/>
            <w:vAlign w:val="center"/>
          </w:tcPr>
          <w:p>
            <w:pPr>
              <w:adjustRightInd w:val="0"/>
              <w:snapToGrid w:val="0"/>
              <w:jc w:val="center"/>
              <w:rPr>
                <w:color w:val="auto"/>
                <w:sz w:val="24"/>
                <w:szCs w:val="24"/>
              </w:rPr>
            </w:pPr>
            <w:r>
              <w:rPr>
                <w:color w:val="auto"/>
                <w:sz w:val="24"/>
                <w:szCs w:val="24"/>
              </w:rPr>
              <w:t>地表水环境</w:t>
            </w:r>
          </w:p>
        </w:tc>
        <w:tc>
          <w:tcPr>
            <w:tcW w:w="1689" w:type="dxa"/>
            <w:vAlign w:val="center"/>
          </w:tcPr>
          <w:p>
            <w:pPr>
              <w:adjustRightInd w:val="0"/>
              <w:snapToGrid w:val="0"/>
              <w:jc w:val="center"/>
              <w:rPr>
                <w:color w:val="auto"/>
                <w:sz w:val="24"/>
                <w:szCs w:val="24"/>
              </w:rPr>
            </w:pPr>
            <w:r>
              <w:rPr>
                <w:color w:val="auto"/>
                <w:sz w:val="24"/>
                <w:szCs w:val="24"/>
              </w:rPr>
              <w:t>生活污水</w:t>
            </w:r>
          </w:p>
        </w:tc>
        <w:tc>
          <w:tcPr>
            <w:tcW w:w="1217" w:type="dxa"/>
            <w:vAlign w:val="center"/>
          </w:tcPr>
          <w:p>
            <w:pPr>
              <w:adjustRightInd w:val="0"/>
              <w:snapToGrid w:val="0"/>
              <w:jc w:val="center"/>
              <w:rPr>
                <w:color w:val="auto"/>
                <w:sz w:val="24"/>
                <w:szCs w:val="24"/>
              </w:rPr>
            </w:pPr>
            <w:r>
              <w:rPr>
                <w:color w:val="auto"/>
                <w:sz w:val="24"/>
                <w:szCs w:val="24"/>
              </w:rPr>
              <w:t>COD、BOD</w:t>
            </w:r>
            <w:r>
              <w:rPr>
                <w:color w:val="auto"/>
                <w:sz w:val="24"/>
                <w:szCs w:val="24"/>
                <w:vertAlign w:val="subscript"/>
              </w:rPr>
              <w:t>5</w:t>
            </w:r>
            <w:r>
              <w:rPr>
                <w:color w:val="auto"/>
                <w:sz w:val="24"/>
                <w:szCs w:val="24"/>
              </w:rPr>
              <w:t>、氨氮、SS等</w:t>
            </w:r>
          </w:p>
        </w:tc>
        <w:tc>
          <w:tcPr>
            <w:tcW w:w="1843" w:type="dxa"/>
            <w:vAlign w:val="center"/>
          </w:tcPr>
          <w:p>
            <w:pPr>
              <w:adjustRightInd w:val="0"/>
              <w:snapToGrid w:val="0"/>
              <w:jc w:val="center"/>
              <w:rPr>
                <w:color w:val="auto"/>
                <w:sz w:val="24"/>
                <w:szCs w:val="24"/>
              </w:rPr>
            </w:pPr>
            <w:r>
              <w:rPr>
                <w:color w:val="auto"/>
                <w:sz w:val="24"/>
                <w:szCs w:val="24"/>
              </w:rPr>
              <w:t>生活污水排入厂内管网，最终排入市政管网</w:t>
            </w:r>
          </w:p>
        </w:tc>
        <w:tc>
          <w:tcPr>
            <w:tcW w:w="2600" w:type="dxa"/>
            <w:vAlign w:val="center"/>
          </w:tcPr>
          <w:p>
            <w:pPr>
              <w:adjustRightInd w:val="0"/>
              <w:snapToGrid w:val="0"/>
              <w:jc w:val="center"/>
              <w:rPr>
                <w:color w:val="auto"/>
                <w:sz w:val="24"/>
                <w:szCs w:val="24"/>
              </w:rPr>
            </w:pPr>
            <w:r>
              <w:rPr>
                <w:color w:val="auto"/>
                <w:sz w:val="24"/>
                <w:szCs w:val="24"/>
                <w:lang w:val="en-GB"/>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451" w:type="dxa"/>
            <w:vAlign w:val="center"/>
          </w:tcPr>
          <w:p>
            <w:pPr>
              <w:adjustRightInd w:val="0"/>
              <w:snapToGrid w:val="0"/>
              <w:jc w:val="center"/>
              <w:rPr>
                <w:color w:val="auto"/>
                <w:sz w:val="24"/>
                <w:szCs w:val="24"/>
              </w:rPr>
            </w:pPr>
            <w:r>
              <w:rPr>
                <w:color w:val="auto"/>
                <w:sz w:val="24"/>
                <w:szCs w:val="24"/>
              </w:rPr>
              <w:t>声环境</w:t>
            </w:r>
          </w:p>
        </w:tc>
        <w:tc>
          <w:tcPr>
            <w:tcW w:w="1689" w:type="dxa"/>
            <w:vAlign w:val="center"/>
          </w:tcPr>
          <w:p>
            <w:pPr>
              <w:adjustRightInd w:val="0"/>
              <w:snapToGrid w:val="0"/>
              <w:jc w:val="center"/>
              <w:rPr>
                <w:color w:val="auto"/>
                <w:sz w:val="24"/>
                <w:szCs w:val="24"/>
              </w:rPr>
            </w:pPr>
            <w:r>
              <w:rPr>
                <w:color w:val="auto"/>
                <w:sz w:val="24"/>
                <w:szCs w:val="24"/>
              </w:rPr>
              <w:t>生产设备</w:t>
            </w:r>
          </w:p>
        </w:tc>
        <w:tc>
          <w:tcPr>
            <w:tcW w:w="1217" w:type="dxa"/>
            <w:vAlign w:val="center"/>
          </w:tcPr>
          <w:p>
            <w:pPr>
              <w:adjustRightInd w:val="0"/>
              <w:snapToGrid w:val="0"/>
              <w:jc w:val="center"/>
              <w:rPr>
                <w:color w:val="auto"/>
                <w:sz w:val="24"/>
                <w:szCs w:val="24"/>
              </w:rPr>
            </w:pPr>
            <w:r>
              <w:rPr>
                <w:color w:val="auto"/>
                <w:sz w:val="24"/>
                <w:szCs w:val="24"/>
              </w:rPr>
              <w:t>等效声级</w:t>
            </w:r>
          </w:p>
        </w:tc>
        <w:tc>
          <w:tcPr>
            <w:tcW w:w="1843" w:type="dxa"/>
            <w:vAlign w:val="center"/>
          </w:tcPr>
          <w:p>
            <w:pPr>
              <w:adjustRightInd w:val="0"/>
              <w:snapToGrid w:val="0"/>
              <w:jc w:val="center"/>
              <w:rPr>
                <w:rFonts w:hint="eastAsia" w:eastAsia="宋体"/>
                <w:color w:val="auto"/>
                <w:sz w:val="24"/>
                <w:szCs w:val="24"/>
                <w:lang w:eastAsia="zh-CN"/>
              </w:rPr>
            </w:pPr>
            <w:r>
              <w:rPr>
                <w:color w:val="auto"/>
                <w:sz w:val="24"/>
                <w:szCs w:val="24"/>
              </w:rPr>
              <w:t>车间密闭、隔声</w:t>
            </w:r>
            <w:r>
              <w:rPr>
                <w:rFonts w:hint="eastAsia"/>
                <w:color w:val="auto"/>
                <w:sz w:val="24"/>
                <w:szCs w:val="24"/>
                <w:lang w:eastAsia="zh-CN"/>
              </w:rPr>
              <w:t>减振</w:t>
            </w:r>
          </w:p>
        </w:tc>
        <w:tc>
          <w:tcPr>
            <w:tcW w:w="2600" w:type="dxa"/>
            <w:vAlign w:val="center"/>
          </w:tcPr>
          <w:p>
            <w:pPr>
              <w:adjustRightInd w:val="0"/>
              <w:snapToGrid w:val="0"/>
              <w:jc w:val="center"/>
              <w:rPr>
                <w:color w:val="auto"/>
                <w:sz w:val="24"/>
                <w:szCs w:val="24"/>
              </w:rPr>
            </w:pPr>
            <w:r>
              <w:rPr>
                <w:color w:val="auto"/>
                <w:sz w:val="24"/>
                <w:szCs w:val="24"/>
              </w:rPr>
              <w:t>《工业企业厂界环境噪声排放标准》（GB12348-2008）3 类标准（昼间≤65dB（A），夜间≤55dB（A））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451" w:type="dxa"/>
            <w:vAlign w:val="center"/>
          </w:tcPr>
          <w:p>
            <w:pPr>
              <w:adjustRightInd w:val="0"/>
              <w:snapToGrid w:val="0"/>
              <w:jc w:val="center"/>
              <w:rPr>
                <w:color w:val="auto"/>
                <w:sz w:val="24"/>
                <w:szCs w:val="24"/>
              </w:rPr>
            </w:pPr>
            <w:r>
              <w:rPr>
                <w:color w:val="auto"/>
                <w:sz w:val="24"/>
                <w:szCs w:val="24"/>
              </w:rPr>
              <w:t>电磁辐射</w:t>
            </w:r>
          </w:p>
        </w:tc>
        <w:tc>
          <w:tcPr>
            <w:tcW w:w="7349" w:type="dxa"/>
            <w:gridSpan w:val="4"/>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451" w:type="dxa"/>
            <w:vMerge w:val="restart"/>
            <w:vAlign w:val="center"/>
          </w:tcPr>
          <w:p>
            <w:pPr>
              <w:adjustRightInd w:val="0"/>
              <w:snapToGrid w:val="0"/>
              <w:jc w:val="center"/>
              <w:rPr>
                <w:color w:val="auto"/>
                <w:sz w:val="24"/>
                <w:szCs w:val="24"/>
              </w:rPr>
            </w:pPr>
            <w:r>
              <w:rPr>
                <w:color w:val="auto"/>
                <w:sz w:val="24"/>
                <w:szCs w:val="24"/>
              </w:rPr>
              <w:t>固体废物</w:t>
            </w:r>
          </w:p>
        </w:tc>
        <w:tc>
          <w:tcPr>
            <w:tcW w:w="1689" w:type="dxa"/>
            <w:vMerge w:val="restart"/>
            <w:vAlign w:val="center"/>
          </w:tcPr>
          <w:p>
            <w:pPr>
              <w:adjustRightInd w:val="0"/>
              <w:snapToGrid w:val="0"/>
              <w:jc w:val="center"/>
              <w:rPr>
                <w:color w:val="auto"/>
                <w:sz w:val="24"/>
                <w:szCs w:val="24"/>
              </w:rPr>
            </w:pPr>
            <w:r>
              <w:rPr>
                <w:color w:val="auto"/>
                <w:sz w:val="24"/>
                <w:szCs w:val="24"/>
              </w:rPr>
              <w:t>一般工业废物</w:t>
            </w:r>
          </w:p>
        </w:tc>
        <w:tc>
          <w:tcPr>
            <w:tcW w:w="1217"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收集尘</w:t>
            </w:r>
          </w:p>
        </w:tc>
        <w:tc>
          <w:tcPr>
            <w:tcW w:w="1843" w:type="dxa"/>
            <w:vMerge w:val="restart"/>
            <w:vAlign w:val="center"/>
          </w:tcPr>
          <w:p>
            <w:pPr>
              <w:adjustRightInd w:val="0"/>
              <w:snapToGrid w:val="0"/>
              <w:jc w:val="center"/>
              <w:rPr>
                <w:color w:val="auto"/>
                <w:sz w:val="24"/>
                <w:szCs w:val="24"/>
              </w:rPr>
            </w:pPr>
            <w:r>
              <w:rPr>
                <w:color w:val="auto"/>
                <w:sz w:val="24"/>
                <w:szCs w:val="24"/>
              </w:rPr>
              <w:t>回收再利用</w:t>
            </w:r>
          </w:p>
        </w:tc>
        <w:tc>
          <w:tcPr>
            <w:tcW w:w="2600" w:type="dxa"/>
            <w:vMerge w:val="restart"/>
            <w:vAlign w:val="center"/>
          </w:tcPr>
          <w:p>
            <w:pPr>
              <w:adjustRightInd w:val="0"/>
              <w:snapToGrid w:val="0"/>
              <w:jc w:val="center"/>
              <w:rPr>
                <w:color w:val="auto"/>
                <w:sz w:val="24"/>
                <w:szCs w:val="24"/>
              </w:rPr>
            </w:pPr>
            <w:r>
              <w:rPr>
                <w:color w:val="auto"/>
                <w:sz w:val="24"/>
                <w:szCs w:val="24"/>
              </w:rPr>
              <w:t>《一般工业固体废物贮存和填埋 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残次品</w:t>
            </w:r>
          </w:p>
        </w:tc>
        <w:tc>
          <w:tcPr>
            <w:tcW w:w="1843" w:type="dxa"/>
            <w:vMerge w:val="continue"/>
            <w:vAlign w:val="center"/>
          </w:tcPr>
          <w:p>
            <w:pPr>
              <w:adjustRightInd w:val="0"/>
              <w:snapToGrid w:val="0"/>
              <w:jc w:val="center"/>
              <w:rPr>
                <w:color w:val="auto"/>
                <w:sz w:val="24"/>
                <w:szCs w:val="24"/>
              </w:rPr>
            </w:pPr>
          </w:p>
        </w:tc>
        <w:tc>
          <w:tcPr>
            <w:tcW w:w="2600" w:type="dxa"/>
            <w:vMerge w:val="continue"/>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default"/>
                <w:color w:val="auto"/>
                <w:sz w:val="24"/>
                <w:szCs w:val="24"/>
                <w:lang w:val="en-US" w:eastAsia="zh-CN"/>
              </w:rPr>
            </w:pPr>
            <w:r>
              <w:rPr>
                <w:rFonts w:hint="eastAsia"/>
                <w:color w:val="auto"/>
                <w:sz w:val="24"/>
                <w:szCs w:val="24"/>
                <w:lang w:val="en-US" w:eastAsia="zh-CN"/>
              </w:rPr>
              <w:t>污泥</w:t>
            </w:r>
          </w:p>
        </w:tc>
        <w:tc>
          <w:tcPr>
            <w:tcW w:w="1843" w:type="dxa"/>
            <w:vMerge w:val="restart"/>
            <w:vAlign w:val="center"/>
          </w:tcPr>
          <w:p>
            <w:pPr>
              <w:adjustRightInd w:val="0"/>
              <w:snapToGrid w:val="0"/>
              <w:jc w:val="center"/>
              <w:rPr>
                <w:color w:val="auto"/>
                <w:sz w:val="24"/>
                <w:szCs w:val="24"/>
              </w:rPr>
            </w:pPr>
            <w:r>
              <w:rPr>
                <w:rFonts w:hint="eastAsia"/>
                <w:color w:val="auto"/>
                <w:kern w:val="0"/>
                <w:sz w:val="24"/>
                <w:szCs w:val="24"/>
                <w:lang w:val="en-US" w:eastAsia="zh-CN"/>
              </w:rPr>
              <w:t>废铁丝外售废品回收站，其余由</w:t>
            </w:r>
            <w:r>
              <w:rPr>
                <w:color w:val="auto"/>
                <w:kern w:val="0"/>
                <w:sz w:val="24"/>
                <w:szCs w:val="24"/>
              </w:rPr>
              <w:t>环卫部门统一清运</w:t>
            </w:r>
          </w:p>
        </w:tc>
        <w:tc>
          <w:tcPr>
            <w:tcW w:w="2600" w:type="dxa"/>
            <w:vMerge w:val="continue"/>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default"/>
                <w:color w:val="auto"/>
                <w:sz w:val="24"/>
                <w:szCs w:val="24"/>
                <w:lang w:val="en-US" w:eastAsia="zh-CN"/>
              </w:rPr>
            </w:pPr>
            <w:r>
              <w:rPr>
                <w:rFonts w:hint="eastAsia"/>
                <w:color w:val="auto"/>
                <w:sz w:val="24"/>
                <w:szCs w:val="24"/>
                <w:lang w:val="en-US" w:eastAsia="zh-CN"/>
              </w:rPr>
              <w:t>分拣废物</w:t>
            </w:r>
          </w:p>
        </w:tc>
        <w:tc>
          <w:tcPr>
            <w:tcW w:w="1843" w:type="dxa"/>
            <w:vMerge w:val="continue"/>
            <w:vAlign w:val="center"/>
          </w:tcPr>
          <w:p>
            <w:pPr>
              <w:adjustRightInd w:val="0"/>
              <w:snapToGrid w:val="0"/>
              <w:jc w:val="center"/>
              <w:rPr>
                <w:color w:val="auto"/>
                <w:sz w:val="24"/>
                <w:szCs w:val="24"/>
              </w:rPr>
            </w:pPr>
          </w:p>
        </w:tc>
        <w:tc>
          <w:tcPr>
            <w:tcW w:w="2600" w:type="dxa"/>
            <w:vMerge w:val="continue"/>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pPr>
              <w:adjustRightInd w:val="0"/>
              <w:snapToGrid w:val="0"/>
              <w:jc w:val="center"/>
              <w:rPr>
                <w:color w:val="auto"/>
                <w:sz w:val="24"/>
                <w:szCs w:val="24"/>
              </w:rPr>
            </w:pPr>
          </w:p>
        </w:tc>
        <w:tc>
          <w:tcPr>
            <w:tcW w:w="1689" w:type="dxa"/>
            <w:vAlign w:val="center"/>
          </w:tcPr>
          <w:p>
            <w:pPr>
              <w:adjustRightInd w:val="0"/>
              <w:snapToGrid w:val="0"/>
              <w:jc w:val="center"/>
              <w:rPr>
                <w:color w:val="auto"/>
                <w:sz w:val="24"/>
                <w:szCs w:val="24"/>
              </w:rPr>
            </w:pPr>
            <w:r>
              <w:rPr>
                <w:color w:val="auto"/>
                <w:sz w:val="24"/>
                <w:szCs w:val="24"/>
              </w:rPr>
              <w:t>生活垃圾</w:t>
            </w:r>
          </w:p>
        </w:tc>
        <w:tc>
          <w:tcPr>
            <w:tcW w:w="1217" w:type="dxa"/>
            <w:vAlign w:val="center"/>
          </w:tcPr>
          <w:p>
            <w:pPr>
              <w:adjustRightInd w:val="0"/>
              <w:snapToGrid w:val="0"/>
              <w:jc w:val="center"/>
              <w:rPr>
                <w:color w:val="auto"/>
                <w:sz w:val="24"/>
                <w:szCs w:val="24"/>
              </w:rPr>
            </w:pPr>
            <w:r>
              <w:rPr>
                <w:color w:val="auto"/>
                <w:sz w:val="24"/>
                <w:szCs w:val="24"/>
              </w:rPr>
              <w:t>生活垃圾</w:t>
            </w:r>
          </w:p>
        </w:tc>
        <w:tc>
          <w:tcPr>
            <w:tcW w:w="1843" w:type="dxa"/>
            <w:vMerge w:val="continue"/>
            <w:vAlign w:val="center"/>
          </w:tcPr>
          <w:p>
            <w:pPr>
              <w:adjustRightInd w:val="0"/>
              <w:snapToGrid w:val="0"/>
              <w:jc w:val="center"/>
              <w:rPr>
                <w:color w:val="auto"/>
                <w:sz w:val="24"/>
                <w:szCs w:val="24"/>
              </w:rPr>
            </w:pPr>
          </w:p>
        </w:tc>
        <w:tc>
          <w:tcPr>
            <w:tcW w:w="2600" w:type="dxa"/>
            <w:vMerge w:val="continue"/>
            <w:vAlign w:val="center"/>
          </w:tcPr>
          <w:p>
            <w:pPr>
              <w:adjustRightInd w:val="0"/>
              <w:snapToGrid w:val="0"/>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restart"/>
            <w:vAlign w:val="center"/>
          </w:tcPr>
          <w:p>
            <w:pPr>
              <w:adjustRightInd w:val="0"/>
              <w:snapToGrid w:val="0"/>
              <w:jc w:val="center"/>
              <w:rPr>
                <w:color w:val="auto"/>
                <w:sz w:val="24"/>
                <w:szCs w:val="24"/>
              </w:rPr>
            </w:pPr>
            <w:r>
              <w:rPr>
                <w:color w:val="auto"/>
                <w:sz w:val="24"/>
                <w:szCs w:val="24"/>
              </w:rPr>
              <w:t>危险废物</w:t>
            </w:r>
          </w:p>
        </w:tc>
        <w:tc>
          <w:tcPr>
            <w:tcW w:w="1217" w:type="dxa"/>
            <w:vAlign w:val="center"/>
          </w:tcPr>
          <w:p>
            <w:pPr>
              <w:adjustRightInd w:val="0"/>
              <w:snapToGrid w:val="0"/>
              <w:jc w:val="center"/>
              <w:rPr>
                <w:color w:val="auto"/>
                <w:sz w:val="24"/>
                <w:szCs w:val="24"/>
              </w:rPr>
            </w:pPr>
            <w:r>
              <w:rPr>
                <w:color w:val="auto"/>
                <w:sz w:val="24"/>
                <w:szCs w:val="24"/>
              </w:rPr>
              <w:t>废机油</w:t>
            </w:r>
          </w:p>
        </w:tc>
        <w:tc>
          <w:tcPr>
            <w:tcW w:w="1843" w:type="dxa"/>
            <w:vMerge w:val="restart"/>
            <w:vAlign w:val="center"/>
          </w:tcPr>
          <w:p>
            <w:pPr>
              <w:adjustRightInd w:val="0"/>
              <w:snapToGrid w:val="0"/>
              <w:jc w:val="center"/>
              <w:rPr>
                <w:rFonts w:hint="default"/>
                <w:color w:val="auto"/>
                <w:kern w:val="0"/>
                <w:sz w:val="24"/>
                <w:szCs w:val="24"/>
                <w:lang w:val="en-US" w:eastAsia="zh-CN"/>
              </w:rPr>
            </w:pPr>
            <w:r>
              <w:rPr>
                <w:rFonts w:hint="eastAsia"/>
                <w:color w:val="auto"/>
                <w:kern w:val="0"/>
                <w:sz w:val="24"/>
                <w:szCs w:val="24"/>
                <w:lang w:val="en-US" w:eastAsia="zh-CN"/>
              </w:rPr>
              <w:t>收集后暂存于危废间，定期委托有资质的单位处置</w:t>
            </w:r>
          </w:p>
        </w:tc>
        <w:tc>
          <w:tcPr>
            <w:tcW w:w="2600" w:type="dxa"/>
            <w:vMerge w:val="restart"/>
            <w:vAlign w:val="center"/>
          </w:tcPr>
          <w:p>
            <w:pPr>
              <w:adjustRightInd w:val="0"/>
              <w:snapToGrid w:val="0"/>
              <w:jc w:val="center"/>
              <w:rPr>
                <w:color w:val="auto"/>
                <w:sz w:val="24"/>
                <w:szCs w:val="24"/>
              </w:rPr>
            </w:pPr>
            <w:r>
              <w:rPr>
                <w:rFonts w:hint="eastAsia"/>
                <w:color w:val="auto"/>
                <w:sz w:val="24"/>
                <w:szCs w:val="24"/>
              </w:rPr>
              <w:t>《危险废物贮存污染控制标准》（GB18597-20</w:t>
            </w:r>
            <w:r>
              <w:rPr>
                <w:color w:val="auto"/>
                <w:sz w:val="24"/>
                <w:szCs w:val="24"/>
              </w:rPr>
              <w:t>23</w:t>
            </w:r>
            <w:r>
              <w:rPr>
                <w:rFonts w:hint="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废催化剂</w:t>
            </w:r>
          </w:p>
        </w:tc>
        <w:tc>
          <w:tcPr>
            <w:tcW w:w="1843" w:type="dxa"/>
            <w:vMerge w:val="continue"/>
            <w:vAlign w:val="center"/>
          </w:tcPr>
          <w:p>
            <w:pPr>
              <w:adjustRightInd w:val="0"/>
              <w:snapToGrid w:val="0"/>
              <w:jc w:val="center"/>
              <w:rPr>
                <w:rFonts w:hint="default"/>
                <w:color w:val="auto"/>
                <w:kern w:val="0"/>
                <w:sz w:val="24"/>
                <w:szCs w:val="24"/>
                <w:lang w:val="en-US" w:eastAsia="zh-CN"/>
              </w:rPr>
            </w:pPr>
          </w:p>
        </w:tc>
        <w:tc>
          <w:tcPr>
            <w:tcW w:w="2600" w:type="dxa"/>
            <w:vMerge w:val="continue"/>
            <w:vAlign w:val="center"/>
          </w:tcPr>
          <w:p>
            <w:pPr>
              <w:adjustRightInd w:val="0"/>
              <w:snapToGrid w:val="0"/>
              <w:jc w:val="center"/>
              <w:rPr>
                <w:rFonts w:hint="eastAsia"/>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eastAsia"/>
                <w:color w:val="auto"/>
                <w:sz w:val="24"/>
                <w:szCs w:val="24"/>
                <w:lang w:val="en-US" w:eastAsia="zh-CN"/>
              </w:rPr>
            </w:pPr>
            <w:r>
              <w:rPr>
                <w:rFonts w:hint="eastAsia"/>
                <w:color w:val="auto"/>
                <w:sz w:val="24"/>
                <w:szCs w:val="24"/>
                <w:lang w:val="en-US" w:eastAsia="zh-CN"/>
              </w:rPr>
              <w:t>废活性炭</w:t>
            </w:r>
          </w:p>
        </w:tc>
        <w:tc>
          <w:tcPr>
            <w:tcW w:w="1843" w:type="dxa"/>
            <w:vMerge w:val="continue"/>
            <w:vAlign w:val="center"/>
          </w:tcPr>
          <w:p>
            <w:pPr>
              <w:adjustRightInd w:val="0"/>
              <w:snapToGrid w:val="0"/>
              <w:jc w:val="center"/>
              <w:rPr>
                <w:rFonts w:hint="default"/>
                <w:color w:val="auto"/>
                <w:kern w:val="0"/>
                <w:sz w:val="24"/>
                <w:szCs w:val="24"/>
                <w:lang w:val="en-US" w:eastAsia="zh-CN"/>
              </w:rPr>
            </w:pPr>
          </w:p>
        </w:tc>
        <w:tc>
          <w:tcPr>
            <w:tcW w:w="2600" w:type="dxa"/>
            <w:vMerge w:val="continue"/>
            <w:vAlign w:val="center"/>
          </w:tcPr>
          <w:p>
            <w:pPr>
              <w:adjustRightInd w:val="0"/>
              <w:snapToGrid w:val="0"/>
              <w:jc w:val="center"/>
              <w:rPr>
                <w:rFonts w:hint="eastAsia"/>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451" w:type="dxa"/>
            <w:vMerge w:val="continue"/>
            <w:vAlign w:val="center"/>
          </w:tcPr>
          <w:p>
            <w:pPr>
              <w:adjustRightInd w:val="0"/>
              <w:snapToGrid w:val="0"/>
              <w:jc w:val="center"/>
              <w:rPr>
                <w:color w:val="auto"/>
                <w:sz w:val="24"/>
                <w:szCs w:val="24"/>
              </w:rPr>
            </w:pPr>
          </w:p>
        </w:tc>
        <w:tc>
          <w:tcPr>
            <w:tcW w:w="1689" w:type="dxa"/>
            <w:vMerge w:val="continue"/>
            <w:vAlign w:val="center"/>
          </w:tcPr>
          <w:p>
            <w:pPr>
              <w:adjustRightInd w:val="0"/>
              <w:snapToGrid w:val="0"/>
              <w:jc w:val="center"/>
              <w:rPr>
                <w:color w:val="auto"/>
                <w:sz w:val="24"/>
                <w:szCs w:val="24"/>
              </w:rPr>
            </w:pPr>
          </w:p>
        </w:tc>
        <w:tc>
          <w:tcPr>
            <w:tcW w:w="1217"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废滤网</w:t>
            </w:r>
          </w:p>
        </w:tc>
        <w:tc>
          <w:tcPr>
            <w:tcW w:w="1843" w:type="dxa"/>
            <w:vMerge w:val="continue"/>
            <w:vAlign w:val="center"/>
          </w:tcPr>
          <w:p>
            <w:pPr>
              <w:adjustRightInd w:val="0"/>
              <w:snapToGrid w:val="0"/>
              <w:jc w:val="center"/>
              <w:rPr>
                <w:rFonts w:hint="eastAsia"/>
                <w:color w:val="auto"/>
                <w:kern w:val="0"/>
                <w:sz w:val="24"/>
                <w:szCs w:val="24"/>
                <w:lang w:val="en-US" w:eastAsia="zh-CN"/>
              </w:rPr>
            </w:pPr>
          </w:p>
        </w:tc>
        <w:tc>
          <w:tcPr>
            <w:tcW w:w="2600" w:type="dxa"/>
            <w:vMerge w:val="continue"/>
            <w:vAlign w:val="center"/>
          </w:tcPr>
          <w:p>
            <w:pPr>
              <w:adjustRightInd w:val="0"/>
              <w:snapToGrid w:val="0"/>
              <w:jc w:val="center"/>
              <w:rPr>
                <w:rFonts w:hint="eastAsia"/>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451" w:type="dxa"/>
            <w:vAlign w:val="center"/>
          </w:tcPr>
          <w:p>
            <w:pPr>
              <w:adjustRightInd w:val="0"/>
              <w:snapToGrid w:val="0"/>
              <w:jc w:val="center"/>
              <w:rPr>
                <w:color w:val="auto"/>
                <w:sz w:val="24"/>
                <w:szCs w:val="24"/>
              </w:rPr>
            </w:pPr>
            <w:r>
              <w:rPr>
                <w:color w:val="auto"/>
                <w:sz w:val="24"/>
                <w:szCs w:val="24"/>
              </w:rPr>
              <w:t>土壤及地下水污染防治措施</w:t>
            </w:r>
          </w:p>
        </w:tc>
        <w:tc>
          <w:tcPr>
            <w:tcW w:w="734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szCs w:val="24"/>
              </w:rPr>
            </w:pPr>
            <w:r>
              <w:rPr>
                <w:color w:val="auto"/>
                <w:sz w:val="24"/>
                <w:szCs w:val="24"/>
              </w:rPr>
              <w:t>对原料库、污水管道采取相应措施，防止跑、冒、滴、漏，将污染物泄漏的环境风险事故降到最低程度，做到污染物“早发现、早处理”，减少由于埋地管道泄漏而造成的地下水污染。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szCs w:val="24"/>
              </w:rPr>
            </w:pPr>
            <w:r>
              <w:rPr>
                <w:color w:val="auto"/>
                <w:sz w:val="24"/>
                <w:szCs w:val="24"/>
              </w:rPr>
              <w:t>采取分区防渗措施，原料库废水管道、一般固废区、生产车间、成品库一般防渗；厂区路面硬化。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451" w:type="dxa"/>
            <w:vAlign w:val="center"/>
          </w:tcPr>
          <w:p>
            <w:pPr>
              <w:adjustRightInd w:val="0"/>
              <w:snapToGrid w:val="0"/>
              <w:jc w:val="center"/>
              <w:rPr>
                <w:color w:val="auto"/>
                <w:sz w:val="24"/>
                <w:szCs w:val="24"/>
              </w:rPr>
            </w:pPr>
            <w:r>
              <w:rPr>
                <w:color w:val="auto"/>
                <w:sz w:val="24"/>
                <w:szCs w:val="24"/>
              </w:rPr>
              <w:t>生态保护措施</w:t>
            </w:r>
          </w:p>
        </w:tc>
        <w:tc>
          <w:tcPr>
            <w:tcW w:w="734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color w:val="auto"/>
                <w:sz w:val="24"/>
                <w:szCs w:val="24"/>
              </w:rPr>
            </w:pPr>
            <w:r>
              <w:rPr>
                <w:color w:val="auto"/>
                <w:sz w:val="24"/>
                <w:szCs w:val="24"/>
              </w:rPr>
              <w:t>项目选址</w:t>
            </w:r>
            <w:r>
              <w:rPr>
                <w:rFonts w:hint="eastAsia"/>
                <w:color w:val="auto"/>
                <w:sz w:val="24"/>
                <w:szCs w:val="24"/>
                <w:lang w:val="en-US" w:eastAsia="zh-CN"/>
              </w:rPr>
              <w:t>位于</w:t>
            </w:r>
            <w:r>
              <w:rPr>
                <w:rFonts w:hint="eastAsia"/>
                <w:color w:val="auto"/>
                <w:sz w:val="24"/>
                <w:szCs w:val="24"/>
                <w:highlight w:val="none"/>
                <w:lang w:val="en-US" w:eastAsia="zh-CN"/>
              </w:rPr>
              <w:t>阜康市苏通小微创业园</w:t>
            </w:r>
            <w:r>
              <w:rPr>
                <w:color w:val="auto"/>
                <w:sz w:val="24"/>
                <w:szCs w:val="24"/>
              </w:rPr>
              <w:t>，不属于园区外新增用地项目，建设范围内无生态环境敏感目标，不需设置生态保护措施。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51" w:type="dxa"/>
            <w:vAlign w:val="center"/>
          </w:tcPr>
          <w:p>
            <w:pPr>
              <w:adjustRightInd w:val="0"/>
              <w:snapToGrid w:val="0"/>
              <w:jc w:val="center"/>
              <w:rPr>
                <w:color w:val="auto"/>
                <w:spacing w:val="-8"/>
                <w:sz w:val="24"/>
                <w:szCs w:val="24"/>
              </w:rPr>
            </w:pPr>
            <w:r>
              <w:rPr>
                <w:color w:val="auto"/>
                <w:spacing w:val="-8"/>
                <w:sz w:val="24"/>
                <w:szCs w:val="24"/>
              </w:rPr>
              <w:t>环境风险</w:t>
            </w:r>
          </w:p>
          <w:p>
            <w:pPr>
              <w:adjustRightInd w:val="0"/>
              <w:snapToGrid w:val="0"/>
              <w:jc w:val="center"/>
              <w:rPr>
                <w:color w:val="auto"/>
                <w:spacing w:val="-8"/>
                <w:sz w:val="24"/>
                <w:szCs w:val="24"/>
              </w:rPr>
            </w:pPr>
            <w:r>
              <w:rPr>
                <w:color w:val="auto"/>
                <w:spacing w:val="-8"/>
                <w:sz w:val="24"/>
                <w:szCs w:val="24"/>
              </w:rPr>
              <w:t>防范措施</w:t>
            </w:r>
          </w:p>
        </w:tc>
        <w:tc>
          <w:tcPr>
            <w:tcW w:w="7349" w:type="dxa"/>
            <w:gridSpan w:val="4"/>
            <w:vAlign w:val="center"/>
          </w:tcPr>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（1）建立完善的安全生产管理制度和消防安全规定，制定设备操作规程并严格遵照执行；</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（2）生产车间等应按照《建筑设计防火规范》等文件的要求设置消防给水和灭火设施、火灾探测及火灾报警系统。生产车间、库房配备灭火器、消防栓等消防器材；</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（3）在有较大危险因素的有关设施、设备上，如压力容器、变压器等处均应设置明显的安全警示标志；</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（4）生产区域应加强管理，避免和及时消除各种激发能源的产生和积累，杜绝火种及违章违纪现象，进入车辆必须装阻火器；</w:t>
            </w:r>
          </w:p>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（5）加强员工的思想、道德教育，提高员工的责任心和主观能动性；完善并严格遵守相关的操作规程，加强岗位培训，落实岗位责任制，加强设备管理；</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color w:val="auto"/>
                <w:sz w:val="24"/>
                <w:szCs w:val="24"/>
              </w:rPr>
            </w:pPr>
            <w:r>
              <w:rPr>
                <w:color w:val="auto"/>
                <w:sz w:val="24"/>
                <w:szCs w:val="24"/>
              </w:rPr>
              <w:t>（6）加强事故管理，在生产过程中注意对其他单位相关事故的研究，充分吸取经验和教训。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1" w:hRule="atLeast"/>
          <w:jc w:val="center"/>
        </w:trPr>
        <w:tc>
          <w:tcPr>
            <w:tcW w:w="1451" w:type="dxa"/>
            <w:vAlign w:val="center"/>
          </w:tcPr>
          <w:p>
            <w:pPr>
              <w:adjustRightInd w:val="0"/>
              <w:snapToGrid w:val="0"/>
              <w:jc w:val="center"/>
              <w:rPr>
                <w:color w:val="auto"/>
                <w:spacing w:val="-8"/>
                <w:sz w:val="24"/>
                <w:szCs w:val="24"/>
              </w:rPr>
            </w:pPr>
            <w:r>
              <w:rPr>
                <w:color w:val="auto"/>
                <w:spacing w:val="-8"/>
                <w:sz w:val="24"/>
                <w:szCs w:val="24"/>
              </w:rPr>
              <w:t>其他环境</w:t>
            </w:r>
          </w:p>
          <w:p>
            <w:pPr>
              <w:adjustRightInd w:val="0"/>
              <w:snapToGrid w:val="0"/>
              <w:jc w:val="center"/>
              <w:rPr>
                <w:color w:val="auto"/>
                <w:spacing w:val="-8"/>
                <w:sz w:val="24"/>
                <w:szCs w:val="24"/>
              </w:rPr>
            </w:pPr>
            <w:r>
              <w:rPr>
                <w:color w:val="auto"/>
                <w:spacing w:val="-8"/>
                <w:sz w:val="24"/>
                <w:szCs w:val="24"/>
              </w:rPr>
              <w:t>管理要求</w:t>
            </w:r>
          </w:p>
        </w:tc>
        <w:tc>
          <w:tcPr>
            <w:tcW w:w="7349" w:type="dxa"/>
            <w:gridSpan w:val="4"/>
            <w:vAlign w:val="center"/>
          </w:tcPr>
          <w:p>
            <w:pPr>
              <w:keepNext w:val="0"/>
              <w:keepLines w:val="0"/>
              <w:pageBreakBefore w:val="0"/>
              <w:widowControl w:val="0"/>
              <w:kinsoku/>
              <w:wordWrap/>
              <w:overflowPunct/>
              <w:topLinePunct w:val="0"/>
              <w:autoSpaceDE/>
              <w:autoSpaceDN/>
              <w:bidi w:val="0"/>
              <w:spacing w:line="520" w:lineRule="exact"/>
              <w:ind w:firstLine="480" w:firstLineChars="200"/>
              <w:jc w:val="both"/>
              <w:textAlignment w:val="auto"/>
              <w:rPr>
                <w:color w:val="auto"/>
                <w:sz w:val="24"/>
                <w:szCs w:val="24"/>
              </w:rPr>
            </w:pPr>
            <w:r>
              <w:rPr>
                <w:color w:val="auto"/>
                <w:sz w:val="24"/>
                <w:szCs w:val="24"/>
              </w:rPr>
              <w:t>（1）本项目在报批环评报告后、项目实际运行前，应尽快申领排污许可证，作为本项目合法运行的前提。排污许可证申请及核发按《排污许可证管理暂行规定》填报执行。</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color w:val="auto"/>
                <w:sz w:val="24"/>
                <w:szCs w:val="24"/>
              </w:rPr>
            </w:pPr>
            <w:r>
              <w:rPr>
                <w:color w:val="auto"/>
                <w:sz w:val="24"/>
                <w:szCs w:val="24"/>
              </w:rPr>
              <w:t>（2）本项目建设项目竣工后，建设单位应当按照国务院环境保护行政主管部门规定的标准和程序，对配套建设的环境保护设施进行验收，编制竣工验收报告，除按照国家规定需要保密的情形外，建设单位应依法向社会公开竣工验收报告和竣工验收意见；配套建设的环境保护设施经验收合格，方可投入生产或者使用。</w:t>
            </w:r>
          </w:p>
        </w:tc>
      </w:tr>
    </w:tbl>
    <w:p>
      <w:pPr>
        <w:pStyle w:val="24"/>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color w:val="auto"/>
                <w:sz w:val="24"/>
              </w:rPr>
            </w:pPr>
            <w:r>
              <w:rPr>
                <w:rFonts w:hint="eastAsia"/>
                <w:color w:val="auto"/>
                <w:sz w:val="24"/>
              </w:rPr>
              <w:t>综上所述，本</w:t>
            </w:r>
            <w:r>
              <w:rPr>
                <w:color w:val="auto"/>
                <w:sz w:val="24"/>
              </w:rPr>
              <w:t>项目的建设目前符合国家产业政策要求，拟采取的污染防治措施技术可行、经济合理、在严格落实各项污染治理措施的前提下，各污染物均能够稳定达标排放，满足相应环境功能区要求，对区域环境质量影响在可接受范围内。从环境保护角度考虑，项目的建设是可行的。</w:t>
            </w:r>
          </w:p>
        </w:tc>
      </w:tr>
    </w:tbl>
    <w:p>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textAlignment w:val="auto"/>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33"/>
        <w:gridCol w:w="13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7" w:hRule="exact"/>
        </w:trPr>
        <w:tc>
          <w:tcPr>
            <w:tcW w:w="1588" w:type="dxa"/>
            <w:tcBorders>
              <w:tl2br w:val="single" w:color="auto" w:sz="4" w:space="0"/>
            </w:tcBorders>
            <w:tcMar>
              <w:left w:w="28" w:type="dxa"/>
              <w:right w:w="28" w:type="dxa"/>
            </w:tcMar>
            <w:vAlign w:val="center"/>
          </w:tcPr>
          <w:p>
            <w:pPr>
              <w:pStyle w:val="32"/>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32"/>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1417"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701"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①</w:t>
            </w:r>
            <w:r>
              <w:rPr>
                <w:rFonts w:ascii="Times New Roman" w:eastAsia="黑体"/>
                <w:snapToGrid w:val="0"/>
                <w:color w:val="auto"/>
                <w:spacing w:val="-6"/>
                <w:kern w:val="21"/>
                <w:szCs w:val="21"/>
              </w:rPr>
              <w:fldChar w:fldCharType="end"/>
            </w:r>
          </w:p>
        </w:tc>
        <w:tc>
          <w:tcPr>
            <w:tcW w:w="1276"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32"/>
              <w:spacing w:beforeLines="0" w:afterLines="0"/>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ascii="Times New Roman" w:eastAsia="黑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③</w:t>
            </w:r>
            <w:r>
              <w:rPr>
                <w:rFonts w:ascii="Times New Roman" w:eastAsia="黑体"/>
                <w:snapToGrid w:val="0"/>
                <w:color w:val="auto"/>
                <w:spacing w:val="-6"/>
                <w:kern w:val="21"/>
                <w:szCs w:val="21"/>
              </w:rPr>
              <w:fldChar w:fldCharType="end"/>
            </w:r>
          </w:p>
        </w:tc>
        <w:tc>
          <w:tcPr>
            <w:tcW w:w="1559"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④</w:t>
            </w:r>
            <w:r>
              <w:rPr>
                <w:rFonts w:ascii="Times New Roman" w:eastAsia="黑体"/>
                <w:snapToGrid w:val="0"/>
                <w:color w:val="auto"/>
                <w:spacing w:val="-6"/>
                <w:kern w:val="21"/>
                <w:szCs w:val="21"/>
              </w:rPr>
              <w:fldChar w:fldCharType="end"/>
            </w:r>
          </w:p>
        </w:tc>
        <w:tc>
          <w:tcPr>
            <w:tcW w:w="1761" w:type="dxa"/>
            <w:tcMar>
              <w:left w:w="28" w:type="dxa"/>
              <w:right w:w="28" w:type="dxa"/>
            </w:tcMar>
            <w:vAlign w:val="center"/>
          </w:tcPr>
          <w:p>
            <w:pPr>
              <w:pStyle w:val="32"/>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32"/>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⑤</w:t>
            </w:r>
            <w:r>
              <w:rPr>
                <w:rFonts w:ascii="Times New Roman" w:eastAsia="黑体"/>
                <w:snapToGrid w:val="0"/>
                <w:color w:val="auto"/>
                <w:spacing w:val="-16"/>
                <w:kern w:val="21"/>
                <w:szCs w:val="21"/>
              </w:rPr>
              <w:fldChar w:fldCharType="end"/>
            </w:r>
          </w:p>
        </w:tc>
        <w:tc>
          <w:tcPr>
            <w:tcW w:w="1433" w:type="dxa"/>
            <w:tcMar>
              <w:left w:w="28" w:type="dxa"/>
              <w:right w:w="28" w:type="dxa"/>
            </w:tcMar>
            <w:vAlign w:val="center"/>
          </w:tcPr>
          <w:p>
            <w:pPr>
              <w:pStyle w:val="32"/>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32"/>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ascii="Times New Roman" w:eastAsia="黑体"/>
                <w:color w:val="auto"/>
                <w:kern w:val="2"/>
                <w:szCs w:val="21"/>
              </w:rPr>
              <w:t>⑥</w:t>
            </w:r>
            <w:r>
              <w:rPr>
                <w:rFonts w:ascii="Times New Roman" w:eastAsia="黑体"/>
                <w:snapToGrid w:val="0"/>
                <w:color w:val="auto"/>
                <w:spacing w:val="-16"/>
                <w:kern w:val="21"/>
                <w:szCs w:val="21"/>
              </w:rPr>
              <w:fldChar w:fldCharType="end"/>
            </w:r>
          </w:p>
        </w:tc>
        <w:tc>
          <w:tcPr>
            <w:tcW w:w="1352" w:type="dxa"/>
            <w:tcMar>
              <w:left w:w="28" w:type="dxa"/>
              <w:right w:w="28" w:type="dxa"/>
            </w:tcMar>
            <w:vAlign w:val="center"/>
          </w:tcPr>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32"/>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ascii="Times New Roman" w:eastAsia="黑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pPr>
              <w:pStyle w:val="32"/>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1417"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颗粒物</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0.299t/a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0.299t/a</w:t>
            </w:r>
          </w:p>
        </w:tc>
        <w:tc>
          <w:tcPr>
            <w:tcW w:w="1352"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+0.299t/a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非甲烷总烃</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0.453t/a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0.453t/a</w:t>
            </w:r>
          </w:p>
        </w:tc>
        <w:tc>
          <w:tcPr>
            <w:tcW w:w="1352"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+0.453t/a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pPr>
              <w:pStyle w:val="32"/>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1417"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COD</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0.18t/a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0.18t/a</w:t>
            </w:r>
          </w:p>
        </w:tc>
        <w:tc>
          <w:tcPr>
            <w:tcW w:w="1352"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eastAsia="宋体"/>
                <w:snapToGrid w:val="0"/>
                <w:color w:val="auto"/>
                <w:kern w:val="21"/>
                <w:szCs w:val="21"/>
                <w:vertAlign w:val="subscript"/>
                <w:lang w:val="en-US" w:eastAsia="zh-CN"/>
              </w:rPr>
            </w:pPr>
            <w:r>
              <w:rPr>
                <w:rFonts w:hint="eastAsia" w:ascii="Times New Roman"/>
                <w:snapToGrid w:val="0"/>
                <w:color w:val="auto"/>
                <w:kern w:val="21"/>
                <w:szCs w:val="21"/>
                <w:lang w:val="en-US" w:eastAsia="zh-CN"/>
              </w:rPr>
              <w:t>BOD</w:t>
            </w:r>
            <w:r>
              <w:rPr>
                <w:rFonts w:hint="eastAsia" w:ascii="Times New Roman"/>
                <w:snapToGrid w:val="0"/>
                <w:color w:val="auto"/>
                <w:kern w:val="21"/>
                <w:szCs w:val="21"/>
                <w:vertAlign w:val="subscript"/>
                <w:lang w:val="en-US" w:eastAsia="zh-CN"/>
              </w:rPr>
              <w:t>5</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0.09t/a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0.09t/a</w:t>
            </w:r>
          </w:p>
        </w:tc>
        <w:tc>
          <w:tcPr>
            <w:tcW w:w="1352"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eastAsia="宋体"/>
                <w:snapToGrid w:val="0"/>
                <w:color w:val="auto"/>
                <w:kern w:val="21"/>
                <w:szCs w:val="21"/>
                <w:vertAlign w:val="baseline"/>
                <w:lang w:val="en-US" w:eastAsia="zh-CN"/>
              </w:rPr>
            </w:pPr>
            <w:r>
              <w:rPr>
                <w:rFonts w:hint="eastAsia" w:ascii="Times New Roman"/>
                <w:snapToGrid w:val="0"/>
                <w:color w:val="auto"/>
                <w:kern w:val="21"/>
                <w:szCs w:val="21"/>
                <w:lang w:val="en-US" w:eastAsia="zh-CN"/>
              </w:rPr>
              <w:t>NH</w:t>
            </w:r>
            <w:r>
              <w:rPr>
                <w:rFonts w:hint="eastAsia" w:ascii="Times New Roman"/>
                <w:snapToGrid w:val="0"/>
                <w:color w:val="auto"/>
                <w:kern w:val="21"/>
                <w:szCs w:val="21"/>
                <w:vertAlign w:val="subscript"/>
                <w:lang w:val="en-US" w:eastAsia="zh-CN"/>
              </w:rPr>
              <w:t>3</w:t>
            </w:r>
            <w:r>
              <w:rPr>
                <w:rFonts w:hint="eastAsia" w:ascii="Times New Roman"/>
                <w:snapToGrid w:val="0"/>
                <w:color w:val="auto"/>
                <w:kern w:val="21"/>
                <w:szCs w:val="21"/>
                <w:vertAlign w:val="baseline"/>
                <w:lang w:val="en-US" w:eastAsia="zh-CN"/>
              </w:rPr>
              <w:t>-N</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0.02t/a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0.02t/a</w:t>
            </w:r>
          </w:p>
        </w:tc>
        <w:tc>
          <w:tcPr>
            <w:tcW w:w="1352"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SS</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0.14t/a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0.14t/a</w:t>
            </w:r>
          </w:p>
        </w:tc>
        <w:tc>
          <w:tcPr>
            <w:tcW w:w="1352"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+0.14t/a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pPr>
              <w:pStyle w:val="32"/>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32"/>
              <w:spacing w:beforeLines="0" w:afterLines="0" w:line="240" w:lineRule="auto"/>
              <w:rPr>
                <w:rFonts w:ascii="Times New Roman"/>
                <w:snapToGrid w:val="0"/>
                <w:color w:val="auto"/>
                <w:kern w:val="21"/>
                <w:szCs w:val="21"/>
              </w:rPr>
            </w:pPr>
            <w:r>
              <w:rPr>
                <w:rFonts w:ascii="Times New Roman"/>
                <w:snapToGrid w:val="0"/>
                <w:color w:val="auto"/>
                <w:kern w:val="21"/>
                <w:szCs w:val="21"/>
              </w:rPr>
              <w:t>固体废物</w:t>
            </w:r>
          </w:p>
        </w:tc>
        <w:tc>
          <w:tcPr>
            <w:tcW w:w="1417" w:type="dxa"/>
            <w:vAlign w:val="center"/>
          </w:tcPr>
          <w:p>
            <w:pPr>
              <w:pStyle w:val="32"/>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val="en-US" w:eastAsia="zh-CN"/>
              </w:rPr>
              <w:t>残次品</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54</w:t>
            </w:r>
            <w:r>
              <w:rPr>
                <w:rFonts w:hint="eastAsia" w:ascii="Times New Roman"/>
                <w:snapToGrid w:val="0"/>
                <w:color w:val="auto"/>
                <w:kern w:val="21"/>
                <w:szCs w:val="21"/>
              </w:rPr>
              <w:t>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54</w:t>
            </w:r>
            <w:r>
              <w:rPr>
                <w:rFonts w:hint="eastAsia" w:ascii="Times New Roman"/>
                <w:snapToGrid w:val="0"/>
                <w:color w:val="auto"/>
                <w:kern w:val="21"/>
                <w:szCs w:val="21"/>
              </w:rPr>
              <w:t>t/a</w:t>
            </w:r>
          </w:p>
        </w:tc>
        <w:tc>
          <w:tcPr>
            <w:tcW w:w="1352"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+54</w:t>
            </w:r>
            <w:r>
              <w:rPr>
                <w:rFonts w:hint="eastAsia" w:ascii="Times New Roman"/>
                <w:snapToGrid w:val="0"/>
                <w:color w:val="auto"/>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生活垃圾</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5.04t/a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5.04t/a</w:t>
            </w:r>
          </w:p>
        </w:tc>
        <w:tc>
          <w:tcPr>
            <w:tcW w:w="1352"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+5.04t/a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val="en-US" w:eastAsia="zh-CN"/>
              </w:rPr>
              <w:t>收集尘</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rPr>
            </w:pPr>
            <w:r>
              <w:rPr>
                <w:rFonts w:hint="eastAsia" w:ascii="Times New Roman"/>
                <w:snapToGrid w:val="0"/>
                <w:color w:val="auto"/>
                <w:kern w:val="21"/>
                <w:szCs w:val="21"/>
                <w:lang w:val="en-US" w:eastAsia="zh-CN"/>
              </w:rPr>
              <w:t>1.763t/a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1.763t/a</w:t>
            </w:r>
          </w:p>
        </w:tc>
        <w:tc>
          <w:tcPr>
            <w:tcW w:w="1352"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+1.763t/a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分拣废物</w:t>
            </w:r>
          </w:p>
        </w:tc>
        <w:tc>
          <w:tcPr>
            <w:tcW w:w="170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276"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3.5t/a</w:t>
            </w:r>
          </w:p>
        </w:tc>
        <w:tc>
          <w:tcPr>
            <w:tcW w:w="176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3.5t/a</w:t>
            </w:r>
          </w:p>
        </w:tc>
        <w:tc>
          <w:tcPr>
            <w:tcW w:w="1352"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+3.5t/a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污泥</w:t>
            </w:r>
          </w:p>
        </w:tc>
        <w:tc>
          <w:tcPr>
            <w:tcW w:w="170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276"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11.512t/a</w:t>
            </w:r>
          </w:p>
        </w:tc>
        <w:tc>
          <w:tcPr>
            <w:tcW w:w="176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11.515t/a</w:t>
            </w:r>
          </w:p>
        </w:tc>
        <w:tc>
          <w:tcPr>
            <w:tcW w:w="1352"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+11.512t/a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restart"/>
            <w:vAlign w:val="center"/>
          </w:tcPr>
          <w:p>
            <w:pPr>
              <w:pStyle w:val="32"/>
              <w:spacing w:beforeLines="0" w:afterLines="0" w:line="240" w:lineRule="auto"/>
              <w:rPr>
                <w:rFonts w:ascii="Times New Roman"/>
                <w:snapToGrid w:val="0"/>
                <w:color w:val="auto"/>
                <w:kern w:val="21"/>
                <w:szCs w:val="21"/>
              </w:rPr>
            </w:pPr>
            <w:r>
              <w:rPr>
                <w:rFonts w:ascii="Times New Roman"/>
                <w:snapToGrid w:val="0"/>
                <w:color w:val="auto"/>
                <w:kern w:val="21"/>
                <w:szCs w:val="21"/>
              </w:rPr>
              <w:t>危险废物</w:t>
            </w:r>
          </w:p>
        </w:tc>
        <w:tc>
          <w:tcPr>
            <w:tcW w:w="1417"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废机油</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276"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70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559"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0.8t/a</w:t>
            </w:r>
          </w:p>
        </w:tc>
        <w:tc>
          <w:tcPr>
            <w:tcW w:w="1761"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w:t>
            </w:r>
          </w:p>
        </w:tc>
        <w:tc>
          <w:tcPr>
            <w:tcW w:w="1433"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rPr>
              <w:t>0.8t/a</w:t>
            </w:r>
          </w:p>
        </w:tc>
        <w:tc>
          <w:tcPr>
            <w:tcW w:w="1352" w:type="dxa"/>
            <w:vAlign w:val="center"/>
          </w:tcPr>
          <w:p>
            <w:pPr>
              <w:pStyle w:val="32"/>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w:t>
            </w:r>
            <w:r>
              <w:rPr>
                <w:rFonts w:hint="eastAsia" w:ascii="Times New Roman"/>
                <w:snapToGrid w:val="0"/>
                <w:color w:val="auto"/>
                <w:kern w:val="21"/>
                <w:szCs w:val="21"/>
              </w:rPr>
              <w:t>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废活性炭</w:t>
            </w:r>
          </w:p>
        </w:tc>
        <w:tc>
          <w:tcPr>
            <w:tcW w:w="1701"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276"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32"/>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0.5t/a</w:t>
            </w:r>
          </w:p>
        </w:tc>
        <w:tc>
          <w:tcPr>
            <w:tcW w:w="1761" w:type="dxa"/>
            <w:vAlign w:val="center"/>
          </w:tcPr>
          <w:p>
            <w:pPr>
              <w:pStyle w:val="32"/>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pPr>
              <w:pStyle w:val="32"/>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lang w:val="en-US" w:eastAsia="zh-CN"/>
              </w:rPr>
              <w:t>0.5t/a</w:t>
            </w:r>
          </w:p>
        </w:tc>
        <w:tc>
          <w:tcPr>
            <w:tcW w:w="1352" w:type="dxa"/>
            <w:vAlign w:val="center"/>
          </w:tcPr>
          <w:p>
            <w:pPr>
              <w:pStyle w:val="32"/>
              <w:spacing w:beforeLines="0" w:afterLines="0" w:line="240" w:lineRule="auto"/>
              <w:rPr>
                <w:rFonts w:hint="eastAsia" w:ascii="Times New Roman"/>
                <w:snapToGrid w:val="0"/>
                <w:color w:val="auto"/>
                <w:kern w:val="21"/>
                <w:szCs w:val="21"/>
              </w:rPr>
            </w:pPr>
            <w:r>
              <w:rPr>
                <w:rFonts w:hint="eastAsia" w:ascii="Times New Roman"/>
                <w:snapToGrid w:val="0"/>
                <w:color w:val="auto"/>
                <w:kern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废催化剂</w:t>
            </w:r>
          </w:p>
        </w:tc>
        <w:tc>
          <w:tcPr>
            <w:tcW w:w="170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276"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0.05t/a</w:t>
            </w:r>
          </w:p>
        </w:tc>
        <w:tc>
          <w:tcPr>
            <w:tcW w:w="176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pPr>
              <w:pStyle w:val="32"/>
              <w:spacing w:beforeLines="0" w:afterLines="0"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0.05t/a</w:t>
            </w:r>
          </w:p>
        </w:tc>
        <w:tc>
          <w:tcPr>
            <w:tcW w:w="1352" w:type="dxa"/>
            <w:vAlign w:val="center"/>
          </w:tcPr>
          <w:p>
            <w:pPr>
              <w:pStyle w:val="32"/>
              <w:spacing w:beforeLines="0" w:afterLines="0" w:line="240" w:lineRule="auto"/>
              <w:rPr>
                <w:rFonts w:hint="eastAsia" w:ascii="Times New Roman"/>
                <w:snapToGrid w:val="0"/>
                <w:color w:val="auto"/>
                <w:kern w:val="21"/>
                <w:szCs w:val="21"/>
                <w:lang w:val="en-US" w:eastAsia="zh-CN"/>
              </w:rPr>
            </w:pPr>
            <w:r>
              <w:rPr>
                <w:rFonts w:hint="eastAsia" w:ascii="Times New Roman"/>
                <w:snapToGrid w:val="0"/>
                <w:color w:val="auto"/>
                <w:kern w:val="21"/>
                <w:szCs w:val="21"/>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588" w:type="dxa"/>
            <w:vMerge w:val="continue"/>
            <w:vAlign w:val="center"/>
          </w:tcPr>
          <w:p>
            <w:pPr>
              <w:pStyle w:val="32"/>
              <w:spacing w:beforeLines="0" w:afterLines="0" w:line="240" w:lineRule="auto"/>
              <w:rPr>
                <w:rFonts w:ascii="Times New Roman"/>
                <w:snapToGrid w:val="0"/>
                <w:color w:val="auto"/>
                <w:kern w:val="21"/>
                <w:szCs w:val="21"/>
              </w:rPr>
            </w:pPr>
          </w:p>
        </w:tc>
        <w:tc>
          <w:tcPr>
            <w:tcW w:w="1417"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废滤网</w:t>
            </w:r>
          </w:p>
        </w:tc>
        <w:tc>
          <w:tcPr>
            <w:tcW w:w="170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276"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70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559"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21.6t/a</w:t>
            </w:r>
          </w:p>
        </w:tc>
        <w:tc>
          <w:tcPr>
            <w:tcW w:w="1761"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w:t>
            </w:r>
          </w:p>
        </w:tc>
        <w:tc>
          <w:tcPr>
            <w:tcW w:w="1433"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21.6t/a</w:t>
            </w:r>
          </w:p>
        </w:tc>
        <w:tc>
          <w:tcPr>
            <w:tcW w:w="1352" w:type="dxa"/>
            <w:vAlign w:val="center"/>
          </w:tcPr>
          <w:p>
            <w:pPr>
              <w:pStyle w:val="32"/>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+21.6t/a</w:t>
            </w:r>
          </w:p>
        </w:tc>
      </w:tr>
    </w:tbl>
    <w:p>
      <w:pPr>
        <w:rPr>
          <w:rFonts w:ascii="Times New Roman"/>
          <w:snapToGrid w:val="0"/>
          <w:color w:val="auto"/>
          <w:spacing w:val="-6"/>
          <w:kern w:val="21"/>
          <w:szCs w:val="21"/>
        </w:r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ascii="Times New Roman"/>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ascii="Times New Roman"/>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ascii="Times New Roman"/>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ascii="Times New Roman"/>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ascii="Times New Roman"/>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ascii="Times New Roman"/>
          <w:color w:val="auto"/>
          <w:szCs w:val="21"/>
        </w:rPr>
        <w:t>①</w:t>
      </w:r>
      <w:r>
        <w:rPr>
          <w:rFonts w:ascii="Times New Roman"/>
          <w:snapToGrid w:val="0"/>
          <w:color w:val="auto"/>
          <w:spacing w:val="-6"/>
          <w:kern w:val="21"/>
          <w:szCs w:val="21"/>
        </w:rPr>
        <w:fldChar w:fldCharType="end"/>
      </w:r>
    </w:p>
    <w:p>
      <w:pPr>
        <w:pStyle w:val="34"/>
        <w:rPr>
          <w:rFonts w:ascii="Times New Roman"/>
          <w:snapToGrid w:val="0"/>
          <w:color w:val="auto"/>
          <w:spacing w:val="-6"/>
          <w:kern w:val="21"/>
          <w:szCs w:val="21"/>
        </w:rPr>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3" w:name="_GoBack"/>
      <w:bookmarkEnd w:id="3"/>
    </w:p>
    <w:p>
      <w:pPr>
        <w:rPr>
          <w:color w:val="auto"/>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E9FB58F-C236-45DE-9AB4-0CD4DDEE95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0F74716B-6F67-47A4-9941-0597164D0DC2}"/>
  </w:font>
  <w:font w:name="Arial Unicode MS">
    <w:altName w:val="宋体"/>
    <w:panose1 w:val="020B0604020202020204"/>
    <w:charset w:val="86"/>
    <w:family w:val="swiss"/>
    <w:pitch w:val="default"/>
    <w:sig w:usb0="00000000" w:usb1="00000000" w:usb2="0000003F" w:usb3="00000000" w:csb0="603F01FF" w:csb1="FFFF0000"/>
  </w:font>
  <w:font w:name="方正仿宋_GBK">
    <w:panose1 w:val="03000509000000000000"/>
    <w:charset w:val="86"/>
    <w:family w:val="script"/>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embedRegular r:id="rId3" w:fontKey="{B497C232-8BFF-4E46-96E3-C8BB9423B3F3}"/>
  </w:font>
  <w:font w:name="方正小标宋_GBK">
    <w:panose1 w:val="02000000000000000000"/>
    <w:charset w:val="86"/>
    <w:family w:val="script"/>
    <w:pitch w:val="default"/>
    <w:sig w:usb0="A00002BF" w:usb1="38CF7CFA" w:usb2="00082016" w:usb3="00000000" w:csb0="00040001" w:csb1="00000000"/>
    <w:embedRegular r:id="rId4" w:fontKey="{12601EAF-D2A7-4526-B0BC-B89617AB8E5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rPr>
        <w:rFonts w:hint="default"/>
        <w:lang w:val="en-U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Style w:val="28"/>
                              <w:rFonts w:hint="default" w:ascii="Times New Roman" w:hAnsi="Times New Roman" w:cs="Times New Roman"/>
                              <w:sz w:val="21"/>
                              <w:szCs w:val="21"/>
                            </w:rPr>
                          </w:pPr>
                          <w:r>
                            <w:rPr>
                              <w:rStyle w:val="28"/>
                              <w:rFonts w:hint="default" w:ascii="Times New Roman" w:hAnsi="Times New Roman" w:cs="Times New Roman"/>
                              <w:sz w:val="21"/>
                              <w:szCs w:val="21"/>
                            </w:rPr>
                            <w:fldChar w:fldCharType="begin"/>
                          </w:r>
                          <w:r>
                            <w:rPr>
                              <w:rStyle w:val="28"/>
                              <w:rFonts w:hint="default" w:ascii="Times New Roman" w:hAnsi="Times New Roman" w:cs="Times New Roman"/>
                              <w:sz w:val="21"/>
                              <w:szCs w:val="21"/>
                            </w:rPr>
                            <w:instrText xml:space="preserve">PAGE  </w:instrText>
                          </w:r>
                          <w:r>
                            <w:rPr>
                              <w:rStyle w:val="28"/>
                              <w:rFonts w:hint="default" w:ascii="Times New Roman" w:hAnsi="Times New Roman" w:cs="Times New Roman"/>
                              <w:sz w:val="21"/>
                              <w:szCs w:val="21"/>
                            </w:rPr>
                            <w:fldChar w:fldCharType="separate"/>
                          </w:r>
                          <w:r>
                            <w:rPr>
                              <w:rStyle w:val="28"/>
                              <w:rFonts w:hint="default" w:ascii="Times New Roman" w:hAnsi="Times New Roman" w:cs="Times New Roman"/>
                              <w:sz w:val="21"/>
                              <w:szCs w:val="21"/>
                            </w:rPr>
                            <w:t>30</w:t>
                          </w:r>
                          <w:r>
                            <w:rPr>
                              <w:rStyle w:val="28"/>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0"/>
                      <w:rPr>
                        <w:rStyle w:val="28"/>
                        <w:rFonts w:hint="default" w:ascii="Times New Roman" w:hAnsi="Times New Roman" w:cs="Times New Roman"/>
                        <w:sz w:val="21"/>
                        <w:szCs w:val="21"/>
                      </w:rPr>
                    </w:pPr>
                    <w:r>
                      <w:rPr>
                        <w:rStyle w:val="28"/>
                        <w:rFonts w:hint="default" w:ascii="Times New Roman" w:hAnsi="Times New Roman" w:cs="Times New Roman"/>
                        <w:sz w:val="21"/>
                        <w:szCs w:val="21"/>
                      </w:rPr>
                      <w:fldChar w:fldCharType="begin"/>
                    </w:r>
                    <w:r>
                      <w:rPr>
                        <w:rStyle w:val="28"/>
                        <w:rFonts w:hint="default" w:ascii="Times New Roman" w:hAnsi="Times New Roman" w:cs="Times New Roman"/>
                        <w:sz w:val="21"/>
                        <w:szCs w:val="21"/>
                      </w:rPr>
                      <w:instrText xml:space="preserve">PAGE  </w:instrText>
                    </w:r>
                    <w:r>
                      <w:rPr>
                        <w:rStyle w:val="28"/>
                        <w:rFonts w:hint="default" w:ascii="Times New Roman" w:hAnsi="Times New Roman" w:cs="Times New Roman"/>
                        <w:sz w:val="21"/>
                        <w:szCs w:val="21"/>
                      </w:rPr>
                      <w:fldChar w:fldCharType="separate"/>
                    </w:r>
                    <w:r>
                      <w:rPr>
                        <w:rStyle w:val="28"/>
                        <w:rFonts w:hint="default" w:ascii="Times New Roman" w:hAnsi="Times New Roman" w:cs="Times New Roman"/>
                        <w:sz w:val="21"/>
                        <w:szCs w:val="21"/>
                      </w:rPr>
                      <w:t>30</w:t>
                    </w:r>
                    <w:r>
                      <w:rPr>
                        <w:rStyle w:val="28"/>
                        <w:rFonts w:hint="default" w:ascii="Times New Roman" w:hAnsi="Times New Roman" w:cs="Times New Roman"/>
                        <w:sz w:val="21"/>
                        <w:szCs w:val="21"/>
                      </w:rPr>
                      <w:fldChar w:fldCharType="end"/>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98A47"/>
    <w:multiLevelType w:val="singleLevel"/>
    <w:tmpl w:val="8FD98A47"/>
    <w:lvl w:ilvl="0" w:tentative="0">
      <w:start w:val="1"/>
      <w:numFmt w:val="decimal"/>
      <w:suff w:val="space"/>
      <w:lvlText w:val="%1."/>
      <w:lvlJc w:val="left"/>
    </w:lvl>
  </w:abstractNum>
  <w:abstractNum w:abstractNumId="1">
    <w:nsid w:val="90E6C091"/>
    <w:multiLevelType w:val="singleLevel"/>
    <w:tmpl w:val="90E6C091"/>
    <w:lvl w:ilvl="0" w:tentative="0">
      <w:start w:val="1"/>
      <w:numFmt w:val="decimal"/>
      <w:suff w:val="space"/>
      <w:lvlText w:val="%1."/>
      <w:lvlJc w:val="left"/>
    </w:lvl>
  </w:abstractNum>
  <w:abstractNum w:abstractNumId="2">
    <w:nsid w:val="97A12469"/>
    <w:multiLevelType w:val="singleLevel"/>
    <w:tmpl w:val="97A12469"/>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3">
    <w:nsid w:val="98D2F0C0"/>
    <w:multiLevelType w:val="singleLevel"/>
    <w:tmpl w:val="98D2F0C0"/>
    <w:lvl w:ilvl="0" w:tentative="0">
      <w:start w:val="2"/>
      <w:numFmt w:val="decimal"/>
      <w:suff w:val="space"/>
      <w:lvlText w:val="%1."/>
      <w:lvlJc w:val="left"/>
    </w:lvl>
  </w:abstractNum>
  <w:abstractNum w:abstractNumId="4">
    <w:nsid w:val="9B9DC984"/>
    <w:multiLevelType w:val="singleLevel"/>
    <w:tmpl w:val="9B9DC984"/>
    <w:lvl w:ilvl="0" w:tentative="0">
      <w:start w:val="3"/>
      <w:numFmt w:val="decimal"/>
      <w:suff w:val="space"/>
      <w:lvlText w:val="%1."/>
      <w:lvlJc w:val="left"/>
    </w:lvl>
  </w:abstractNum>
  <w:abstractNum w:abstractNumId="5">
    <w:nsid w:val="B27538E2"/>
    <w:multiLevelType w:val="singleLevel"/>
    <w:tmpl w:val="B27538E2"/>
    <w:lvl w:ilvl="0" w:tentative="0">
      <w:start w:val="2"/>
      <w:numFmt w:val="decimal"/>
      <w:suff w:val="nothing"/>
      <w:lvlText w:val="（%1）"/>
      <w:lvlJc w:val="left"/>
    </w:lvl>
  </w:abstractNum>
  <w:abstractNum w:abstractNumId="6">
    <w:nsid w:val="B9F3722E"/>
    <w:multiLevelType w:val="singleLevel"/>
    <w:tmpl w:val="B9F3722E"/>
    <w:lvl w:ilvl="0" w:tentative="0">
      <w:start w:val="1"/>
      <w:numFmt w:val="decimal"/>
      <w:suff w:val="nothing"/>
      <w:lvlText w:val="%1、"/>
      <w:lvlJc w:val="left"/>
    </w:lvl>
  </w:abstractNum>
  <w:abstractNum w:abstractNumId="7">
    <w:nsid w:val="C1734D34"/>
    <w:multiLevelType w:val="singleLevel"/>
    <w:tmpl w:val="C1734D34"/>
    <w:lvl w:ilvl="0" w:tentative="0">
      <w:start w:val="1"/>
      <w:numFmt w:val="decimal"/>
      <w:suff w:val="nothing"/>
      <w:lvlText w:val="（%1）"/>
      <w:lvlJc w:val="left"/>
      <w:pPr>
        <w:ind w:left="0" w:firstLine="397"/>
      </w:pPr>
      <w:rPr>
        <w:rFonts w:hint="default"/>
      </w:rPr>
    </w:lvl>
  </w:abstractNum>
  <w:abstractNum w:abstractNumId="8">
    <w:nsid w:val="C6269525"/>
    <w:multiLevelType w:val="singleLevel"/>
    <w:tmpl w:val="C6269525"/>
    <w:lvl w:ilvl="0" w:tentative="0">
      <w:start w:val="1"/>
      <w:numFmt w:val="decimal"/>
      <w:pStyle w:val="22"/>
      <w:lvlText w:val="%1."/>
      <w:lvlJc w:val="left"/>
      <w:pPr>
        <w:tabs>
          <w:tab w:val="left" w:pos="2040"/>
        </w:tabs>
        <w:ind w:left="2040" w:hanging="360"/>
      </w:pPr>
    </w:lvl>
  </w:abstractNum>
  <w:abstractNum w:abstractNumId="9">
    <w:nsid w:val="D2DC7723"/>
    <w:multiLevelType w:val="singleLevel"/>
    <w:tmpl w:val="D2DC7723"/>
    <w:lvl w:ilvl="0" w:tentative="0">
      <w:start w:val="1"/>
      <w:numFmt w:val="decimal"/>
      <w:suff w:val="space"/>
      <w:lvlText w:val="%1."/>
      <w:lvlJc w:val="left"/>
    </w:lvl>
  </w:abstractNum>
  <w:abstractNum w:abstractNumId="10">
    <w:nsid w:val="F2141CEC"/>
    <w:multiLevelType w:val="singleLevel"/>
    <w:tmpl w:val="F2141CEC"/>
    <w:lvl w:ilvl="0" w:tentative="0">
      <w:start w:val="1"/>
      <w:numFmt w:val="decimal"/>
      <w:suff w:val="space"/>
      <w:lvlText w:val="%1."/>
      <w:lvlJc w:val="left"/>
    </w:lvl>
  </w:abstractNum>
  <w:abstractNum w:abstractNumId="11">
    <w:nsid w:val="FCF048EE"/>
    <w:multiLevelType w:val="singleLevel"/>
    <w:tmpl w:val="FCF048EE"/>
    <w:lvl w:ilvl="0" w:tentative="0">
      <w:start w:val="4"/>
      <w:numFmt w:val="decimal"/>
      <w:suff w:val="space"/>
      <w:lvlText w:val="%1."/>
      <w:lvlJc w:val="left"/>
    </w:lvl>
  </w:abstractNum>
  <w:abstractNum w:abstractNumId="12">
    <w:nsid w:val="0B337DC8"/>
    <w:multiLevelType w:val="multilevel"/>
    <w:tmpl w:val="0B337DC8"/>
    <w:lvl w:ilvl="0" w:tentative="0">
      <w:start w:val="3"/>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4"/>
      <w:lvlText w:val="%1.%2.%3."/>
      <w:lvlJc w:val="left"/>
      <w:pPr>
        <w:tabs>
          <w:tab w:val="left" w:pos="1080"/>
        </w:tabs>
        <w:ind w:left="709" w:hanging="709"/>
      </w:pPr>
      <w:rPr>
        <w:rFonts w:hint="eastAsia"/>
      </w:rPr>
    </w:lvl>
    <w:lvl w:ilvl="3" w:tentative="0">
      <w:start w:val="1"/>
      <w:numFmt w:val="decimal"/>
      <w:lvlText w:val="%1.%2.%3.%4."/>
      <w:lvlJc w:val="left"/>
      <w:pPr>
        <w:tabs>
          <w:tab w:val="left" w:pos="1440"/>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12763AB5"/>
    <w:multiLevelType w:val="singleLevel"/>
    <w:tmpl w:val="12763AB5"/>
    <w:lvl w:ilvl="0" w:tentative="0">
      <w:start w:val="3"/>
      <w:numFmt w:val="decimal"/>
      <w:suff w:val="space"/>
      <w:lvlText w:val="%1."/>
      <w:lvlJc w:val="left"/>
    </w:lvl>
  </w:abstractNum>
  <w:abstractNum w:abstractNumId="14">
    <w:nsid w:val="1498E69D"/>
    <w:multiLevelType w:val="singleLevel"/>
    <w:tmpl w:val="1498E69D"/>
    <w:lvl w:ilvl="0" w:tentative="0">
      <w:start w:val="1"/>
      <w:numFmt w:val="decimal"/>
      <w:suff w:val="space"/>
      <w:lvlText w:val="%1."/>
      <w:lvlJc w:val="left"/>
    </w:lvl>
  </w:abstractNum>
  <w:abstractNum w:abstractNumId="15">
    <w:nsid w:val="2BD70445"/>
    <w:multiLevelType w:val="singleLevel"/>
    <w:tmpl w:val="2BD70445"/>
    <w:lvl w:ilvl="0" w:tentative="0">
      <w:start w:val="1"/>
      <w:numFmt w:val="decimal"/>
      <w:suff w:val="nothing"/>
      <w:lvlText w:val="（%1）"/>
      <w:lvlJc w:val="left"/>
    </w:lvl>
  </w:abstractNum>
  <w:abstractNum w:abstractNumId="16">
    <w:nsid w:val="35F9F35E"/>
    <w:multiLevelType w:val="singleLevel"/>
    <w:tmpl w:val="35F9F35E"/>
    <w:lvl w:ilvl="0" w:tentative="0">
      <w:start w:val="1"/>
      <w:numFmt w:val="decimal"/>
      <w:suff w:val="nothing"/>
      <w:lvlText w:val="%1、"/>
      <w:lvlJc w:val="left"/>
    </w:lvl>
  </w:abstractNum>
  <w:abstractNum w:abstractNumId="17">
    <w:nsid w:val="3D749DA9"/>
    <w:multiLevelType w:val="singleLevel"/>
    <w:tmpl w:val="3D749DA9"/>
    <w:lvl w:ilvl="0" w:tentative="0">
      <w:start w:val="1"/>
      <w:numFmt w:val="decimal"/>
      <w:suff w:val="space"/>
      <w:lvlText w:val="%1."/>
      <w:lvlJc w:val="left"/>
    </w:lvl>
  </w:abstractNum>
  <w:abstractNum w:abstractNumId="18">
    <w:nsid w:val="4D7F6BE1"/>
    <w:multiLevelType w:val="singleLevel"/>
    <w:tmpl w:val="4D7F6BE1"/>
    <w:lvl w:ilvl="0" w:tentative="0">
      <w:start w:val="1"/>
      <w:numFmt w:val="decimal"/>
      <w:suff w:val="space"/>
      <w:lvlText w:val="%1."/>
      <w:lvlJc w:val="left"/>
    </w:lvl>
  </w:abstractNum>
  <w:abstractNum w:abstractNumId="19">
    <w:nsid w:val="4E7BD4C2"/>
    <w:multiLevelType w:val="singleLevel"/>
    <w:tmpl w:val="4E7BD4C2"/>
    <w:lvl w:ilvl="0" w:tentative="0">
      <w:start w:val="1"/>
      <w:numFmt w:val="decimal"/>
      <w:suff w:val="nothing"/>
      <w:lvlText w:val="（%1）"/>
      <w:lvlJc w:val="left"/>
    </w:lvl>
  </w:abstractNum>
  <w:abstractNum w:abstractNumId="20">
    <w:nsid w:val="73544E32"/>
    <w:multiLevelType w:val="multilevel"/>
    <w:tmpl w:val="73544E32"/>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2"/>
  </w:num>
  <w:num w:numId="2">
    <w:abstractNumId w:val="2"/>
  </w:num>
  <w:num w:numId="3">
    <w:abstractNumId w:val="8"/>
  </w:num>
  <w:num w:numId="4">
    <w:abstractNumId w:val="18"/>
  </w:num>
  <w:num w:numId="5">
    <w:abstractNumId w:val="3"/>
  </w:num>
  <w:num w:numId="6">
    <w:abstractNumId w:val="4"/>
  </w:num>
  <w:num w:numId="7">
    <w:abstractNumId w:val="16"/>
  </w:num>
  <w:num w:numId="8">
    <w:abstractNumId w:val="6"/>
  </w:num>
  <w:num w:numId="9">
    <w:abstractNumId w:val="15"/>
  </w:num>
  <w:num w:numId="10">
    <w:abstractNumId w:val="17"/>
  </w:num>
  <w:num w:numId="11">
    <w:abstractNumId w:val="13"/>
  </w:num>
  <w:num w:numId="12">
    <w:abstractNumId w:val="11"/>
  </w:num>
  <w:num w:numId="13">
    <w:abstractNumId w:val="5"/>
  </w:num>
  <w:num w:numId="14">
    <w:abstractNumId w:val="20"/>
  </w:num>
  <w:num w:numId="15">
    <w:abstractNumId w:val="1"/>
  </w:num>
  <w:num w:numId="16">
    <w:abstractNumId w:val="14"/>
  </w:num>
  <w:num w:numId="17">
    <w:abstractNumId w:val="0"/>
  </w:num>
  <w:num w:numId="18">
    <w:abstractNumId w:val="9"/>
  </w:num>
  <w:num w:numId="19">
    <w:abstractNumId w:val="10"/>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YmY2ZWI4Y2I3MzQ0YjcwMWQzYjM1NzUxYThmYWQifQ=="/>
  </w:docVars>
  <w:rsids>
    <w:rsidRoot w:val="00000000"/>
    <w:rsid w:val="06206042"/>
    <w:rsid w:val="062F1B50"/>
    <w:rsid w:val="065D717F"/>
    <w:rsid w:val="06952D48"/>
    <w:rsid w:val="069D3172"/>
    <w:rsid w:val="0713589A"/>
    <w:rsid w:val="072B7208"/>
    <w:rsid w:val="07301E21"/>
    <w:rsid w:val="07950B26"/>
    <w:rsid w:val="07AA67FD"/>
    <w:rsid w:val="085F360E"/>
    <w:rsid w:val="094C0A60"/>
    <w:rsid w:val="0B35090D"/>
    <w:rsid w:val="0B3C19E4"/>
    <w:rsid w:val="0C2030B4"/>
    <w:rsid w:val="0C8B24A6"/>
    <w:rsid w:val="0E215AA9"/>
    <w:rsid w:val="10030D22"/>
    <w:rsid w:val="1058248C"/>
    <w:rsid w:val="10CD7582"/>
    <w:rsid w:val="10EB24F2"/>
    <w:rsid w:val="11BA392B"/>
    <w:rsid w:val="123553DF"/>
    <w:rsid w:val="12605509"/>
    <w:rsid w:val="12C86FAD"/>
    <w:rsid w:val="13744DF5"/>
    <w:rsid w:val="1382238D"/>
    <w:rsid w:val="146F6DE5"/>
    <w:rsid w:val="15BD6FF9"/>
    <w:rsid w:val="162E3847"/>
    <w:rsid w:val="168406E3"/>
    <w:rsid w:val="1D5E5113"/>
    <w:rsid w:val="1E373ECB"/>
    <w:rsid w:val="1EAC5FBE"/>
    <w:rsid w:val="1FF561AE"/>
    <w:rsid w:val="204D7D98"/>
    <w:rsid w:val="21835C66"/>
    <w:rsid w:val="22F34C27"/>
    <w:rsid w:val="232748D0"/>
    <w:rsid w:val="24261A50"/>
    <w:rsid w:val="24EA02AB"/>
    <w:rsid w:val="2652754E"/>
    <w:rsid w:val="267F0309"/>
    <w:rsid w:val="282006DE"/>
    <w:rsid w:val="28EE300B"/>
    <w:rsid w:val="29183ECD"/>
    <w:rsid w:val="298F31CF"/>
    <w:rsid w:val="2B9E594C"/>
    <w:rsid w:val="2BDD6474"/>
    <w:rsid w:val="2C624BCB"/>
    <w:rsid w:val="2DB453C0"/>
    <w:rsid w:val="2F6407E2"/>
    <w:rsid w:val="2FF83694"/>
    <w:rsid w:val="30AA056D"/>
    <w:rsid w:val="30AB6B41"/>
    <w:rsid w:val="32877139"/>
    <w:rsid w:val="33177712"/>
    <w:rsid w:val="34567B88"/>
    <w:rsid w:val="34DF3EBA"/>
    <w:rsid w:val="366B690C"/>
    <w:rsid w:val="37BE1A03"/>
    <w:rsid w:val="38F213D7"/>
    <w:rsid w:val="39E11825"/>
    <w:rsid w:val="3A6B6FB2"/>
    <w:rsid w:val="3B89215E"/>
    <w:rsid w:val="3C292100"/>
    <w:rsid w:val="3D3B512F"/>
    <w:rsid w:val="3DE76596"/>
    <w:rsid w:val="3E75078E"/>
    <w:rsid w:val="3EDC3E17"/>
    <w:rsid w:val="414F2C34"/>
    <w:rsid w:val="41AE46E3"/>
    <w:rsid w:val="44E12CB1"/>
    <w:rsid w:val="45863281"/>
    <w:rsid w:val="47835CCA"/>
    <w:rsid w:val="487D2F49"/>
    <w:rsid w:val="4A761B16"/>
    <w:rsid w:val="4AD511E2"/>
    <w:rsid w:val="4B520C8E"/>
    <w:rsid w:val="4DC83B7D"/>
    <w:rsid w:val="51434736"/>
    <w:rsid w:val="51BB6F21"/>
    <w:rsid w:val="5AD308BE"/>
    <w:rsid w:val="5B081868"/>
    <w:rsid w:val="5BD0463B"/>
    <w:rsid w:val="5E4E699A"/>
    <w:rsid w:val="5E6F6596"/>
    <w:rsid w:val="5EDF3CD6"/>
    <w:rsid w:val="5F6D7AAB"/>
    <w:rsid w:val="5F9213F8"/>
    <w:rsid w:val="60F030D6"/>
    <w:rsid w:val="61182BCF"/>
    <w:rsid w:val="62164BFB"/>
    <w:rsid w:val="64F97173"/>
    <w:rsid w:val="65F619C6"/>
    <w:rsid w:val="6674584F"/>
    <w:rsid w:val="672C3830"/>
    <w:rsid w:val="67784CC7"/>
    <w:rsid w:val="6BE11F8A"/>
    <w:rsid w:val="6EEA6ECE"/>
    <w:rsid w:val="7048022E"/>
    <w:rsid w:val="70DC4E6A"/>
    <w:rsid w:val="73033E70"/>
    <w:rsid w:val="741F551F"/>
    <w:rsid w:val="74551D72"/>
    <w:rsid w:val="74833D0A"/>
    <w:rsid w:val="757476D5"/>
    <w:rsid w:val="76562AB6"/>
    <w:rsid w:val="765F58D6"/>
    <w:rsid w:val="775C78BE"/>
    <w:rsid w:val="7ADF6C08"/>
    <w:rsid w:val="7C877483"/>
    <w:rsid w:val="7F3B06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unhideWhenUsed/>
    <w:qFormat/>
    <w:uiPriority w:val="0"/>
    <w:pPr>
      <w:keepNext/>
      <w:keepLines/>
      <w:jc w:val="left"/>
      <w:outlineLvl w:val="1"/>
    </w:pPr>
    <w:rPr>
      <w:sz w:val="28"/>
    </w:rPr>
  </w:style>
  <w:style w:type="paragraph" w:styleId="4">
    <w:name w:val="heading 3"/>
    <w:basedOn w:val="1"/>
    <w:next w:val="1"/>
    <w:autoRedefine/>
    <w:qFormat/>
    <w:uiPriority w:val="0"/>
    <w:pPr>
      <w:keepNext/>
      <w:keepLines/>
      <w:numPr>
        <w:ilvl w:val="2"/>
        <w:numId w:val="1"/>
      </w:numPr>
      <w:spacing w:before="200" w:after="200"/>
      <w:outlineLvl w:val="2"/>
    </w:pPr>
    <w:rPr>
      <w:rFonts w:ascii="Calibri" w:hAnsi="Calibri"/>
      <w:b/>
    </w:rPr>
  </w:style>
  <w:style w:type="paragraph" w:styleId="5">
    <w:name w:val="heading 4"/>
    <w:basedOn w:val="1"/>
    <w:next w:val="1"/>
    <w:autoRedefine/>
    <w:semiHidden/>
    <w:unhideWhenUsed/>
    <w:qFormat/>
    <w:uiPriority w:val="0"/>
    <w:pPr>
      <w:keepNext/>
      <w:keepLines/>
      <w:widowControl/>
      <w:spacing w:line="360" w:lineRule="auto"/>
      <w:ind w:firstLine="640" w:firstLineChars="200"/>
      <w:outlineLvl w:val="3"/>
    </w:pPr>
    <w:rPr>
      <w:b/>
      <w:bCs/>
      <w:color w:val="000000"/>
      <w:sz w:val="28"/>
      <w:szCs w:val="28"/>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pPr>
  </w:style>
  <w:style w:type="paragraph" w:styleId="7">
    <w:name w:val="Body Text First Indent 2"/>
    <w:basedOn w:val="8"/>
    <w:next w:val="10"/>
    <w:autoRedefine/>
    <w:qFormat/>
    <w:uiPriority w:val="0"/>
    <w:pPr>
      <w:ind w:firstLine="420"/>
    </w:pPr>
    <w:rPr>
      <w:sz w:val="21"/>
    </w:rPr>
  </w:style>
  <w:style w:type="paragraph" w:styleId="8">
    <w:name w:val="Body Text Indent"/>
    <w:basedOn w:val="1"/>
    <w:next w:val="9"/>
    <w:autoRedefine/>
    <w:qFormat/>
    <w:uiPriority w:val="0"/>
    <w:pPr>
      <w:spacing w:after="120"/>
      <w:ind w:left="420" w:leftChars="200"/>
    </w:pPr>
    <w:rPr>
      <w:kern w:val="0"/>
      <w:sz w:val="24"/>
      <w:szCs w:val="20"/>
    </w:rPr>
  </w:style>
  <w:style w:type="paragraph" w:customStyle="1" w:styleId="9">
    <w:name w:val="样式 正文文本缩进 + 行距: 1.5 倍行距"/>
    <w:autoRedefine/>
    <w:qFormat/>
    <w:uiPriority w:val="0"/>
    <w:pPr>
      <w:widowControl w:val="0"/>
      <w:spacing w:after="120" w:line="360" w:lineRule="auto"/>
      <w:ind w:left="90" w:leftChars="32" w:firstLine="560" w:firstLineChars="200"/>
      <w:jc w:val="both"/>
    </w:pPr>
    <w:rPr>
      <w:rFonts w:ascii="Times New Roman" w:hAnsi="Times New Roman" w:eastAsia="宋体" w:cs="宋体"/>
      <w:lang w:val="en-US" w:eastAsia="zh-CN" w:bidi="ar-SA"/>
    </w:rPr>
  </w:style>
  <w:style w:type="paragraph" w:styleId="10">
    <w:name w:val="Body Text First Indent"/>
    <w:basedOn w:val="11"/>
    <w:autoRedefine/>
    <w:qFormat/>
    <w:uiPriority w:val="0"/>
    <w:pPr>
      <w:widowControl w:val="0"/>
      <w:spacing w:after="120"/>
      <w:ind w:firstLine="420" w:firstLineChars="100"/>
    </w:pPr>
    <w:rPr>
      <w:kern w:val="2"/>
      <w:sz w:val="21"/>
      <w:szCs w:val="21"/>
    </w:rPr>
  </w:style>
  <w:style w:type="paragraph" w:styleId="11">
    <w:name w:val="Body Text"/>
    <w:basedOn w:val="1"/>
    <w:next w:val="12"/>
    <w:autoRedefine/>
    <w:qFormat/>
    <w:uiPriority w:val="0"/>
    <w:pPr>
      <w:widowControl/>
      <w:snapToGrid w:val="0"/>
      <w:spacing w:before="60" w:after="160" w:line="259" w:lineRule="auto"/>
      <w:ind w:right="113"/>
    </w:pPr>
    <w:rPr>
      <w:kern w:val="0"/>
      <w:sz w:val="18"/>
      <w:szCs w:val="20"/>
    </w:rPr>
  </w:style>
  <w:style w:type="paragraph" w:styleId="12">
    <w:name w:val="Body Text 2"/>
    <w:basedOn w:val="1"/>
    <w:autoRedefine/>
    <w:qFormat/>
    <w:uiPriority w:val="0"/>
    <w:pPr>
      <w:spacing w:after="120" w:line="480" w:lineRule="auto"/>
    </w:pPr>
  </w:style>
  <w:style w:type="paragraph" w:styleId="13">
    <w:name w:val="caption"/>
    <w:basedOn w:val="1"/>
    <w:next w:val="1"/>
    <w:autoRedefine/>
    <w:qFormat/>
    <w:uiPriority w:val="0"/>
    <w:pPr>
      <w:spacing w:before="120" w:after="120" w:line="480" w:lineRule="exact"/>
      <w:jc w:val="center"/>
    </w:pPr>
    <w:rPr>
      <w:sz w:val="24"/>
    </w:rPr>
  </w:style>
  <w:style w:type="paragraph" w:styleId="14">
    <w:name w:val="annotation text"/>
    <w:basedOn w:val="1"/>
    <w:autoRedefine/>
    <w:semiHidden/>
    <w:qFormat/>
    <w:uiPriority w:val="0"/>
    <w:pPr>
      <w:jc w:val="left"/>
    </w:pPr>
    <w:rPr>
      <w:kern w:val="0"/>
      <w:sz w:val="24"/>
      <w:szCs w:val="20"/>
    </w:rPr>
  </w:style>
  <w:style w:type="paragraph" w:styleId="15">
    <w:name w:val="Salutation"/>
    <w:basedOn w:val="1"/>
    <w:next w:val="1"/>
    <w:autoRedefine/>
    <w:qFormat/>
    <w:uiPriority w:val="0"/>
  </w:style>
  <w:style w:type="paragraph" w:styleId="16">
    <w:name w:val="Plain Text"/>
    <w:basedOn w:val="1"/>
    <w:autoRedefine/>
    <w:qFormat/>
    <w:uiPriority w:val="99"/>
    <w:rPr>
      <w:rFonts w:ascii="宋体" w:hAnsi="Courier New" w:eastAsia="仿宋_GB2312"/>
      <w:sz w:val="28"/>
    </w:rPr>
  </w:style>
  <w:style w:type="paragraph" w:styleId="17">
    <w:name w:val="List Bullet 5"/>
    <w:basedOn w:val="1"/>
    <w:autoRedefine/>
    <w:qFormat/>
    <w:uiPriority w:val="0"/>
    <w:pPr>
      <w:numPr>
        <w:ilvl w:val="0"/>
        <w:numId w:val="2"/>
      </w:numPr>
    </w:pPr>
  </w:style>
  <w:style w:type="paragraph" w:styleId="18">
    <w:name w:val="Body Text Indent 2"/>
    <w:basedOn w:val="1"/>
    <w:next w:val="19"/>
    <w:autoRedefine/>
    <w:qFormat/>
    <w:uiPriority w:val="0"/>
    <w:pPr>
      <w:ind w:firstLine="560"/>
    </w:pPr>
    <w:rPr>
      <w:rFonts w:ascii="宋体"/>
      <w:color w:val="FF0000"/>
      <w:kern w:val="0"/>
      <w:sz w:val="28"/>
      <w:szCs w:val="28"/>
    </w:rPr>
  </w:style>
  <w:style w:type="paragraph" w:customStyle="1" w:styleId="19">
    <w:name w:val="表格文字"/>
    <w:basedOn w:val="1"/>
    <w:autoRedefine/>
    <w:qFormat/>
    <w:uiPriority w:val="0"/>
    <w:pPr>
      <w:spacing w:line="300" w:lineRule="exact"/>
      <w:jc w:val="center"/>
    </w:pPr>
    <w:rPr>
      <w:rFonts w:ascii="宋体"/>
      <w:kern w:val="0"/>
      <w:szCs w:val="32"/>
    </w:rPr>
  </w:style>
  <w:style w:type="paragraph" w:styleId="20">
    <w:name w:val="footer"/>
    <w:basedOn w:val="1"/>
    <w:autoRedefine/>
    <w:qFormat/>
    <w:uiPriority w:val="99"/>
    <w:pPr>
      <w:tabs>
        <w:tab w:val="center" w:pos="4153"/>
        <w:tab w:val="right" w:pos="8306"/>
      </w:tabs>
      <w:snapToGrid w:val="0"/>
      <w:jc w:val="left"/>
    </w:pPr>
    <w:rPr>
      <w:kern w:val="0"/>
      <w:sz w:val="18"/>
      <w:szCs w:val="20"/>
    </w:rPr>
  </w:style>
  <w:style w:type="paragraph" w:styleId="21">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List Number 5"/>
    <w:basedOn w:val="1"/>
    <w:autoRedefine/>
    <w:qFormat/>
    <w:uiPriority w:val="0"/>
    <w:pPr>
      <w:numPr>
        <w:ilvl w:val="0"/>
        <w:numId w:val="3"/>
      </w:numPr>
    </w:pPr>
  </w:style>
  <w:style w:type="paragraph" w:styleId="23">
    <w:name w:val="List"/>
    <w:basedOn w:val="1"/>
    <w:next w:val="1"/>
    <w:autoRedefine/>
    <w:qFormat/>
    <w:uiPriority w:val="0"/>
    <w:pPr>
      <w:ind w:left="200" w:hanging="200" w:hangingChars="200"/>
    </w:pPr>
    <w:rPr>
      <w:rFonts w:ascii="Times New Roman" w:hAnsi="Times New Roman" w:eastAsia="宋体" w:cs="Times New Roman"/>
    </w:rPr>
  </w:style>
  <w:style w:type="paragraph" w:styleId="24">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autoRedefine/>
    <w:qFormat/>
    <w:uiPriority w:val="0"/>
  </w:style>
  <w:style w:type="character" w:styleId="29">
    <w:name w:val="Hyperlink"/>
    <w:basedOn w:val="27"/>
    <w:autoRedefine/>
    <w:qFormat/>
    <w:uiPriority w:val="0"/>
    <w:rPr>
      <w:color w:val="0000FF"/>
      <w:u w:val="single"/>
    </w:rPr>
  </w:style>
  <w:style w:type="paragraph" w:customStyle="1" w:styleId="30">
    <w:name w:val="表格内"/>
    <w:basedOn w:val="1"/>
    <w:autoRedefine/>
    <w:qFormat/>
    <w:uiPriority w:val="0"/>
    <w:pPr>
      <w:adjustRightInd w:val="0"/>
      <w:snapToGrid w:val="0"/>
      <w:spacing w:line="360" w:lineRule="exact"/>
      <w:jc w:val="center"/>
    </w:pPr>
    <w:rPr>
      <w:rFonts w:eastAsia="Times New Roman"/>
      <w:snapToGrid w:val="0"/>
      <w:kern w:val="0"/>
      <w:szCs w:val="21"/>
    </w:rPr>
  </w:style>
  <w:style w:type="paragraph" w:customStyle="1" w:styleId="31">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32">
    <w:name w:val="表格"/>
    <w:basedOn w:val="23"/>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3">
    <w:name w:val="样式 正文缩进正文缩进2正文缩进 Char Char正文缩进 Char Char Char Char正文缩进 Char ..."/>
    <w:basedOn w:val="6"/>
    <w:autoRedefine/>
    <w:qFormat/>
    <w:uiPriority w:val="0"/>
    <w:pPr>
      <w:spacing w:line="360" w:lineRule="auto"/>
      <w:ind w:firstLine="200"/>
    </w:pPr>
    <w:rPr>
      <w:rFonts w:cs="宋体"/>
      <w:sz w:val="24"/>
    </w:rPr>
  </w:style>
  <w:style w:type="paragraph" w:customStyle="1" w:styleId="34">
    <w:name w:val="Default"/>
    <w:basedOn w:val="35"/>
    <w:next w:val="1"/>
    <w:autoRedefine/>
    <w:unhideWhenUsed/>
    <w:qFormat/>
    <w:uiPriority w:val="99"/>
    <w:pPr>
      <w:tabs>
        <w:tab w:val="left" w:pos="1845"/>
      </w:tabs>
      <w:autoSpaceDE w:val="0"/>
      <w:autoSpaceDN w:val="0"/>
    </w:pPr>
    <w:rPr>
      <w:rFonts w:hint="eastAsia" w:ascii="宋体" w:hAnsi="宋体"/>
      <w:sz w:val="24"/>
    </w:rPr>
  </w:style>
  <w:style w:type="paragraph" w:customStyle="1" w:styleId="35">
    <w:name w:val="纯文本1"/>
    <w:basedOn w:val="1"/>
    <w:autoRedefine/>
    <w:qFormat/>
    <w:uiPriority w:val="0"/>
    <w:rPr>
      <w:rFonts w:ascii="宋体" w:hAnsi="Courier New" w:cs="Courier New"/>
      <w:szCs w:val="21"/>
    </w:rPr>
  </w:style>
  <w:style w:type="paragraph" w:customStyle="1" w:styleId="36">
    <w:name w:val="3博创正文"/>
    <w:basedOn w:val="1"/>
    <w:link w:val="37"/>
    <w:autoRedefine/>
    <w:unhideWhenUsed/>
    <w:qFormat/>
    <w:uiPriority w:val="0"/>
  </w:style>
  <w:style w:type="character" w:customStyle="1" w:styleId="37">
    <w:name w:val="3博创正文 Char"/>
    <w:link w:val="36"/>
    <w:autoRedefine/>
    <w:qFormat/>
    <w:uiPriority w:val="0"/>
  </w:style>
  <w:style w:type="paragraph" w:customStyle="1" w:styleId="38">
    <w:name w:val="@正文缩进"/>
    <w:basedOn w:val="1"/>
    <w:autoRedefine/>
    <w:qFormat/>
    <w:uiPriority w:val="0"/>
    <w:pPr>
      <w:pBdr>
        <w:top w:val="none" w:color="auto" w:sz="0" w:space="3"/>
        <w:left w:val="none" w:color="auto" w:sz="0" w:space="4"/>
        <w:bottom w:val="none" w:color="auto" w:sz="0" w:space="1"/>
        <w:right w:val="none" w:color="auto" w:sz="0" w:space="4"/>
      </w:pBdr>
      <w:spacing w:line="360" w:lineRule="auto"/>
      <w:ind w:firstLine="420" w:firstLineChars="200"/>
      <w:textAlignment w:val="baseline"/>
    </w:pPr>
    <w:rPr>
      <w:sz w:val="24"/>
    </w:rPr>
  </w:style>
  <w:style w:type="paragraph" w:customStyle="1" w:styleId="39">
    <w:name w:val="表格1"/>
    <w:basedOn w:val="1"/>
    <w:autoRedefine/>
    <w:qFormat/>
    <w:uiPriority w:val="0"/>
    <w:pPr>
      <w:adjustRightInd w:val="0"/>
      <w:snapToGrid w:val="0"/>
      <w:jc w:val="center"/>
    </w:pPr>
    <w:rPr>
      <w:rFonts w:eastAsia="方正仿宋_GBK"/>
      <w:color w:val="000000"/>
      <w:kern w:val="0"/>
    </w:rPr>
  </w:style>
  <w:style w:type="paragraph" w:customStyle="1" w:styleId="40">
    <w:name w:val="1正文段落"/>
    <w:basedOn w:val="1"/>
    <w:autoRedefine/>
    <w:qFormat/>
    <w:uiPriority w:val="0"/>
    <w:pPr>
      <w:spacing w:line="500" w:lineRule="exact"/>
      <w:ind w:firstLine="200" w:firstLineChars="200"/>
      <w:jc w:val="left"/>
    </w:pPr>
    <w:rPr>
      <w:snapToGrid w:val="0"/>
      <w:kern w:val="0"/>
      <w:sz w:val="24"/>
    </w:rPr>
  </w:style>
  <w:style w:type="paragraph" w:customStyle="1" w:styleId="41">
    <w:name w:val="Body Text 21"/>
    <w:basedOn w:val="1"/>
    <w:autoRedefine/>
    <w:qFormat/>
    <w:uiPriority w:val="0"/>
    <w:pPr>
      <w:spacing w:after="120" w:line="480" w:lineRule="auto"/>
    </w:pPr>
  </w:style>
  <w:style w:type="paragraph" w:customStyle="1" w:styleId="42">
    <w:name w:val="表格字体"/>
    <w:basedOn w:val="1"/>
    <w:autoRedefine/>
    <w:qFormat/>
    <w:uiPriority w:val="0"/>
    <w:pPr>
      <w:jc w:val="center"/>
    </w:pPr>
  </w:style>
  <w:style w:type="paragraph" w:customStyle="1" w:styleId="43">
    <w:name w:val="表头"/>
    <w:basedOn w:val="44"/>
    <w:next w:val="1"/>
    <w:autoRedefine/>
    <w:qFormat/>
    <w:uiPriority w:val="0"/>
    <w:pPr>
      <w:adjustRightInd w:val="0"/>
      <w:snapToGrid w:val="0"/>
      <w:spacing w:line="240" w:lineRule="atLeast"/>
      <w:ind w:firstLine="0"/>
    </w:pPr>
    <w:rPr>
      <w:rFonts w:ascii="宋体" w:hAnsi="宋体" w:eastAsia="黑体"/>
      <w:kern w:val="0"/>
      <w:sz w:val="24"/>
    </w:rPr>
  </w:style>
  <w:style w:type="paragraph" w:customStyle="1" w:styleId="44">
    <w:name w:val="表格内容"/>
    <w:basedOn w:val="6"/>
    <w:next w:val="1"/>
    <w:autoRedefine/>
    <w:qFormat/>
    <w:uiPriority w:val="0"/>
    <w:pPr>
      <w:jc w:val="center"/>
    </w:pPr>
    <w:rPr>
      <w:lang w:val="zh-TW" w:eastAsia="zh-TW"/>
    </w:rPr>
  </w:style>
  <w:style w:type="paragraph" w:customStyle="1" w:styleId="45">
    <w:name w:val="文本"/>
    <w:basedOn w:val="1"/>
    <w:autoRedefine/>
    <w:qFormat/>
    <w:uiPriority w:val="0"/>
    <w:pPr>
      <w:adjustRightInd w:val="0"/>
      <w:snapToGrid w:val="0"/>
      <w:spacing w:line="360" w:lineRule="auto"/>
      <w:ind w:firstLine="480" w:firstLineChars="200"/>
      <w:jc w:val="left"/>
    </w:pPr>
    <w:rPr>
      <w:sz w:val="24"/>
    </w:rPr>
  </w:style>
  <w:style w:type="paragraph" w:customStyle="1" w:styleId="46">
    <w:name w:val="表格标题"/>
    <w:basedOn w:val="1"/>
    <w:autoRedefine/>
    <w:qFormat/>
    <w:uiPriority w:val="0"/>
    <w:pPr>
      <w:autoSpaceDE w:val="0"/>
      <w:autoSpaceDN w:val="0"/>
      <w:adjustRightInd w:val="0"/>
      <w:snapToGrid w:val="0"/>
      <w:spacing w:line="324" w:lineRule="auto"/>
      <w:ind w:firstLine="422" w:firstLineChars="200"/>
      <w:jc w:val="center"/>
    </w:pPr>
    <w:rPr>
      <w:rFonts w:ascii="宋体" w:hAnsi="宋体"/>
      <w:b/>
      <w:lang w:val="zh-CN"/>
    </w:rPr>
  </w:style>
  <w:style w:type="paragraph" w:customStyle="1" w:styleId="47">
    <w:name w:val="Table Paragraph"/>
    <w:basedOn w:val="1"/>
    <w:autoRedefine/>
    <w:qFormat/>
    <w:uiPriority w:val="0"/>
    <w:pPr>
      <w:jc w:val="left"/>
    </w:pPr>
    <w:rPr>
      <w:rFonts w:ascii="Calibri" w:hAnsi="Calibri"/>
      <w:kern w:val="0"/>
      <w:sz w:val="22"/>
      <w:szCs w:val="22"/>
      <w:lang w:eastAsia="en-US"/>
    </w:rPr>
  </w:style>
  <w:style w:type="paragraph" w:styleId="48">
    <w:name w:val="List Paragraph"/>
    <w:basedOn w:val="1"/>
    <w:autoRedefine/>
    <w:qFormat/>
    <w:uiPriority w:val="1"/>
    <w:pPr>
      <w:ind w:left="1159" w:hanging="602"/>
    </w:pPr>
    <w:rPr>
      <w:rFonts w:ascii="宋体" w:hAnsi="宋体" w:cs="宋体"/>
      <w:u w:val="single" w:color="000000"/>
      <w:lang w:val="zh-CN" w:bidi="zh-CN"/>
    </w:rPr>
  </w:style>
  <w:style w:type="paragraph" w:customStyle="1" w:styleId="49">
    <w:name w:val="表头  报告书"/>
    <w:basedOn w:val="1"/>
    <w:autoRedefine/>
    <w:qFormat/>
    <w:uiPriority w:val="0"/>
    <w:pPr>
      <w:spacing w:before="50" w:beforeLines="50" w:line="360" w:lineRule="auto"/>
      <w:ind w:firstLine="200" w:firstLineChars="200"/>
      <w:jc w:val="center"/>
    </w:pPr>
    <w:rPr>
      <w:rFonts w:hAnsi="宋体"/>
      <w:b/>
      <w:sz w:val="24"/>
      <w:szCs w:val="21"/>
    </w:rPr>
  </w:style>
  <w:style w:type="paragraph" w:customStyle="1" w:styleId="50">
    <w:name w:val="表格内容1"/>
    <w:basedOn w:val="1"/>
    <w:autoRedefine/>
    <w:qFormat/>
    <w:uiPriority w:val="0"/>
    <w:pPr>
      <w:tabs>
        <w:tab w:val="left" w:pos="1535"/>
        <w:tab w:val="left" w:pos="3105"/>
        <w:tab w:val="left" w:pos="4676"/>
        <w:tab w:val="left" w:pos="6247"/>
        <w:tab w:val="left" w:pos="7740"/>
        <w:tab w:val="left" w:pos="9288"/>
      </w:tabs>
      <w:adjustRightInd w:val="0"/>
      <w:snapToGrid w:val="0"/>
      <w:spacing w:line="240" w:lineRule="auto"/>
      <w:ind w:firstLine="0" w:firstLineChars="0"/>
      <w:jc w:val="center"/>
      <w:textAlignment w:val="baseline"/>
    </w:pPr>
    <w:rPr>
      <w:rFonts w:ascii="Times New Roman" w:hAnsi="Times New Roman"/>
      <w:sz w:val="21"/>
      <w:szCs w:val="21"/>
    </w:rPr>
  </w:style>
  <w:style w:type="paragraph" w:customStyle="1" w:styleId="51">
    <w:name w:val="环评正文"/>
    <w:autoRedefine/>
    <w:qFormat/>
    <w:uiPriority w:val="0"/>
    <w:rPr>
      <w:rFonts w:ascii="Times New Roman" w:hAnsi="Times New Roman" w:eastAsia="宋体" w:cs="Times New Roman"/>
      <w:sz w:val="24"/>
      <w:lang w:val="en-US" w:eastAsia="zh-CN" w:bidi="ar-SA"/>
    </w:rPr>
  </w:style>
  <w:style w:type="character" w:customStyle="1" w:styleId="52">
    <w:name w:val="textbig1"/>
    <w:autoRedefine/>
    <w:qFormat/>
    <w:uiPriority w:val="0"/>
    <w:rPr>
      <w:sz w:val="18"/>
      <w:szCs w:val="18"/>
    </w:rPr>
  </w:style>
  <w:style w:type="paragraph" w:customStyle="1" w:styleId="53">
    <w:name w:val="报告表正文"/>
    <w:basedOn w:val="54"/>
    <w:autoRedefine/>
    <w:qFormat/>
    <w:uiPriority w:val="0"/>
    <w:pPr>
      <w:adjustRightInd w:val="0"/>
      <w:ind w:firstLine="482"/>
      <w:textAlignment w:val="baseline"/>
    </w:pPr>
  </w:style>
  <w:style w:type="paragraph" w:customStyle="1" w:styleId="54">
    <w:name w:val="报告正文"/>
    <w:basedOn w:val="55"/>
    <w:autoRedefine/>
    <w:qFormat/>
    <w:uiPriority w:val="0"/>
    <w:pPr>
      <w:widowControl w:val="0"/>
      <w:snapToGrid w:val="0"/>
      <w:spacing w:line="520" w:lineRule="exact"/>
      <w:ind w:firstLine="200" w:firstLineChars="200"/>
    </w:pPr>
    <w:rPr>
      <w:rFonts w:ascii="Times New Roman" w:hAnsi="Times New Roman" w:eastAsia="宋体" w:cs="Times New Roman"/>
      <w:snapToGrid w:val="0"/>
      <w:sz w:val="24"/>
      <w:szCs w:val="28"/>
    </w:rPr>
  </w:style>
  <w:style w:type="paragraph" w:customStyle="1" w:styleId="55">
    <w:name w:val="p17"/>
    <w:basedOn w:val="1"/>
    <w:autoRedefine/>
    <w:qFormat/>
    <w:uiPriority w:val="0"/>
    <w:pPr>
      <w:widowControl/>
    </w:pPr>
    <w:rPr>
      <w:rFonts w:ascii="宋体" w:hAnsi="宋体" w:cs="宋体"/>
      <w:kern w:val="0"/>
      <w:szCs w:val="21"/>
    </w:rPr>
  </w:style>
  <w:style w:type="paragraph" w:customStyle="1" w:styleId="56">
    <w:name w:val="正文(首行缩进)"/>
    <w:basedOn w:val="1"/>
    <w:autoRedefine/>
    <w:qFormat/>
    <w:uiPriority w:val="0"/>
    <w:pPr>
      <w:adjustRightInd w:val="0"/>
      <w:snapToGrid w:val="0"/>
      <w:spacing w:line="360" w:lineRule="auto"/>
      <w:ind w:firstLine="482" w:firstLineChars="200"/>
    </w:pPr>
    <w:rPr>
      <w:rFonts w:ascii="Times New Roman" w:hAnsi="宋体" w:eastAsia="宋体" w:cs="Times New Roman"/>
      <w:b/>
      <w:bCs/>
      <w:color w:val="000000"/>
      <w:sz w:val="24"/>
      <w:szCs w:val="28"/>
    </w:rPr>
  </w:style>
  <w:style w:type="paragraph" w:customStyle="1" w:styleId="57">
    <w:name w:val="环评正文格式"/>
    <w:basedOn w:val="1"/>
    <w:autoRedefine/>
    <w:qFormat/>
    <w:uiPriority w:val="0"/>
    <w:pPr>
      <w:numPr>
        <w:ilvl w:val="0"/>
        <w:numId w:val="0"/>
      </w:numPr>
      <w:spacing w:line="520" w:lineRule="exact"/>
      <w:ind w:firstLine="480" w:firstLineChars="200"/>
    </w:pPr>
    <w:rPr>
      <w:rFonts w:hint="eastAsia"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3.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c3MzI3NjUyNjcwIiwKCSJHcm91cElkIiA6ICIxODgyOTI1MjQiLAoJIkltYWdlIiA6ICJpVkJPUncwS0dnb0FBQUFOU1VoRVVnQUFBdFlBQUFHWENBWUFBQUNYL0JlU0FBQUFBWE5TUjBJQXJzNGM2UUFBSUFCSlJFRlVlSnpzM1hsY0ZQWC9CL0RYWjNlNVFRVTVGQTlRVVFMbFdFd3R6UTV2TTgvTXpDdE5wY3hLaFN4TktZMHVEN3l5L0NZZWVWWWVIWnBucGQrdmZWTkw1ZEtmSjZZbUtTaHl5U1hzenVmM0I3RmZFUkRVaGVGNFBSOFBIN0x6bVoxNXorNE12SGIyTTU4Q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HFCL3dPd3hqUFVQK2JJRmdBQUFBQkpSVTVFcmtKZ2dnPT0iLAoJIlRoZW1lIiA6ICIiLAoJIlR5cGUiIDogImZsb3ciLAoJIlZlcnNpb24iIDogIiIKfQo="/>
    </extobj>
    <extobj name="ECB019B1-382A-4266-B25C-5B523AA43C14-2">
      <extobjdata type="ECB019B1-382A-4266-B25C-5B523AA43C14" data="ewoJIkZpbGVJZCIgOiAiMjc2ODY4MTY4MzgyIiwKCSJHcm91cElkIiA6ICIxODgyOTI1MjQiLAoJIkltYWdlIiA6ICJpVkJPUncwS0dnb0FBQUFOU1VoRVVnQUFBY1VBQUFJM0NBWUFBQURxYzBBTEFBQUFBWE5TUjBJQXJzNGM2UUFBSUFCSlJFRlVlSnpzM1hsWUZXWC9CdkI3emptc2dvQ3l1S0RpaXFnSXh6Vk5jeXR6ZTlWTXM1K201cGFhV2VadWIyYVpleTZaUzdrdnFXbGxMcm1XKzVxSklhQ0lpb0twS0l2c3krRXM4L3orNEhCZUVWQXNaQkR1ejNWeHlabDVadVk3QitRK00vUE1Nd0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ZG5YL3djSkhmaHZlVFlCQW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31531</Words>
  <Characters>35014</Characters>
  <Lines>0</Lines>
  <Paragraphs>0</Paragraphs>
  <TotalTime>8</TotalTime>
  <ScaleCrop>false</ScaleCrop>
  <LinksUpToDate>false</LinksUpToDate>
  <CharactersWithSpaces>35320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2023-01-16T14:19:00Z</dcterms:created>
  <dc:creator>李文凯</dc:creator>
  <cp:lastModifiedBy>北方有佳人</cp:lastModifiedBy>
  <cp:lastPrinted>2024-02-26T05:06:00Z</cp:lastPrinted>
  <dcterms:modified xsi:type="dcterms:W3CDTF">2024-04-12T10:34:33Z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96B0A231EFB04407876524D31A668F95_13</vt:lpwstr>
  </property>
</Properties>
</file>