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auto"/>
          <w:sz w:val="36"/>
          <w:szCs w:val="36"/>
          <w:highlight w:val="none"/>
        </w:rPr>
      </w:pPr>
    </w:p>
    <w:p>
      <w:pPr>
        <w:tabs>
          <w:tab w:val="left" w:pos="6650"/>
        </w:tabs>
        <w:rPr>
          <w:rFonts w:eastAsia="仿宋_GB2312"/>
          <w:color w:val="auto"/>
          <w:sz w:val="36"/>
          <w:szCs w:val="36"/>
          <w:highlight w:val="none"/>
        </w:rPr>
      </w:pPr>
      <w:r>
        <w:rPr>
          <w:rFonts w:hint="eastAsia" w:eastAsia="仿宋_GB2312"/>
          <w:color w:val="auto"/>
          <w:sz w:val="36"/>
          <w:szCs w:val="36"/>
          <w:highlight w:val="none"/>
        </w:rPr>
        <w:tab/>
      </w:r>
    </w:p>
    <w:p>
      <w:pPr>
        <w:adjustRightInd w:val="0"/>
        <w:snapToGrid w:val="0"/>
        <w:jc w:val="center"/>
        <w:outlineLvl w:val="0"/>
        <w:rPr>
          <w:rFonts w:eastAsia="方正小标宋_GBK"/>
          <w:bCs/>
          <w:color w:val="auto"/>
          <w:sz w:val="72"/>
          <w:szCs w:val="72"/>
          <w:highlight w:val="none"/>
        </w:rPr>
      </w:pPr>
      <w:r>
        <w:rPr>
          <w:rFonts w:eastAsia="方正小标宋_GBK"/>
          <w:bCs/>
          <w:color w:val="auto"/>
          <w:sz w:val="72"/>
          <w:szCs w:val="72"/>
          <w:highlight w:val="none"/>
        </w:rPr>
        <w:t>建设项目环境影响报告表</w:t>
      </w:r>
    </w:p>
    <w:p>
      <w:pPr>
        <w:adjustRightInd w:val="0"/>
        <w:snapToGrid w:val="0"/>
        <w:spacing w:before="192" w:beforeLines="80"/>
        <w:jc w:val="center"/>
        <w:rPr>
          <w:rFonts w:eastAsia="楷体_GB2312"/>
          <w:bCs/>
          <w:color w:val="auto"/>
          <w:sz w:val="48"/>
          <w:szCs w:val="48"/>
          <w:highlight w:val="none"/>
        </w:rPr>
      </w:pPr>
      <w:r>
        <w:rPr>
          <w:rFonts w:eastAsia="楷体_GB2312"/>
          <w:bCs/>
          <w:color w:val="auto"/>
          <w:sz w:val="48"/>
          <w:szCs w:val="48"/>
          <w:highlight w:val="none"/>
        </w:rPr>
        <w:t>（污染影响类）</w:t>
      </w:r>
    </w:p>
    <w:p>
      <w:pPr>
        <w:adjustRightInd w:val="0"/>
        <w:snapToGrid w:val="0"/>
        <w:spacing w:line="288" w:lineRule="auto"/>
        <w:jc w:val="center"/>
        <w:outlineLvl w:val="0"/>
        <w:rPr>
          <w:rFonts w:hint="eastAsia" w:ascii="华文楷体" w:hAnsi="华文楷体" w:eastAsia="华文楷体" w:cs="华文楷体"/>
          <w:color w:val="auto"/>
          <w:kern w:val="44"/>
          <w:sz w:val="28"/>
          <w:szCs w:val="28"/>
          <w:highlight w:val="none"/>
          <w:lang w:eastAsia="zh-CN"/>
        </w:rPr>
      </w:pPr>
      <w:r>
        <w:rPr>
          <w:rFonts w:hint="eastAsia" w:ascii="华文楷体" w:hAnsi="华文楷体" w:eastAsia="华文楷体" w:cs="华文楷体"/>
          <w:color w:val="auto"/>
          <w:kern w:val="44"/>
          <w:sz w:val="28"/>
          <w:szCs w:val="28"/>
          <w:highlight w:val="none"/>
          <w:lang w:eastAsia="zh-CN"/>
        </w:rPr>
        <w:t>（</w:t>
      </w:r>
      <w:r>
        <w:rPr>
          <w:rFonts w:hint="eastAsia" w:ascii="华文楷体" w:hAnsi="华文楷体" w:eastAsia="华文楷体" w:cs="华文楷体"/>
          <w:color w:val="auto"/>
          <w:kern w:val="44"/>
          <w:sz w:val="28"/>
          <w:szCs w:val="28"/>
          <w:highlight w:val="none"/>
          <w:lang w:val="en-US" w:eastAsia="zh-CN"/>
        </w:rPr>
        <w:t>报批稿</w:t>
      </w:r>
      <w:r>
        <w:rPr>
          <w:rFonts w:hint="eastAsia" w:ascii="华文楷体" w:hAnsi="华文楷体" w:eastAsia="华文楷体" w:cs="华文楷体"/>
          <w:color w:val="auto"/>
          <w:kern w:val="44"/>
          <w:sz w:val="28"/>
          <w:szCs w:val="28"/>
          <w:highlight w:val="none"/>
          <w:lang w:eastAsia="zh-CN"/>
        </w:rPr>
        <w:t>）</w:t>
      </w:r>
    </w:p>
    <w:p>
      <w:pPr>
        <w:jc w:val="center"/>
        <w:rPr>
          <w:rFonts w:eastAsia="仿宋"/>
          <w:color w:val="auto"/>
          <w:sz w:val="52"/>
          <w:szCs w:val="52"/>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ind w:firstLine="1040"/>
        <w:rPr>
          <w:rFonts w:eastAsia="仿宋"/>
          <w:color w:val="auto"/>
          <w:sz w:val="44"/>
          <w:szCs w:val="44"/>
          <w:highlight w:val="none"/>
        </w:rPr>
      </w:pPr>
    </w:p>
    <w:p>
      <w:pPr>
        <w:adjustRightInd w:val="0"/>
        <w:snapToGrid w:val="0"/>
        <w:spacing w:line="288" w:lineRule="auto"/>
        <w:ind w:left="2518" w:leftChars="342" w:hanging="1800" w:hangingChars="500"/>
        <w:rPr>
          <w:rFonts w:eastAsia="仿宋_GB2312"/>
          <w:sz w:val="36"/>
          <w:szCs w:val="36"/>
          <w:u w:val="single"/>
        </w:rPr>
      </w:pPr>
      <w:r>
        <w:rPr>
          <w:rFonts w:hint="default" w:ascii="Times New Roman" w:hAnsi="Times New Roman" w:eastAsia="仿宋_GB2312" w:cs="Times New Roman"/>
          <w:sz w:val="36"/>
          <w:szCs w:val="36"/>
        </w:rPr>
        <w:t xml:space="preserve">项目名称： </w:t>
      </w:r>
      <w:r>
        <w:rPr>
          <w:rFonts w:hint="eastAsia" w:eastAsia="仿宋_GB2312"/>
          <w:sz w:val="36"/>
          <w:szCs w:val="36"/>
          <w:u w:val="single"/>
          <w:lang w:val="en-US" w:eastAsia="zh-CN"/>
        </w:rPr>
        <w:t>新疆康源新材料有限公司腐植酸盐有机肥生产</w:t>
      </w:r>
      <w:r>
        <w:rPr>
          <w:rFonts w:eastAsia="仿宋_GB2312"/>
          <w:sz w:val="36"/>
          <w:szCs w:val="36"/>
          <w:u w:val="single"/>
        </w:rPr>
        <w:t xml:space="preserve">项目       </w:t>
      </w:r>
    </w:p>
    <w:p>
      <w:pPr>
        <w:adjustRightInd w:val="0"/>
        <w:snapToGrid w:val="0"/>
        <w:spacing w:line="288" w:lineRule="auto"/>
        <w:ind w:firstLine="720" w:firstLineChars="200"/>
        <w:rPr>
          <w:rFonts w:eastAsia="仿宋_GB2312"/>
          <w:sz w:val="36"/>
          <w:szCs w:val="36"/>
          <w:u w:val="single"/>
        </w:rPr>
      </w:pPr>
      <w:r>
        <w:rPr>
          <w:rFonts w:eastAsia="仿宋_GB2312"/>
          <w:sz w:val="36"/>
          <w:szCs w:val="36"/>
        </w:rPr>
        <w:t>建设单位（盖章）：</w:t>
      </w:r>
      <w:r>
        <w:rPr>
          <w:rFonts w:hint="eastAsia" w:eastAsia="仿宋_GB2312"/>
          <w:sz w:val="36"/>
          <w:szCs w:val="36"/>
          <w:u w:val="single"/>
          <w:lang w:val="en-US" w:eastAsia="zh-CN"/>
        </w:rPr>
        <w:t>新疆康源新材料有限公司</w:t>
      </w:r>
      <w:r>
        <w:rPr>
          <w:rFonts w:eastAsia="仿宋_GB2312"/>
          <w:sz w:val="36"/>
          <w:szCs w:val="36"/>
          <w:u w:val="single"/>
        </w:rPr>
        <w:t xml:space="preserve">  </w:t>
      </w:r>
    </w:p>
    <w:p>
      <w:pPr>
        <w:adjustRightInd w:val="0"/>
        <w:snapToGrid w:val="0"/>
        <w:spacing w:line="288" w:lineRule="auto"/>
        <w:ind w:firstLine="720" w:firstLineChars="200"/>
        <w:rPr>
          <w:rFonts w:eastAsia="仿宋_GB2312"/>
          <w:sz w:val="36"/>
          <w:szCs w:val="36"/>
          <w:u w:val="single"/>
        </w:rPr>
      </w:pPr>
      <w:r>
        <w:rPr>
          <w:rFonts w:eastAsia="仿宋_GB2312"/>
          <w:sz w:val="36"/>
          <w:szCs w:val="36"/>
        </w:rPr>
        <w:t>编制日期：</w:t>
      </w:r>
      <w:r>
        <w:rPr>
          <w:rFonts w:eastAsia="仿宋_GB2312"/>
          <w:sz w:val="36"/>
          <w:szCs w:val="36"/>
          <w:u w:val="single"/>
        </w:rPr>
        <w:t xml:space="preserve">      </w:t>
      </w:r>
      <w:r>
        <w:rPr>
          <w:rFonts w:hint="eastAsia" w:eastAsia="仿宋_GB2312"/>
          <w:sz w:val="36"/>
          <w:szCs w:val="36"/>
          <w:u w:val="single"/>
        </w:rPr>
        <w:t>二〇二</w:t>
      </w:r>
      <w:r>
        <w:rPr>
          <w:rFonts w:hint="eastAsia" w:eastAsia="仿宋_GB2312"/>
          <w:sz w:val="36"/>
          <w:szCs w:val="36"/>
          <w:u w:val="single"/>
          <w:lang w:val="en-US" w:eastAsia="zh-CN"/>
        </w:rPr>
        <w:t>四</w:t>
      </w:r>
      <w:r>
        <w:rPr>
          <w:rFonts w:eastAsia="仿宋_GB2312"/>
          <w:sz w:val="36"/>
          <w:szCs w:val="36"/>
          <w:u w:val="single"/>
        </w:rPr>
        <w:t>年</w:t>
      </w:r>
      <w:r>
        <w:rPr>
          <w:rFonts w:hint="eastAsia" w:eastAsia="仿宋_GB2312"/>
          <w:sz w:val="36"/>
          <w:szCs w:val="36"/>
          <w:u w:val="single"/>
          <w:lang w:val="en-US" w:eastAsia="zh-CN"/>
        </w:rPr>
        <w:t>三</w:t>
      </w:r>
      <w:r>
        <w:rPr>
          <w:rFonts w:eastAsia="仿宋_GB2312"/>
          <w:sz w:val="36"/>
          <w:szCs w:val="36"/>
          <w:u w:val="single"/>
        </w:rPr>
        <w:t xml:space="preserve">月                </w:t>
      </w:r>
    </w:p>
    <w:p>
      <w:pPr>
        <w:adjustRightInd w:val="0"/>
        <w:snapToGrid w:val="0"/>
        <w:spacing w:line="288" w:lineRule="auto"/>
        <w:ind w:firstLine="1040"/>
        <w:rPr>
          <w:rFonts w:hint="default" w:ascii="Times New Roman" w:hAnsi="Times New Roman" w:eastAsia="仿宋_GB2312" w:cs="Times New Roman"/>
          <w:sz w:val="36"/>
          <w:szCs w:val="36"/>
        </w:rPr>
      </w:pPr>
    </w:p>
    <w:p>
      <w:pPr>
        <w:adjustRightInd w:val="0"/>
        <w:snapToGrid w:val="0"/>
        <w:spacing w:line="288" w:lineRule="auto"/>
        <w:ind w:firstLine="1040"/>
        <w:rPr>
          <w:rFonts w:eastAsia="仿宋_GB2312"/>
          <w:color w:val="auto"/>
          <w:sz w:val="36"/>
          <w:szCs w:val="36"/>
          <w:highlight w:val="none"/>
          <w:u w:val="single"/>
        </w:rPr>
      </w:pPr>
    </w:p>
    <w:p>
      <w:pPr>
        <w:adjustRightInd w:val="0"/>
        <w:snapToGrid w:val="0"/>
        <w:spacing w:line="288" w:lineRule="auto"/>
        <w:rPr>
          <w:rFonts w:eastAsia="仿宋_GB2312"/>
          <w:color w:val="auto"/>
          <w:sz w:val="36"/>
          <w:szCs w:val="36"/>
          <w:highlight w:val="none"/>
        </w:rPr>
      </w:pPr>
      <w:bookmarkStart w:id="0" w:name="_Hlk57884087"/>
    </w:p>
    <w:p>
      <w:pPr>
        <w:adjustRightInd w:val="0"/>
        <w:snapToGrid w:val="0"/>
        <w:spacing w:line="288" w:lineRule="auto"/>
        <w:rPr>
          <w:rFonts w:eastAsia="仿宋_GB2312"/>
          <w:color w:val="auto"/>
          <w:sz w:val="36"/>
          <w:szCs w:val="36"/>
          <w:highlight w:val="none"/>
        </w:rPr>
      </w:pPr>
    </w:p>
    <w:bookmarkEnd w:id="0"/>
    <w:p>
      <w:pPr>
        <w:adjustRightInd w:val="0"/>
        <w:snapToGrid w:val="0"/>
        <w:spacing w:line="288" w:lineRule="auto"/>
        <w:jc w:val="center"/>
        <w:rPr>
          <w:rFonts w:hint="default" w:ascii="黑体" w:hAnsi="黑体" w:eastAsia="黑体"/>
          <w:b/>
          <w:bCs/>
          <w:snapToGrid w:val="0"/>
          <w:color w:val="auto"/>
          <w:sz w:val="30"/>
          <w:szCs w:val="30"/>
          <w:highlight w:val="none"/>
          <w:lang w:val="en-US"/>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eastAsia="楷体_GB2312"/>
          <w:color w:val="auto"/>
          <w:sz w:val="36"/>
          <w:szCs w:val="36"/>
          <w:highlight w:val="none"/>
        </w:rPr>
        <w:t>中华人民共和国生态环境</w:t>
      </w:r>
      <w:r>
        <w:rPr>
          <w:rFonts w:hint="eastAsia" w:eastAsia="楷体_GB2312"/>
          <w:color w:val="auto"/>
          <w:sz w:val="36"/>
          <w:szCs w:val="36"/>
          <w:highlight w:val="none"/>
          <w:lang w:val="en-US" w:eastAsia="zh-CN"/>
        </w:rPr>
        <w:t>部制</w:t>
      </w:r>
    </w:p>
    <w:p>
      <w:pPr>
        <w:pStyle w:val="26"/>
        <w:spacing w:line="240" w:lineRule="auto"/>
        <w:jc w:val="center"/>
        <w:outlineLvl w:val="0"/>
        <w:rPr>
          <w:rFonts w:ascii="黑体" w:hAnsi="黑体" w:eastAsia="黑体"/>
          <w:b/>
          <w:bCs/>
          <w:snapToGrid w:val="0"/>
          <w:color w:val="auto"/>
          <w:sz w:val="30"/>
          <w:szCs w:val="30"/>
          <w:highlight w:val="none"/>
        </w:rPr>
      </w:pPr>
      <w:r>
        <w:rPr>
          <w:rFonts w:hint="eastAsia" w:ascii="黑体" w:hAnsi="黑体" w:eastAsia="黑体"/>
          <w:b/>
          <w:bCs/>
          <w:snapToGrid w:val="0"/>
          <w:color w:val="auto"/>
          <w:sz w:val="30"/>
          <w:szCs w:val="30"/>
          <w:highlight w:val="none"/>
        </w:rPr>
        <w:t>一、建设项目基本情况</w:t>
      </w:r>
    </w:p>
    <w:tbl>
      <w:tblPr>
        <w:tblStyle w:val="3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2"/>
        <w:gridCol w:w="1701"/>
        <w:gridCol w:w="2150"/>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建设项目名称</w:t>
            </w:r>
          </w:p>
        </w:tc>
        <w:tc>
          <w:tcPr>
            <w:tcW w:w="6498" w:type="dxa"/>
            <w:gridSpan w:val="3"/>
            <w:vAlign w:val="center"/>
          </w:tcPr>
          <w:p>
            <w:pPr>
              <w:keepNext w:val="0"/>
              <w:keepLines w:val="0"/>
              <w:widowControl/>
              <w:suppressLineNumbers w:val="0"/>
              <w:rPr>
                <w:color w:val="auto"/>
                <w:sz w:val="24"/>
                <w:highlight w:val="none"/>
              </w:rPr>
            </w:pPr>
            <w:r>
              <w:t>        </w:t>
            </w:r>
            <w:r>
              <w:rPr>
                <w:rFonts w:hint="eastAsia" w:ascii="宋体" w:hAnsi="宋体" w:eastAsia="宋体" w:cs="宋体"/>
                <w:color w:val="000000"/>
                <w:sz w:val="24"/>
                <w:szCs w:val="24"/>
              </w:rPr>
              <w:t>新疆康源新材料有限公司腐植酸盐有机肥生产项目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项目代码</w:t>
            </w:r>
          </w:p>
        </w:tc>
        <w:tc>
          <w:tcPr>
            <w:tcW w:w="6498" w:type="dxa"/>
            <w:gridSpan w:val="3"/>
            <w:vAlign w:val="center"/>
          </w:tcPr>
          <w:p>
            <w:pPr>
              <w:keepNext w:val="0"/>
              <w:keepLines w:val="0"/>
              <w:widowControl/>
              <w:suppressLineNumbers w:val="0"/>
              <w:jc w:val="center"/>
              <w:rPr>
                <w:color w:val="auto"/>
                <w:sz w:val="24"/>
                <w:highlight w:val="none"/>
              </w:rPr>
            </w:pPr>
            <w:r>
              <w:rPr>
                <w:rFonts w:hint="eastAsia" w:ascii="宋体" w:hAnsi="宋体" w:eastAsia="宋体" w:cs="宋体"/>
                <w:color w:val="000000"/>
                <w:sz w:val="24"/>
                <w:szCs w:val="24"/>
              </w:rPr>
              <w:t>2401-652325-20-01-575763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建设单位联系人</w:t>
            </w:r>
          </w:p>
        </w:tc>
        <w:tc>
          <w:tcPr>
            <w:tcW w:w="1701" w:type="dxa"/>
            <w:vAlign w:val="center"/>
          </w:tcPr>
          <w:p>
            <w:pPr>
              <w:adjustRightInd w:val="0"/>
              <w:snapToGrid w:val="0"/>
              <w:jc w:val="center"/>
              <w:rPr>
                <w:color w:val="auto"/>
                <w:sz w:val="24"/>
                <w:highlight w:val="none"/>
              </w:rPr>
            </w:pPr>
            <w:r>
              <w:rPr>
                <w:rFonts w:hint="eastAsia"/>
                <w:sz w:val="24"/>
                <w:lang w:val="en-US" w:eastAsia="zh-CN"/>
              </w:rPr>
              <w:t>吴庆华</w:t>
            </w:r>
          </w:p>
        </w:tc>
        <w:tc>
          <w:tcPr>
            <w:tcW w:w="2186" w:type="dxa"/>
            <w:vAlign w:val="center"/>
          </w:tcPr>
          <w:p>
            <w:pPr>
              <w:adjustRightInd w:val="0"/>
              <w:snapToGrid w:val="0"/>
              <w:jc w:val="center"/>
              <w:rPr>
                <w:color w:val="auto"/>
                <w:sz w:val="24"/>
                <w:highlight w:val="none"/>
              </w:rPr>
            </w:pPr>
            <w:r>
              <w:rPr>
                <w:sz w:val="24"/>
              </w:rPr>
              <w:t>联系方式</w:t>
            </w:r>
          </w:p>
        </w:tc>
        <w:tc>
          <w:tcPr>
            <w:tcW w:w="2611" w:type="dxa"/>
            <w:vAlign w:val="center"/>
          </w:tcPr>
          <w:p>
            <w:pPr>
              <w:adjustRightInd w:val="0"/>
              <w:snapToGrid w:val="0"/>
              <w:jc w:val="center"/>
              <w:rPr>
                <w:color w:val="auto"/>
                <w:sz w:val="24"/>
                <w:highlight w:val="none"/>
              </w:rPr>
            </w:pPr>
            <w:r>
              <w:rPr>
                <w:rFonts w:hint="eastAsia"/>
                <w:sz w:val="24"/>
                <w:highlight w:val="none"/>
              </w:rPr>
              <w:t>13630657757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建设地点</w:t>
            </w:r>
          </w:p>
        </w:tc>
        <w:tc>
          <w:tcPr>
            <w:tcW w:w="6498" w:type="dxa"/>
            <w:gridSpan w:val="3"/>
            <w:vAlign w:val="center"/>
          </w:tcPr>
          <w:p>
            <w:pPr>
              <w:adjustRightInd w:val="0"/>
              <w:snapToGrid w:val="0"/>
              <w:jc w:val="center"/>
              <w:rPr>
                <w:color w:val="auto"/>
                <w:sz w:val="24"/>
                <w:highlight w:val="none"/>
              </w:rPr>
            </w:pPr>
            <w:r>
              <w:rPr>
                <w:sz w:val="24"/>
                <w:u w:val="none"/>
              </w:rPr>
              <w:t>新疆维吾尔自治区</w:t>
            </w:r>
            <w:r>
              <w:rPr>
                <w:rFonts w:hint="eastAsia"/>
                <w:sz w:val="24"/>
                <w:u w:val="none"/>
                <w:lang w:val="en-US" w:eastAsia="zh-CN"/>
              </w:rPr>
              <w:t>昌吉回族自治州奇台县喇嘛湖梁工业园安宁路与兴和路交汇处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地理坐标</w:t>
            </w:r>
          </w:p>
        </w:tc>
        <w:tc>
          <w:tcPr>
            <w:tcW w:w="6498" w:type="dxa"/>
            <w:gridSpan w:val="3"/>
            <w:vAlign w:val="center"/>
          </w:tcPr>
          <w:p>
            <w:pPr>
              <w:jc w:val="center"/>
              <w:rPr>
                <w:color w:val="auto"/>
                <w:sz w:val="24"/>
                <w:highlight w:val="none"/>
              </w:rPr>
            </w:pPr>
            <w:r>
              <w:rPr>
                <w:sz w:val="24"/>
              </w:rPr>
              <w:t>（</w:t>
            </w:r>
            <w:r>
              <w:rPr>
                <w:sz w:val="24"/>
                <w:u w:val="single"/>
              </w:rPr>
              <w:t xml:space="preserve"> 8</w:t>
            </w:r>
            <w:r>
              <w:rPr>
                <w:rFonts w:hint="eastAsia"/>
                <w:sz w:val="24"/>
                <w:u w:val="single"/>
                <w:lang w:val="en-US" w:eastAsia="zh-CN"/>
              </w:rPr>
              <w:t>9</w:t>
            </w:r>
            <w:r>
              <w:rPr>
                <w:sz w:val="24"/>
                <w:u w:val="single"/>
              </w:rPr>
              <w:t xml:space="preserve"> </w:t>
            </w:r>
            <w:r>
              <w:rPr>
                <w:sz w:val="24"/>
              </w:rPr>
              <w:t>度</w:t>
            </w:r>
            <w:r>
              <w:rPr>
                <w:sz w:val="24"/>
                <w:u w:val="single"/>
              </w:rPr>
              <w:t xml:space="preserve"> </w:t>
            </w:r>
            <w:r>
              <w:rPr>
                <w:rFonts w:hint="eastAsia"/>
                <w:sz w:val="24"/>
                <w:u w:val="single"/>
                <w:lang w:val="en-US" w:eastAsia="zh-CN"/>
              </w:rPr>
              <w:t>39</w:t>
            </w:r>
            <w:r>
              <w:rPr>
                <w:sz w:val="24"/>
                <w:u w:val="single"/>
              </w:rPr>
              <w:t xml:space="preserve"> </w:t>
            </w:r>
            <w:r>
              <w:rPr>
                <w:sz w:val="24"/>
              </w:rPr>
              <w:t>分</w:t>
            </w:r>
            <w:r>
              <w:rPr>
                <w:sz w:val="24"/>
                <w:u w:val="single"/>
              </w:rPr>
              <w:t xml:space="preserve"> </w:t>
            </w:r>
            <w:r>
              <w:rPr>
                <w:rFonts w:hint="eastAsia"/>
                <w:sz w:val="24"/>
                <w:u w:val="single"/>
                <w:lang w:val="en-US" w:eastAsia="zh-CN"/>
              </w:rPr>
              <w:t>11.756</w:t>
            </w:r>
            <w:r>
              <w:rPr>
                <w:sz w:val="24"/>
                <w:u w:val="single"/>
              </w:rPr>
              <w:t xml:space="preserve"> </w:t>
            </w:r>
            <w:r>
              <w:rPr>
                <w:sz w:val="24"/>
              </w:rPr>
              <w:t>秒，</w:t>
            </w:r>
            <w:r>
              <w:rPr>
                <w:sz w:val="24"/>
                <w:u w:val="single"/>
              </w:rPr>
              <w:t xml:space="preserve"> 44 </w:t>
            </w:r>
            <w:r>
              <w:rPr>
                <w:sz w:val="24"/>
              </w:rPr>
              <w:t>度</w:t>
            </w:r>
            <w:r>
              <w:rPr>
                <w:sz w:val="24"/>
                <w:u w:val="single"/>
              </w:rPr>
              <w:t xml:space="preserve"> </w:t>
            </w:r>
            <w:r>
              <w:rPr>
                <w:rFonts w:hint="eastAsia"/>
                <w:sz w:val="24"/>
                <w:u w:val="single"/>
                <w:lang w:val="en-US" w:eastAsia="zh-CN"/>
              </w:rPr>
              <w:t>03</w:t>
            </w:r>
            <w:r>
              <w:rPr>
                <w:sz w:val="24"/>
                <w:u w:val="single"/>
              </w:rPr>
              <w:t xml:space="preserve"> </w:t>
            </w:r>
            <w:r>
              <w:rPr>
                <w:sz w:val="24"/>
              </w:rPr>
              <w:t>分</w:t>
            </w:r>
            <w:r>
              <w:rPr>
                <w:sz w:val="24"/>
                <w:u w:val="single"/>
              </w:rPr>
              <w:t xml:space="preserve"> </w:t>
            </w:r>
            <w:r>
              <w:rPr>
                <w:rFonts w:hint="eastAsia"/>
                <w:sz w:val="24"/>
                <w:u w:val="single"/>
                <w:lang w:val="en-US" w:eastAsia="zh-CN"/>
              </w:rPr>
              <w:t>56.503</w:t>
            </w:r>
            <w:r>
              <w:rPr>
                <w:sz w:val="24"/>
                <w:u w:val="single"/>
              </w:rPr>
              <w:t xml:space="preserve"> </w:t>
            </w:r>
            <w:r>
              <w:rPr>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国民经济</w:t>
            </w:r>
          </w:p>
          <w:p>
            <w:pPr>
              <w:adjustRightInd w:val="0"/>
              <w:snapToGrid w:val="0"/>
              <w:jc w:val="center"/>
              <w:rPr>
                <w:color w:val="auto"/>
                <w:sz w:val="24"/>
                <w:highlight w:val="none"/>
              </w:rPr>
            </w:pPr>
            <w:r>
              <w:rPr>
                <w:color w:val="auto"/>
                <w:sz w:val="24"/>
                <w:highlight w:val="none"/>
              </w:rPr>
              <w:t>行业类别</w:t>
            </w:r>
          </w:p>
        </w:tc>
        <w:tc>
          <w:tcPr>
            <w:tcW w:w="1701" w:type="dxa"/>
            <w:vAlign w:val="center"/>
          </w:tcPr>
          <w:p>
            <w:pPr>
              <w:adjustRightInd w:val="0"/>
              <w:snapToGrid w:val="0"/>
              <w:jc w:val="center"/>
              <w:rPr>
                <w:rFonts w:hint="eastAsia" w:eastAsia="宋体"/>
                <w:sz w:val="24"/>
                <w:lang w:eastAsia="zh-CN"/>
              </w:rPr>
            </w:pPr>
            <w:r>
              <w:rPr>
                <w:sz w:val="24"/>
              </w:rPr>
              <w:t>C262</w:t>
            </w:r>
            <w:r>
              <w:rPr>
                <w:rFonts w:hint="eastAsia"/>
                <w:sz w:val="24"/>
                <w:lang w:val="en-US" w:eastAsia="zh-CN"/>
              </w:rPr>
              <w:t>9</w:t>
            </w:r>
          </w:p>
          <w:p>
            <w:pPr>
              <w:adjustRightInd w:val="0"/>
              <w:snapToGrid w:val="0"/>
              <w:jc w:val="center"/>
              <w:rPr>
                <w:color w:val="auto"/>
                <w:sz w:val="24"/>
                <w:highlight w:val="none"/>
              </w:rPr>
            </w:pPr>
            <w:r>
              <w:rPr>
                <w:rFonts w:hint="eastAsia"/>
                <w:sz w:val="24"/>
                <w:lang w:val="en-US" w:eastAsia="zh-CN"/>
              </w:rPr>
              <w:t>其他肥料</w:t>
            </w:r>
            <w:r>
              <w:rPr>
                <w:sz w:val="24"/>
              </w:rPr>
              <w:t>制造</w:t>
            </w:r>
          </w:p>
        </w:tc>
        <w:tc>
          <w:tcPr>
            <w:tcW w:w="2186" w:type="dxa"/>
            <w:vAlign w:val="center"/>
          </w:tcPr>
          <w:p>
            <w:pPr>
              <w:adjustRightInd w:val="0"/>
              <w:snapToGrid w:val="0"/>
              <w:jc w:val="center"/>
              <w:rPr>
                <w:color w:val="auto"/>
                <w:sz w:val="24"/>
                <w:highlight w:val="none"/>
              </w:rPr>
            </w:pPr>
            <w:r>
              <w:rPr>
                <w:sz w:val="24"/>
              </w:rPr>
              <w:t>建设项目行业类别</w:t>
            </w:r>
          </w:p>
        </w:tc>
        <w:tc>
          <w:tcPr>
            <w:tcW w:w="2611" w:type="dxa"/>
            <w:vAlign w:val="center"/>
          </w:tcPr>
          <w:p>
            <w:pPr>
              <w:adjustRightInd w:val="0"/>
              <w:snapToGrid w:val="0"/>
              <w:jc w:val="center"/>
              <w:rPr>
                <w:color w:val="auto"/>
                <w:sz w:val="24"/>
                <w:highlight w:val="none"/>
              </w:rPr>
            </w:pPr>
            <w:r>
              <w:rPr>
                <w:rFonts w:hint="eastAsia"/>
                <w:sz w:val="24"/>
                <w:lang w:val="en-US" w:eastAsia="zh-CN"/>
              </w:rPr>
              <w:t>二十三、化学原料和化学制品制造业</w:t>
            </w:r>
            <w:r>
              <w:rPr>
                <w:sz w:val="24"/>
              </w:rPr>
              <w:t>45.肥料制造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7"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建设性质</w:t>
            </w:r>
          </w:p>
        </w:tc>
        <w:tc>
          <w:tcPr>
            <w:tcW w:w="1701" w:type="dxa"/>
            <w:vAlign w:val="center"/>
          </w:tcPr>
          <w:p>
            <w:pPr>
              <w:jc w:val="left"/>
              <w:rPr>
                <w:sz w:val="24"/>
              </w:rPr>
            </w:pPr>
            <w:r>
              <w:rPr>
                <w:rFonts w:hint="eastAsia"/>
                <w:sz w:val="24"/>
                <w:lang w:eastAsia="zh-CN"/>
              </w:rPr>
              <w:t>☑</w:t>
            </w:r>
            <w:r>
              <w:rPr>
                <w:sz w:val="24"/>
              </w:rPr>
              <w:t>新建（迁建）</w:t>
            </w:r>
          </w:p>
          <w:p>
            <w:pPr>
              <w:jc w:val="left"/>
              <w:rPr>
                <w:sz w:val="24"/>
              </w:rPr>
            </w:pPr>
            <w:r>
              <w:rPr>
                <w:rFonts w:hint="eastAsia"/>
                <w:sz w:val="24"/>
                <w:lang w:eastAsia="zh-CN"/>
              </w:rPr>
              <w:t>□</w:t>
            </w:r>
            <w:r>
              <w:rPr>
                <w:sz w:val="24"/>
              </w:rPr>
              <w:t>改建</w:t>
            </w:r>
          </w:p>
          <w:p>
            <w:pPr>
              <w:jc w:val="left"/>
              <w:rPr>
                <w:sz w:val="24"/>
              </w:rPr>
            </w:pPr>
            <w:r>
              <w:rPr>
                <w:rFonts w:hint="eastAsia"/>
                <w:sz w:val="24"/>
                <w:lang w:eastAsia="zh-CN"/>
              </w:rPr>
              <w:t>□</w:t>
            </w:r>
            <w:r>
              <w:rPr>
                <w:sz w:val="24"/>
              </w:rPr>
              <w:t>扩建</w:t>
            </w:r>
          </w:p>
          <w:p>
            <w:pPr>
              <w:jc w:val="left"/>
              <w:rPr>
                <w:color w:val="auto"/>
                <w:sz w:val="24"/>
                <w:highlight w:val="none"/>
              </w:rPr>
            </w:pPr>
            <w:r>
              <w:rPr>
                <w:rFonts w:hint="eastAsia"/>
                <w:sz w:val="24"/>
                <w:lang w:eastAsia="zh-CN"/>
              </w:rPr>
              <w:t>□</w:t>
            </w:r>
            <w:r>
              <w:rPr>
                <w:sz w:val="24"/>
              </w:rPr>
              <w:t>技术改造</w:t>
            </w:r>
          </w:p>
        </w:tc>
        <w:tc>
          <w:tcPr>
            <w:tcW w:w="2186" w:type="dxa"/>
            <w:vAlign w:val="center"/>
          </w:tcPr>
          <w:p>
            <w:pPr>
              <w:adjustRightInd w:val="0"/>
              <w:snapToGrid w:val="0"/>
              <w:jc w:val="center"/>
              <w:rPr>
                <w:sz w:val="24"/>
              </w:rPr>
            </w:pPr>
            <w:r>
              <w:rPr>
                <w:sz w:val="24"/>
              </w:rPr>
              <w:t>建设项目</w:t>
            </w:r>
          </w:p>
          <w:p>
            <w:pPr>
              <w:adjustRightInd w:val="0"/>
              <w:snapToGrid w:val="0"/>
              <w:jc w:val="center"/>
              <w:rPr>
                <w:color w:val="auto"/>
                <w:sz w:val="24"/>
                <w:highlight w:val="none"/>
              </w:rPr>
            </w:pPr>
            <w:r>
              <w:rPr>
                <w:sz w:val="24"/>
              </w:rPr>
              <w:t>申报情形</w:t>
            </w:r>
          </w:p>
        </w:tc>
        <w:tc>
          <w:tcPr>
            <w:tcW w:w="2611" w:type="dxa"/>
            <w:vAlign w:val="center"/>
          </w:tcPr>
          <w:p>
            <w:pPr>
              <w:jc w:val="left"/>
              <w:rPr>
                <w:sz w:val="24"/>
              </w:rPr>
            </w:pPr>
            <w:r>
              <w:rPr>
                <w:rFonts w:hint="default" w:ascii="Times New Roman" w:hAnsi="Times New Roman" w:cs="Times New Roman"/>
                <w:sz w:val="24"/>
                <w:lang w:eastAsia="zh-CN"/>
              </w:rPr>
              <w:t>☑</w:t>
            </w:r>
            <w:r>
              <w:rPr>
                <w:sz w:val="24"/>
              </w:rPr>
              <w:t xml:space="preserve">首次申报项目             </w:t>
            </w:r>
          </w:p>
          <w:p>
            <w:pPr>
              <w:jc w:val="left"/>
              <w:rPr>
                <w:sz w:val="24"/>
              </w:rPr>
            </w:pPr>
            <w:r>
              <w:rPr>
                <w:sz w:val="24"/>
              </w:rPr>
              <w:t>□不予批准后再次申报项目</w:t>
            </w:r>
          </w:p>
          <w:p>
            <w:pPr>
              <w:jc w:val="left"/>
              <w:rPr>
                <w:sz w:val="24"/>
              </w:rPr>
            </w:pPr>
            <w:r>
              <w:rPr>
                <w:sz w:val="24"/>
              </w:rPr>
              <w:t xml:space="preserve">□超五年重新审核项目     </w:t>
            </w:r>
          </w:p>
          <w:p>
            <w:pPr>
              <w:jc w:val="left"/>
              <w:rPr>
                <w:color w:val="auto"/>
                <w:sz w:val="24"/>
                <w:highlight w:val="none"/>
              </w:rPr>
            </w:pPr>
            <w:r>
              <w:rPr>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项目审批（核准/</w:t>
            </w:r>
          </w:p>
          <w:p>
            <w:pPr>
              <w:adjustRightInd w:val="0"/>
              <w:snapToGrid w:val="0"/>
              <w:jc w:val="center"/>
              <w:rPr>
                <w:color w:val="auto"/>
                <w:sz w:val="24"/>
                <w:highlight w:val="none"/>
              </w:rPr>
            </w:pPr>
            <w:r>
              <w:rPr>
                <w:color w:val="auto"/>
                <w:sz w:val="24"/>
                <w:highlight w:val="none"/>
              </w:rPr>
              <w:t>备案）部门（选填）</w:t>
            </w:r>
          </w:p>
        </w:tc>
        <w:tc>
          <w:tcPr>
            <w:tcW w:w="1701" w:type="dxa"/>
            <w:vAlign w:val="center"/>
          </w:tcPr>
          <w:p>
            <w:pPr>
              <w:adjustRightInd w:val="0"/>
              <w:snapToGrid w:val="0"/>
              <w:jc w:val="center"/>
              <w:rPr>
                <w:color w:val="auto"/>
                <w:sz w:val="24"/>
                <w:highlight w:val="none"/>
              </w:rPr>
            </w:pPr>
            <w:r>
              <w:rPr>
                <w:rFonts w:hint="eastAsia"/>
                <w:sz w:val="24"/>
                <w:lang w:val="en-US" w:eastAsia="zh-CN"/>
              </w:rPr>
              <w:t xml:space="preserve">奇台县发展和改革委员会 </w:t>
            </w:r>
          </w:p>
        </w:tc>
        <w:tc>
          <w:tcPr>
            <w:tcW w:w="2186" w:type="dxa"/>
            <w:vAlign w:val="center"/>
          </w:tcPr>
          <w:p>
            <w:pPr>
              <w:adjustRightInd w:val="0"/>
              <w:snapToGrid w:val="0"/>
              <w:jc w:val="center"/>
              <w:rPr>
                <w:sz w:val="24"/>
              </w:rPr>
            </w:pPr>
            <w:r>
              <w:rPr>
                <w:sz w:val="24"/>
              </w:rPr>
              <w:t>项目审批（核准/</w:t>
            </w:r>
          </w:p>
          <w:p>
            <w:pPr>
              <w:adjustRightInd w:val="0"/>
              <w:snapToGrid w:val="0"/>
              <w:jc w:val="center"/>
              <w:rPr>
                <w:color w:val="auto"/>
                <w:sz w:val="24"/>
                <w:highlight w:val="none"/>
              </w:rPr>
            </w:pPr>
            <w:r>
              <w:rPr>
                <w:sz w:val="24"/>
              </w:rPr>
              <w:t>备案）文号（选填）</w:t>
            </w:r>
          </w:p>
        </w:tc>
        <w:tc>
          <w:tcPr>
            <w:tcW w:w="2611" w:type="dxa"/>
            <w:vAlign w:val="center"/>
          </w:tcPr>
          <w:p>
            <w:pPr>
              <w:adjustRightInd w:val="0"/>
              <w:snapToGrid w:val="0"/>
              <w:jc w:val="both"/>
              <w:rPr>
                <w:rFonts w:hint="default" w:eastAsia="宋体"/>
                <w:color w:val="auto"/>
                <w:sz w:val="24"/>
                <w:highlight w:val="none"/>
                <w:lang w:val="en-US" w:eastAsia="zh-CN"/>
              </w:rPr>
            </w:pPr>
            <w:r>
              <w:rPr>
                <w:rFonts w:hint="eastAsia"/>
                <w:sz w:val="24"/>
                <w:highlight w:val="none"/>
                <w:lang w:val="en-US" w:eastAsia="zh-CN"/>
              </w:rPr>
              <w:t>2401231123652300000166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总投资（万元）</w:t>
            </w:r>
          </w:p>
        </w:tc>
        <w:tc>
          <w:tcPr>
            <w:tcW w:w="1701" w:type="dxa"/>
            <w:vAlign w:val="center"/>
          </w:tcPr>
          <w:p>
            <w:pPr>
              <w:adjustRightInd w:val="0"/>
              <w:snapToGrid w:val="0"/>
              <w:jc w:val="center"/>
              <w:rPr>
                <w:color w:val="auto"/>
                <w:sz w:val="24"/>
                <w:highlight w:val="none"/>
              </w:rPr>
            </w:pPr>
            <w:r>
              <w:rPr>
                <w:rFonts w:hint="eastAsia"/>
                <w:sz w:val="24"/>
                <w:lang w:val="en-US" w:eastAsia="zh-CN"/>
              </w:rPr>
              <w:t>7000</w:t>
            </w:r>
          </w:p>
        </w:tc>
        <w:tc>
          <w:tcPr>
            <w:tcW w:w="2186" w:type="dxa"/>
            <w:tcMar>
              <w:top w:w="16" w:type="dxa"/>
              <w:left w:w="16" w:type="dxa"/>
              <w:right w:w="16" w:type="dxa"/>
            </w:tcMar>
            <w:vAlign w:val="center"/>
          </w:tcPr>
          <w:p>
            <w:pPr>
              <w:adjustRightInd w:val="0"/>
              <w:snapToGrid w:val="0"/>
              <w:jc w:val="center"/>
              <w:rPr>
                <w:color w:val="auto"/>
                <w:sz w:val="24"/>
                <w:highlight w:val="none"/>
              </w:rPr>
            </w:pPr>
            <w:r>
              <w:rPr>
                <w:sz w:val="24"/>
              </w:rPr>
              <w:t>环保投资（万元）</w:t>
            </w:r>
          </w:p>
        </w:tc>
        <w:tc>
          <w:tcPr>
            <w:tcW w:w="2611"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22.5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1206" w:type="pct"/>
            <w:tcMar>
              <w:top w:w="16" w:type="dxa"/>
              <w:left w:w="16" w:type="dxa"/>
              <w:right w:w="16" w:type="dxa"/>
            </w:tcMar>
            <w:vAlign w:val="center"/>
          </w:tcPr>
          <w:p>
            <w:pPr>
              <w:adjustRightInd w:val="0"/>
              <w:snapToGrid w:val="0"/>
              <w:jc w:val="center"/>
              <w:rPr>
                <w:color w:val="auto"/>
                <w:spacing w:val="-6"/>
                <w:sz w:val="24"/>
                <w:highlight w:val="none"/>
              </w:rPr>
            </w:pPr>
            <w:r>
              <w:rPr>
                <w:color w:val="auto"/>
                <w:spacing w:val="-6"/>
                <w:sz w:val="24"/>
                <w:highlight w:val="none"/>
              </w:rPr>
              <w:t>环保投资占比（%）</w:t>
            </w:r>
          </w:p>
        </w:tc>
        <w:tc>
          <w:tcPr>
            <w:tcW w:w="1701" w:type="dxa"/>
            <w:vAlign w:val="center"/>
          </w:tcPr>
          <w:p>
            <w:pPr>
              <w:adjustRightInd w:val="0"/>
              <w:snapToGrid w:val="0"/>
              <w:jc w:val="center"/>
              <w:rPr>
                <w:rFonts w:hint="default" w:eastAsia="宋体"/>
                <w:color w:val="auto"/>
                <w:spacing w:val="-6"/>
                <w:sz w:val="24"/>
                <w:highlight w:val="none"/>
                <w:lang w:val="en-US" w:eastAsia="zh-CN"/>
              </w:rPr>
            </w:pPr>
            <w:r>
              <w:rPr>
                <w:rFonts w:hint="eastAsia"/>
                <w:color w:val="auto"/>
                <w:spacing w:val="-6"/>
                <w:sz w:val="24"/>
                <w:highlight w:val="none"/>
                <w:lang w:val="en-US" w:eastAsia="zh-CN"/>
              </w:rPr>
              <w:t>0.3</w:t>
            </w:r>
          </w:p>
        </w:tc>
        <w:tc>
          <w:tcPr>
            <w:tcW w:w="2186" w:type="dxa"/>
            <w:tcMar>
              <w:top w:w="16" w:type="dxa"/>
              <w:left w:w="16" w:type="dxa"/>
              <w:right w:w="16" w:type="dxa"/>
            </w:tcMar>
            <w:vAlign w:val="center"/>
          </w:tcPr>
          <w:p>
            <w:pPr>
              <w:adjustRightInd w:val="0"/>
              <w:snapToGrid w:val="0"/>
              <w:jc w:val="center"/>
              <w:rPr>
                <w:color w:val="auto"/>
                <w:sz w:val="24"/>
                <w:highlight w:val="none"/>
              </w:rPr>
            </w:pPr>
            <w:r>
              <w:rPr>
                <w:sz w:val="24"/>
              </w:rPr>
              <w:t>施工工期</w:t>
            </w:r>
          </w:p>
        </w:tc>
        <w:tc>
          <w:tcPr>
            <w:tcW w:w="2611"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18个月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206" w:type="pct"/>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是否开工建设</w:t>
            </w:r>
          </w:p>
        </w:tc>
        <w:tc>
          <w:tcPr>
            <w:tcW w:w="1701" w:type="dxa"/>
            <w:vAlign w:val="center"/>
          </w:tcPr>
          <w:p>
            <w:pPr>
              <w:adjustRightInd w:val="0"/>
              <w:snapToGrid w:val="0"/>
              <w:rPr>
                <w:sz w:val="24"/>
              </w:rPr>
            </w:pPr>
            <w:r>
              <w:rPr>
                <w:rFonts w:hint="eastAsia"/>
                <w:sz w:val="24"/>
                <w:lang w:eastAsia="zh-CN"/>
              </w:rPr>
              <w:t>☑</w:t>
            </w:r>
            <w:r>
              <w:rPr>
                <w:sz w:val="24"/>
              </w:rPr>
              <w:t>否</w:t>
            </w:r>
          </w:p>
          <w:p>
            <w:pPr>
              <w:adjustRightInd w:val="0"/>
              <w:snapToGrid w:val="0"/>
              <w:rPr>
                <w:color w:val="auto"/>
                <w:sz w:val="24"/>
                <w:highlight w:val="none"/>
              </w:rPr>
            </w:pPr>
            <w:r>
              <w:rPr>
                <w:sz w:val="24"/>
              </w:rPr>
              <w:t>□是：</w:t>
            </w:r>
            <w:r>
              <w:rPr>
                <w:sz w:val="24"/>
                <w:u w:val="single"/>
              </w:rPr>
              <w:t xml:space="preserve">             </w:t>
            </w:r>
          </w:p>
        </w:tc>
        <w:tc>
          <w:tcPr>
            <w:tcW w:w="2186" w:type="dxa"/>
            <w:tcMar>
              <w:top w:w="16" w:type="dxa"/>
              <w:left w:w="16" w:type="dxa"/>
              <w:right w:w="16" w:type="dxa"/>
            </w:tcMar>
            <w:vAlign w:val="center"/>
          </w:tcPr>
          <w:p>
            <w:pPr>
              <w:adjustRightInd w:val="0"/>
              <w:snapToGrid w:val="0"/>
              <w:jc w:val="center"/>
              <w:rPr>
                <w:color w:val="000000"/>
                <w:spacing w:val="-6"/>
                <w:sz w:val="24"/>
              </w:rPr>
            </w:pPr>
            <w:r>
              <w:rPr>
                <w:color w:val="000000"/>
                <w:spacing w:val="-6"/>
                <w:sz w:val="24"/>
              </w:rPr>
              <w:t>用地（用海）</w:t>
            </w:r>
          </w:p>
          <w:p>
            <w:pPr>
              <w:adjustRightInd w:val="0"/>
              <w:snapToGrid w:val="0"/>
              <w:jc w:val="center"/>
              <w:rPr>
                <w:color w:val="auto"/>
                <w:sz w:val="24"/>
                <w:highlight w:val="none"/>
              </w:rPr>
            </w:pPr>
            <w:r>
              <w:rPr>
                <w:color w:val="000000"/>
                <w:spacing w:val="-6"/>
                <w:sz w:val="24"/>
              </w:rPr>
              <w:t>面积（m</w:t>
            </w:r>
            <w:r>
              <w:rPr>
                <w:color w:val="000000"/>
                <w:spacing w:val="-6"/>
                <w:sz w:val="24"/>
                <w:vertAlign w:val="superscript"/>
              </w:rPr>
              <w:t>2</w:t>
            </w:r>
            <w:r>
              <w:rPr>
                <w:color w:val="000000"/>
                <w:spacing w:val="-6"/>
                <w:sz w:val="24"/>
              </w:rPr>
              <w:t>）</w:t>
            </w:r>
          </w:p>
        </w:tc>
        <w:tc>
          <w:tcPr>
            <w:tcW w:w="2611" w:type="dxa"/>
            <w:vAlign w:val="center"/>
          </w:tcPr>
          <w:p>
            <w:pPr>
              <w:adjustRightInd w:val="0"/>
              <w:snapToGrid w:val="0"/>
              <w:jc w:val="center"/>
              <w:rPr>
                <w:rFonts w:hint="default" w:eastAsia="宋体"/>
                <w:color w:val="auto"/>
                <w:sz w:val="24"/>
                <w:highlight w:val="none"/>
                <w:lang w:val="en-US" w:eastAsia="zh-CN"/>
              </w:rPr>
            </w:pPr>
            <w:r>
              <w:rPr>
                <w:rFonts w:hint="eastAsia"/>
                <w:color w:val="000000"/>
                <w:sz w:val="24"/>
                <w:lang w:val="en-US" w:eastAsia="zh-CN"/>
              </w:rPr>
              <w:t>66831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06" w:type="pct"/>
            <w:vAlign w:val="center"/>
          </w:tcPr>
          <w:p>
            <w:pPr>
              <w:autoSpaceDE w:val="0"/>
              <w:autoSpaceDN w:val="0"/>
              <w:adjustRightInd w:val="0"/>
              <w:snapToGrid w:val="0"/>
              <w:jc w:val="center"/>
              <w:rPr>
                <w:color w:val="auto"/>
                <w:kern w:val="0"/>
                <w:sz w:val="24"/>
                <w:highlight w:val="none"/>
              </w:rPr>
            </w:pPr>
            <w:r>
              <w:rPr>
                <w:color w:val="auto"/>
                <w:kern w:val="0"/>
                <w:sz w:val="24"/>
                <w:highlight w:val="none"/>
              </w:rPr>
              <w:t>专项评价设置情况</w:t>
            </w:r>
          </w:p>
        </w:tc>
        <w:tc>
          <w:tcPr>
            <w:tcW w:w="6498" w:type="dxa"/>
            <w:gridSpan w:val="3"/>
            <w:vAlign w:val="center"/>
          </w:tcPr>
          <w:p>
            <w:pPr>
              <w:autoSpaceDE w:val="0"/>
              <w:autoSpaceDN w:val="0"/>
              <w:adjustRightInd w:val="0"/>
              <w:snapToGrid w:val="0"/>
              <w:jc w:val="center"/>
              <w:rPr>
                <w:color w:val="auto"/>
                <w:kern w:val="0"/>
                <w:sz w:val="24"/>
                <w:highlight w:val="none"/>
              </w:rPr>
            </w:pPr>
            <w:r>
              <w:rPr>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206" w:type="pct"/>
            <w:vAlign w:val="center"/>
          </w:tcPr>
          <w:p>
            <w:pPr>
              <w:autoSpaceDE w:val="0"/>
              <w:autoSpaceDN w:val="0"/>
              <w:adjustRightInd w:val="0"/>
              <w:snapToGrid w:val="0"/>
              <w:jc w:val="center"/>
              <w:rPr>
                <w:color w:val="auto"/>
                <w:kern w:val="0"/>
                <w:sz w:val="24"/>
                <w:highlight w:val="none"/>
              </w:rPr>
            </w:pPr>
            <w:r>
              <w:rPr>
                <w:color w:val="auto"/>
                <w:sz w:val="24"/>
                <w:highlight w:val="none"/>
              </w:rPr>
              <w:t>规划情况</w:t>
            </w:r>
          </w:p>
        </w:tc>
        <w:tc>
          <w:tcPr>
            <w:tcW w:w="6498" w:type="dxa"/>
            <w:gridSpan w:val="3"/>
            <w:vAlign w:val="center"/>
          </w:tcPr>
          <w:p>
            <w:pPr>
              <w:keepNext w:val="0"/>
              <w:keepLines w:val="0"/>
              <w:widowControl/>
              <w:suppressLineNumbers w:val="0"/>
              <w:spacing w:line="360" w:lineRule="auto"/>
              <w:ind w:firstLine="480" w:firstLineChars="200"/>
              <w:jc w:val="left"/>
              <w:rPr>
                <w:rFonts w:hint="eastAsia"/>
                <w:lang w:val="en-US" w:eastAsia="zh-CN"/>
              </w:rPr>
            </w:pPr>
            <w:r>
              <w:rPr>
                <w:rFonts w:hint="eastAsia" w:ascii="TimesNewRomanPSMT" w:hAnsi="TimesNewRomanPSMT" w:eastAsia="TimesNewRomanPSMT" w:cs="TimesNewRomanPSMT"/>
                <w:b w:val="0"/>
                <w:bCs w:val="0"/>
                <w:color w:val="000000"/>
                <w:kern w:val="0"/>
                <w:sz w:val="24"/>
                <w:szCs w:val="24"/>
                <w:lang w:val="en-US" w:eastAsia="zh-CN" w:bidi="ar"/>
              </w:rPr>
              <w:t>2020年，奇台产业园区管理委员会对《奇台县喇嘛湖梁新型工业产品加工园区总体规划（2011-2030）》进行局部调整，规划名称调整为《奇台县喇嘛湖梁工业园区总体规划（2020-2030年）-局部调整》，基准年2020年，规划期限调整为2020-2030年，规划范围保持不变，重点调整内容为产业规划和土地利用规划。2021年5月15日，由奇台县人民政府出具《关于将奇台县喇嘛湖梁工业园区设立为县级园区的批复》（奇政函〔2021〕34号）批准设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06" w:type="pct"/>
            <w:vAlign w:val="center"/>
          </w:tcPr>
          <w:p>
            <w:pPr>
              <w:adjustRightInd w:val="0"/>
              <w:snapToGrid w:val="0"/>
              <w:jc w:val="center"/>
              <w:rPr>
                <w:color w:val="auto"/>
                <w:kern w:val="0"/>
                <w:sz w:val="24"/>
                <w:highlight w:val="none"/>
              </w:rPr>
            </w:pPr>
            <w:r>
              <w:rPr>
                <w:color w:val="auto"/>
                <w:sz w:val="24"/>
                <w:highlight w:val="none"/>
              </w:rPr>
              <w:t>规划环境影响评价情况</w:t>
            </w:r>
          </w:p>
        </w:tc>
        <w:tc>
          <w:tcPr>
            <w:tcW w:w="6498" w:type="dxa"/>
            <w:gridSpan w:val="3"/>
            <w:vAlign w:val="center"/>
          </w:tcPr>
          <w:p>
            <w:pPr>
              <w:keepNext w:val="0"/>
              <w:keepLines w:val="0"/>
              <w:widowControl/>
              <w:suppressLineNumbers w:val="0"/>
              <w:spacing w:line="360" w:lineRule="auto"/>
              <w:ind w:firstLine="480" w:firstLineChars="200"/>
              <w:jc w:val="left"/>
              <w:rPr>
                <w:rFonts w:hint="eastAsia" w:eastAsia="宋体"/>
                <w:color w:val="auto"/>
                <w:sz w:val="24"/>
                <w:highlight w:val="none"/>
                <w:lang w:eastAsia="zh-CN"/>
              </w:rPr>
            </w:pPr>
            <w:r>
              <w:rPr>
                <w:rFonts w:hint="eastAsia"/>
                <w:color w:val="auto"/>
                <w:sz w:val="24"/>
                <w:highlight w:val="none"/>
              </w:rPr>
              <w:t>规划环评文件名称：《</w:t>
            </w:r>
            <w:r>
              <w:rPr>
                <w:rFonts w:hint="eastAsia"/>
                <w:color w:val="auto"/>
                <w:sz w:val="24"/>
                <w:highlight w:val="none"/>
                <w:lang w:val="en-US" w:eastAsia="zh-CN"/>
              </w:rPr>
              <w:t>奇台县喇嘛湖梁工业园区</w:t>
            </w:r>
            <w:r>
              <w:rPr>
                <w:rFonts w:hint="eastAsia"/>
                <w:color w:val="auto"/>
                <w:sz w:val="24"/>
                <w:highlight w:val="none"/>
              </w:rPr>
              <w:t>总体规划</w:t>
            </w:r>
            <w:r>
              <w:rPr>
                <w:rFonts w:hint="eastAsia"/>
                <w:color w:val="auto"/>
                <w:sz w:val="24"/>
                <w:highlight w:val="none"/>
                <w:lang w:eastAsia="zh-CN"/>
              </w:rPr>
              <w:t>（</w:t>
            </w:r>
            <w:r>
              <w:rPr>
                <w:rFonts w:hint="eastAsia"/>
                <w:color w:val="auto"/>
                <w:sz w:val="24"/>
                <w:highlight w:val="none"/>
                <w:lang w:val="en-US" w:eastAsia="zh-CN"/>
              </w:rPr>
              <w:t>2020-2030年</w:t>
            </w:r>
            <w:r>
              <w:rPr>
                <w:rFonts w:hint="eastAsia"/>
                <w:color w:val="auto"/>
                <w:sz w:val="24"/>
                <w:highlight w:val="none"/>
                <w:lang w:eastAsia="zh-CN"/>
              </w:rPr>
              <w:t>）</w:t>
            </w:r>
            <w:r>
              <w:rPr>
                <w:rFonts w:hint="eastAsia"/>
                <w:color w:val="auto"/>
                <w:sz w:val="24"/>
                <w:highlight w:val="none"/>
                <w:lang w:val="en-US" w:eastAsia="zh-CN"/>
              </w:rPr>
              <w:t>局部调整</w:t>
            </w:r>
            <w:r>
              <w:rPr>
                <w:rFonts w:hint="eastAsia"/>
                <w:color w:val="auto"/>
                <w:sz w:val="24"/>
                <w:highlight w:val="none"/>
              </w:rPr>
              <w:t>环境影响报告书》</w:t>
            </w:r>
            <w:r>
              <w:rPr>
                <w:rFonts w:hint="eastAsia"/>
                <w:color w:val="auto"/>
                <w:sz w:val="24"/>
                <w:highlight w:val="none"/>
                <w:lang w:eastAsia="zh-CN"/>
              </w:rPr>
              <w:t>；</w:t>
            </w:r>
          </w:p>
          <w:p>
            <w:pPr>
              <w:widowControl/>
              <w:spacing w:line="360" w:lineRule="auto"/>
              <w:ind w:firstLine="480" w:firstLineChars="200"/>
              <w:jc w:val="left"/>
              <w:rPr>
                <w:rFonts w:hint="eastAsia"/>
                <w:color w:val="auto"/>
                <w:sz w:val="24"/>
                <w:highlight w:val="none"/>
              </w:rPr>
            </w:pPr>
            <w:r>
              <w:rPr>
                <w:rFonts w:hint="eastAsia"/>
                <w:color w:val="auto"/>
                <w:sz w:val="24"/>
                <w:highlight w:val="none"/>
              </w:rPr>
              <w:t>审批机关：</w:t>
            </w:r>
            <w:r>
              <w:rPr>
                <w:rFonts w:hint="eastAsia"/>
                <w:color w:val="auto"/>
                <w:sz w:val="24"/>
                <w:highlight w:val="none"/>
                <w:lang w:val="en-US" w:eastAsia="zh-CN"/>
              </w:rPr>
              <w:t>昌吉回族自治州</w:t>
            </w:r>
            <w:r>
              <w:rPr>
                <w:rFonts w:hint="eastAsia"/>
                <w:color w:val="auto"/>
                <w:sz w:val="24"/>
                <w:highlight w:val="none"/>
              </w:rPr>
              <w:t>生态环境局；</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t>审批文件名称：</w:t>
            </w:r>
            <w:r>
              <w:rPr>
                <w:rFonts w:hint="eastAsia" w:ascii="Times New Roman" w:hAnsi="Times New Roman" w:eastAsia="宋体" w:cs="Times New Roman"/>
                <w:color w:val="auto"/>
                <w:sz w:val="24"/>
                <w:highlight w:val="none"/>
                <w:lang w:val="en-US" w:eastAsia="zh-CN"/>
              </w:rPr>
              <w:t>关于</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奇台县喇嘛湖梁工业园区</w:t>
            </w:r>
            <w:r>
              <w:rPr>
                <w:rFonts w:hint="eastAsia" w:ascii="Times New Roman" w:hAnsi="Times New Roman" w:eastAsia="宋体" w:cs="Times New Roman"/>
                <w:color w:val="auto"/>
                <w:sz w:val="24"/>
                <w:highlight w:val="none"/>
              </w:rPr>
              <w:t>总体规划</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2020-2030年</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局部调整</w:t>
            </w:r>
            <w:r>
              <w:rPr>
                <w:rFonts w:hint="eastAsia" w:ascii="Times New Roman" w:hAnsi="Times New Roman" w:eastAsia="宋体" w:cs="Times New Roman"/>
                <w:color w:val="auto"/>
                <w:sz w:val="24"/>
                <w:highlight w:val="none"/>
              </w:rPr>
              <w:t>环境影响报告书》</w:t>
            </w:r>
            <w:r>
              <w:rPr>
                <w:rFonts w:hint="eastAsia" w:ascii="Times New Roman" w:hAnsi="Times New Roman" w:eastAsia="宋体" w:cs="Times New Roman"/>
                <w:color w:val="auto"/>
                <w:sz w:val="24"/>
                <w:highlight w:val="none"/>
                <w:lang w:val="en-US" w:eastAsia="zh-CN"/>
              </w:rPr>
              <w:t>的审查意见</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 xml:space="preserve">           </w:t>
            </w:r>
          </w:p>
          <w:p>
            <w:pPr>
              <w:keepNext w:val="0"/>
              <w:keepLines w:val="0"/>
              <w:widowControl/>
              <w:suppressLineNumbers w:val="0"/>
              <w:spacing w:line="360" w:lineRule="auto"/>
              <w:ind w:firstLine="480" w:firstLineChars="200"/>
              <w:jc w:val="left"/>
              <w:rPr>
                <w:color w:val="auto"/>
                <w:sz w:val="24"/>
                <w:highlight w:val="none"/>
              </w:rPr>
            </w:pPr>
            <w:r>
              <w:rPr>
                <w:rFonts w:hint="eastAsia" w:ascii="Times New Roman" w:hAnsi="Times New Roman" w:eastAsia="宋体" w:cs="Times New Roman"/>
                <w:color w:val="auto"/>
                <w:sz w:val="24"/>
                <w:highlight w:val="none"/>
                <w:lang w:val="en-US" w:eastAsia="zh-CN"/>
              </w:rPr>
              <w:t>审批文件文号：昌州环函</w:t>
            </w:r>
            <w:r>
              <w:rPr>
                <w:rFonts w:hint="eastAsia" w:ascii="TimesNewRomanPSMT" w:hAnsi="TimesNewRomanPSMT" w:eastAsia="TimesNewRomanPSMT" w:cs="TimesNewRomanPSMT"/>
                <w:b w:val="0"/>
                <w:bCs w:val="0"/>
                <w:color w:val="000000"/>
                <w:kern w:val="0"/>
                <w:sz w:val="24"/>
                <w:szCs w:val="24"/>
                <w:lang w:val="en-US" w:eastAsia="zh-CN" w:bidi="ar"/>
              </w:rPr>
              <w:t>〔2023〕49号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6" w:type="pct"/>
            <w:vAlign w:val="center"/>
          </w:tcPr>
          <w:p>
            <w:pPr>
              <w:adjustRightInd w:val="0"/>
              <w:snapToGrid w:val="0"/>
              <w:jc w:val="center"/>
              <w:rPr>
                <w:color w:val="auto"/>
                <w:sz w:val="24"/>
                <w:highlight w:val="none"/>
              </w:rPr>
            </w:pPr>
            <w:r>
              <w:rPr>
                <w:color w:val="auto"/>
                <w:sz w:val="24"/>
                <w:highlight w:val="none"/>
              </w:rPr>
              <w:t>规划及规划环境影响评价符合性分析</w:t>
            </w:r>
          </w:p>
        </w:tc>
        <w:tc>
          <w:tcPr>
            <w:tcW w:w="6498" w:type="dxa"/>
            <w:gridSpan w:val="3"/>
            <w:vAlign w:val="top"/>
          </w:tcPr>
          <w:p>
            <w:pPr>
              <w:autoSpaceDE w:val="0"/>
              <w:autoSpaceDN w:val="0"/>
              <w:adjustRightInd w:val="0"/>
              <w:snapToGrid w:val="0"/>
              <w:spacing w:line="520" w:lineRule="exact"/>
              <w:rPr>
                <w:b/>
                <w:bCs/>
                <w:sz w:val="24"/>
              </w:rPr>
            </w:pPr>
            <w:r>
              <w:rPr>
                <w:b/>
                <w:bCs/>
                <w:sz w:val="24"/>
              </w:rPr>
              <w:t>1</w:t>
            </w:r>
            <w:r>
              <w:rPr>
                <w:rFonts w:hint="eastAsia"/>
                <w:b/>
                <w:bCs/>
                <w:sz w:val="24"/>
              </w:rPr>
              <w:t xml:space="preserve"> </w:t>
            </w:r>
            <w:r>
              <w:rPr>
                <w:rFonts w:hint="eastAsia"/>
                <w:b/>
                <w:bCs/>
                <w:sz w:val="24"/>
                <w:lang w:val="en-US" w:eastAsia="zh-CN"/>
              </w:rPr>
              <w:t>规划</w:t>
            </w:r>
            <w:r>
              <w:rPr>
                <w:b/>
                <w:bCs/>
                <w:sz w:val="24"/>
              </w:rPr>
              <w:t>符合性分析</w:t>
            </w:r>
          </w:p>
          <w:p>
            <w:pPr>
              <w:autoSpaceDE w:val="0"/>
              <w:autoSpaceDN w:val="0"/>
              <w:adjustRightInd w:val="0"/>
              <w:snapToGrid w:val="0"/>
              <w:spacing w:line="360" w:lineRule="auto"/>
              <w:ind w:firstLine="480" w:firstLineChars="200"/>
              <w:rPr>
                <w:rFonts w:hint="default"/>
                <w:sz w:val="24"/>
                <w:lang w:val="en-US" w:eastAsia="zh-CN"/>
              </w:rPr>
            </w:pPr>
            <w:r>
              <w:rPr>
                <w:rFonts w:hint="eastAsia"/>
                <w:sz w:val="24"/>
                <w:lang w:val="en-US" w:eastAsia="zh-CN"/>
              </w:rPr>
              <w:t>奇台县喇嘛湖梁工业园区规划范围位于奇台县城区以北约7km，规划总面积43.87km</w:t>
            </w:r>
            <w:r>
              <w:rPr>
                <w:rFonts w:hint="eastAsia"/>
                <w:strike w:val="0"/>
                <w:dstrike w:val="0"/>
                <w:sz w:val="24"/>
                <w:vertAlign w:val="superscript"/>
                <w:lang w:val="en-US" w:eastAsia="zh-CN"/>
              </w:rPr>
              <w:t>2</w:t>
            </w:r>
            <w:r>
              <w:rPr>
                <w:rFonts w:hint="eastAsia"/>
                <w:sz w:val="24"/>
                <w:vertAlign w:val="baseline"/>
                <w:lang w:val="en-US" w:eastAsia="zh-CN"/>
              </w:rPr>
              <w:t>，东至6号路以东约1km，南至X166省道，西至奇井公路以西约1.5km，北至北环线。X166县道从规划区南侧横穿而过，经县乡公路向东44千米至228省道，向古7千米至303省道,园区交通便利。</w:t>
            </w:r>
          </w:p>
          <w:p>
            <w:pPr>
              <w:autoSpaceDE w:val="0"/>
              <w:autoSpaceDN w:val="0"/>
              <w:adjustRightInd w:val="0"/>
              <w:snapToGrid w:val="0"/>
              <w:spacing w:line="360" w:lineRule="auto"/>
              <w:ind w:firstLine="480" w:firstLineChars="200"/>
              <w:rPr>
                <w:sz w:val="24"/>
              </w:rPr>
            </w:pPr>
            <w:r>
              <w:rPr>
                <w:sz w:val="24"/>
              </w:rPr>
              <w:t>根据</w:t>
            </w:r>
            <w:r>
              <w:rPr>
                <w:rFonts w:hint="eastAsia" w:ascii="TimesNewRomanPSMT" w:hAnsi="TimesNewRomanPSMT" w:eastAsia="TimesNewRomanPSMT" w:cs="TimesNewRomanPSMT"/>
                <w:b w:val="0"/>
                <w:bCs w:val="0"/>
                <w:color w:val="000000"/>
                <w:kern w:val="0"/>
                <w:sz w:val="24"/>
                <w:szCs w:val="24"/>
                <w:lang w:val="en-US" w:eastAsia="zh-CN" w:bidi="ar"/>
              </w:rPr>
              <w:t>《奇台县喇嘛湖梁工业园区总体规划（2020-2030年）-局部调整》</w:t>
            </w:r>
            <w:r>
              <w:rPr>
                <w:sz w:val="24"/>
              </w:rPr>
              <w:t>，</w:t>
            </w:r>
            <w:r>
              <w:rPr>
                <w:rFonts w:hint="eastAsia"/>
                <w:sz w:val="24"/>
                <w:lang w:val="en-US" w:eastAsia="zh-CN"/>
              </w:rPr>
              <w:t>喇嘛湖梁工业园区</w:t>
            </w:r>
            <w:r>
              <w:rPr>
                <w:sz w:val="24"/>
              </w:rPr>
              <w:t>的产业定位</w:t>
            </w:r>
            <w:r>
              <w:rPr>
                <w:rFonts w:hint="eastAsia"/>
                <w:sz w:val="24"/>
                <w:lang w:val="en-US" w:eastAsia="zh-CN"/>
              </w:rPr>
              <w:t>是</w:t>
            </w:r>
            <w:r>
              <w:rPr>
                <w:sz w:val="24"/>
              </w:rPr>
              <w:t>以</w:t>
            </w:r>
            <w:r>
              <w:rPr>
                <w:rFonts w:hint="eastAsia"/>
                <w:sz w:val="24"/>
                <w:lang w:val="en-US" w:eastAsia="zh-CN"/>
              </w:rPr>
              <w:t>精细化工、化工新材料、装备制造、新材料等产业为主辅助发展物流、信息服务、静脉产业的综合性工业园区</w:t>
            </w:r>
            <w:r>
              <w:rPr>
                <w:sz w:val="24"/>
              </w:rPr>
              <w:t>。</w:t>
            </w:r>
          </w:p>
          <w:p>
            <w:pPr>
              <w:autoSpaceDE w:val="0"/>
              <w:autoSpaceDN w:val="0"/>
              <w:adjustRightInd w:val="0"/>
              <w:snapToGrid w:val="0"/>
              <w:spacing w:line="360" w:lineRule="auto"/>
              <w:ind w:firstLine="480" w:firstLineChars="200"/>
              <w:rPr>
                <w:rFonts w:hint="eastAsia" w:ascii="宋体" w:hAnsi="宋体" w:eastAsia="宋体" w:cs="宋体"/>
                <w:b w:val="0"/>
                <w:bCs w:val="0"/>
                <w:color w:val="000000"/>
                <w:sz w:val="24"/>
                <w:szCs w:val="24"/>
                <w:lang w:val="en-US" w:eastAsia="zh-CN"/>
              </w:rPr>
            </w:pPr>
            <w:r>
              <w:rPr>
                <w:sz w:val="24"/>
              </w:rPr>
              <w:t>本</w:t>
            </w:r>
            <w:r>
              <w:rPr>
                <w:rFonts w:hint="eastAsia"/>
                <w:sz w:val="24"/>
                <w:lang w:val="en-US" w:eastAsia="zh-CN"/>
              </w:rPr>
              <w:t>项目位于奇台县喇嘛湖梁工业园</w:t>
            </w:r>
            <w:r>
              <w:rPr>
                <w:rFonts w:hint="eastAsia"/>
                <w:sz w:val="24"/>
                <w:highlight w:val="none"/>
                <w:lang w:val="en-US" w:eastAsia="zh-CN"/>
              </w:rPr>
              <w:t>综合产业组团</w:t>
            </w:r>
            <w:r>
              <w:rPr>
                <w:rFonts w:hint="eastAsia"/>
                <w:sz w:val="24"/>
                <w:lang w:val="en-US" w:eastAsia="zh-CN"/>
              </w:rPr>
              <w:t>内，</w:t>
            </w:r>
            <w:r>
              <w:rPr>
                <w:rFonts w:hint="eastAsia"/>
                <w:sz w:val="24"/>
                <w:highlight w:val="none"/>
                <w:lang w:val="en-US" w:eastAsia="zh-CN"/>
              </w:rPr>
              <w:t>综合产业组团</w:t>
            </w:r>
            <w:r>
              <w:rPr>
                <w:rFonts w:ascii="宋体" w:hAnsi="宋体" w:eastAsia="宋体" w:cs="宋体"/>
                <w:b w:val="0"/>
                <w:bCs w:val="0"/>
                <w:color w:val="000000"/>
                <w:sz w:val="24"/>
                <w:szCs w:val="24"/>
              </w:rPr>
              <w:t>重点发展综合产业，除煤化工、石材产业加工、粮食精深加工和食品制造、建材以外的综合产业区，重点发展装备制造业、新材料产业，辅助发展物流、 信息服务以及环境保护与资源节约综合利用等静脉产业的综合产业组团，以二、三类工业用地为主。保留现状在建的煤电、建材工业项目，其他工业用地采用街区单元式的空间布局模式，将生产型企业布置于街区中央，消费型企业、分解型企业和补链型企业围绕在生产型企业周边布置，副产品利用关系最直接的企业应使其紧邻布置。</w:t>
            </w:r>
            <w:r>
              <w:rPr>
                <w:rFonts w:hint="eastAsia" w:ascii="宋体" w:hAnsi="宋体" w:eastAsia="宋体" w:cs="宋体"/>
                <w:b w:val="0"/>
                <w:bCs w:val="0"/>
                <w:color w:val="000000"/>
                <w:sz w:val="24"/>
                <w:szCs w:val="24"/>
                <w:lang w:val="en-US" w:eastAsia="zh-CN"/>
              </w:rPr>
              <w:t>其中现代物流业中鼓励发展</w:t>
            </w:r>
            <w:r>
              <w:rPr>
                <w:rFonts w:ascii="宋体" w:hAnsi="宋体" w:eastAsia="宋体" w:cs="宋体"/>
                <w:b w:val="0"/>
                <w:bCs w:val="0"/>
                <w:color w:val="000000"/>
                <w:sz w:val="24"/>
                <w:szCs w:val="24"/>
              </w:rPr>
              <w:t>煤炭、粮食、棉花、铁矿石、化肥、石油等重要商品现代化物流设施建设</w:t>
            </w:r>
            <w:r>
              <w:rPr>
                <w:rFonts w:hint="eastAsia" w:ascii="宋体" w:hAnsi="宋体" w:eastAsia="宋体" w:cs="宋体"/>
                <w:b w:val="0"/>
                <w:bCs w:val="0"/>
                <w:color w:val="000000"/>
                <w:sz w:val="24"/>
                <w:szCs w:val="24"/>
                <w:lang w:val="en-US" w:eastAsia="zh-CN"/>
              </w:rPr>
              <w:t>等。</w:t>
            </w:r>
          </w:p>
          <w:p>
            <w:pPr>
              <w:autoSpaceDE w:val="0"/>
              <w:autoSpaceDN w:val="0"/>
              <w:adjustRightInd w:val="0"/>
              <w:snapToGrid w:val="0"/>
              <w:spacing w:line="360" w:lineRule="auto"/>
              <w:ind w:firstLine="480" w:firstLineChars="200"/>
              <w:rPr>
                <w:sz w:val="24"/>
              </w:rPr>
            </w:pPr>
            <w:r>
              <w:rPr>
                <w:rFonts w:hint="eastAsia" w:ascii="宋体" w:hAnsi="宋体" w:cs="宋体"/>
                <w:b w:val="0"/>
                <w:bCs w:val="0"/>
                <w:color w:val="000000"/>
                <w:sz w:val="24"/>
                <w:szCs w:val="24"/>
                <w:lang w:val="en-US" w:eastAsia="zh-CN"/>
              </w:rPr>
              <w:t>本项目位于喇嘛湖梁工业园区南部组团内，符合园区的规划布局，项目</w:t>
            </w:r>
            <w:r>
              <w:rPr>
                <w:rFonts w:hint="eastAsia"/>
                <w:sz w:val="24"/>
                <w:lang w:val="en-US" w:eastAsia="zh-CN"/>
              </w:rPr>
              <w:t>用地类型属于二类工业用地用地，用地类型符合园区的土地利用要求，</w:t>
            </w:r>
            <w:r>
              <w:rPr>
                <w:sz w:val="24"/>
                <w:highlight w:val="none"/>
              </w:rPr>
              <w:t>项目利用</w:t>
            </w:r>
            <w:r>
              <w:rPr>
                <w:rFonts w:hint="eastAsia"/>
                <w:sz w:val="24"/>
                <w:highlight w:val="none"/>
                <w:lang w:val="en-US" w:eastAsia="zh-CN"/>
              </w:rPr>
              <w:t>腐植酸为</w:t>
            </w:r>
            <w:r>
              <w:rPr>
                <w:sz w:val="24"/>
                <w:highlight w:val="none"/>
              </w:rPr>
              <w:t>原材料加工</w:t>
            </w:r>
            <w:r>
              <w:rPr>
                <w:rFonts w:hint="eastAsia"/>
                <w:sz w:val="24"/>
                <w:highlight w:val="none"/>
              </w:rPr>
              <w:t>掺混型固体</w:t>
            </w:r>
            <w:r>
              <w:rPr>
                <w:rFonts w:hint="eastAsia"/>
                <w:sz w:val="24"/>
                <w:highlight w:val="none"/>
                <w:lang w:val="en-US" w:eastAsia="zh-CN"/>
              </w:rPr>
              <w:t>腐殖酸钾、腐植酸复混有机肥</w:t>
            </w:r>
            <w:r>
              <w:rPr>
                <w:sz w:val="24"/>
                <w:highlight w:val="none"/>
              </w:rPr>
              <w:t>，</w:t>
            </w:r>
            <w:r>
              <w:rPr>
                <w:sz w:val="24"/>
              </w:rPr>
              <w:t>与园区</w:t>
            </w:r>
            <w:r>
              <w:rPr>
                <w:rFonts w:hint="eastAsia"/>
                <w:sz w:val="24"/>
                <w:lang w:val="en-US" w:eastAsia="zh-CN"/>
              </w:rPr>
              <w:t>综合产业组团内鼓励发展化肥产业的</w:t>
            </w:r>
            <w:r>
              <w:rPr>
                <w:sz w:val="24"/>
              </w:rPr>
              <w:t>发展规划相符，符合</w:t>
            </w:r>
            <w:r>
              <w:rPr>
                <w:rFonts w:hint="eastAsia"/>
                <w:sz w:val="24"/>
                <w:lang w:val="en-US" w:eastAsia="zh-CN"/>
              </w:rPr>
              <w:t>园区产业定位的要求</w:t>
            </w:r>
            <w:r>
              <w:rPr>
                <w:sz w:val="24"/>
              </w:rPr>
              <w:t>。</w:t>
            </w:r>
          </w:p>
          <w:p>
            <w:pPr>
              <w:autoSpaceDE w:val="0"/>
              <w:autoSpaceDN w:val="0"/>
              <w:adjustRightInd w:val="0"/>
              <w:snapToGrid w:val="0"/>
              <w:spacing w:line="360" w:lineRule="auto"/>
              <w:ind w:firstLine="480" w:firstLineChars="200"/>
            </w:pPr>
            <w:r>
              <w:rPr>
                <w:rFonts w:hint="eastAsia" w:ascii="Times New Roman" w:hAnsi="Times New Roman" w:eastAsia="宋体" w:cs="Times New Roman"/>
                <w:sz w:val="24"/>
                <w:lang w:val="en-US" w:eastAsia="zh-CN"/>
              </w:rPr>
              <w:t>奇台县喇嘛湖梁工业园区功能结构及产业分区规划图见附图4，用地规划规划见附图</w:t>
            </w:r>
            <w:r>
              <w:rPr>
                <w:rFonts w:hint="eastAsia" w:cs="Times New Roman"/>
                <w:sz w:val="24"/>
                <w:lang w:val="en-US" w:eastAsia="zh-CN"/>
              </w:rPr>
              <w:t>6</w:t>
            </w:r>
            <w:r>
              <w:rPr>
                <w:rFonts w:hint="eastAsia" w:ascii="Times New Roman" w:hAnsi="Times New Roman" w:eastAsia="宋体" w:cs="Times New Roman"/>
                <w:sz w:val="24"/>
                <w:lang w:val="en-US" w:eastAsia="zh-CN"/>
              </w:rPr>
              <w:t>。</w:t>
            </w:r>
          </w:p>
          <w:p>
            <w:pPr>
              <w:autoSpaceDE w:val="0"/>
              <w:autoSpaceDN w:val="0"/>
              <w:adjustRightInd w:val="0"/>
              <w:snapToGrid w:val="0"/>
              <w:spacing w:line="360" w:lineRule="auto"/>
              <w:rPr>
                <w:b/>
                <w:bCs/>
                <w:sz w:val="24"/>
              </w:rPr>
            </w:pPr>
            <w:r>
              <w:rPr>
                <w:b/>
                <w:bCs/>
                <w:sz w:val="24"/>
              </w:rPr>
              <w:t>2</w:t>
            </w:r>
            <w:r>
              <w:rPr>
                <w:rFonts w:hint="eastAsia"/>
                <w:b/>
                <w:bCs/>
                <w:sz w:val="24"/>
              </w:rPr>
              <w:t xml:space="preserve"> </w:t>
            </w:r>
            <w:r>
              <w:rPr>
                <w:rFonts w:hint="eastAsia"/>
                <w:b/>
                <w:bCs/>
                <w:sz w:val="24"/>
                <w:lang w:val="en-US" w:eastAsia="zh-CN"/>
              </w:rPr>
              <w:t>规划环评及审查意见</w:t>
            </w:r>
            <w:r>
              <w:rPr>
                <w:b/>
                <w:bCs/>
                <w:sz w:val="24"/>
              </w:rPr>
              <w:t>符合性分析</w:t>
            </w:r>
          </w:p>
          <w:p>
            <w:pPr>
              <w:autoSpaceDE w:val="0"/>
              <w:autoSpaceDN w:val="0"/>
              <w:adjustRightInd w:val="0"/>
              <w:snapToGrid w:val="0"/>
              <w:spacing w:line="360" w:lineRule="auto"/>
              <w:ind w:firstLine="480" w:firstLine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本项目与《奇台县喇嘛湖梁工业园区总体规划（</w:t>
            </w:r>
            <w:r>
              <w:rPr>
                <w:rFonts w:ascii="TimesNewRomanPSMT" w:hAnsi="TimesNewRomanPSMT" w:eastAsia="TimesNewRomanPSMT" w:cs="TimesNewRomanPSMT"/>
                <w:b w:val="0"/>
                <w:bCs w:val="0"/>
                <w:color w:val="000000"/>
                <w:sz w:val="24"/>
                <w:szCs w:val="24"/>
              </w:rPr>
              <w:t xml:space="preserve">2020-2030 </w:t>
            </w:r>
            <w:r>
              <w:rPr>
                <w:rFonts w:ascii="宋体" w:hAnsi="宋体" w:eastAsia="宋体" w:cs="宋体"/>
                <w:b w:val="0"/>
                <w:bCs w:val="0"/>
                <w:color w:val="000000"/>
                <w:sz w:val="24"/>
                <w:szCs w:val="24"/>
              </w:rPr>
              <w:t>年）</w:t>
            </w:r>
            <w:r>
              <w:rPr>
                <w:rFonts w:hint="default" w:ascii="TimesNewRomanPSMT" w:hAnsi="TimesNewRomanPSMT" w:eastAsia="TimesNewRomanPSMT" w:cs="TimesNewRomanPSMT"/>
                <w:b w:val="0"/>
                <w:bCs w:val="0"/>
                <w:color w:val="000000"/>
                <w:sz w:val="24"/>
                <w:szCs w:val="24"/>
              </w:rPr>
              <w:t>-</w:t>
            </w:r>
            <w:r>
              <w:rPr>
                <w:rFonts w:ascii="宋体" w:hAnsi="宋体" w:eastAsia="宋体" w:cs="宋体"/>
                <w:b w:val="0"/>
                <w:bCs w:val="0"/>
                <w:color w:val="000000"/>
                <w:sz w:val="24"/>
                <w:szCs w:val="24"/>
              </w:rPr>
              <w:t>局部调整环境影响报告书》</w:t>
            </w:r>
            <w:r>
              <w:rPr>
                <w:rFonts w:hint="eastAsia"/>
                <w:b/>
                <w:bCs/>
                <w:sz w:val="24"/>
                <w:lang w:val="en-US" w:eastAsia="zh-CN"/>
              </w:rPr>
              <w:t>及审查意见的</w:t>
            </w:r>
            <w:r>
              <w:rPr>
                <w:rFonts w:ascii="宋体" w:hAnsi="宋体" w:eastAsia="宋体" w:cs="宋体"/>
                <w:b w:val="0"/>
                <w:bCs w:val="0"/>
                <w:color w:val="000000"/>
                <w:sz w:val="24"/>
                <w:szCs w:val="24"/>
              </w:rPr>
              <w:t xml:space="preserve">具体要求相符性分析见表 </w:t>
            </w:r>
            <w:r>
              <w:rPr>
                <w:rFonts w:hint="default" w:ascii="TimesNewRomanPSMT" w:hAnsi="TimesNewRomanPSMT" w:eastAsia="TimesNewRomanPSMT" w:cs="TimesNewRomanPSMT"/>
                <w:b w:val="0"/>
                <w:bCs w:val="0"/>
                <w:color w:val="000000"/>
                <w:sz w:val="24"/>
                <w:szCs w:val="24"/>
              </w:rPr>
              <w:t>1-1</w:t>
            </w:r>
            <w:r>
              <w:rPr>
                <w:rFonts w:ascii="宋体" w:hAnsi="宋体" w:eastAsia="宋体" w:cs="宋体"/>
                <w:b w:val="0"/>
                <w:bCs w:val="0"/>
                <w:color w:val="000000"/>
                <w:sz w:val="24"/>
                <w:szCs w:val="24"/>
              </w:rPr>
              <w:t>。</w:t>
            </w:r>
          </w:p>
          <w:p>
            <w:pPr>
              <w:autoSpaceDE w:val="0"/>
              <w:autoSpaceDN w:val="0"/>
              <w:adjustRightInd w:val="0"/>
              <w:snapToGrid w:val="0"/>
              <w:spacing w:line="520" w:lineRule="exact"/>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表 1-1 项目与规划环评</w:t>
            </w:r>
            <w:r>
              <w:rPr>
                <w:rFonts w:hint="eastAsia" w:ascii="Times New Roman" w:hAnsi="Times New Roman" w:eastAsia="宋体" w:cs="Times New Roman"/>
                <w:b/>
                <w:bCs/>
                <w:sz w:val="21"/>
                <w:szCs w:val="21"/>
                <w:lang w:val="en-US" w:eastAsia="zh-CN"/>
              </w:rPr>
              <w:t>相符性</w:t>
            </w:r>
            <w:r>
              <w:rPr>
                <w:rFonts w:ascii="Times New Roman" w:hAnsi="Times New Roman" w:eastAsia="宋体" w:cs="Times New Roman"/>
                <w:b/>
                <w:bCs/>
                <w:sz w:val="21"/>
                <w:szCs w:val="21"/>
              </w:rPr>
              <w:t>对照表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3346"/>
              <w:gridCol w:w="2004"/>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bidi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序号</w:t>
                  </w:r>
                </w:p>
              </w:tc>
              <w:tc>
                <w:tcPr>
                  <w:tcW w:w="0" w:type="auto"/>
                  <w:noWrap w:val="0"/>
                  <w:vAlign w:val="center"/>
                </w:tcPr>
                <w:p>
                  <w:pPr>
                    <w:bidi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规划环评要求</w:t>
                  </w:r>
                </w:p>
              </w:tc>
              <w:tc>
                <w:tcPr>
                  <w:tcW w:w="0" w:type="auto"/>
                  <w:noWrap w:val="0"/>
                  <w:vAlign w:val="center"/>
                </w:tcPr>
                <w:p>
                  <w:pPr>
                    <w:bidi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本项目建设情况</w:t>
                  </w:r>
                </w:p>
              </w:tc>
              <w:tc>
                <w:tcPr>
                  <w:tcW w:w="0" w:type="auto"/>
                  <w:noWrap w:val="0"/>
                  <w:vAlign w:val="center"/>
                </w:tcPr>
                <w:p>
                  <w:pPr>
                    <w:bidi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bidi w:val="0"/>
                    <w:jc w:val="left"/>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w:t>
                  </w:r>
                </w:p>
              </w:tc>
              <w:tc>
                <w:tcPr>
                  <w:tcW w:w="0" w:type="auto"/>
                  <w:noWrap w:val="0"/>
                  <w:vAlign w:val="center"/>
                </w:tcPr>
                <w:p>
                  <w:pPr>
                    <w:bidi w:val="0"/>
                    <w:jc w:val="left"/>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 xml:space="preserve">①严格执行国家产业政策 </w:t>
                  </w:r>
                </w:p>
                <w:p>
                  <w:pPr>
                    <w:bidi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21"/>
                      <w:szCs w:val="21"/>
                    </w:rPr>
                    <w:t>新建项目必须严格落实国家《产业结构调整指导目录（20</w:t>
                  </w:r>
                  <w:r>
                    <w:rPr>
                      <w:rFonts w:hint="default" w:ascii="Times New Roman" w:hAnsi="Times New Roman" w:eastAsia="宋体" w:cs="Times New Roman"/>
                      <w:b w:val="0"/>
                      <w:bCs w:val="0"/>
                      <w:color w:val="000000"/>
                      <w:sz w:val="21"/>
                      <w:szCs w:val="21"/>
                      <w:lang w:val="en-US" w:eastAsia="zh-CN"/>
                    </w:rPr>
                    <w:t>24</w:t>
                  </w:r>
                  <w:r>
                    <w:rPr>
                      <w:rFonts w:hint="default" w:ascii="Times New Roman" w:hAnsi="Times New Roman" w:eastAsia="宋体" w:cs="Times New Roman"/>
                      <w:b w:val="0"/>
                      <w:bCs w:val="0"/>
                      <w:color w:val="000000"/>
                      <w:sz w:val="21"/>
                      <w:szCs w:val="21"/>
                    </w:rPr>
                    <w:t>年本）》要求，对项目产品、工艺、技术、装备等属于限制类或淘汰类的，一律禁止建设。提高园区企业准入门槛，鼓励能耗低、工艺先进、废气污染物排放量少的企业入区。依据《严重污染环境（大气）的淘汰工艺和设备名录》，严禁大气污染严重的企业入区。 ②严格控制项目环评审批对于新、改、扩建项目应严格执行《建设项目环境影响评价分类管理名录 （2021 年版）》确定的项目环境影响评价类别，不得随意更改。严控“两高”项目环评审批。</w:t>
                  </w:r>
                </w:p>
              </w:tc>
              <w:tc>
                <w:tcPr>
                  <w:tcW w:w="0" w:type="auto"/>
                  <w:noWrap w:val="0"/>
                  <w:vAlign w:val="center"/>
                </w:tcPr>
                <w:p>
                  <w:pPr>
                    <w:bidi w:val="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21"/>
                      <w:szCs w:val="21"/>
                    </w:rPr>
                    <w:t>本项目不属于《产业结构调整 指导目录（20</w:t>
                  </w:r>
                  <w:r>
                    <w:rPr>
                      <w:rFonts w:hint="default" w:ascii="Times New Roman" w:hAnsi="Times New Roman" w:eastAsia="宋体" w:cs="Times New Roman"/>
                      <w:b w:val="0"/>
                      <w:bCs w:val="0"/>
                      <w:color w:val="000000"/>
                      <w:sz w:val="21"/>
                      <w:szCs w:val="21"/>
                      <w:lang w:val="en-US" w:eastAsia="zh-CN"/>
                    </w:rPr>
                    <w:t>24</w:t>
                  </w:r>
                  <w:r>
                    <w:rPr>
                      <w:rFonts w:hint="default" w:ascii="Times New Roman" w:hAnsi="Times New Roman" w:eastAsia="宋体" w:cs="Times New Roman"/>
                      <w:b w:val="0"/>
                      <w:bCs w:val="0"/>
                      <w:color w:val="000000"/>
                      <w:sz w:val="21"/>
                      <w:szCs w:val="21"/>
                    </w:rPr>
                    <w:t>年本）》禁止建设项目，不属于两高项目，废气采用布袋除尘相关环保措施。</w:t>
                  </w:r>
                </w:p>
              </w:tc>
              <w:tc>
                <w:tcPr>
                  <w:tcW w:w="0" w:type="auto"/>
                  <w:noWrap w:val="0"/>
                  <w:vAlign w:val="center"/>
                </w:tcPr>
                <w:p>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0" w:type="auto"/>
                  <w:noWrap w:val="0"/>
                  <w:vAlign w:val="center"/>
                </w:tcPr>
                <w:p>
                  <w:pPr>
                    <w:bidi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21"/>
                      <w:szCs w:val="21"/>
                    </w:rPr>
                    <w:t>完善各企业污水处理、循环利用配套 设施的建设，区内各排污单位园区企业应根据自身污水特点设置污水处理站，选取合适可靠的污水处理工艺，污水处理单元、污水管网、事故池等单元应采取防渗措施，防止污水下渗。</w:t>
                  </w:r>
                </w:p>
              </w:tc>
              <w:tc>
                <w:tcPr>
                  <w:tcW w:w="0" w:type="auto"/>
                  <w:noWrap w:val="0"/>
                  <w:vAlign w:val="center"/>
                </w:tcPr>
                <w:p>
                  <w:pPr>
                    <w:bidi w:val="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21"/>
                      <w:szCs w:val="21"/>
                      <w:highlight w:val="none"/>
                    </w:rPr>
                    <w:t>本项目用水主要</w:t>
                  </w:r>
                  <w:r>
                    <w:rPr>
                      <w:rFonts w:hint="eastAsia" w:cs="Times New Roman"/>
                      <w:b w:val="0"/>
                      <w:bCs w:val="0"/>
                      <w:color w:val="000000"/>
                      <w:sz w:val="21"/>
                      <w:szCs w:val="21"/>
                      <w:highlight w:val="none"/>
                      <w:lang w:val="en-US" w:eastAsia="zh-CN"/>
                    </w:rPr>
                    <w:t>搅拌工序及生活污水</w:t>
                  </w:r>
                  <w:r>
                    <w:rPr>
                      <w:rFonts w:hint="default" w:ascii="Times New Roman" w:hAnsi="Times New Roman" w:eastAsia="宋体" w:cs="Times New Roman"/>
                      <w:b w:val="0"/>
                      <w:bCs w:val="0"/>
                      <w:color w:val="000000"/>
                      <w:sz w:val="21"/>
                      <w:szCs w:val="21"/>
                      <w:highlight w:val="none"/>
                    </w:rPr>
                    <w:t>，废水循环利用，</w:t>
                  </w:r>
                  <w:r>
                    <w:rPr>
                      <w:rFonts w:hint="eastAsia" w:cs="Times New Roman"/>
                      <w:b w:val="0"/>
                      <w:bCs w:val="0"/>
                      <w:color w:val="000000"/>
                      <w:sz w:val="21"/>
                      <w:szCs w:val="21"/>
                      <w:highlight w:val="none"/>
                      <w:lang w:val="en-US" w:eastAsia="zh-CN"/>
                    </w:rPr>
                    <w:t>生活</w:t>
                  </w:r>
                  <w:r>
                    <w:rPr>
                      <w:rFonts w:hint="default" w:ascii="Times New Roman" w:hAnsi="Times New Roman" w:eastAsia="宋体" w:cs="Times New Roman"/>
                      <w:b w:val="0"/>
                      <w:bCs w:val="0"/>
                      <w:color w:val="000000"/>
                      <w:sz w:val="21"/>
                      <w:szCs w:val="21"/>
                      <w:highlight w:val="none"/>
                    </w:rPr>
                    <w:t>污水排入园区排水管网</w:t>
                  </w:r>
                  <w:r>
                    <w:rPr>
                      <w:rFonts w:hint="eastAsia" w:cs="Times New Roman"/>
                      <w:b w:val="0"/>
                      <w:bCs w:val="0"/>
                      <w:color w:val="000000"/>
                      <w:sz w:val="21"/>
                      <w:szCs w:val="21"/>
                      <w:highlight w:val="none"/>
                      <w:lang w:eastAsia="zh-CN"/>
                    </w:rPr>
                    <w:t>，</w:t>
                  </w:r>
                  <w:r>
                    <w:rPr>
                      <w:rFonts w:hint="eastAsia" w:cs="Times New Roman"/>
                      <w:b w:val="0"/>
                      <w:bCs w:val="0"/>
                      <w:color w:val="000000"/>
                      <w:sz w:val="21"/>
                      <w:szCs w:val="21"/>
                      <w:highlight w:val="none"/>
                      <w:lang w:val="en-US" w:eastAsia="zh-CN"/>
                    </w:rPr>
                    <w:t>最终进入喇嘛湖梁工业园区污水处理厂深度处理</w:t>
                  </w:r>
                  <w:r>
                    <w:rPr>
                      <w:rFonts w:hint="default" w:ascii="Times New Roman" w:hAnsi="Times New Roman" w:eastAsia="宋体" w:cs="Times New Roman"/>
                      <w:b w:val="0"/>
                      <w:bCs w:val="0"/>
                      <w:color w:val="000000"/>
                      <w:sz w:val="21"/>
                      <w:szCs w:val="21"/>
                      <w:highlight w:val="none"/>
                    </w:rPr>
                    <w:t>。厂区按要求设置防渗措施。</w:t>
                  </w:r>
                </w:p>
              </w:tc>
              <w:tc>
                <w:tcPr>
                  <w:tcW w:w="0" w:type="auto"/>
                  <w:noWrap w:val="0"/>
                  <w:vAlign w:val="center"/>
                </w:tcPr>
                <w:p>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0" w:type="auto"/>
                  <w:noWrap w:val="0"/>
                  <w:vAlign w:val="center"/>
                </w:tcPr>
                <w:p>
                  <w:pPr>
                    <w:bidi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21"/>
                      <w:szCs w:val="21"/>
                    </w:rPr>
                    <w:t>对各种工业噪声源分别采用隔声、吸声和消声等措施，必要时应设置隔声带，以降低其源强，减少对周围环境的影响；入园各项目的总图布置上应 充分考虑高噪声设备的影响，将其布置在远离厂界处，以保证厂界噪声达标；加强园区及厂区绿化，特别是在</w:t>
                  </w:r>
                  <w:r>
                    <w:rPr>
                      <w:rFonts w:hint="eastAsia" w:cs="Times New Roman"/>
                      <w:b w:val="0"/>
                      <w:bCs w:val="0"/>
                      <w:color w:val="000000"/>
                      <w:sz w:val="21"/>
                      <w:szCs w:val="21"/>
                      <w:lang w:val="en-US" w:eastAsia="zh-CN"/>
                    </w:rPr>
                    <w:t>有</w:t>
                  </w:r>
                  <w:r>
                    <w:rPr>
                      <w:rFonts w:hint="default" w:ascii="Times New Roman" w:hAnsi="Times New Roman" w:eastAsia="宋体" w:cs="Times New Roman"/>
                      <w:b w:val="0"/>
                      <w:bCs w:val="0"/>
                      <w:color w:val="000000"/>
                      <w:sz w:val="21"/>
                      <w:szCs w:val="21"/>
                    </w:rPr>
                    <w:t>高噪声设备处和厂界之间应设置绿化带，利用树木的吸声、消声作用减小厂界噪声。</w:t>
                  </w:r>
                </w:p>
              </w:tc>
              <w:tc>
                <w:tcPr>
                  <w:tcW w:w="0" w:type="auto"/>
                  <w:noWrap w:val="0"/>
                  <w:vAlign w:val="center"/>
                </w:tcPr>
                <w:p>
                  <w:pPr>
                    <w:bidi w:val="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21"/>
                      <w:szCs w:val="21"/>
                    </w:rPr>
                    <w:t>本项目对各设施采取降噪措施</w:t>
                  </w:r>
                  <w:r>
                    <w:rPr>
                      <w:rFonts w:hint="eastAsia"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有效降低噪声排放。</w:t>
                  </w:r>
                </w:p>
              </w:tc>
              <w:tc>
                <w:tcPr>
                  <w:tcW w:w="0" w:type="auto"/>
                  <w:noWrap w:val="0"/>
                  <w:vAlign w:val="center"/>
                </w:tcPr>
                <w:p>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0" w:type="auto"/>
                  <w:noWrap w:val="0"/>
                  <w:vAlign w:val="center"/>
                </w:tcPr>
                <w:p>
                  <w:pPr>
                    <w:bidi w:val="0"/>
                    <w:jc w:val="left"/>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21"/>
                      <w:szCs w:val="21"/>
                    </w:rPr>
                    <w:t>严格按照国家有关规定，对喇嘛梁湖工业园区的固体废物进行分类、集中收集、固废处理执行减量化、资源化和无害化原则。通过固体废物申报登记，强化对固废产生源的管理。配备清运车辆，推广垃圾袋装化，对生活垃圾、一般工业废物及危险废物中有用物质，尽可能综合利用。</w:t>
                  </w:r>
                </w:p>
              </w:tc>
              <w:tc>
                <w:tcPr>
                  <w:tcW w:w="0" w:type="auto"/>
                  <w:noWrap w:val="0"/>
                  <w:vAlign w:val="center"/>
                </w:tcPr>
                <w:p>
                  <w:pPr>
                    <w:bidi w:val="0"/>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b w:val="0"/>
                      <w:bCs w:val="0"/>
                      <w:color w:val="000000"/>
                      <w:sz w:val="21"/>
                      <w:szCs w:val="21"/>
                    </w:rPr>
                    <w:t>本项目固体废物行分类、集中收集，回收有用固废，对无法利用的一般固废进行外售，危险废物暂存在危废间，委托有危废处置资质的公司处置。</w:t>
                  </w:r>
                </w:p>
              </w:tc>
              <w:tc>
                <w:tcPr>
                  <w:tcW w:w="0" w:type="auto"/>
                  <w:noWrap w:val="0"/>
                  <w:vAlign w:val="center"/>
                </w:tcPr>
                <w:p>
                  <w:pPr>
                    <w:bidi w:val="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是</w:t>
                  </w:r>
                </w:p>
              </w:tc>
            </w:tr>
          </w:tbl>
          <w:p>
            <w:pPr>
              <w:autoSpaceDE w:val="0"/>
              <w:autoSpaceDN w:val="0"/>
              <w:adjustRightInd w:val="0"/>
              <w:snapToGrid w:val="0"/>
              <w:spacing w:line="520" w:lineRule="exact"/>
              <w:rPr>
                <w:rFonts w:hint="default" w:eastAsia="宋体"/>
                <w:color w:val="auto"/>
                <w:kern w:val="0"/>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206" w:type="pct"/>
            <w:vAlign w:val="center"/>
          </w:tcPr>
          <w:p>
            <w:pPr>
              <w:autoSpaceDE w:val="0"/>
              <w:autoSpaceDN w:val="0"/>
              <w:adjustRightInd w:val="0"/>
              <w:snapToGrid w:val="0"/>
              <w:jc w:val="center"/>
              <w:rPr>
                <w:color w:val="auto"/>
                <w:kern w:val="0"/>
                <w:sz w:val="24"/>
                <w:highlight w:val="none"/>
              </w:rPr>
            </w:pPr>
            <w:r>
              <w:rPr>
                <w:color w:val="auto"/>
                <w:kern w:val="0"/>
                <w:sz w:val="24"/>
                <w:highlight w:val="none"/>
              </w:rPr>
              <w:t>其他符合性分析</w:t>
            </w:r>
          </w:p>
        </w:tc>
        <w:tc>
          <w:tcPr>
            <w:tcW w:w="6498" w:type="dxa"/>
            <w:gridSpan w:val="3"/>
            <w:vAlign w:val="center"/>
          </w:tcPr>
          <w:p>
            <w:pPr>
              <w:autoSpaceDE w:val="0"/>
              <w:autoSpaceDN w:val="0"/>
              <w:adjustRightInd w:val="0"/>
              <w:snapToGrid w:val="0"/>
              <w:spacing w:line="360" w:lineRule="auto"/>
              <w:rPr>
                <w:b/>
                <w:bCs/>
                <w:sz w:val="24"/>
              </w:rPr>
            </w:pPr>
            <w:r>
              <w:rPr>
                <w:b/>
                <w:bCs/>
                <w:sz w:val="24"/>
              </w:rPr>
              <w:t>1</w:t>
            </w:r>
            <w:r>
              <w:rPr>
                <w:rFonts w:hint="eastAsia"/>
                <w:b/>
                <w:bCs/>
                <w:sz w:val="24"/>
                <w:lang w:eastAsia="zh-CN"/>
              </w:rPr>
              <w:t>.</w:t>
            </w:r>
            <w:r>
              <w:rPr>
                <w:b/>
                <w:bCs/>
                <w:sz w:val="24"/>
              </w:rPr>
              <w:t>政策</w:t>
            </w:r>
            <w:r>
              <w:rPr>
                <w:rFonts w:hint="eastAsia"/>
                <w:b/>
                <w:bCs/>
                <w:sz w:val="24"/>
                <w:lang w:val="en-US" w:eastAsia="zh-CN"/>
              </w:rPr>
              <w:t>符合</w:t>
            </w:r>
            <w:r>
              <w:rPr>
                <w:b/>
                <w:bCs/>
                <w:sz w:val="24"/>
              </w:rPr>
              <w:t>性分析</w:t>
            </w:r>
          </w:p>
          <w:p>
            <w:pPr>
              <w:autoSpaceDE w:val="0"/>
              <w:autoSpaceDN w:val="0"/>
              <w:adjustRightInd w:val="0"/>
              <w:snapToGrid w:val="0"/>
              <w:spacing w:line="360" w:lineRule="auto"/>
              <w:ind w:firstLine="456" w:firstLineChars="200"/>
              <w:rPr>
                <w:spacing w:val="-6"/>
                <w:sz w:val="24"/>
              </w:rPr>
            </w:pPr>
            <w:r>
              <w:rPr>
                <w:spacing w:val="-6"/>
                <w:sz w:val="24"/>
              </w:rPr>
              <w:t>（1）与《产业结构调整指导目录（20</w:t>
            </w:r>
            <w:r>
              <w:rPr>
                <w:rFonts w:hint="eastAsia"/>
                <w:spacing w:val="-6"/>
                <w:sz w:val="24"/>
                <w:lang w:val="en-US" w:eastAsia="zh-CN"/>
              </w:rPr>
              <w:t>24</w:t>
            </w:r>
            <w:r>
              <w:rPr>
                <w:spacing w:val="-6"/>
                <w:sz w:val="24"/>
              </w:rPr>
              <w:t>年</w:t>
            </w:r>
            <w:r>
              <w:rPr>
                <w:rFonts w:hint="eastAsia"/>
                <w:spacing w:val="-6"/>
                <w:sz w:val="24"/>
                <w:lang w:val="en-US" w:eastAsia="zh-CN"/>
              </w:rPr>
              <w:t>本</w:t>
            </w:r>
            <w:r>
              <w:rPr>
                <w:spacing w:val="-6"/>
                <w:sz w:val="24"/>
              </w:rPr>
              <w:t>）》</w:t>
            </w:r>
            <w:r>
              <w:rPr>
                <w:rFonts w:hint="eastAsia"/>
                <w:spacing w:val="-6"/>
                <w:sz w:val="24"/>
              </w:rPr>
              <w:t>符合</w:t>
            </w:r>
            <w:r>
              <w:rPr>
                <w:spacing w:val="-6"/>
                <w:sz w:val="24"/>
              </w:rPr>
              <w:t>性</w:t>
            </w:r>
            <w:r>
              <w:rPr>
                <w:rFonts w:hint="eastAsia"/>
                <w:spacing w:val="-6"/>
                <w:sz w:val="24"/>
              </w:rPr>
              <w:t>分析</w:t>
            </w:r>
          </w:p>
          <w:p>
            <w:pPr>
              <w:autoSpaceDE w:val="0"/>
              <w:autoSpaceDN w:val="0"/>
              <w:adjustRightInd w:val="0"/>
              <w:snapToGrid w:val="0"/>
              <w:spacing w:line="360" w:lineRule="auto"/>
              <w:ind w:firstLine="480" w:firstLineChars="200"/>
              <w:rPr>
                <w:rFonts w:ascii="宋体" w:hAnsi="宋体" w:eastAsia="宋体" w:cs="宋体"/>
                <w:b w:val="0"/>
                <w:bCs w:val="0"/>
                <w:color w:val="000000"/>
                <w:sz w:val="24"/>
                <w:szCs w:val="24"/>
              </w:rPr>
            </w:pPr>
            <w:r>
              <w:rPr>
                <w:sz w:val="24"/>
              </w:rPr>
              <w:t>本项目属于</w:t>
            </w:r>
            <w:r>
              <w:rPr>
                <w:rFonts w:hint="eastAsia"/>
                <w:sz w:val="24"/>
                <w:lang w:val="en-US" w:eastAsia="zh-CN"/>
              </w:rPr>
              <w:t>腐植酸盐有机肥</w:t>
            </w:r>
            <w:r>
              <w:rPr>
                <w:sz w:val="24"/>
              </w:rPr>
              <w:t>加工项目，属于《产业结构调整指导目录（20</w:t>
            </w:r>
            <w:r>
              <w:rPr>
                <w:rFonts w:hint="eastAsia"/>
                <w:sz w:val="24"/>
                <w:lang w:val="en-US" w:eastAsia="zh-CN"/>
              </w:rPr>
              <w:t>24</w:t>
            </w:r>
            <w:r>
              <w:rPr>
                <w:sz w:val="24"/>
              </w:rPr>
              <w:t xml:space="preserve">年本）》中“第一类 鼓励类 十一、石化化工 </w:t>
            </w:r>
            <w:r>
              <w:rPr>
                <w:rFonts w:hint="eastAsia"/>
                <w:sz w:val="24"/>
                <w:lang w:val="en-US" w:eastAsia="zh-CN"/>
              </w:rPr>
              <w:t>2.无机盐：废盐酸制氯气等综合利用技术、铬盐清洁生产新工艺的开发和应用，全封闭高压水淬渣及无二次污染磷泥处理黄磷生产工艺，硝酸法和半水-二水法磷酸生产工艺，磷石膏综合利用技术开发与应用，</w:t>
            </w:r>
            <w:r>
              <w:rPr>
                <w:sz w:val="24"/>
              </w:rPr>
              <w:t>优质钾肥及</w:t>
            </w:r>
            <w:r>
              <w:rPr>
                <w:rFonts w:hint="eastAsia"/>
                <w:sz w:val="24"/>
                <w:lang w:val="en-US" w:eastAsia="zh-CN"/>
              </w:rPr>
              <w:t>新型肥料的生产</w:t>
            </w:r>
            <w:r>
              <w:rPr>
                <w:sz w:val="24"/>
              </w:rPr>
              <w:t>”，</w:t>
            </w:r>
            <w:r>
              <w:rPr>
                <w:rFonts w:ascii="宋体" w:hAnsi="宋体" w:eastAsia="宋体" w:cs="宋体"/>
                <w:b w:val="0"/>
                <w:bCs w:val="0"/>
                <w:color w:val="000000"/>
                <w:sz w:val="24"/>
                <w:szCs w:val="24"/>
              </w:rPr>
              <w:t>项目已取得奇台县发展和改革委员会出具的投资项目备案证，项目的建设符合国家当前产业政策要求。</w:t>
            </w:r>
          </w:p>
          <w:p>
            <w:pPr>
              <w:autoSpaceDE w:val="0"/>
              <w:autoSpaceDN w:val="0"/>
              <w:adjustRightInd w:val="0"/>
              <w:snapToGrid w:val="0"/>
              <w:spacing w:line="360" w:lineRule="auto"/>
              <w:ind w:firstLine="480" w:firstLineChars="200"/>
              <w:rPr>
                <w:sz w:val="24"/>
              </w:rPr>
            </w:pPr>
            <w:r>
              <w:rPr>
                <w:sz w:val="24"/>
              </w:rPr>
              <w:t>（</w:t>
            </w:r>
            <w:r>
              <w:rPr>
                <w:rFonts w:hint="eastAsia"/>
                <w:sz w:val="24"/>
                <w:lang w:val="en-US" w:eastAsia="zh-CN"/>
              </w:rPr>
              <w:t>2</w:t>
            </w:r>
            <w:r>
              <w:rPr>
                <w:sz w:val="24"/>
              </w:rPr>
              <w:t>）与《关于推进化肥行业转型发展的指导意见》（工信部原〔2015〕251号）</w:t>
            </w:r>
            <w:r>
              <w:rPr>
                <w:rFonts w:hint="eastAsia"/>
                <w:sz w:val="24"/>
              </w:rPr>
              <w:t>符合</w:t>
            </w:r>
            <w:r>
              <w:rPr>
                <w:sz w:val="24"/>
              </w:rPr>
              <w:t>性</w:t>
            </w:r>
            <w:r>
              <w:rPr>
                <w:rFonts w:hint="eastAsia"/>
                <w:sz w:val="24"/>
              </w:rPr>
              <w:t>分析</w:t>
            </w:r>
          </w:p>
          <w:p>
            <w:pPr>
              <w:autoSpaceDE w:val="0"/>
              <w:autoSpaceDN w:val="0"/>
              <w:adjustRightInd w:val="0"/>
              <w:snapToGrid w:val="0"/>
              <w:spacing w:line="360" w:lineRule="auto"/>
              <w:ind w:firstLine="480" w:firstLineChars="200"/>
              <w:rPr>
                <w:sz w:val="24"/>
              </w:rPr>
            </w:pPr>
            <w:r>
              <w:rPr>
                <w:sz w:val="24"/>
              </w:rPr>
              <w:t>根据与《关于推进化肥行业转型发展的指导意见》（工信部原〔2015〕251号）意见中重点措施明确指出：鼓励开发高效、环保新型肥料，重点是：掺混肥、硝基复合肥、增效肥料、尿素硝酸铵溶液、缓（控）释肥、水溶肥、液体肥、土壤调理剂、腐植酸、海藻酸、氨基酸等。</w:t>
            </w:r>
          </w:p>
          <w:p>
            <w:pPr>
              <w:autoSpaceDE w:val="0"/>
              <w:autoSpaceDN w:val="0"/>
              <w:adjustRightInd w:val="0"/>
              <w:snapToGrid w:val="0"/>
              <w:spacing w:line="360" w:lineRule="auto"/>
              <w:ind w:firstLine="480" w:firstLineChars="200"/>
              <w:rPr>
                <w:rFonts w:hint="default" w:eastAsia="宋体"/>
                <w:sz w:val="24"/>
                <w:lang w:val="en-US" w:eastAsia="zh-CN"/>
              </w:rPr>
            </w:pPr>
            <w:r>
              <w:rPr>
                <w:rFonts w:hint="eastAsia"/>
                <w:sz w:val="24"/>
              </w:rPr>
              <w:t>本项目</w:t>
            </w:r>
            <w:r>
              <w:rPr>
                <w:sz w:val="24"/>
              </w:rPr>
              <w:t>属于</w:t>
            </w:r>
            <w:r>
              <w:rPr>
                <w:rFonts w:hint="eastAsia"/>
                <w:sz w:val="24"/>
                <w:lang w:val="en-US" w:eastAsia="zh-CN"/>
              </w:rPr>
              <w:t>腐植酸盐有机肥</w:t>
            </w:r>
            <w:r>
              <w:rPr>
                <w:sz w:val="24"/>
              </w:rPr>
              <w:t>加工项目</w:t>
            </w:r>
            <w:r>
              <w:rPr>
                <w:rFonts w:hint="eastAsia"/>
                <w:sz w:val="24"/>
              </w:rPr>
              <w:t>，且</w:t>
            </w:r>
            <w:r>
              <w:rPr>
                <w:rFonts w:hint="eastAsia"/>
                <w:sz w:val="24"/>
                <w:lang w:val="en-US" w:eastAsia="zh-CN"/>
              </w:rPr>
              <w:t>腐植酸</w:t>
            </w:r>
            <w:r>
              <w:rPr>
                <w:sz w:val="24"/>
              </w:rPr>
              <w:t>是国家在政策层面明确提出要大力调整产品结构，鼓励开发高效、环保新型肥料中的一种</w:t>
            </w:r>
            <w:r>
              <w:rPr>
                <w:rFonts w:hint="eastAsia"/>
                <w:sz w:val="24"/>
                <w:lang w:eastAsia="zh-CN"/>
              </w:rPr>
              <w:t>，</w:t>
            </w:r>
            <w:r>
              <w:rPr>
                <w:rFonts w:hint="eastAsia"/>
                <w:sz w:val="24"/>
                <w:lang w:val="en-US" w:eastAsia="zh-CN"/>
              </w:rPr>
              <w:t>符合</w:t>
            </w:r>
            <w:r>
              <w:rPr>
                <w:sz w:val="24"/>
              </w:rPr>
              <w:t>《关于推进化肥行业转型发展的指导意见》</w:t>
            </w:r>
            <w:r>
              <w:rPr>
                <w:rFonts w:hint="eastAsia"/>
                <w:sz w:val="24"/>
                <w:lang w:val="en-US" w:eastAsia="zh-CN"/>
              </w:rPr>
              <w:t>的相关要求。</w:t>
            </w:r>
          </w:p>
          <w:p>
            <w:pPr>
              <w:autoSpaceDE w:val="0"/>
              <w:autoSpaceDN w:val="0"/>
              <w:adjustRightInd w:val="0"/>
              <w:snapToGrid w:val="0"/>
              <w:spacing w:line="360" w:lineRule="auto"/>
              <w:ind w:firstLine="480" w:firstLineChars="200"/>
              <w:rPr>
                <w:sz w:val="24"/>
              </w:rPr>
            </w:pPr>
            <w:r>
              <w:rPr>
                <w:sz w:val="24"/>
              </w:rPr>
              <w:t>（3）与《市场准入负面清单（20</w:t>
            </w:r>
            <w:r>
              <w:rPr>
                <w:rFonts w:hint="eastAsia"/>
                <w:sz w:val="24"/>
                <w:lang w:val="en-US" w:eastAsia="zh-CN"/>
              </w:rPr>
              <w:t>22</w:t>
            </w:r>
            <w:r>
              <w:rPr>
                <w:sz w:val="24"/>
              </w:rPr>
              <w:t>年版）》</w:t>
            </w:r>
            <w:r>
              <w:rPr>
                <w:rFonts w:hint="eastAsia"/>
                <w:sz w:val="24"/>
              </w:rPr>
              <w:t>符合性分析</w:t>
            </w:r>
          </w:p>
          <w:p>
            <w:pPr>
              <w:autoSpaceDE w:val="0"/>
              <w:autoSpaceDN w:val="0"/>
              <w:adjustRightInd w:val="0"/>
              <w:snapToGrid w:val="0"/>
              <w:spacing w:line="360" w:lineRule="auto"/>
              <w:ind w:firstLine="480" w:firstLineChars="200"/>
              <w:rPr>
                <w:sz w:val="24"/>
              </w:rPr>
            </w:pPr>
            <w:r>
              <w:rPr>
                <w:sz w:val="24"/>
              </w:rPr>
              <w:t>根据《市场准入负面清单（20</w:t>
            </w:r>
            <w:r>
              <w:rPr>
                <w:rFonts w:hint="eastAsia"/>
                <w:sz w:val="24"/>
                <w:lang w:val="en-US" w:eastAsia="zh-CN"/>
              </w:rPr>
              <w:t>22</w:t>
            </w:r>
            <w:r>
              <w:rPr>
                <w:sz w:val="24"/>
              </w:rPr>
              <w:t>年版）》，本项目不涉及“禁止准入类一法律法规、国务院决定等明确设立且与市场准入相关的禁止性规定；国家产业政策明令淘汰和限制的产品、技术、工艺、设备及行为；禁止违规开展金融相关经营活动”，不属于许可准入类中特定化学品的生产经营及项目建设，不涉及许可准入类其他行业禁止许可事项，符合该文件要求。</w:t>
            </w:r>
          </w:p>
          <w:p>
            <w:pPr>
              <w:autoSpaceDE w:val="0"/>
              <w:autoSpaceDN w:val="0"/>
              <w:adjustRightInd w:val="0"/>
              <w:snapToGrid w:val="0"/>
              <w:spacing w:line="360" w:lineRule="auto"/>
              <w:ind w:firstLine="480" w:firstLineChars="200"/>
              <w:rPr>
                <w:sz w:val="24"/>
              </w:rPr>
            </w:pPr>
            <w:r>
              <w:rPr>
                <w:sz w:val="24"/>
              </w:rPr>
              <w:t>本项目不属于明文规定的限制类及淘汰类产业项目，属于国家鼓励类产业，因此本项目建设符合国家相关产业政策的要求。</w:t>
            </w:r>
          </w:p>
          <w:p>
            <w:pPr>
              <w:autoSpaceDE w:val="0"/>
              <w:autoSpaceDN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（4）与《中国腐植酸行业“十四五”发展规划纲要》（中腐协</w:t>
            </w:r>
            <w:r>
              <w:rPr>
                <w:sz w:val="24"/>
              </w:rPr>
              <w:t>〔</w:t>
            </w:r>
            <w:r>
              <w:rPr>
                <w:rFonts w:hint="default" w:ascii="Times New Roman" w:hAnsi="Times New Roman" w:eastAsia="宋体" w:cs="Times New Roman"/>
                <w:sz w:val="24"/>
                <w:lang w:val="en-US" w:eastAsia="zh-CN"/>
              </w:rPr>
              <w:t>2021</w:t>
            </w:r>
            <w:r>
              <w:rPr>
                <w:sz w:val="24"/>
              </w:rPr>
              <w:t>〕</w:t>
            </w:r>
            <w:r>
              <w:rPr>
                <w:rFonts w:hint="default" w:ascii="Times New Roman" w:hAnsi="Times New Roman" w:eastAsia="宋体" w:cs="Times New Roman"/>
                <w:sz w:val="24"/>
                <w:lang w:val="en-US" w:eastAsia="zh-CN"/>
              </w:rPr>
              <w:t xml:space="preserve">2号）符合性分析 </w:t>
            </w:r>
          </w:p>
          <w:p>
            <w:pPr>
              <w:autoSpaceDE w:val="0"/>
              <w:autoSpaceDN w:val="0"/>
              <w:adjustRightInd w:val="0"/>
              <w:snapToGrid w:val="0"/>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《中国腐植酸行业“十四五”发展规划纲要》（中腐协</w:t>
            </w:r>
            <w:r>
              <w:rPr>
                <w:sz w:val="24"/>
              </w:rPr>
              <w:t>〔</w:t>
            </w:r>
            <w:r>
              <w:rPr>
                <w:rFonts w:hint="default" w:ascii="Times New Roman" w:hAnsi="Times New Roman" w:eastAsia="宋体" w:cs="Times New Roman"/>
                <w:sz w:val="24"/>
                <w:lang w:val="en-US" w:eastAsia="zh-CN"/>
              </w:rPr>
              <w:t>2021</w:t>
            </w:r>
            <w:r>
              <w:rPr>
                <w:sz w:val="24"/>
              </w:rPr>
              <w:t>〕</w:t>
            </w:r>
            <w:r>
              <w:rPr>
                <w:rFonts w:hint="default" w:ascii="Times New Roman" w:hAnsi="Times New Roman" w:eastAsia="宋体" w:cs="Times New Roman"/>
                <w:sz w:val="24"/>
                <w:lang w:val="en-US" w:eastAsia="zh-CN"/>
              </w:rPr>
              <w:t>2号）中提出：面向</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十四五</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 xml:space="preserve">，让化肥减量化、腐植酸肥料增量化，打造腐植酸肥料国家品牌和国际品牌，‘让中国腐植酸、腐植酸肥料从土壤中来到土壤中去’成为全球共识。 </w:t>
            </w:r>
          </w:p>
          <w:p>
            <w:pPr>
              <w:autoSpaceDE w:val="0"/>
              <w:autoSpaceDN w:val="0"/>
              <w:adjustRightInd w:val="0"/>
              <w:snapToGrid w:val="0"/>
              <w:spacing w:line="360" w:lineRule="auto"/>
              <w:ind w:firstLine="480" w:firstLineChars="200"/>
            </w:pPr>
            <w:r>
              <w:rPr>
                <w:rFonts w:hint="default" w:ascii="Times New Roman" w:hAnsi="Times New Roman" w:eastAsia="宋体" w:cs="Times New Roman"/>
                <w:sz w:val="24"/>
                <w:lang w:val="en-US" w:eastAsia="zh-CN"/>
              </w:rPr>
              <w:t>本项目为年产5万吨</w:t>
            </w:r>
            <w:r>
              <w:rPr>
                <w:rFonts w:hint="eastAsia" w:ascii="Times New Roman" w:hAnsi="Times New Roman" w:eastAsia="宋体" w:cs="Times New Roman"/>
                <w:sz w:val="24"/>
                <w:lang w:val="en-US" w:eastAsia="zh-CN"/>
              </w:rPr>
              <w:t>腐植酸盐有机肥</w:t>
            </w:r>
            <w:r>
              <w:rPr>
                <w:rFonts w:hint="default" w:ascii="Times New Roman" w:hAnsi="Times New Roman" w:eastAsia="宋体" w:cs="Times New Roman"/>
                <w:sz w:val="24"/>
                <w:lang w:val="en-US" w:eastAsia="zh-CN"/>
              </w:rPr>
              <w:t>项目，产品为</w:t>
            </w:r>
            <w:r>
              <w:rPr>
                <w:rFonts w:hint="eastAsia" w:ascii="Times New Roman" w:hAnsi="Times New Roman" w:eastAsia="宋体" w:cs="Times New Roman"/>
                <w:sz w:val="24"/>
                <w:lang w:val="en-US" w:eastAsia="zh-CN"/>
              </w:rPr>
              <w:t>腐植酸</w:t>
            </w:r>
            <w:r>
              <w:rPr>
                <w:rFonts w:hint="eastAsia" w:cs="Times New Roman"/>
                <w:sz w:val="24"/>
                <w:lang w:val="en-US" w:eastAsia="zh-CN"/>
              </w:rPr>
              <w:t>钾</w:t>
            </w:r>
            <w:r>
              <w:rPr>
                <w:rFonts w:hint="eastAsia" w:ascii="Times New Roman" w:hAnsi="Times New Roman" w:eastAsia="宋体" w:cs="Times New Roman"/>
                <w:sz w:val="24"/>
                <w:lang w:val="en-US" w:eastAsia="zh-CN"/>
              </w:rPr>
              <w:t>有机肥</w:t>
            </w:r>
            <w:r>
              <w:rPr>
                <w:rFonts w:hint="eastAsia" w:cs="Times New Roman"/>
                <w:sz w:val="24"/>
                <w:lang w:val="en-US" w:eastAsia="zh-CN"/>
              </w:rPr>
              <w:t>、腐植酸复混有机肥</w:t>
            </w:r>
            <w:r>
              <w:rPr>
                <w:rFonts w:hint="default" w:ascii="Times New Roman" w:hAnsi="Times New Roman" w:eastAsia="宋体" w:cs="Times New Roman"/>
                <w:sz w:val="24"/>
                <w:lang w:val="en-US" w:eastAsia="zh-CN"/>
              </w:rPr>
              <w:t>，提高腐植酸肥料产量，符合《中国腐植酸行业“十四五”发展规划纲要》的要求。</w:t>
            </w:r>
          </w:p>
          <w:p>
            <w:pPr>
              <w:numPr>
                <w:ilvl w:val="0"/>
                <w:numId w:val="0"/>
              </w:numPr>
              <w:bidi w:val="0"/>
              <w:spacing w:line="360" w:lineRule="auto"/>
              <w:rPr>
                <w:rFonts w:hint="default"/>
                <w:lang w:val="en-US" w:eastAsia="zh-CN"/>
              </w:rPr>
            </w:pPr>
            <w:r>
              <w:rPr>
                <w:rFonts w:hint="eastAsia"/>
                <w:b/>
                <w:bCs/>
                <w:sz w:val="24"/>
                <w:szCs w:val="32"/>
                <w:lang w:val="en-US" w:eastAsia="zh-CN"/>
              </w:rPr>
              <w:t>2.地方规划符合性分析</w:t>
            </w:r>
          </w:p>
          <w:p>
            <w:pPr>
              <w:pStyle w:val="44"/>
              <w:spacing w:line="360" w:lineRule="auto"/>
              <w:rPr>
                <w:color w:val="auto"/>
                <w:kern w:val="0"/>
                <w:highlight w:val="none"/>
              </w:rPr>
            </w:pPr>
            <w:r>
              <w:rPr>
                <w:rFonts w:hint="eastAsia"/>
                <w:color w:val="auto"/>
                <w:kern w:val="0"/>
                <w:highlight w:val="none"/>
              </w:rPr>
              <w:t>（1）与《新疆维吾尔自治区生态环境保护“十四五”规划》符合性分析</w:t>
            </w:r>
          </w:p>
          <w:p>
            <w:pPr>
              <w:keepNext w:val="0"/>
              <w:keepLines w:val="0"/>
              <w:widowControl/>
              <w:suppressLineNumbers w:val="0"/>
              <w:spacing w:line="360" w:lineRule="auto"/>
              <w:ind w:firstLine="480" w:firstLineChars="2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根据自治区党委、自治区人民政府印发《新疆生态环境保护</w:t>
            </w:r>
            <w:r>
              <w:rPr>
                <w:rFonts w:ascii="TimesNewRomanPSMT" w:hAnsi="TimesNewRomanPSMT" w:eastAsia="TimesNewRomanPSMT" w:cs="TimesNewRomanPSMT"/>
                <w:b w:val="0"/>
                <w:bCs w:val="0"/>
                <w:color w:val="000000"/>
                <w:kern w:val="0"/>
                <w:sz w:val="24"/>
                <w:szCs w:val="24"/>
                <w:lang w:val="en-US" w:eastAsia="zh-CN" w:bidi="ar"/>
              </w:rPr>
              <w:t>“</w:t>
            </w:r>
            <w:r>
              <w:rPr>
                <w:rFonts w:ascii="宋体" w:hAnsi="宋体" w:eastAsia="宋体" w:cs="宋体"/>
                <w:b w:val="0"/>
                <w:bCs w:val="0"/>
                <w:color w:val="000000"/>
                <w:kern w:val="0"/>
                <w:sz w:val="24"/>
                <w:szCs w:val="24"/>
                <w:lang w:val="en-US" w:eastAsia="zh-CN" w:bidi="ar"/>
              </w:rPr>
              <w:t>十四五</w:t>
            </w:r>
            <w:r>
              <w:rPr>
                <w:rFonts w:hint="default" w:ascii="TimesNewRomanPSMT" w:hAnsi="TimesNewRomanPSMT" w:eastAsia="TimesNewRomanPSMT" w:cs="TimesNewRomanPSMT"/>
                <w:b w:val="0"/>
                <w:bCs w:val="0"/>
                <w:color w:val="000000"/>
                <w:kern w:val="0"/>
                <w:sz w:val="24"/>
                <w:szCs w:val="24"/>
                <w:lang w:val="en-US" w:eastAsia="zh-CN" w:bidi="ar"/>
              </w:rPr>
              <w:t xml:space="preserve">” </w:t>
            </w:r>
            <w:r>
              <w:rPr>
                <w:rFonts w:ascii="宋体" w:hAnsi="宋体" w:eastAsia="宋体" w:cs="宋体"/>
                <w:b w:val="0"/>
                <w:bCs w:val="0"/>
                <w:color w:val="000000"/>
                <w:kern w:val="0"/>
                <w:sz w:val="24"/>
                <w:szCs w:val="24"/>
                <w:lang w:val="en-US" w:eastAsia="zh-CN" w:bidi="ar"/>
              </w:rPr>
              <w:t>规划》相关内容：展望</w:t>
            </w:r>
            <w:r>
              <w:rPr>
                <w:rFonts w:hint="default" w:ascii="TimesNewRomanPSMT" w:hAnsi="TimesNewRomanPSMT" w:eastAsia="TimesNewRomanPSMT" w:cs="TimesNewRomanPSMT"/>
                <w:b w:val="0"/>
                <w:bCs w:val="0"/>
                <w:color w:val="000000"/>
                <w:kern w:val="0"/>
                <w:sz w:val="24"/>
                <w:szCs w:val="24"/>
                <w:lang w:val="en-US" w:eastAsia="zh-CN" w:bidi="ar"/>
              </w:rPr>
              <w:t>2035</w:t>
            </w:r>
            <w:r>
              <w:rPr>
                <w:rFonts w:ascii="宋体" w:hAnsi="宋体" w:eastAsia="宋体" w:cs="宋体"/>
                <w:b w:val="0"/>
                <w:bCs w:val="0"/>
                <w:color w:val="000000"/>
                <w:kern w:val="0"/>
                <w:sz w:val="24"/>
                <w:szCs w:val="24"/>
                <w:lang w:val="en-US" w:eastAsia="zh-CN" w:bidi="ar"/>
              </w:rPr>
              <w:t xml:space="preserve">年，生态环境质量持续改善，广泛形成绿色生产生活方式，美丽新疆建设目标基本实现。 </w:t>
            </w:r>
          </w:p>
          <w:p>
            <w:pPr>
              <w:keepNext w:val="0"/>
              <w:keepLines w:val="0"/>
              <w:widowControl/>
              <w:suppressLineNumbers w:val="0"/>
              <w:spacing w:line="360" w:lineRule="auto"/>
              <w:ind w:firstLine="480" w:firstLineChars="2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第三节持续推进涉气污染源治理，实施重点行业氮氧化物（以下简 称“</w:t>
            </w:r>
            <w:r>
              <w:rPr>
                <w:rFonts w:hint="default" w:ascii="TimesNewRomanPSMT" w:hAnsi="TimesNewRomanPSMT" w:eastAsia="TimesNewRomanPSMT" w:cs="TimesNewRomanPSMT"/>
                <w:b w:val="0"/>
                <w:bCs w:val="0"/>
                <w:color w:val="000000"/>
                <w:kern w:val="0"/>
                <w:sz w:val="24"/>
                <w:szCs w:val="24"/>
                <w:lang w:val="en-US" w:eastAsia="zh-CN" w:bidi="ar"/>
              </w:rPr>
              <w:t>NO</w:t>
            </w:r>
            <w:r>
              <w:rPr>
                <w:rFonts w:hint="eastAsia" w:ascii="TimesNewRomanPSMT" w:hAnsi="TimesNewRomanPSMT" w:eastAsia="TimesNewRomanPSMT" w:cs="TimesNewRomanPSMT"/>
                <w:b w:val="0"/>
                <w:bCs w:val="0"/>
                <w:color w:val="000000"/>
                <w:kern w:val="0"/>
                <w:sz w:val="24"/>
                <w:szCs w:val="24"/>
                <w:vertAlign w:val="subscript"/>
                <w:lang w:val="en-US" w:eastAsia="zh-CN" w:bidi="ar"/>
              </w:rPr>
              <w:t>X</w:t>
            </w:r>
            <w:r>
              <w:rPr>
                <w:rFonts w:ascii="宋体" w:hAnsi="宋体" w:eastAsia="宋体" w:cs="宋体"/>
                <w:b w:val="0"/>
                <w:bCs w:val="0"/>
                <w:color w:val="000000"/>
                <w:kern w:val="0"/>
                <w:sz w:val="24"/>
                <w:szCs w:val="24"/>
                <w:lang w:val="en-US" w:eastAsia="zh-CN" w:bidi="ar"/>
              </w:rPr>
              <w:t>”）等污染物深度治理。持续推进钢铁、水泥、焦化行业超低排 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w:t>
            </w:r>
            <w:r>
              <w:rPr>
                <w:rFonts w:hint="eastAsia" w:ascii="宋体" w:hAnsi="宋体" w:eastAsia="宋体" w:cs="宋体"/>
                <w:b w:val="0"/>
                <w:bCs w:val="0"/>
                <w:color w:val="000000"/>
                <w:kern w:val="0"/>
                <w:sz w:val="24"/>
                <w:szCs w:val="24"/>
                <w:lang w:val="en-US" w:eastAsia="zh-CN" w:bidi="ar"/>
              </w:rPr>
              <w:t>、</w:t>
            </w:r>
            <w:r>
              <w:rPr>
                <w:rFonts w:ascii="宋体" w:hAnsi="宋体" w:eastAsia="宋体" w:cs="宋体"/>
                <w:b w:val="0"/>
                <w:bCs w:val="0"/>
                <w:color w:val="000000"/>
                <w:kern w:val="0"/>
                <w:sz w:val="24"/>
                <w:szCs w:val="24"/>
                <w:lang w:val="en-US" w:eastAsia="zh-CN" w:bidi="ar"/>
              </w:rPr>
              <w:t xml:space="preserve">石油化工等行业，严格控制物料储存、输送及生产工艺过程无组织排放。重点涉气排放企业逐步取消烟气旁路，因安全生产无法取消的，安装在线监控系统。 </w:t>
            </w:r>
          </w:p>
          <w:p>
            <w:pPr>
              <w:bidi w:val="0"/>
              <w:spacing w:line="360" w:lineRule="auto"/>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本项目采用</w:t>
            </w:r>
            <w:r>
              <w:rPr>
                <w:rFonts w:ascii="宋体" w:hAnsi="宋体" w:eastAsia="宋体" w:cs="宋体"/>
                <w:b w:val="0"/>
                <w:bCs w:val="0"/>
                <w:color w:val="000000"/>
                <w:sz w:val="24"/>
                <w:szCs w:val="24"/>
                <w:highlight w:val="none"/>
              </w:rPr>
              <w:t>合理</w:t>
            </w:r>
            <w:r>
              <w:rPr>
                <w:rFonts w:hint="eastAsia" w:ascii="宋体" w:hAnsi="宋体" w:cs="宋体"/>
                <w:b w:val="0"/>
                <w:bCs w:val="0"/>
                <w:color w:val="000000"/>
                <w:sz w:val="24"/>
                <w:szCs w:val="24"/>
                <w:highlight w:val="none"/>
                <w:lang w:val="en-US" w:eastAsia="zh-CN"/>
              </w:rPr>
              <w:t>颗粒物</w:t>
            </w:r>
            <w:r>
              <w:rPr>
                <w:rFonts w:ascii="宋体" w:hAnsi="宋体" w:eastAsia="宋体" w:cs="宋体"/>
                <w:b w:val="0"/>
                <w:bCs w:val="0"/>
                <w:color w:val="000000"/>
                <w:sz w:val="24"/>
                <w:szCs w:val="24"/>
                <w:highlight w:val="none"/>
              </w:rPr>
              <w:t>处理措施</w:t>
            </w:r>
            <w:r>
              <w:rPr>
                <w:rFonts w:ascii="宋体" w:hAnsi="宋体" w:eastAsia="宋体" w:cs="宋体"/>
                <w:b w:val="0"/>
                <w:bCs w:val="0"/>
                <w:color w:val="000000"/>
                <w:sz w:val="24"/>
                <w:szCs w:val="24"/>
              </w:rPr>
              <w:t>，可实现达标排放，满足《新疆生态环境保护</w:t>
            </w:r>
            <w:r>
              <w:rPr>
                <w:rFonts w:ascii="TimesNewRomanPSMT" w:hAnsi="TimesNewRomanPSMT" w:eastAsia="TimesNewRomanPSMT" w:cs="TimesNewRomanPSMT"/>
                <w:b w:val="0"/>
                <w:bCs w:val="0"/>
                <w:color w:val="000000"/>
                <w:sz w:val="24"/>
                <w:szCs w:val="24"/>
              </w:rPr>
              <w:t>“</w:t>
            </w:r>
            <w:r>
              <w:rPr>
                <w:rFonts w:ascii="宋体" w:hAnsi="宋体" w:eastAsia="宋体" w:cs="宋体"/>
                <w:b w:val="0"/>
                <w:bCs w:val="0"/>
                <w:color w:val="000000"/>
                <w:sz w:val="24"/>
                <w:szCs w:val="24"/>
              </w:rPr>
              <w:t>十四五</w:t>
            </w:r>
            <w:r>
              <w:rPr>
                <w:rFonts w:hint="default" w:ascii="TimesNewRomanPSMT" w:hAnsi="TimesNewRomanPSMT" w:eastAsia="TimesNewRomanPSMT" w:cs="TimesNewRomanPSMT"/>
                <w:b w:val="0"/>
                <w:bCs w:val="0"/>
                <w:color w:val="000000"/>
                <w:sz w:val="24"/>
                <w:szCs w:val="24"/>
              </w:rPr>
              <w:t>”</w:t>
            </w:r>
            <w:r>
              <w:rPr>
                <w:rFonts w:ascii="宋体" w:hAnsi="宋体" w:eastAsia="宋体" w:cs="宋体"/>
                <w:b w:val="0"/>
                <w:bCs w:val="0"/>
                <w:color w:val="000000"/>
                <w:sz w:val="24"/>
                <w:szCs w:val="24"/>
              </w:rPr>
              <w:t>规划》相关内容及要求。</w:t>
            </w:r>
          </w:p>
          <w:p>
            <w:pPr>
              <w:numPr>
                <w:ilvl w:val="0"/>
                <w:numId w:val="0"/>
              </w:numPr>
              <w:bidi w:val="0"/>
              <w:spacing w:line="360" w:lineRule="auto"/>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kern w:val="2"/>
                <w:sz w:val="24"/>
                <w:szCs w:val="24"/>
                <w:lang w:val="en-US" w:eastAsia="zh-CN" w:bidi="ar-SA"/>
              </w:rPr>
              <w:t>（2）</w:t>
            </w:r>
            <w:r>
              <w:rPr>
                <w:rFonts w:ascii="宋体" w:hAnsi="宋体" w:eastAsia="宋体" w:cs="宋体"/>
                <w:b w:val="0"/>
                <w:bCs w:val="0"/>
                <w:color w:val="000000"/>
                <w:sz w:val="24"/>
                <w:szCs w:val="24"/>
              </w:rPr>
              <w:t>与《奇台县生态建设与环境保护第十四个五年规划》符合性分析</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规划指出：</w:t>
            </w:r>
            <w:r>
              <w:rPr>
                <w:rFonts w:hint="eastAsia"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十四五</w:t>
            </w:r>
            <w:r>
              <w:rPr>
                <w:rFonts w:hint="eastAsia"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时期奇台县将立足生态环境质量持续改善，全县细颗粒物（</w:t>
            </w:r>
            <w:r>
              <w:rPr>
                <w:rFonts w:hint="default" w:ascii="Times New Roman" w:hAnsi="Times New Roman" w:eastAsia="TimesNewRomanPSMT" w:cs="Times New Roman"/>
                <w:b w:val="0"/>
                <w:bCs w:val="0"/>
                <w:color w:val="000000"/>
                <w:kern w:val="0"/>
                <w:sz w:val="24"/>
                <w:szCs w:val="24"/>
                <w:lang w:val="en-US" w:eastAsia="zh-CN" w:bidi="ar"/>
              </w:rPr>
              <w:t>PM</w:t>
            </w:r>
            <w:r>
              <w:rPr>
                <w:rFonts w:hint="default" w:ascii="Times New Roman" w:hAnsi="Times New Roman" w:eastAsia="TimesNewRomanPSMT" w:cs="Times New Roman"/>
                <w:b w:val="0"/>
                <w:bCs w:val="0"/>
                <w:color w:val="000000"/>
                <w:kern w:val="0"/>
                <w:sz w:val="15"/>
                <w:szCs w:val="15"/>
                <w:lang w:val="en-US" w:eastAsia="zh-CN" w:bidi="ar"/>
              </w:rPr>
              <w:t>2.5</w:t>
            </w:r>
            <w:r>
              <w:rPr>
                <w:rFonts w:hint="default" w:ascii="Times New Roman" w:hAnsi="Times New Roman" w:eastAsia="宋体" w:cs="Times New Roman"/>
                <w:b w:val="0"/>
                <w:bCs w:val="0"/>
                <w:color w:val="000000"/>
                <w:kern w:val="0"/>
                <w:sz w:val="24"/>
                <w:szCs w:val="24"/>
                <w:lang w:val="en-US" w:eastAsia="zh-CN" w:bidi="ar"/>
              </w:rPr>
              <w:t xml:space="preserve">）浓度保持在国家二级标准 </w:t>
            </w:r>
            <w:r>
              <w:rPr>
                <w:rFonts w:hint="default" w:ascii="Times New Roman" w:hAnsi="Times New Roman" w:eastAsia="TimesNewRomanPSMT" w:cs="Times New Roman"/>
                <w:b w:val="0"/>
                <w:bCs w:val="0"/>
                <w:color w:val="000000"/>
                <w:kern w:val="0"/>
                <w:sz w:val="24"/>
                <w:szCs w:val="24"/>
                <w:lang w:val="en-US" w:eastAsia="zh-CN" w:bidi="ar"/>
              </w:rPr>
              <w:t>35</w:t>
            </w:r>
            <w:r>
              <w:rPr>
                <w:rFonts w:hint="default" w:ascii="Times New Roman" w:hAnsi="Times New Roman" w:eastAsia="宋体" w:cs="Times New Roman"/>
                <w:b w:val="0"/>
                <w:bCs w:val="0"/>
                <w:color w:val="000000"/>
                <w:kern w:val="0"/>
                <w:sz w:val="24"/>
                <w:szCs w:val="24"/>
                <w:lang w:val="en-US" w:eastAsia="zh-CN" w:bidi="ar"/>
              </w:rPr>
              <w:t>μ</w:t>
            </w:r>
            <w:r>
              <w:rPr>
                <w:rFonts w:hint="default" w:ascii="Times New Roman" w:hAnsi="Times New Roman" w:eastAsia="TimesNewRomanPSMT" w:cs="Times New Roman"/>
                <w:b w:val="0"/>
                <w:bCs w:val="0"/>
                <w:color w:val="000000"/>
                <w:kern w:val="0"/>
                <w:sz w:val="24"/>
                <w:szCs w:val="24"/>
                <w:lang w:val="en-US" w:eastAsia="zh-CN" w:bidi="ar"/>
              </w:rPr>
              <w:t>g/m</w:t>
            </w:r>
            <w:r>
              <w:rPr>
                <w:rFonts w:hint="default" w:ascii="Times New Roman" w:hAnsi="Times New Roman" w:eastAsia="TimesNewRomanPSMT" w:cs="Times New Roman"/>
                <w:b w:val="0"/>
                <w:bCs w:val="0"/>
                <w:color w:val="000000"/>
                <w:kern w:val="0"/>
                <w:sz w:val="15"/>
                <w:szCs w:val="15"/>
                <w:lang w:val="en-US" w:eastAsia="zh-CN" w:bidi="ar"/>
              </w:rPr>
              <w:t>3</w:t>
            </w:r>
            <w:r>
              <w:rPr>
                <w:rFonts w:hint="default" w:ascii="Times New Roman" w:hAnsi="Times New Roman" w:eastAsia="宋体" w:cs="Times New Roman"/>
                <w:b w:val="0"/>
                <w:bCs w:val="0"/>
                <w:color w:val="000000"/>
                <w:kern w:val="0"/>
                <w:sz w:val="24"/>
                <w:szCs w:val="24"/>
                <w:lang w:val="en-US" w:eastAsia="zh-CN" w:bidi="ar"/>
              </w:rPr>
              <w:t>以内，空气质量优良天数比例达到</w:t>
            </w:r>
            <w:r>
              <w:rPr>
                <w:rFonts w:hint="default" w:ascii="Times New Roman" w:hAnsi="Times New Roman" w:eastAsia="TimesNewRomanPSMT" w:cs="Times New Roman"/>
                <w:b w:val="0"/>
                <w:bCs w:val="0"/>
                <w:color w:val="000000"/>
                <w:kern w:val="0"/>
                <w:sz w:val="24"/>
                <w:szCs w:val="24"/>
                <w:lang w:val="en-US" w:eastAsia="zh-CN" w:bidi="ar"/>
              </w:rPr>
              <w:t>84.1%</w:t>
            </w:r>
            <w:r>
              <w:rPr>
                <w:rFonts w:hint="default" w:ascii="Times New Roman" w:hAnsi="Times New Roman" w:eastAsia="宋体" w:cs="Times New Roman"/>
                <w:b w:val="0"/>
                <w:bCs w:val="0"/>
                <w:color w:val="000000"/>
                <w:kern w:val="0"/>
                <w:sz w:val="24"/>
                <w:szCs w:val="24"/>
                <w:lang w:val="en-US" w:eastAsia="zh-CN" w:bidi="ar"/>
              </w:rPr>
              <w:t>以上；水环境质量持续改善，水生态建设得到加强；土壤安全利用水平稳中求进；固体废物与化学品环境风险防控能力明显增强，环境风险有效控制</w:t>
            </w:r>
            <w:r>
              <w:rPr>
                <w:rFonts w:hint="eastAsia"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主要污染物排放总量持续减少，有效控制温室气体排放；生态系统质量和稳定性进一步提升，社会经济发展与生态环境保护进一步融合，生态环境治理体系与治理能力现代化迈出重大步伐，治理效能得到新提升，生态文明建设实现新进步，蓝天白云、清水绿岸、良田沃土成为美丽奇台的鲜明特征，人民群众生态环境获得感、幸福感和安全感进一步提升。</w:t>
            </w:r>
          </w:p>
          <w:p>
            <w:pPr>
              <w:bidi w:val="0"/>
              <w:spacing w:line="360" w:lineRule="auto"/>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本项目采用</w:t>
            </w:r>
            <w:r>
              <w:rPr>
                <w:rFonts w:ascii="宋体" w:hAnsi="宋体" w:eastAsia="宋体" w:cs="宋体"/>
                <w:b w:val="0"/>
                <w:bCs w:val="0"/>
                <w:color w:val="000000"/>
                <w:sz w:val="24"/>
                <w:szCs w:val="24"/>
                <w:highlight w:val="none"/>
              </w:rPr>
              <w:t>合理</w:t>
            </w:r>
            <w:r>
              <w:rPr>
                <w:rFonts w:hint="eastAsia" w:ascii="宋体" w:hAnsi="宋体" w:eastAsia="宋体" w:cs="宋体"/>
                <w:b w:val="0"/>
                <w:bCs w:val="0"/>
                <w:color w:val="000000"/>
                <w:sz w:val="24"/>
                <w:szCs w:val="24"/>
                <w:highlight w:val="none"/>
                <w:lang w:val="en-US" w:eastAsia="zh-CN"/>
              </w:rPr>
              <w:t>废气、废水、固废</w:t>
            </w:r>
            <w:r>
              <w:rPr>
                <w:rFonts w:ascii="宋体" w:hAnsi="宋体" w:eastAsia="宋体" w:cs="宋体"/>
                <w:b w:val="0"/>
                <w:bCs w:val="0"/>
                <w:color w:val="000000"/>
                <w:sz w:val="24"/>
                <w:szCs w:val="24"/>
                <w:highlight w:val="none"/>
              </w:rPr>
              <w:t>处理措施</w:t>
            </w:r>
            <w:r>
              <w:rPr>
                <w:rFonts w:ascii="宋体" w:hAnsi="宋体" w:eastAsia="宋体" w:cs="宋体"/>
                <w:b w:val="0"/>
                <w:bCs w:val="0"/>
                <w:color w:val="000000"/>
                <w:sz w:val="24"/>
                <w:szCs w:val="24"/>
              </w:rPr>
              <w:t>，可实现达标排放，满足《奇台县生态建设与环境保护第十四个五年规划》相关内容及要求。</w:t>
            </w:r>
          </w:p>
          <w:p>
            <w:pPr>
              <w:keepNext w:val="0"/>
              <w:keepLines w:val="0"/>
              <w:widowControl/>
              <w:numPr>
                <w:ilvl w:val="0"/>
                <w:numId w:val="0"/>
              </w:numPr>
              <w:suppressLineNumbers w:val="0"/>
              <w:spacing w:line="360" w:lineRule="auto"/>
              <w:ind w:left="0" w:leftChars="0" w:firstLine="480" w:firstLineChars="2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 xml:space="preserve">（3）与《新疆维吾尔自治区大气污染防治条例》符合性分析 </w:t>
            </w:r>
          </w:p>
          <w:p>
            <w:pPr>
              <w:keepNext w:val="0"/>
              <w:keepLines w:val="0"/>
              <w:widowControl/>
              <w:numPr>
                <w:ilvl w:val="0"/>
                <w:numId w:val="0"/>
              </w:numPr>
              <w:suppressLineNumbers w:val="0"/>
              <w:spacing w:line="360" w:lineRule="auto"/>
              <w:ind w:firstLine="480" w:firstLineChars="2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 xml:space="preserve">《新疆维吾尔自治区大气污染防治条例》提出：“各级人民政府应当实行煤炭消费总量控制制度，采取有利于煤炭消费总量削减的经济、技术政策和措施，鼓励和支持清洁能源的开发利用，引导企业开展清洁能源替代，减少煤炭生产、使用、转化过程中的大气污染物排放。 </w:t>
            </w:r>
          </w:p>
          <w:p>
            <w:pPr>
              <w:keepNext w:val="0"/>
              <w:keepLines w:val="0"/>
              <w:widowControl/>
              <w:numPr>
                <w:ilvl w:val="0"/>
                <w:numId w:val="0"/>
              </w:numPr>
              <w:suppressLineNumbers w:val="0"/>
              <w:spacing w:line="360" w:lineRule="auto"/>
              <w:ind w:firstLine="480" w:firstLineChars="200"/>
              <w:jc w:val="left"/>
            </w:pPr>
            <w:r>
              <w:rPr>
                <w:rFonts w:ascii="TimesNewRomanPSMT" w:hAnsi="TimesNewRomanPSMT" w:eastAsia="TimesNewRomanPSMT" w:cs="TimesNewRomanPSMT"/>
                <w:b w:val="0"/>
                <w:bCs w:val="0"/>
                <w:color w:val="000000"/>
                <w:kern w:val="0"/>
                <w:sz w:val="24"/>
                <w:szCs w:val="24"/>
                <w:lang w:val="en-US" w:eastAsia="zh-CN" w:bidi="ar"/>
              </w:rPr>
              <w:t>“</w:t>
            </w:r>
            <w:r>
              <w:rPr>
                <w:rFonts w:ascii="宋体" w:hAnsi="宋体" w:eastAsia="宋体" w:cs="宋体"/>
                <w:b w:val="0"/>
                <w:bCs w:val="0"/>
                <w:color w:val="000000"/>
                <w:kern w:val="0"/>
                <w:sz w:val="24"/>
                <w:szCs w:val="24"/>
                <w:lang w:val="en-US" w:eastAsia="zh-CN" w:bidi="ar"/>
              </w:rPr>
              <w:t>禁止在自治区行政区域内引进能（水）耗不符合相关国家标准中准入值要求且污染物排放和环境风险防控不符合国家（地方）标准及有关产业准入条件的高污染（排放）、高能（水）耗、高环境风险的工业项目</w:t>
            </w:r>
            <w:r>
              <w:rPr>
                <w:rFonts w:hint="eastAsia" w:ascii="宋体" w:hAnsi="宋体" w:eastAsia="宋体" w:cs="宋体"/>
                <w:b w:val="0"/>
                <w:bCs w:val="0"/>
                <w:color w:val="000000"/>
                <w:kern w:val="0"/>
                <w:sz w:val="24"/>
                <w:szCs w:val="24"/>
                <w:lang w:val="en-US" w:eastAsia="zh-CN" w:bidi="ar"/>
              </w:rPr>
              <w:t>。</w:t>
            </w:r>
            <w:r>
              <w:rPr>
                <w:rFonts w:ascii="宋体" w:hAnsi="宋体" w:eastAsia="宋体" w:cs="宋体"/>
                <w:b w:val="0"/>
                <w:bCs w:val="0"/>
                <w:color w:val="000000"/>
                <w:kern w:val="0"/>
                <w:sz w:val="24"/>
                <w:szCs w:val="24"/>
                <w:lang w:val="en-US" w:eastAsia="zh-CN" w:bidi="ar"/>
              </w:rPr>
              <w:t>禁止新建、改建、扩建列入淘汰类目录的高污染工业项目。禁止使用列入淘汰类目录的工艺、设备、产品。</w:t>
            </w:r>
            <w:r>
              <w:rPr>
                <w:rFonts w:ascii="TimesNewRomanPSMT" w:hAnsi="TimesNewRomanPSMT" w:eastAsia="TimesNewRomanPSMT" w:cs="TimesNewRomanPSMT"/>
                <w:b w:val="0"/>
                <w:bCs w:val="0"/>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 xml:space="preserve">“自治区人民政府工业和信息化、发展和改革、生态环境等部门制定产业结构调整目录时，应当将严重污染大气的工艺、设备、产品列入淘汰目录。州、市（地）、县（市、区）人民政府（行政公署）应当组织制定现有高污染工业项目标准改造或者关停计划，并组织实施。禁止新建、改 建、扩建列入淘汰类目录的高污染工业项目。禁止使用列入淘汰类目录的工艺、设备、产品”。 </w:t>
            </w:r>
          </w:p>
          <w:p>
            <w:pPr>
              <w:bidi w:val="0"/>
              <w:spacing w:line="360" w:lineRule="auto"/>
              <w:ind w:firstLine="480" w:firstLineChars="200"/>
              <w:rPr>
                <w:sz w:val="24"/>
                <w:szCs w:val="32"/>
                <w:highlight w:val="none"/>
                <w:lang w:val="en-US" w:eastAsia="zh-CN"/>
              </w:rPr>
            </w:pPr>
            <w:r>
              <w:rPr>
                <w:rFonts w:ascii="宋体" w:hAnsi="宋体" w:eastAsia="宋体" w:cs="宋体"/>
                <w:b w:val="0"/>
                <w:bCs w:val="0"/>
                <w:color w:val="000000"/>
                <w:kern w:val="0"/>
                <w:sz w:val="24"/>
                <w:szCs w:val="32"/>
                <w:highlight w:val="none"/>
                <w:lang w:val="en-US" w:eastAsia="zh-CN" w:bidi="ar"/>
              </w:rPr>
              <w:t>本项目</w:t>
            </w:r>
            <w:r>
              <w:rPr>
                <w:rFonts w:hint="eastAsia" w:ascii="宋体" w:hAnsi="宋体" w:cs="宋体"/>
                <w:b w:val="0"/>
                <w:bCs w:val="0"/>
                <w:color w:val="000000"/>
                <w:kern w:val="0"/>
                <w:sz w:val="24"/>
                <w:szCs w:val="32"/>
                <w:highlight w:val="none"/>
                <w:lang w:val="en-US" w:eastAsia="zh-CN" w:bidi="ar"/>
              </w:rPr>
              <w:t>不属于三高项目，</w:t>
            </w:r>
            <w:r>
              <w:rPr>
                <w:rFonts w:ascii="宋体" w:hAnsi="宋体" w:eastAsia="宋体" w:cs="宋体"/>
                <w:b w:val="0"/>
                <w:bCs w:val="0"/>
                <w:color w:val="000000"/>
                <w:sz w:val="24"/>
                <w:szCs w:val="24"/>
                <w:highlight w:val="none"/>
              </w:rPr>
              <w:t>项目生产过程中产生的废气、生活污水、噪声、固废等采取有效的治理措施，对周围环境影响较小。</w:t>
            </w:r>
            <w:r>
              <w:rPr>
                <w:rFonts w:ascii="宋体" w:hAnsi="宋体" w:eastAsia="宋体" w:cs="宋体"/>
                <w:b w:val="0"/>
                <w:bCs w:val="0"/>
                <w:color w:val="000000"/>
                <w:kern w:val="0"/>
                <w:sz w:val="24"/>
                <w:szCs w:val="32"/>
                <w:highlight w:val="none"/>
                <w:lang w:val="en-US" w:eastAsia="zh-CN" w:bidi="ar"/>
              </w:rPr>
              <w:t>所用设备不属于淘汰目录内的淘汰设备，符合《新疆维吾尔自治区大气污染防治条例》要</w:t>
            </w:r>
            <w:r>
              <w:rPr>
                <w:sz w:val="24"/>
                <w:szCs w:val="32"/>
                <w:highlight w:val="none"/>
                <w:lang w:val="en-US" w:eastAsia="zh-CN"/>
              </w:rPr>
              <w:t>求。</w:t>
            </w:r>
          </w:p>
          <w:p>
            <w:pPr>
              <w:bidi w:val="0"/>
              <w:spacing w:line="360" w:lineRule="auto"/>
              <w:rPr>
                <w:b/>
                <w:bCs/>
                <w:sz w:val="24"/>
                <w:szCs w:val="32"/>
              </w:rPr>
            </w:pPr>
            <w:r>
              <w:rPr>
                <w:rFonts w:hint="eastAsia"/>
                <w:b/>
                <w:bCs/>
                <w:sz w:val="24"/>
                <w:szCs w:val="32"/>
                <w:lang w:val="en-US" w:eastAsia="zh-CN"/>
              </w:rPr>
              <w:t>3.</w:t>
            </w:r>
            <w:r>
              <w:rPr>
                <w:rFonts w:hint="eastAsia"/>
                <w:b/>
                <w:bCs/>
                <w:sz w:val="24"/>
                <w:szCs w:val="32"/>
              </w:rPr>
              <w:t xml:space="preserve"> </w:t>
            </w:r>
            <w:r>
              <w:rPr>
                <w:b/>
                <w:bCs/>
                <w:sz w:val="24"/>
                <w:szCs w:val="32"/>
              </w:rPr>
              <w:t>“三线一单”符合性分析</w:t>
            </w:r>
          </w:p>
          <w:p>
            <w:pPr>
              <w:bidi w:val="0"/>
              <w:spacing w:line="360" w:lineRule="auto"/>
              <w:ind w:firstLine="480" w:firstLineChars="200"/>
              <w:rPr>
                <w:rFonts w:hint="default"/>
                <w:sz w:val="24"/>
                <w:szCs w:val="32"/>
                <w:lang w:val="en-US" w:eastAsia="zh-CN"/>
              </w:rPr>
            </w:pPr>
            <w:r>
              <w:rPr>
                <w:rFonts w:hint="default"/>
                <w:sz w:val="24"/>
                <w:szCs w:val="32"/>
                <w:lang w:val="en-US" w:eastAsia="zh-CN"/>
              </w:rPr>
              <w:t>（</w:t>
            </w:r>
            <w:r>
              <w:rPr>
                <w:rFonts w:hint="eastAsia"/>
                <w:sz w:val="24"/>
                <w:szCs w:val="32"/>
                <w:lang w:val="en-US" w:eastAsia="zh-CN"/>
              </w:rPr>
              <w:t>1</w:t>
            </w:r>
            <w:r>
              <w:rPr>
                <w:rFonts w:hint="default"/>
                <w:sz w:val="24"/>
                <w:szCs w:val="32"/>
                <w:lang w:val="en-US" w:eastAsia="zh-CN"/>
              </w:rPr>
              <w:t>）与《新疆维吾尔自治区“三线一单”生态环境分区管控方案》（新政发</w:t>
            </w:r>
            <w:r>
              <w:rPr>
                <w:rFonts w:hint="default"/>
                <w:sz w:val="24"/>
                <w:szCs w:val="32"/>
              </w:rPr>
              <w:t>〔</w:t>
            </w:r>
            <w:r>
              <w:rPr>
                <w:rFonts w:hint="default"/>
                <w:sz w:val="24"/>
                <w:szCs w:val="32"/>
                <w:lang w:val="en-US" w:eastAsia="zh-CN"/>
              </w:rPr>
              <w:t>2021</w:t>
            </w:r>
            <w:r>
              <w:rPr>
                <w:rFonts w:hint="default"/>
                <w:sz w:val="24"/>
                <w:szCs w:val="32"/>
              </w:rPr>
              <w:t>〕</w:t>
            </w:r>
            <w:r>
              <w:rPr>
                <w:rFonts w:hint="default"/>
                <w:sz w:val="24"/>
                <w:szCs w:val="32"/>
                <w:lang w:val="en-US" w:eastAsia="zh-CN"/>
              </w:rPr>
              <w:t>18号）的符合性分析</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根据《关于以改善环境质量为核心加强环境影响评价管理的通知》</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环环评</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2016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150号</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和《新疆维吾尔自治区“三线一单”生态环境分区管控方案》</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新政发</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2021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18号</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要求，落实“生态保护红线、环境质量底线、资源利用上线和生态环境准入清单”</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简称“三线一单”</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约束，更好地发挥环评制度从源头防范环境污染和生态破坏的作用，加快推进改善环境质量。本项目建设与新疆维吾尔自治区“三线一单”的符合性分析见表1-</w:t>
            </w:r>
            <w:r>
              <w:rPr>
                <w:rFonts w:hint="eastAsia" w:cs="Times New Roman"/>
                <w:sz w:val="24"/>
                <w:szCs w:val="24"/>
                <w:lang w:val="en-US" w:eastAsia="zh-CN"/>
              </w:rPr>
              <w:t>2</w:t>
            </w:r>
            <w:r>
              <w:rPr>
                <w:rFonts w:hint="default" w:ascii="Times New Roman" w:hAnsi="Times New Roman" w:eastAsia="宋体" w:cs="Times New Roman"/>
                <w:sz w:val="24"/>
                <w:szCs w:val="24"/>
                <w:lang w:val="en-US" w:eastAsia="zh-CN"/>
              </w:rPr>
              <w:t>。</w:t>
            </w:r>
          </w:p>
          <w:p>
            <w:pPr>
              <w:bidi w:val="0"/>
              <w:jc w:val="center"/>
              <w:rPr>
                <w:rFonts w:hint="default"/>
                <w:b/>
                <w:bCs/>
                <w:lang w:val="en-US" w:eastAsia="zh-CN"/>
              </w:rPr>
            </w:pPr>
            <w:r>
              <w:rPr>
                <w:rFonts w:hint="default"/>
                <w:b/>
                <w:bCs/>
                <w:lang w:val="en-US" w:eastAsia="zh-CN"/>
              </w:rPr>
              <w:t>表1-</w:t>
            </w:r>
            <w:r>
              <w:rPr>
                <w:rFonts w:hint="eastAsia"/>
                <w:b/>
                <w:bCs/>
                <w:lang w:val="en-US" w:eastAsia="zh-CN"/>
              </w:rPr>
              <w:t>2</w:t>
            </w:r>
            <w:r>
              <w:rPr>
                <w:rFonts w:hint="default"/>
                <w:b/>
                <w:bCs/>
                <w:lang w:val="en-US" w:eastAsia="zh-CN"/>
              </w:rPr>
              <w:t>新疆维吾尔自治区“三线一单”符合性分析一览表</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413"/>
              <w:gridCol w:w="2756"/>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2" w:type="pct"/>
                  <w:gridSpan w:val="2"/>
                  <w:noWrap w:val="0"/>
                  <w:vAlign w:val="center"/>
                </w:tcPr>
                <w:p>
                  <w:pPr>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内容</w:t>
                  </w:r>
                </w:p>
              </w:tc>
              <w:tc>
                <w:tcPr>
                  <w:tcW w:w="2197" w:type="pct"/>
                  <w:noWrap w:val="0"/>
                  <w:vAlign w:val="center"/>
                </w:tcPr>
                <w:p>
                  <w:pPr>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本项目工程概括</w:t>
                  </w:r>
                </w:p>
              </w:tc>
              <w:tc>
                <w:tcPr>
                  <w:tcW w:w="340" w:type="pct"/>
                  <w:noWrap w:val="0"/>
                  <w:vAlign w:val="center"/>
                </w:tcPr>
                <w:p>
                  <w:pPr>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生态保护红线</w:t>
                  </w:r>
                </w:p>
              </w:tc>
              <w:tc>
                <w:tcPr>
                  <w:tcW w:w="1924"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按照“生态功能不降低、面积不减少、性质不改变”的基本要求，对划定的生态保护红线实施严格管控，保障和维护国家生态安全的底线和生命线</w:t>
                  </w:r>
                </w:p>
              </w:tc>
              <w:tc>
                <w:tcPr>
                  <w:tcW w:w="2197"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项目位于</w:t>
                  </w:r>
                  <w:r>
                    <w:rPr>
                      <w:rFonts w:hint="eastAsia" w:ascii="Times New Roman" w:hAnsi="Times New Roman" w:eastAsia="宋体" w:cs="Times New Roman"/>
                      <w:sz w:val="21"/>
                      <w:szCs w:val="21"/>
                      <w:vertAlign w:val="baseline"/>
                      <w:lang w:val="en-US" w:eastAsia="zh-CN"/>
                    </w:rPr>
                    <w:t>奇台县喇嘛湖梁工业园</w:t>
                  </w:r>
                  <w:r>
                    <w:rPr>
                      <w:rFonts w:hint="default" w:ascii="Times New Roman" w:hAnsi="Times New Roman" w:eastAsia="宋体" w:cs="Times New Roman"/>
                      <w:sz w:val="21"/>
                      <w:szCs w:val="21"/>
                      <w:vertAlign w:val="baseline"/>
                      <w:lang w:val="en-US" w:eastAsia="zh-CN"/>
                    </w:rPr>
                    <w:t>内，占地不涉及自然保护区、森林公园、风景名胜区、世界文化自然遗产、地质公园、</w:t>
                  </w:r>
                  <w:r>
                    <w:rPr>
                      <w:rFonts w:hint="default" w:ascii="Times New Roman" w:hAnsi="Times New Roman" w:eastAsia="宋体" w:cs="Times New Roman"/>
                      <w:sz w:val="21"/>
                      <w:szCs w:val="21"/>
                    </w:rPr>
                    <w:t>饮用水源保护区</w:t>
                  </w:r>
                  <w:r>
                    <w:rPr>
                      <w:rFonts w:hint="default" w:ascii="Times New Roman" w:hAnsi="Times New Roman" w:eastAsia="宋体" w:cs="Times New Roman"/>
                      <w:sz w:val="21"/>
                      <w:szCs w:val="21"/>
                      <w:vertAlign w:val="baseline"/>
                      <w:lang w:val="en-US" w:eastAsia="zh-CN"/>
                    </w:rPr>
                    <w:t>等禁止开发的区域，也不在《新疆维吾尔自治区“三线一单”生态环境分区管控方案》中的优先保护单元和重点管控单元内。项目建成后不会恶化区域生态环境现状，满足生态保护红线及《新疆维吾尔自治区“三线一单”生态环境分区管控方案》要求。</w:t>
                  </w:r>
                </w:p>
              </w:tc>
              <w:tc>
                <w:tcPr>
                  <w:tcW w:w="340"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资源利用上线</w:t>
                  </w:r>
                </w:p>
              </w:tc>
              <w:tc>
                <w:tcPr>
                  <w:tcW w:w="1924"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强化节约集约利用，持续提升资源能源利用效率</w:t>
                  </w: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水资源、土地资源、能源消耗等达到国家、自治区下达的总量和强度控制目标。加快区域低碳发展</w:t>
                  </w: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积极推动乌鲁木齐市、昌吉市、伊宁市、和田市等4个国家级低碳试点城市发挥低碳试点示范和引领作用。</w:t>
                  </w:r>
                </w:p>
              </w:tc>
              <w:tc>
                <w:tcPr>
                  <w:tcW w:w="2197"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本项目</w:t>
                  </w:r>
                  <w:r>
                    <w:rPr>
                      <w:rFonts w:hint="default" w:ascii="Times New Roman" w:hAnsi="Times New Roman" w:eastAsia="宋体" w:cs="Times New Roman"/>
                      <w:sz w:val="21"/>
                      <w:szCs w:val="21"/>
                      <w:highlight w:val="none"/>
                      <w:vertAlign w:val="baseline"/>
                      <w:lang w:val="en-US" w:eastAsia="zh-CN"/>
                    </w:rPr>
                    <w:t>用电由园区电网供应，项目用水为园区供水管网接入，</w:t>
                  </w:r>
                  <w:r>
                    <w:rPr>
                      <w:rFonts w:hint="default" w:ascii="Times New Roman" w:hAnsi="Times New Roman" w:eastAsia="宋体" w:cs="Times New Roman"/>
                      <w:sz w:val="21"/>
                      <w:szCs w:val="21"/>
                      <w:vertAlign w:val="baseline"/>
                      <w:lang w:val="en-US" w:eastAsia="zh-CN"/>
                    </w:rPr>
                    <w:t>项目在营运过程中消耗一定的资源，项目对区域资源消耗量相对于区域资源利用总量较少，符合资源利用上线要求。</w:t>
                  </w:r>
                </w:p>
              </w:tc>
              <w:tc>
                <w:tcPr>
                  <w:tcW w:w="340"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环境质量底线</w:t>
                  </w:r>
                </w:p>
              </w:tc>
              <w:tc>
                <w:tcPr>
                  <w:tcW w:w="1924"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2197"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大气环境：本项目生产过程中大气污染物达标排放，排放总量少，对周围环境影响小。</w:t>
                  </w:r>
                  <w:r>
                    <w:rPr>
                      <w:rFonts w:hint="default" w:ascii="Times New Roman" w:hAnsi="Times New Roman" w:eastAsia="宋体" w:cs="Times New Roman"/>
                      <w:sz w:val="21"/>
                      <w:szCs w:val="21"/>
                      <w:highlight w:val="none"/>
                      <w:vertAlign w:val="baseline"/>
                      <w:lang w:val="en-US" w:eastAsia="zh-CN"/>
                    </w:rPr>
                    <w:t>水环境：本项目</w:t>
                  </w:r>
                  <w:r>
                    <w:rPr>
                      <w:rFonts w:hint="eastAsia" w:cs="Times New Roman"/>
                      <w:sz w:val="21"/>
                      <w:szCs w:val="21"/>
                      <w:highlight w:val="none"/>
                      <w:vertAlign w:val="baseline"/>
                      <w:lang w:val="en-US" w:eastAsia="zh-CN"/>
                    </w:rPr>
                    <w:t>生产废水循环使用不外排，生活污水排入园区污水管网</w:t>
                  </w:r>
                  <w:r>
                    <w:rPr>
                      <w:rFonts w:hint="default" w:ascii="Times New Roman" w:hAnsi="Times New Roman" w:eastAsia="宋体" w:cs="Times New Roman"/>
                      <w:sz w:val="21"/>
                      <w:szCs w:val="21"/>
                      <w:highlight w:val="none"/>
                      <w:vertAlign w:val="baseline"/>
                      <w:lang w:val="en-US" w:eastAsia="zh-CN"/>
                    </w:rPr>
                    <w:t>。声</w:t>
                  </w:r>
                  <w:r>
                    <w:rPr>
                      <w:rFonts w:hint="default" w:ascii="Times New Roman" w:hAnsi="Times New Roman" w:eastAsia="宋体" w:cs="Times New Roman"/>
                      <w:sz w:val="21"/>
                      <w:szCs w:val="21"/>
                      <w:vertAlign w:val="baseline"/>
                      <w:lang w:val="en-US" w:eastAsia="zh-CN"/>
                    </w:rPr>
                    <w:t>环境：项目无较大的噪声源，声环境质量良好。</w:t>
                  </w:r>
                  <w:r>
                    <w:rPr>
                      <w:rFonts w:hint="default" w:ascii="Times New Roman" w:hAnsi="Times New Roman" w:eastAsia="宋体" w:cs="Times New Roman"/>
                      <w:sz w:val="21"/>
                      <w:szCs w:val="21"/>
                      <w:highlight w:val="none"/>
                      <w:vertAlign w:val="baseline"/>
                      <w:lang w:val="en-US" w:eastAsia="zh-CN"/>
                    </w:rPr>
                    <w:t>固废：本项目生产固体废物主要为</w:t>
                  </w:r>
                  <w:r>
                    <w:rPr>
                      <w:rFonts w:hint="eastAsia" w:cs="Times New Roman"/>
                      <w:sz w:val="21"/>
                      <w:szCs w:val="21"/>
                      <w:highlight w:val="none"/>
                      <w:vertAlign w:val="baseline"/>
                      <w:lang w:val="en-US" w:eastAsia="zh-CN"/>
                    </w:rPr>
                    <w:t>除尘器收集的粉尘、筛分废物、废包装袋、废机油。除尘器收集的粉尘集中收集后回用于生产，筛分废物收集后由环卫部门统一清运，废包装袋收集后外售，废机油暂存于危废暂存间，交由有资质的单位统一处理。</w:t>
                  </w:r>
                  <w:r>
                    <w:rPr>
                      <w:rFonts w:hint="default" w:ascii="Times New Roman" w:hAnsi="Times New Roman" w:eastAsia="宋体" w:cs="Times New Roman"/>
                      <w:sz w:val="21"/>
                      <w:szCs w:val="21"/>
                      <w:vertAlign w:val="baseline"/>
                      <w:lang w:val="en-US" w:eastAsia="zh-CN"/>
                    </w:rPr>
                    <w:t>综上，项目对周围环境的影响有限，不会降低当地的大气环境质量，符合环境质量底线要求。</w:t>
                  </w:r>
                </w:p>
              </w:tc>
              <w:tc>
                <w:tcPr>
                  <w:tcW w:w="340"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pct"/>
                  <w:gridSpan w:val="2"/>
                  <w:noWrap w:val="0"/>
                  <w:vAlign w:val="center"/>
                </w:tcPr>
                <w:p>
                  <w:pPr>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生态环境准入清单</w:t>
                  </w:r>
                </w:p>
              </w:tc>
              <w:tc>
                <w:tcPr>
                  <w:tcW w:w="2197"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本项目未列入《新疆重点生态功能区产业准入负面清单》中限制类和禁止类。</w:t>
                  </w:r>
                </w:p>
              </w:tc>
              <w:tc>
                <w:tcPr>
                  <w:tcW w:w="340" w:type="pct"/>
                  <w:noWrap w:val="0"/>
                  <w:vAlign w:val="center"/>
                </w:tcPr>
                <w:p>
                  <w:pPr>
                    <w:spacing w:line="240" w:lineRule="auto"/>
                    <w:jc w:val="both"/>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符合</w:t>
                  </w:r>
                </w:p>
              </w:tc>
            </w:tr>
          </w:tbl>
          <w:p>
            <w:pPr>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）与《新疆维吾尔自治区七大片区“三线一单”生态环境分区管控要求》（新环环评发</w:t>
            </w:r>
            <w:r>
              <w:rPr>
                <w:rFonts w:hint="default" w:ascii="Times New Roman" w:hAnsi="Times New Roman" w:cs="Times New Roman"/>
                <w:sz w:val="24"/>
                <w:szCs w:val="24"/>
              </w:rPr>
              <w:t>〔2021〕</w:t>
            </w:r>
            <w:r>
              <w:rPr>
                <w:rFonts w:hint="default" w:ascii="Times New Roman" w:hAnsi="Times New Roman" w:cs="Times New Roman"/>
                <w:sz w:val="24"/>
                <w:szCs w:val="24"/>
                <w:lang w:val="en-US" w:eastAsia="zh-CN"/>
              </w:rPr>
              <w:t>162号）符合性分析</w:t>
            </w:r>
          </w:p>
          <w:p>
            <w:pPr>
              <w:bidi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cs="Times New Roman"/>
                <w:sz w:val="24"/>
                <w:szCs w:val="24"/>
              </w:rPr>
              <w:t>根据《新疆维吾尔自治区“三线一单”生态环境分区管控方案》（新环环评发〔2021〕162号），自治</w:t>
            </w:r>
            <w:r>
              <w:rPr>
                <w:rFonts w:hint="default" w:ascii="Times New Roman" w:hAnsi="Times New Roman" w:eastAsia="宋体" w:cs="Times New Roman"/>
                <w:sz w:val="24"/>
                <w:szCs w:val="24"/>
              </w:rPr>
              <w:t>区共划定1323个环境管控单元，分为优先保护单元、重点管控单元和一般管控单元三类，实施分类管控。</w:t>
            </w:r>
          </w:p>
          <w:p>
            <w:pPr>
              <w:autoSpaceDE w:val="0"/>
              <w:autoSpaceDN w:val="0"/>
              <w:adjustRightInd w:val="0"/>
              <w:snapToGrid w:val="0"/>
              <w:spacing w:line="360" w:lineRule="auto"/>
              <w:ind w:firstLine="480"/>
              <w:jc w:val="left"/>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sz w:val="24"/>
                <w:szCs w:val="24"/>
                <w:highlight w:val="none"/>
              </w:rPr>
              <w:t>本项目位于</w:t>
            </w:r>
            <w:r>
              <w:rPr>
                <w:rFonts w:hint="eastAsia" w:cs="Times New Roman"/>
                <w:sz w:val="24"/>
                <w:szCs w:val="24"/>
                <w:highlight w:val="none"/>
                <w:lang w:val="en-US" w:eastAsia="zh-CN"/>
              </w:rPr>
              <w:t>奇台县喇嘛湖梁工业园</w:t>
            </w:r>
            <w:r>
              <w:rPr>
                <w:rFonts w:hint="default" w:ascii="Times New Roman" w:hAnsi="Times New Roman" w:eastAsia="宋体" w:cs="Times New Roman"/>
                <w:sz w:val="24"/>
                <w:szCs w:val="24"/>
                <w:highlight w:val="none"/>
              </w:rPr>
              <w:t>区，属于乌昌石片区。本项目与《新疆维吾尔自治区七大片区“三线一单”生态环境分区管控要求》相符性分析详见表1-</w:t>
            </w:r>
            <w:r>
              <w:rPr>
                <w:rFonts w:hint="eastAsia" w:cs="Times New Roman"/>
                <w:sz w:val="24"/>
                <w:szCs w:val="24"/>
                <w:highlight w:val="none"/>
                <w:lang w:val="en-US" w:eastAsia="zh-CN"/>
              </w:rPr>
              <w:t>3</w:t>
            </w:r>
            <w:r>
              <w:rPr>
                <w:rFonts w:hint="default" w:ascii="Times New Roman" w:hAnsi="Times New Roman" w:eastAsia="宋体" w:cs="Times New Roman"/>
                <w:sz w:val="24"/>
                <w:szCs w:val="24"/>
                <w:highlight w:val="none"/>
              </w:rPr>
              <w:t>。</w:t>
            </w:r>
          </w:p>
          <w:p>
            <w:pPr>
              <w:autoSpaceDE w:val="0"/>
              <w:autoSpaceDN w:val="0"/>
              <w:adjustRightInd w:val="0"/>
              <w:snapToGrid w:val="0"/>
              <w:spacing w:line="240" w:lineRule="auto"/>
              <w:ind w:firstLine="480"/>
              <w:jc w:val="left"/>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 xml:space="preserve">表 </w:t>
            </w:r>
            <w:r>
              <w:rPr>
                <w:rFonts w:hint="default" w:ascii="Times New Roman" w:hAnsi="Times New Roman" w:eastAsia="宋体" w:cs="Times New Roman"/>
                <w:sz w:val="24"/>
                <w:szCs w:val="24"/>
                <w:lang w:val="en-US" w:eastAsia="zh-CN"/>
              </w:rPr>
              <w:t>1-</w:t>
            </w:r>
            <w:r>
              <w:rPr>
                <w:rFonts w:hint="eastAsia" w:cs="Times New Roman"/>
                <w:sz w:val="24"/>
                <w:szCs w:val="24"/>
                <w:lang w:val="en-US" w:eastAsia="zh-CN"/>
              </w:rPr>
              <w:t>3</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b/>
                <w:bCs/>
                <w:kern w:val="2"/>
                <w:sz w:val="21"/>
                <w:szCs w:val="21"/>
                <w:lang w:val="en-US" w:eastAsia="zh-CN" w:bidi="ar-SA"/>
              </w:rPr>
              <w:t>七大片区“三线一单”生态环境分区管控要求符合性</w:t>
            </w:r>
          </w:p>
          <w:tbl>
            <w:tblPr>
              <w:tblStyle w:val="31"/>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442"/>
              <w:gridCol w:w="1607"/>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cs="Times New Roman"/>
                      <w:b/>
                      <w:bCs/>
                      <w:kern w:val="2"/>
                      <w:sz w:val="21"/>
                      <w:szCs w:val="21"/>
                      <w:lang w:val="en-US" w:eastAsia="zh-CN" w:bidi="ar-SA"/>
                    </w:rPr>
                    <w:t>类别</w:t>
                  </w:r>
                </w:p>
              </w:tc>
              <w:tc>
                <w:tcPr>
                  <w:tcW w:w="244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cs="Times New Roman"/>
                      <w:b/>
                      <w:bCs/>
                      <w:kern w:val="2"/>
                      <w:sz w:val="21"/>
                      <w:szCs w:val="21"/>
                      <w:lang w:val="en-US" w:eastAsia="zh-CN" w:bidi="ar-SA"/>
                    </w:rPr>
                    <w:t>具体要求</w:t>
                  </w:r>
                </w:p>
              </w:tc>
              <w:tc>
                <w:tcPr>
                  <w:tcW w:w="1607"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项目情况</w:t>
                  </w:r>
                </w:p>
              </w:tc>
              <w:tc>
                <w:tcPr>
                  <w:tcW w:w="941"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Cs w:val="21"/>
                      <w:vertAlign w:val="baseline"/>
                    </w:rPr>
                  </w:pPr>
                  <w:r>
                    <w:rPr>
                      <w:rFonts w:hint="default" w:ascii="Times New Roman" w:hAnsi="Times New Roman" w:eastAsia="宋体" w:cs="Times New Roman"/>
                      <w:sz w:val="21"/>
                      <w:szCs w:val="21"/>
                    </w:rPr>
                    <w:t>空间布局约束</w:t>
                  </w:r>
                </w:p>
              </w:tc>
              <w:tc>
                <w:tcPr>
                  <w:tcW w:w="2442"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Cs w:val="21"/>
                      <w:vertAlign w:val="baseline"/>
                    </w:rPr>
                  </w:pPr>
                  <w:r>
                    <w:rPr>
                      <w:rFonts w:hint="default" w:ascii="Times New Roman" w:hAnsi="Times New Roman" w:eastAsia="宋体" w:cs="Times New Roman"/>
                      <w:sz w:val="21"/>
                      <w:szCs w:val="21"/>
                    </w:rPr>
                    <w:t>严格执行国家、自治区产业政策和环境准入要求，严禁“三高”项目进新疆，坚决遏制“两高”项目盲目发展。不得在水源涵养区、饮用水水源保护区内和河流、湖泊、水库周围建设重化工、涉重金属等工业污染项目。推动项目集聚发展，新建、改建、扩建工业项目原则上应布置于由县级及以上人民政府批准建立、环境保护基础设施完善的产业园区、工业聚集区或规划矿区，并且符合相关规划和规划环评要求。</w:t>
                  </w:r>
                </w:p>
              </w:tc>
              <w:tc>
                <w:tcPr>
                  <w:tcW w:w="1607"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kern w:val="0"/>
                      <w:szCs w:val="21"/>
                      <w:vertAlign w:val="baseline"/>
                      <w:lang w:val="en-US" w:eastAsia="zh-CN"/>
                    </w:rPr>
                  </w:pPr>
                  <w:r>
                    <w:rPr>
                      <w:rFonts w:hint="default" w:ascii="Times New Roman" w:hAnsi="Times New Roman" w:eastAsia="宋体" w:cs="Times New Roman"/>
                      <w:sz w:val="21"/>
                      <w:szCs w:val="21"/>
                    </w:rPr>
                    <w:t>本项目属于《产业结构调整指导目录（20</w:t>
                  </w:r>
                  <w:r>
                    <w:rPr>
                      <w:rFonts w:hint="eastAsia" w:cs="Times New Roman"/>
                      <w:sz w:val="21"/>
                      <w:szCs w:val="21"/>
                      <w:lang w:val="en-US" w:eastAsia="zh-CN"/>
                    </w:rPr>
                    <w:t>24</w:t>
                  </w:r>
                  <w:r>
                    <w:rPr>
                      <w:rFonts w:hint="default" w:ascii="Times New Roman" w:hAnsi="Times New Roman" w:eastAsia="宋体" w:cs="Times New Roman"/>
                      <w:sz w:val="21"/>
                      <w:szCs w:val="21"/>
                    </w:rPr>
                    <w:t>年本）》中鼓励类，符合国家产业政策。</w:t>
                  </w:r>
                  <w:r>
                    <w:rPr>
                      <w:rFonts w:hint="default" w:ascii="Times New Roman" w:hAnsi="Times New Roman" w:eastAsia="宋体" w:cs="Times New Roman"/>
                      <w:sz w:val="21"/>
                      <w:szCs w:val="21"/>
                      <w:highlight w:val="none"/>
                    </w:rPr>
                    <w:t>项目利用</w:t>
                  </w:r>
                  <w:r>
                    <w:rPr>
                      <w:rFonts w:hint="eastAsia" w:cs="Times New Roman"/>
                      <w:sz w:val="21"/>
                      <w:szCs w:val="21"/>
                      <w:highlight w:val="none"/>
                      <w:lang w:val="en-US" w:eastAsia="zh-CN"/>
                    </w:rPr>
                    <w:t>粉末状腐植酸</w:t>
                  </w:r>
                  <w:r>
                    <w:rPr>
                      <w:rFonts w:hint="default" w:ascii="Times New Roman" w:hAnsi="Times New Roman" w:eastAsia="宋体" w:cs="Times New Roman"/>
                      <w:sz w:val="21"/>
                      <w:szCs w:val="21"/>
                      <w:highlight w:val="none"/>
                    </w:rPr>
                    <w:t>作为原材料，</w:t>
                  </w:r>
                  <w:r>
                    <w:rPr>
                      <w:rFonts w:hint="eastAsia" w:cs="Times New Roman"/>
                      <w:sz w:val="21"/>
                      <w:szCs w:val="21"/>
                      <w:highlight w:val="none"/>
                      <w:lang w:val="en-US" w:eastAsia="zh-CN"/>
                    </w:rPr>
                    <w:t>生产过程中消耗少量的水、电</w:t>
                  </w:r>
                  <w:r>
                    <w:rPr>
                      <w:rFonts w:hint="default" w:ascii="Times New Roman" w:hAnsi="Times New Roman" w:eastAsia="宋体" w:cs="Times New Roman"/>
                      <w:sz w:val="21"/>
                      <w:szCs w:val="21"/>
                      <w:highlight w:val="none"/>
                    </w:rPr>
                    <w:t>，</w:t>
                  </w:r>
                  <w:r>
                    <w:rPr>
                      <w:rFonts w:hint="eastAsia" w:cs="Times New Roman"/>
                      <w:sz w:val="21"/>
                      <w:szCs w:val="21"/>
                      <w:highlight w:val="none"/>
                      <w:lang w:val="en-US" w:eastAsia="zh-CN"/>
                    </w:rPr>
                    <w:t>生产废水循环使用不外排，产生的废气、生活污水及固废经过环保设施处理后均能达标排放，</w:t>
                  </w:r>
                  <w:r>
                    <w:rPr>
                      <w:rFonts w:hint="default" w:ascii="Times New Roman" w:hAnsi="Times New Roman" w:eastAsia="宋体" w:cs="Times New Roman"/>
                      <w:sz w:val="21"/>
                      <w:szCs w:val="21"/>
                      <w:highlight w:val="none"/>
                    </w:rPr>
                    <w:t>不属于“三高”项目。项目位于</w:t>
                  </w:r>
                  <w:r>
                    <w:rPr>
                      <w:rFonts w:hint="eastAsia" w:cs="Times New Roman"/>
                      <w:sz w:val="21"/>
                      <w:szCs w:val="21"/>
                      <w:highlight w:val="none"/>
                      <w:lang w:val="en-US" w:eastAsia="zh-CN"/>
                    </w:rPr>
                    <w:t>奇台县喇嘛湖梁工业园</w:t>
                  </w:r>
                  <w:r>
                    <w:rPr>
                      <w:rFonts w:hint="default" w:ascii="Times New Roman" w:hAnsi="Times New Roman" w:eastAsia="宋体" w:cs="Times New Roman"/>
                      <w:sz w:val="21"/>
                      <w:szCs w:val="21"/>
                      <w:highlight w:val="none"/>
                    </w:rPr>
                    <w:t>区，项目不在水源涵养区、饮用水水源保护区内和河流、湖泊、水库等周边，且项目符合</w:t>
                  </w:r>
                  <w:r>
                    <w:rPr>
                      <w:rFonts w:hint="eastAsia" w:cs="Times New Roman"/>
                      <w:sz w:val="21"/>
                      <w:szCs w:val="21"/>
                      <w:highlight w:val="none"/>
                      <w:lang w:val="en-US" w:eastAsia="zh-CN"/>
                    </w:rPr>
                    <w:t>奇台县喇嘛湖梁工业园</w:t>
                  </w:r>
                  <w:r>
                    <w:rPr>
                      <w:rFonts w:hint="default" w:ascii="Times New Roman" w:hAnsi="Times New Roman" w:eastAsia="宋体" w:cs="Times New Roman"/>
                      <w:sz w:val="21"/>
                      <w:szCs w:val="21"/>
                      <w:highlight w:val="none"/>
                    </w:rPr>
                    <w:t>区规划及规划环评的要求。</w:t>
                  </w:r>
                </w:p>
              </w:tc>
              <w:tc>
                <w:tcPr>
                  <w:tcW w:w="941"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kern w:val="0"/>
                      <w:szCs w:val="21"/>
                      <w:vertAlign w:val="baseline"/>
                      <w:lang w:val="en-US" w:eastAsia="zh-CN"/>
                    </w:rPr>
                  </w:pPr>
                  <w:r>
                    <w:rPr>
                      <w:rFonts w:hint="default" w:ascii="Times New Roman" w:hAnsi="Times New Roman" w:cs="Times New Roman"/>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污染物排放管控</w:t>
                  </w:r>
                </w:p>
              </w:tc>
              <w:tc>
                <w:tcPr>
                  <w:tcW w:w="244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深化行业污染源头治理，深入开展火电行业减排，全力推进钢铁行业超低排放改造，有序推进石化行业“泄漏检测与修复”技术改造。强化煤化工、石化、有机化工、表面涂装、包装印刷等重点行业挥发性有机物控制。深入开展燃煤锅炉污染综合整治，深化工业炉窑综合治理。加强“散乱污”企业综合整治。优化区域交通运输结构，加快货物运输绿色转型，做好车油联合管控。以改善流域水环境质量为核心，强化源头控制，“一河（湖）一策”精准施治，减少水污染物排放，持续改善水环境质量。强化园区（工业集聚区）水污染防治，不断提高工业用水重复利用率。加快实施城镇污水处理设施提质增效，补齐生活污水收集和处理设施短板，提高再生水回用比例。持续推进农业农村污染防治。提升土壤环境监管能力，加强污染地块安全利用监管。强化工矿用地管理，严格建设用地土壤环境风险管控。加强农用地土壤污染源头控制，科学施用化肥农药，提高农膜回收率。</w:t>
                  </w:r>
                </w:p>
              </w:tc>
              <w:tc>
                <w:tcPr>
                  <w:tcW w:w="1607"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vertAlign w:val="baseline"/>
                      <w:lang w:val="en-US" w:eastAsia="zh-CN"/>
                    </w:rPr>
                    <w:t>大气环境：本项目生产过程中大气污染物达标排放，排放总量少，对周围环境影响小。</w:t>
                  </w:r>
                  <w:r>
                    <w:rPr>
                      <w:rFonts w:hint="default" w:ascii="Times New Roman" w:hAnsi="Times New Roman" w:eastAsia="宋体" w:cs="Times New Roman"/>
                      <w:sz w:val="21"/>
                      <w:szCs w:val="21"/>
                      <w:highlight w:val="none"/>
                      <w:vertAlign w:val="baseline"/>
                      <w:lang w:val="en-US" w:eastAsia="zh-CN"/>
                    </w:rPr>
                    <w:t>水环境：本项目</w:t>
                  </w:r>
                  <w:r>
                    <w:rPr>
                      <w:rFonts w:hint="eastAsia" w:cs="Times New Roman"/>
                      <w:sz w:val="21"/>
                      <w:szCs w:val="21"/>
                      <w:highlight w:val="none"/>
                      <w:vertAlign w:val="baseline"/>
                      <w:lang w:val="en-US" w:eastAsia="zh-CN"/>
                    </w:rPr>
                    <w:t>生产废水循环使用不外排，生活污水排入园区污水管网</w:t>
                  </w:r>
                  <w:r>
                    <w:rPr>
                      <w:rFonts w:hint="default" w:ascii="Times New Roman" w:hAnsi="Times New Roman" w:eastAsia="宋体" w:cs="Times New Roman"/>
                      <w:sz w:val="21"/>
                      <w:szCs w:val="21"/>
                      <w:highlight w:val="none"/>
                      <w:vertAlign w:val="baseline"/>
                      <w:lang w:val="en-US" w:eastAsia="zh-CN"/>
                    </w:rPr>
                    <w:t>。声</w:t>
                  </w:r>
                  <w:r>
                    <w:rPr>
                      <w:rFonts w:hint="default" w:ascii="Times New Roman" w:hAnsi="Times New Roman" w:eastAsia="宋体" w:cs="Times New Roman"/>
                      <w:sz w:val="21"/>
                      <w:szCs w:val="21"/>
                      <w:vertAlign w:val="baseline"/>
                      <w:lang w:val="en-US" w:eastAsia="zh-CN"/>
                    </w:rPr>
                    <w:t>环境：项目无较大的噪声源，声环境质量良好。</w:t>
                  </w:r>
                  <w:r>
                    <w:rPr>
                      <w:rFonts w:hint="default" w:ascii="Times New Roman" w:hAnsi="Times New Roman" w:eastAsia="宋体" w:cs="Times New Roman"/>
                      <w:sz w:val="21"/>
                      <w:szCs w:val="21"/>
                      <w:highlight w:val="none"/>
                      <w:vertAlign w:val="baseline"/>
                      <w:lang w:val="en-US" w:eastAsia="zh-CN"/>
                    </w:rPr>
                    <w:t>固废：本项目生产固体废物主要为</w:t>
                  </w:r>
                  <w:r>
                    <w:rPr>
                      <w:rFonts w:hint="eastAsia" w:cs="Times New Roman"/>
                      <w:sz w:val="21"/>
                      <w:szCs w:val="21"/>
                      <w:highlight w:val="none"/>
                      <w:vertAlign w:val="baseline"/>
                      <w:lang w:val="en-US" w:eastAsia="zh-CN"/>
                    </w:rPr>
                    <w:t>除尘器收集的粉尘、筛分废物、废包装袋、废机油</w:t>
                  </w:r>
                  <w:r>
                    <w:rPr>
                      <w:rFonts w:hint="default" w:ascii="Times New Roman" w:hAnsi="Times New Roman" w:eastAsia="宋体" w:cs="Times New Roman"/>
                      <w:sz w:val="21"/>
                      <w:szCs w:val="21"/>
                      <w:highlight w:val="none"/>
                      <w:vertAlign w:val="baseline"/>
                      <w:lang w:val="en-US" w:eastAsia="zh-CN"/>
                    </w:rPr>
                    <w:t>。</w:t>
                  </w:r>
                  <w:r>
                    <w:rPr>
                      <w:rFonts w:hint="eastAsia" w:cs="Times New Roman"/>
                      <w:sz w:val="21"/>
                      <w:szCs w:val="21"/>
                      <w:highlight w:val="none"/>
                      <w:vertAlign w:val="baseline"/>
                      <w:lang w:val="en-US" w:eastAsia="zh-CN"/>
                    </w:rPr>
                    <w:t>除尘器收集的粉尘集中收集后回用于生产，筛分废物收集后由环卫部门统一清运，废包装袋收集后外售，废机油暂存于危废暂存间，交由有资质的单位统一处理。</w:t>
                  </w:r>
                  <w:r>
                    <w:rPr>
                      <w:rFonts w:hint="default" w:ascii="Times New Roman" w:hAnsi="Times New Roman" w:eastAsia="宋体" w:cs="Times New Roman"/>
                      <w:sz w:val="21"/>
                      <w:szCs w:val="21"/>
                    </w:rPr>
                    <w:t>本项目采取的环保措施能确保污染物对环境质量影响降到最小。</w:t>
                  </w:r>
                </w:p>
              </w:tc>
              <w:tc>
                <w:tcPr>
                  <w:tcW w:w="941"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Cs w:val="21"/>
                      <w:vertAlign w:val="baseline"/>
                      <w:lang w:val="en-US" w:eastAsia="zh-CN"/>
                    </w:rPr>
                  </w:pPr>
                  <w:r>
                    <w:rPr>
                      <w:rFonts w:hint="eastAsia" w:cs="Times New Roman"/>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w:t>
                  </w:r>
                </w:p>
              </w:tc>
              <w:tc>
                <w:tcPr>
                  <w:tcW w:w="244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禁止在化工园区外新建、扩建危险化学品生产项目。严格落实危险废物处置相关要求。加强重点流域水环境风险管控，保障水环境安全。</w:t>
                  </w:r>
                </w:p>
              </w:tc>
              <w:tc>
                <w:tcPr>
                  <w:tcW w:w="1607"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本项目不涉及危险化学品生产。</w:t>
                  </w:r>
                  <w:r>
                    <w:rPr>
                      <w:rFonts w:hint="default" w:ascii="Times New Roman" w:hAnsi="Times New Roman" w:eastAsia="宋体" w:cs="Times New Roman"/>
                      <w:sz w:val="21"/>
                      <w:szCs w:val="21"/>
                      <w:highlight w:val="none"/>
                    </w:rPr>
                    <w:t>项目运行过程产生的</w:t>
                  </w:r>
                  <w:r>
                    <w:rPr>
                      <w:rFonts w:hint="eastAsia" w:cs="Times New Roman"/>
                      <w:sz w:val="21"/>
                      <w:szCs w:val="21"/>
                      <w:highlight w:val="none"/>
                      <w:lang w:val="en-US" w:eastAsia="zh-CN"/>
                    </w:rPr>
                    <w:t>废机油</w:t>
                  </w:r>
                  <w:r>
                    <w:rPr>
                      <w:rFonts w:hint="default" w:ascii="Times New Roman" w:hAnsi="Times New Roman" w:eastAsia="宋体" w:cs="Times New Roman"/>
                      <w:sz w:val="21"/>
                      <w:szCs w:val="21"/>
                      <w:highlight w:val="none"/>
                    </w:rPr>
                    <w:t>严格按照危险废物收集、储存及处置要求。</w:t>
                  </w:r>
                </w:p>
              </w:tc>
              <w:tc>
                <w:tcPr>
                  <w:tcW w:w="941" w:type="dxa"/>
                  <w:noWrap w:val="0"/>
                  <w:vAlign w:val="center"/>
                </w:tcPr>
                <w:p>
                  <w:pPr>
                    <w:autoSpaceDE w:val="0"/>
                    <w:autoSpaceDN w:val="0"/>
                    <w:adjustRightInd w:val="0"/>
                    <w:snapToGrid w:val="0"/>
                    <w:spacing w:line="240" w:lineRule="auto"/>
                    <w:jc w:val="center"/>
                    <w:rPr>
                      <w:rFonts w:hint="default" w:cs="Times New Roman"/>
                      <w:kern w:val="0"/>
                      <w:szCs w:val="21"/>
                      <w:vertAlign w:val="baseline"/>
                      <w:lang w:val="en-US" w:eastAsia="zh-CN"/>
                    </w:rPr>
                  </w:pPr>
                  <w:r>
                    <w:rPr>
                      <w:rFonts w:hint="eastAsia" w:cs="Times New Roman"/>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资源利用效率要求</w:t>
                  </w:r>
                </w:p>
              </w:tc>
              <w:tc>
                <w:tcPr>
                  <w:tcW w:w="244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优化能源结构，控制煤炭等化石能源使用量，鼓励使用清洁能源，协同推进减污降碳。全面实施节水工程，合理开发利用水资源，提升水资源利用效率，保障生态用水，严防地下水超采。</w:t>
                  </w:r>
                </w:p>
              </w:tc>
              <w:tc>
                <w:tcPr>
                  <w:tcW w:w="1607"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本项目为</w:t>
                  </w:r>
                  <w:r>
                    <w:rPr>
                      <w:rFonts w:hint="eastAsia" w:cs="Times New Roman"/>
                      <w:sz w:val="21"/>
                      <w:szCs w:val="21"/>
                      <w:lang w:val="en-US" w:eastAsia="zh-CN"/>
                    </w:rPr>
                    <w:t>腐植酸盐有机肥生产</w:t>
                  </w:r>
                  <w:r>
                    <w:rPr>
                      <w:rFonts w:hint="default" w:ascii="Times New Roman" w:hAnsi="Times New Roman" w:eastAsia="宋体" w:cs="Times New Roman"/>
                      <w:sz w:val="21"/>
                      <w:szCs w:val="21"/>
                    </w:rPr>
                    <w:t>项目，项目生产运营过程中会消耗电、水等清洁能源。</w:t>
                  </w:r>
                  <w:r>
                    <w:rPr>
                      <w:rFonts w:hint="default" w:ascii="Times New Roman" w:hAnsi="Times New Roman" w:eastAsia="宋体" w:cs="Times New Roman"/>
                      <w:sz w:val="21"/>
                      <w:szCs w:val="21"/>
                      <w:highlight w:val="none"/>
                    </w:rPr>
                    <w:t>项目</w:t>
                  </w:r>
                  <w:r>
                    <w:rPr>
                      <w:rFonts w:hint="eastAsia" w:cs="Times New Roman"/>
                      <w:sz w:val="21"/>
                      <w:szCs w:val="21"/>
                      <w:highlight w:val="none"/>
                      <w:lang w:val="en-US" w:eastAsia="zh-CN"/>
                    </w:rPr>
                    <w:t>生产废水循环使用不外排，生活污水直排园区污水管网，最终进入喇嘛湖梁工业园区污水处理厂处理</w:t>
                  </w:r>
                  <w:r>
                    <w:rPr>
                      <w:rFonts w:hint="default" w:ascii="Times New Roman" w:hAnsi="Times New Roman" w:eastAsia="宋体" w:cs="Times New Roman"/>
                      <w:sz w:val="21"/>
                      <w:szCs w:val="21"/>
                      <w:highlight w:val="none"/>
                    </w:rPr>
                    <w:t>。</w:t>
                  </w:r>
                </w:p>
              </w:tc>
              <w:tc>
                <w:tcPr>
                  <w:tcW w:w="941" w:type="dxa"/>
                  <w:noWrap w:val="0"/>
                  <w:vAlign w:val="center"/>
                </w:tcPr>
                <w:p>
                  <w:pPr>
                    <w:autoSpaceDE w:val="0"/>
                    <w:autoSpaceDN w:val="0"/>
                    <w:adjustRightInd w:val="0"/>
                    <w:snapToGrid w:val="0"/>
                    <w:spacing w:line="240" w:lineRule="auto"/>
                    <w:jc w:val="center"/>
                    <w:rPr>
                      <w:rFonts w:hint="default" w:cs="Times New Roman"/>
                      <w:kern w:val="0"/>
                      <w:szCs w:val="21"/>
                      <w:vertAlign w:val="baseline"/>
                      <w:lang w:val="en-US" w:eastAsia="zh-CN"/>
                    </w:rPr>
                  </w:pPr>
                  <w:r>
                    <w:rPr>
                      <w:rFonts w:hint="eastAsia" w:cs="Times New Roman"/>
                      <w:kern w:val="0"/>
                      <w:szCs w:val="21"/>
                      <w:vertAlign w:val="baseline"/>
                      <w:lang w:val="en-US" w:eastAsia="zh-CN"/>
                    </w:rPr>
                    <w:t>符合</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firstLine="482" w:firstLineChars="200"/>
              <w:textAlignment w:val="auto"/>
              <w:outlineLvl w:val="1"/>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与《昌吉回族自治州“三线一单”生态环境分区管控方案及生态环境准入清单》（昌州政办发〔</w:t>
            </w:r>
            <w:r>
              <w:rPr>
                <w:rFonts w:hint="default" w:ascii="Times New Roman" w:hAnsi="Times New Roman" w:eastAsia="宋体" w:cs="Times New Roman"/>
                <w:sz w:val="24"/>
                <w:szCs w:val="24"/>
              </w:rPr>
              <w:t>2021</w:t>
            </w:r>
            <w:r>
              <w:rPr>
                <w:rFonts w:ascii="宋体" w:hAnsi="宋体" w:eastAsia="宋体" w:cs="宋体"/>
                <w:sz w:val="24"/>
                <w:szCs w:val="24"/>
              </w:rPr>
              <w:t>〕</w:t>
            </w:r>
            <w:r>
              <w:rPr>
                <w:rFonts w:hint="default" w:ascii="Times New Roman" w:hAnsi="Times New Roman" w:eastAsia="宋体" w:cs="Times New Roman"/>
                <w:sz w:val="24"/>
                <w:szCs w:val="24"/>
              </w:rPr>
              <w:t>41</w:t>
            </w:r>
            <w:r>
              <w:rPr>
                <w:rFonts w:ascii="宋体" w:hAnsi="宋体" w:eastAsia="宋体" w:cs="宋体"/>
                <w:sz w:val="24"/>
                <w:szCs w:val="24"/>
              </w:rPr>
              <w:t xml:space="preserve"> 号）的符合性分析 </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default" w:ascii="宋体" w:hAnsi="宋体" w:eastAsia="宋体" w:cs="宋体"/>
                <w:b w:val="0"/>
                <w:bCs w:val="0"/>
                <w:sz w:val="24"/>
                <w:szCs w:val="24"/>
                <w:lang w:val="en-US" w:eastAsia="zh-CN"/>
              </w:rPr>
            </w:pPr>
            <w:r>
              <w:rPr>
                <w:rFonts w:ascii="宋体" w:hAnsi="宋体" w:eastAsia="宋体" w:cs="宋体"/>
                <w:b w:val="0"/>
                <w:bCs w:val="0"/>
                <w:sz w:val="24"/>
                <w:szCs w:val="24"/>
              </w:rPr>
              <w:t>本项目位于</w:t>
            </w:r>
            <w:r>
              <w:rPr>
                <w:rFonts w:hint="eastAsia" w:ascii="宋体" w:hAnsi="宋体" w:eastAsia="宋体" w:cs="宋体"/>
                <w:b w:val="0"/>
                <w:bCs w:val="0"/>
                <w:sz w:val="24"/>
                <w:szCs w:val="24"/>
                <w:lang w:val="en-US" w:eastAsia="zh-CN"/>
              </w:rPr>
              <w:t>奇台县喇嘛湖梁工业园</w:t>
            </w:r>
            <w:r>
              <w:rPr>
                <w:rFonts w:hint="default" w:ascii="宋体" w:hAnsi="宋体" w:eastAsia="宋体" w:cs="宋体"/>
                <w:b w:val="0"/>
                <w:bCs w:val="0"/>
                <w:sz w:val="24"/>
                <w:szCs w:val="24"/>
              </w:rPr>
              <w:t>区</w:t>
            </w:r>
            <w:r>
              <w:rPr>
                <w:rFonts w:ascii="宋体" w:hAnsi="宋体" w:eastAsia="宋体" w:cs="宋体"/>
                <w:b w:val="0"/>
                <w:bCs w:val="0"/>
                <w:sz w:val="24"/>
                <w:szCs w:val="24"/>
              </w:rPr>
              <w:t>，根据《昌吉回族自治州“三线一单”生态环境分区管控方案及生态环境准入清单》（昌州政办发〔</w:t>
            </w:r>
            <w:r>
              <w:rPr>
                <w:rFonts w:hint="default" w:ascii="Times New Roman" w:hAnsi="Times New Roman" w:eastAsia="宋体" w:cs="Times New Roman"/>
                <w:b w:val="0"/>
                <w:bCs w:val="0"/>
                <w:sz w:val="24"/>
                <w:szCs w:val="24"/>
              </w:rPr>
              <w:t>2021</w:t>
            </w:r>
            <w:r>
              <w:rPr>
                <w:rFonts w:ascii="宋体" w:hAnsi="宋体" w:eastAsia="宋体" w:cs="宋体"/>
                <w:b w:val="0"/>
                <w:bCs w:val="0"/>
                <w:sz w:val="24"/>
                <w:szCs w:val="24"/>
              </w:rPr>
              <w:t>〕</w:t>
            </w:r>
            <w:r>
              <w:rPr>
                <w:rFonts w:hint="default" w:ascii="Times New Roman" w:hAnsi="Times New Roman" w:eastAsia="宋体" w:cs="Times New Roman"/>
                <w:b w:val="0"/>
                <w:bCs w:val="0"/>
                <w:sz w:val="24"/>
                <w:szCs w:val="24"/>
              </w:rPr>
              <w:t>41</w:t>
            </w:r>
            <w:r>
              <w:rPr>
                <w:rFonts w:ascii="宋体" w:hAnsi="宋体" w:eastAsia="宋体" w:cs="宋体"/>
                <w:b w:val="0"/>
                <w:bCs w:val="0"/>
                <w:sz w:val="24"/>
                <w:szCs w:val="24"/>
              </w:rPr>
              <w:t>号），本项目属于重点管控单元，环境管控单元名称为</w:t>
            </w:r>
            <w:r>
              <w:rPr>
                <w:rFonts w:hint="eastAsia" w:ascii="宋体" w:hAnsi="宋体" w:eastAsia="宋体" w:cs="宋体"/>
                <w:b w:val="0"/>
                <w:bCs w:val="0"/>
                <w:sz w:val="24"/>
                <w:szCs w:val="24"/>
                <w:lang w:val="en-US" w:eastAsia="zh-CN"/>
              </w:rPr>
              <w:t>奇台县喇嘛湖梁新型工业产品加工园，编码为</w:t>
            </w:r>
            <w:r>
              <w:rPr>
                <w:rFonts w:hint="default" w:ascii="Times New Roman" w:hAnsi="Times New Roman" w:eastAsia="宋体" w:cs="Times New Roman"/>
                <w:b w:val="0"/>
                <w:bCs w:val="0"/>
                <w:sz w:val="24"/>
                <w:szCs w:val="24"/>
                <w:lang w:val="en-US" w:eastAsia="zh-CN"/>
              </w:rPr>
              <w:t>ZH65232520003。</w:t>
            </w:r>
            <w:r>
              <w:rPr>
                <w:rFonts w:ascii="宋体" w:hAnsi="宋体" w:eastAsia="宋体" w:cs="宋体"/>
                <w:b w:val="0"/>
                <w:bCs w:val="0"/>
                <w:sz w:val="24"/>
                <w:szCs w:val="24"/>
              </w:rPr>
              <w:t>昌吉回族自治州“三线一单”</w:t>
            </w:r>
            <w:r>
              <w:rPr>
                <w:rFonts w:hint="eastAsia" w:cs="宋体"/>
                <w:b w:val="0"/>
                <w:bCs w:val="0"/>
                <w:sz w:val="24"/>
                <w:szCs w:val="24"/>
                <w:lang w:val="en-US" w:eastAsia="zh-CN"/>
              </w:rPr>
              <w:t>环境管控单元分类图详见附图5。</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ascii="宋体" w:hAnsi="宋体" w:eastAsia="宋体" w:cs="宋体"/>
                <w:b w:val="0"/>
                <w:bCs w:val="0"/>
                <w:sz w:val="24"/>
                <w:szCs w:val="24"/>
              </w:rPr>
            </w:pPr>
            <w:r>
              <w:rPr>
                <w:rFonts w:ascii="宋体" w:hAnsi="宋体" w:eastAsia="宋体" w:cs="宋体"/>
                <w:b w:val="0"/>
                <w:bCs w:val="0"/>
                <w:sz w:val="24"/>
                <w:szCs w:val="24"/>
              </w:rPr>
              <w:t>本项目与《昌吉回族自治州“三线一单”生态环境分区管控方案及生态环境准入清单》的符合性分析见表</w:t>
            </w:r>
            <w:r>
              <w:rPr>
                <w:rFonts w:hint="default" w:ascii="Times New Roman" w:hAnsi="Times New Roman" w:eastAsia="宋体" w:cs="Times New Roman"/>
                <w:b w:val="0"/>
                <w:bCs w:val="0"/>
                <w:sz w:val="24"/>
                <w:szCs w:val="24"/>
              </w:rPr>
              <w:t>1-</w:t>
            </w:r>
            <w:r>
              <w:rPr>
                <w:rFonts w:hint="default" w:ascii="Times New Roman" w:hAnsi="Times New Roman" w:eastAsia="宋体" w:cs="Times New Roman"/>
                <w:b w:val="0"/>
                <w:bCs w:val="0"/>
                <w:sz w:val="24"/>
                <w:szCs w:val="24"/>
                <w:lang w:val="en-US" w:eastAsia="zh-CN"/>
              </w:rPr>
              <w:t>4</w:t>
            </w:r>
            <w:r>
              <w:rPr>
                <w:rFonts w:ascii="宋体" w:hAnsi="宋体" w:eastAsia="宋体" w:cs="宋体"/>
                <w:b w:val="0"/>
                <w:bCs w:val="0"/>
                <w:sz w:val="24"/>
                <w:szCs w:val="24"/>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textAlignment w:val="auto"/>
              <w:outlineLvl w:val="1"/>
              <w:rPr>
                <w:rFonts w:ascii="宋体" w:hAnsi="宋体" w:eastAsia="宋体" w:cs="宋体"/>
                <w:b w:val="0"/>
                <w:bCs w:val="0"/>
                <w:sz w:val="21"/>
                <w:szCs w:val="21"/>
              </w:rPr>
            </w:pPr>
            <w:r>
              <w:rPr>
                <w:rFonts w:ascii="宋体" w:hAnsi="宋体" w:eastAsia="宋体" w:cs="宋体"/>
                <w:b w:val="0"/>
                <w:bCs w:val="0"/>
                <w:sz w:val="21"/>
                <w:szCs w:val="21"/>
              </w:rPr>
              <w:t xml:space="preserve">表 </w:t>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lang w:eastAsia="zh-CN"/>
              </w:rPr>
              <w:t>4</w:t>
            </w:r>
            <w:r>
              <w:rPr>
                <w:rFonts w:ascii="宋体" w:hAnsi="宋体" w:eastAsia="宋体" w:cs="宋体"/>
                <w:b w:val="0"/>
                <w:bCs w:val="0"/>
                <w:sz w:val="21"/>
                <w:szCs w:val="21"/>
              </w:rPr>
              <w:t xml:space="preserve"> 本项目与昌吉州“三线一单”管控方案的符合性分析</w:t>
            </w:r>
          </w:p>
          <w:tbl>
            <w:tblPr>
              <w:tblStyle w:val="31"/>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442"/>
              <w:gridCol w:w="1607"/>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cs="Times New Roman"/>
                      <w:b/>
                      <w:bCs/>
                      <w:kern w:val="2"/>
                      <w:sz w:val="21"/>
                      <w:szCs w:val="21"/>
                      <w:lang w:val="en-US" w:eastAsia="zh-CN" w:bidi="ar-SA"/>
                    </w:rPr>
                    <w:t>类别</w:t>
                  </w:r>
                </w:p>
              </w:tc>
              <w:tc>
                <w:tcPr>
                  <w:tcW w:w="244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cs="Times New Roman"/>
                      <w:b/>
                      <w:bCs/>
                      <w:kern w:val="2"/>
                      <w:sz w:val="21"/>
                      <w:szCs w:val="21"/>
                      <w:lang w:val="en-US" w:eastAsia="zh-CN" w:bidi="ar-SA"/>
                    </w:rPr>
                    <w:t>具体要求</w:t>
                  </w:r>
                </w:p>
              </w:tc>
              <w:tc>
                <w:tcPr>
                  <w:tcW w:w="1607"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项目情况</w:t>
                  </w:r>
                </w:p>
              </w:tc>
              <w:tc>
                <w:tcPr>
                  <w:tcW w:w="941"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Cs w:val="21"/>
                      <w:vertAlign w:val="baseline"/>
                    </w:rPr>
                  </w:pPr>
                  <w:r>
                    <w:rPr>
                      <w:rFonts w:hint="default" w:ascii="Times New Roman" w:hAnsi="Times New Roman" w:eastAsia="宋体" w:cs="Times New Roman"/>
                      <w:sz w:val="21"/>
                      <w:szCs w:val="21"/>
                    </w:rPr>
                    <w:t>空间布局约束</w:t>
                  </w:r>
                </w:p>
              </w:tc>
              <w:tc>
                <w:tcPr>
                  <w:tcW w:w="2442" w:type="dxa"/>
                  <w:noWrap w:val="0"/>
                  <w:vAlign w:val="center"/>
                </w:tcPr>
                <w:p>
                  <w:pPr>
                    <w:numPr>
                      <w:ilvl w:val="0"/>
                      <w:numId w:val="4"/>
                    </w:numPr>
                    <w:autoSpaceDE w:val="0"/>
                    <w:autoSpaceDN w:val="0"/>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 xml:space="preserve">执行自治区、乌昌石片区总体准入要求中关于重点管控单元空间布局约束的准入要求（表 </w:t>
                  </w:r>
                  <w:r>
                    <w:rPr>
                      <w:rFonts w:ascii="Times New Roman" w:hAnsi="Times New Roman" w:eastAsia="宋体" w:cs="Times New Roman"/>
                      <w:sz w:val="21"/>
                      <w:szCs w:val="21"/>
                    </w:rPr>
                    <w:t>2-3 A6.1</w:t>
                  </w:r>
                  <w:r>
                    <w:rPr>
                      <w:rFonts w:ascii="宋体" w:hAnsi="宋体" w:eastAsia="宋体" w:cs="宋体"/>
                      <w:sz w:val="21"/>
                      <w:szCs w:val="21"/>
                    </w:rPr>
                    <w:t>）。</w:t>
                  </w:r>
                </w:p>
                <w:p>
                  <w:pPr>
                    <w:numPr>
                      <w:ilvl w:val="0"/>
                      <w:numId w:val="0"/>
                    </w:numPr>
                    <w:autoSpaceDE w:val="0"/>
                    <w:autoSpaceDN w:val="0"/>
                    <w:adjustRightInd w:val="0"/>
                    <w:snapToGrid w:val="0"/>
                    <w:spacing w:line="240" w:lineRule="auto"/>
                    <w:jc w:val="both"/>
                    <w:rPr>
                      <w:rFonts w:ascii="宋体" w:hAnsi="宋体" w:eastAsia="宋体" w:cs="宋体"/>
                      <w:sz w:val="21"/>
                      <w:szCs w:val="21"/>
                    </w:rPr>
                  </w:pPr>
                  <w:r>
                    <w:rPr>
                      <w:rFonts w:ascii="Times New Roman" w:hAnsi="Times New Roman" w:eastAsia="宋体" w:cs="Times New Roman"/>
                      <w:sz w:val="21"/>
                      <w:szCs w:val="21"/>
                    </w:rPr>
                    <w:t>2</w:t>
                  </w:r>
                  <w:r>
                    <w:rPr>
                      <w:rFonts w:hint="eastAsia" w:ascii="宋体" w:hAnsi="宋体" w:eastAsia="宋体" w:cs="宋体"/>
                      <w:sz w:val="21"/>
                      <w:szCs w:val="21"/>
                    </w:rPr>
                    <w:t>、</w:t>
                  </w:r>
                  <w:r>
                    <w:rPr>
                      <w:rFonts w:hint="eastAsia" w:ascii="宋体" w:hAnsi="宋体" w:eastAsia="宋体" w:cs="宋体"/>
                      <w:color w:val="000000"/>
                      <w:kern w:val="0"/>
                      <w:sz w:val="21"/>
                      <w:szCs w:val="21"/>
                    </w:rPr>
                    <w:t>入园企业需符合园区产业发展定位，产业发展以精细化工、新材料产业、节能环保、装备制造产业为主导。</w:t>
                  </w:r>
                  <w:r>
                    <w:rPr>
                      <w:rFonts w:hint="eastAsia" w:ascii="宋体" w:hAnsi="宋体" w:eastAsia="宋体" w:cs="宋体"/>
                      <w:sz w:val="21"/>
                      <w:szCs w:val="21"/>
                    </w:rPr>
                    <w:t xml:space="preserve"> </w:t>
                  </w:r>
                </w:p>
                <w:p>
                  <w:pPr>
                    <w:numPr>
                      <w:ilvl w:val="0"/>
                      <w:numId w:val="0"/>
                    </w:numPr>
                    <w:autoSpaceDE w:val="0"/>
                    <w:autoSpaceDN w:val="0"/>
                    <w:adjustRightInd w:val="0"/>
                    <w:snapToGrid w:val="0"/>
                    <w:spacing w:line="240" w:lineRule="auto"/>
                    <w:jc w:val="both"/>
                    <w:rPr>
                      <w:rFonts w:hint="default" w:ascii="Times New Roman" w:hAnsi="Times New Roman" w:cs="Times New Roman"/>
                      <w:kern w:val="0"/>
                      <w:szCs w:val="21"/>
                      <w:vertAlign w:val="baseline"/>
                    </w:rPr>
                  </w:pPr>
                </w:p>
              </w:tc>
              <w:tc>
                <w:tcPr>
                  <w:tcW w:w="1607" w:type="dxa"/>
                  <w:noWrap w:val="0"/>
                  <w:vAlign w:val="center"/>
                </w:tcPr>
                <w:p>
                  <w:pPr>
                    <w:autoSpaceDE w:val="0"/>
                    <w:autoSpaceDN w:val="0"/>
                    <w:adjustRightInd w:val="0"/>
                    <w:snapToGrid w:val="0"/>
                    <w:spacing w:line="240" w:lineRule="auto"/>
                    <w:jc w:val="center"/>
                    <w:rPr>
                      <w:rFonts w:ascii="宋体" w:hAnsi="宋体" w:eastAsia="宋体" w:cs="宋体"/>
                      <w:sz w:val="21"/>
                      <w:szCs w:val="21"/>
                    </w:rPr>
                  </w:pPr>
                  <w:r>
                    <w:rPr>
                      <w:rFonts w:ascii="Times New Roman" w:hAnsi="Times New Roman" w:eastAsia="宋体" w:cs="Times New Roman"/>
                      <w:sz w:val="21"/>
                      <w:szCs w:val="21"/>
                    </w:rPr>
                    <w:t>1、</w:t>
                  </w:r>
                  <w:r>
                    <w:rPr>
                      <w:rFonts w:ascii="宋体" w:hAnsi="宋体" w:eastAsia="宋体" w:cs="宋体"/>
                      <w:sz w:val="21"/>
                      <w:szCs w:val="21"/>
                    </w:rPr>
                    <w:t>本项目执行自治区、乌昌石片区总体准入要求中关于重点管控单元空间布局约束的准入要求。</w:t>
                  </w:r>
                </w:p>
                <w:p>
                  <w:pPr>
                    <w:autoSpaceDE w:val="0"/>
                    <w:autoSpaceDN w:val="0"/>
                    <w:adjustRightInd w:val="0"/>
                    <w:snapToGrid w:val="0"/>
                    <w:spacing w:line="240" w:lineRule="auto"/>
                    <w:jc w:val="center"/>
                    <w:rPr>
                      <w:rFonts w:hint="default" w:ascii="Times New Roman" w:hAnsi="Times New Roman" w:eastAsia="宋体" w:cs="Times New Roman"/>
                      <w:kern w:val="0"/>
                      <w:szCs w:val="21"/>
                      <w:vertAlign w:val="baseline"/>
                      <w:lang w:val="en-US" w:eastAsia="zh-CN"/>
                    </w:rPr>
                  </w:pPr>
                  <w:r>
                    <w:rPr>
                      <w:rFonts w:ascii="Times New Roman" w:hAnsi="Times New Roman" w:eastAsia="宋体" w:cs="Times New Roman"/>
                      <w:sz w:val="21"/>
                      <w:szCs w:val="21"/>
                    </w:rPr>
                    <w:t>2</w:t>
                  </w:r>
                  <w:r>
                    <w:rPr>
                      <w:rFonts w:ascii="宋体" w:hAnsi="宋体" w:eastAsia="宋体" w:cs="宋体"/>
                      <w:sz w:val="21"/>
                      <w:szCs w:val="21"/>
                    </w:rPr>
                    <w:t>、本项目属于</w:t>
                  </w:r>
                  <w:r>
                    <w:rPr>
                      <w:rFonts w:hint="eastAsia" w:ascii="宋体" w:hAnsi="宋体" w:eastAsia="宋体" w:cs="宋体"/>
                      <w:sz w:val="21"/>
                      <w:szCs w:val="21"/>
                      <w:lang w:val="en-US" w:eastAsia="zh-CN"/>
                    </w:rPr>
                    <w:t>化学原料和化学制品制造业</w:t>
                  </w:r>
                  <w:r>
                    <w:rPr>
                      <w:rFonts w:ascii="宋体" w:hAnsi="宋体" w:eastAsia="宋体" w:cs="宋体"/>
                      <w:sz w:val="21"/>
                      <w:szCs w:val="21"/>
                    </w:rPr>
                    <w:t>，符合园区产业发展定位。</w:t>
                  </w:r>
                </w:p>
              </w:tc>
              <w:tc>
                <w:tcPr>
                  <w:tcW w:w="941"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kern w:val="0"/>
                      <w:szCs w:val="21"/>
                      <w:vertAlign w:val="baseline"/>
                      <w:lang w:val="en-US" w:eastAsia="zh-CN"/>
                    </w:rPr>
                  </w:pPr>
                  <w:r>
                    <w:rPr>
                      <w:rFonts w:hint="default" w:ascii="Times New Roman" w:hAnsi="Times New Roman" w:cs="Times New Roman"/>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污染物排放管控</w:t>
                  </w:r>
                </w:p>
              </w:tc>
              <w:tc>
                <w:tcPr>
                  <w:tcW w:w="2442" w:type="dxa"/>
                  <w:noWrap w:val="0"/>
                  <w:vAlign w:val="center"/>
                </w:tcPr>
                <w:p>
                  <w:pPr>
                    <w:numPr>
                      <w:ilvl w:val="0"/>
                      <w:numId w:val="5"/>
                    </w:numPr>
                    <w:autoSpaceDE w:val="0"/>
                    <w:autoSpaceDN w:val="0"/>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执行自治区、乌昌石片区总体准入要求中关于重点管控单元污染物排放管控的准入要求（表</w:t>
                  </w:r>
                  <w:r>
                    <w:rPr>
                      <w:rFonts w:ascii="Times New Roman" w:hAnsi="Times New Roman" w:eastAsia="宋体" w:cs="Times New Roman"/>
                      <w:sz w:val="21"/>
                      <w:szCs w:val="21"/>
                    </w:rPr>
                    <w:t xml:space="preserve"> 2-3 A6.2</w:t>
                  </w:r>
                  <w:r>
                    <w:rPr>
                      <w:rFonts w:ascii="宋体" w:hAnsi="宋体" w:eastAsia="宋体" w:cs="宋体"/>
                      <w:sz w:val="21"/>
                      <w:szCs w:val="21"/>
                    </w:rPr>
                    <w:t xml:space="preserve">）。 </w:t>
                  </w:r>
                </w:p>
                <w:p>
                  <w:pPr>
                    <w:numPr>
                      <w:ilvl w:val="0"/>
                      <w:numId w:val="5"/>
                    </w:numPr>
                    <w:autoSpaceDE w:val="0"/>
                    <w:autoSpaceDN w:val="0"/>
                    <w:adjustRightInd w:val="0"/>
                    <w:snapToGrid w:val="0"/>
                    <w:spacing w:line="240" w:lineRule="auto"/>
                    <w:jc w:val="both"/>
                    <w:rPr>
                      <w:rFonts w:ascii="宋体" w:hAnsi="宋体" w:eastAsia="宋体" w:cs="宋体"/>
                      <w:sz w:val="21"/>
                      <w:szCs w:val="21"/>
                    </w:rPr>
                  </w:pPr>
                  <w:r>
                    <w:rPr>
                      <w:rFonts w:ascii="Times New Roman" w:hAnsi="Times New Roman" w:eastAsia="宋体" w:cs="Times New Roman"/>
                      <w:sz w:val="21"/>
                      <w:szCs w:val="21"/>
                    </w:rPr>
                    <w:t>PM2.5</w:t>
                  </w:r>
                  <w:r>
                    <w:rPr>
                      <w:rFonts w:ascii="宋体" w:hAnsi="宋体" w:eastAsia="宋体" w:cs="宋体"/>
                      <w:sz w:val="21"/>
                      <w:szCs w:val="21"/>
                    </w:rPr>
                    <w:t>年均浓度不达标城市，禁止新（改、扩）建未落实</w:t>
                  </w:r>
                  <w:r>
                    <w:rPr>
                      <w:rFonts w:ascii="Times New Roman" w:hAnsi="Times New Roman" w:eastAsia="宋体" w:cs="Times New Roman"/>
                      <w:sz w:val="21"/>
                      <w:szCs w:val="21"/>
                    </w:rPr>
                    <w:t>SO</w:t>
                  </w:r>
                  <w:r>
                    <w:rPr>
                      <w:rFonts w:ascii="Times New Roman" w:hAnsi="Times New Roman" w:eastAsia="宋体" w:cs="Times New Roman"/>
                      <w:sz w:val="21"/>
                      <w:szCs w:val="21"/>
                      <w:vertAlign w:val="subscript"/>
                    </w:rPr>
                    <w:t>2</w:t>
                  </w:r>
                  <w:r>
                    <w:rPr>
                      <w:rFonts w:ascii="Times New Roman" w:hAnsi="Times New Roman" w:eastAsia="宋体" w:cs="Times New Roman"/>
                      <w:sz w:val="21"/>
                      <w:szCs w:val="21"/>
                    </w:rPr>
                    <w:t>、NO</w:t>
                  </w:r>
                  <w:r>
                    <w:rPr>
                      <w:rFonts w:ascii="Times New Roman" w:hAnsi="Times New Roman" w:eastAsia="宋体" w:cs="Times New Roman"/>
                      <w:sz w:val="21"/>
                      <w:szCs w:val="21"/>
                      <w:vertAlign w:val="subscript"/>
                    </w:rPr>
                    <w:t>x</w:t>
                  </w:r>
                  <w:r>
                    <w:rPr>
                      <w:rFonts w:ascii="宋体" w:hAnsi="宋体" w:eastAsia="宋体" w:cs="宋体"/>
                      <w:sz w:val="21"/>
                      <w:szCs w:val="21"/>
                    </w:rPr>
                    <w:t>、烟粉尘、挥发性有机物（</w:t>
                  </w:r>
                  <w:r>
                    <w:rPr>
                      <w:rFonts w:ascii="Times New Roman" w:hAnsi="Times New Roman" w:eastAsia="宋体" w:cs="Times New Roman"/>
                      <w:sz w:val="21"/>
                      <w:szCs w:val="21"/>
                    </w:rPr>
                    <w:t>VOCs</w:t>
                  </w:r>
                  <w:r>
                    <w:rPr>
                      <w:rFonts w:ascii="宋体" w:hAnsi="宋体" w:eastAsia="宋体" w:cs="宋体"/>
                      <w:sz w:val="21"/>
                      <w:szCs w:val="21"/>
                    </w:rPr>
                    <w:t>）等四项大气污染物总量指标昌吉州区域内倍量替代的项目。</w:t>
                  </w:r>
                </w:p>
                <w:p>
                  <w:pPr>
                    <w:pStyle w:val="2"/>
                    <w:spacing w:line="24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color w:val="000000"/>
                      <w:sz w:val="21"/>
                      <w:szCs w:val="21"/>
                    </w:rPr>
                    <w:t>园区生产废水必须循环使用、不外排；生活污水经处理达到相应标准后综合利用。配套建设工业固废处置场，</w:t>
                  </w:r>
                  <w:r>
                    <w:rPr>
                      <w:rFonts w:hint="default" w:ascii="Times New Roman" w:hAnsi="Times New Roman" w:eastAsia="宋体" w:cs="Times New Roman"/>
                      <w:kern w:val="2"/>
                      <w:sz w:val="21"/>
                      <w:szCs w:val="21"/>
                      <w:lang w:val="en-US" w:eastAsia="zh-CN" w:bidi="ar-SA"/>
                    </w:rPr>
                    <w:t>产生的固废优先综合利用，不能利用的按规划安全处置。</w:t>
                  </w:r>
                </w:p>
                <w:p>
                  <w:pPr>
                    <w:numPr>
                      <w:ilvl w:val="0"/>
                      <w:numId w:val="0"/>
                    </w:numPr>
                    <w:autoSpaceDE w:val="0"/>
                    <w:autoSpaceDN w:val="0"/>
                    <w:adjustRightInd w:val="0"/>
                    <w:snapToGrid w:val="0"/>
                    <w:spacing w:line="240" w:lineRule="auto"/>
                    <w:jc w:val="both"/>
                    <w:rPr>
                      <w:rFonts w:hint="default" w:ascii="Times New Roman" w:hAnsi="Times New Roman" w:eastAsia="宋体" w:cs="Times New Roman"/>
                      <w:sz w:val="21"/>
                      <w:szCs w:val="21"/>
                    </w:rPr>
                  </w:pPr>
                  <w:r>
                    <w:rPr>
                      <w:rFonts w:hint="eastAsia" w:ascii="宋体" w:hAnsi="宋体" w:eastAsia="宋体" w:cs="宋体"/>
                      <w:sz w:val="21"/>
                      <w:szCs w:val="21"/>
                    </w:rPr>
                    <w:t>4、</w:t>
                  </w:r>
                  <w:r>
                    <w:rPr>
                      <w:rFonts w:hint="eastAsia" w:ascii="宋体" w:hAnsi="宋体" w:eastAsia="宋体" w:cs="宋体"/>
                      <w:color w:val="000000"/>
                      <w:sz w:val="21"/>
                      <w:szCs w:val="21"/>
                    </w:rPr>
                    <w:t>新建项目，其污染物排放应达到国家、地方或相关行业标准限值要求。严格控制化工行业产生的有毒有害特征污染因子的排放总量。严格涉VOCs建设项目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607" w:type="dxa"/>
                  <w:noWrap w:val="0"/>
                  <w:vAlign w:val="center"/>
                </w:tcPr>
                <w:p>
                  <w:pPr>
                    <w:autoSpaceDE w:val="0"/>
                    <w:autoSpaceDN w:val="0"/>
                    <w:adjustRightInd w:val="0"/>
                    <w:snapToGrid w:val="0"/>
                    <w:spacing w:line="240" w:lineRule="auto"/>
                    <w:jc w:val="center"/>
                    <w:rPr>
                      <w:rFonts w:ascii="宋体" w:hAnsi="宋体" w:eastAsia="宋体" w:cs="宋体"/>
                      <w:sz w:val="21"/>
                      <w:szCs w:val="21"/>
                    </w:rPr>
                  </w:pPr>
                  <w:r>
                    <w:rPr>
                      <w:rFonts w:ascii="Times New Roman" w:hAnsi="Times New Roman" w:eastAsia="宋体" w:cs="Times New Roman"/>
                      <w:sz w:val="21"/>
                      <w:szCs w:val="21"/>
                    </w:rPr>
                    <w:t>1</w:t>
                  </w:r>
                  <w:r>
                    <w:rPr>
                      <w:rFonts w:ascii="宋体" w:hAnsi="宋体" w:eastAsia="宋体" w:cs="宋体"/>
                      <w:sz w:val="21"/>
                      <w:szCs w:val="21"/>
                    </w:rPr>
                    <w:t>、本项目执行自治区、乌昌石片区总体准入要求中关于重点管控单元污染物排放管控的准入要求。</w:t>
                  </w:r>
                </w:p>
                <w:p>
                  <w:pPr>
                    <w:autoSpaceDE w:val="0"/>
                    <w:autoSpaceDN w:val="0"/>
                    <w:adjustRightInd w:val="0"/>
                    <w:snapToGrid w:val="0"/>
                    <w:spacing w:line="240" w:lineRule="auto"/>
                    <w:jc w:val="center"/>
                    <w:rPr>
                      <w:rFonts w:ascii="宋体" w:hAnsi="宋体" w:eastAsia="宋体" w:cs="宋体"/>
                      <w:sz w:val="21"/>
                      <w:szCs w:val="21"/>
                      <w:highlight w:val="none"/>
                    </w:rPr>
                  </w:pPr>
                  <w:r>
                    <w:rPr>
                      <w:rFonts w:ascii="Times New Roman" w:hAnsi="Times New Roman" w:eastAsia="宋体" w:cs="Times New Roman"/>
                      <w:sz w:val="21"/>
                      <w:szCs w:val="21"/>
                      <w:highlight w:val="none"/>
                    </w:rPr>
                    <w:t>2</w:t>
                  </w:r>
                  <w:r>
                    <w:rPr>
                      <w:rFonts w:ascii="宋体" w:hAnsi="宋体" w:eastAsia="宋体" w:cs="宋体"/>
                      <w:sz w:val="21"/>
                      <w:szCs w:val="21"/>
                      <w:highlight w:val="none"/>
                    </w:rPr>
                    <w:t>、本项目废气执行最严格的大气污染物排放标准。</w:t>
                  </w:r>
                </w:p>
                <w:p>
                  <w:pPr>
                    <w:autoSpaceDE w:val="0"/>
                    <w:autoSpaceDN w:val="0"/>
                    <w:adjustRightInd w:val="0"/>
                    <w:snapToGrid w:val="0"/>
                    <w:spacing w:line="240" w:lineRule="auto"/>
                    <w:jc w:val="center"/>
                    <w:rPr>
                      <w:rFonts w:ascii="宋体" w:hAnsi="宋体" w:eastAsia="宋体" w:cs="宋体"/>
                      <w:sz w:val="21"/>
                      <w:szCs w:val="21"/>
                      <w:highlight w:val="none"/>
                    </w:rPr>
                  </w:pPr>
                  <w:r>
                    <w:rPr>
                      <w:rFonts w:ascii="Times New Roman" w:hAnsi="Times New Roman" w:eastAsia="宋体" w:cs="Times New Roman"/>
                      <w:sz w:val="21"/>
                      <w:szCs w:val="21"/>
                      <w:highlight w:val="none"/>
                    </w:rPr>
                    <w:t>3</w:t>
                  </w:r>
                  <w:r>
                    <w:rPr>
                      <w:rFonts w:ascii="宋体" w:hAnsi="宋体" w:eastAsia="宋体" w:cs="宋体"/>
                      <w:sz w:val="21"/>
                      <w:szCs w:val="21"/>
                      <w:highlight w:val="none"/>
                    </w:rPr>
                    <w:t>、</w:t>
                  </w:r>
                  <w:r>
                    <w:rPr>
                      <w:rFonts w:hint="eastAsia" w:ascii="宋体" w:hAnsi="宋体" w:cs="宋体"/>
                      <w:sz w:val="21"/>
                      <w:szCs w:val="21"/>
                      <w:highlight w:val="none"/>
                      <w:lang w:val="en-US" w:eastAsia="zh-CN"/>
                    </w:rPr>
                    <w:t>生产废水循环使用不外排，生活废水直排园区污水管网，产生的固废均能有效处理</w:t>
                  </w:r>
                  <w:r>
                    <w:rPr>
                      <w:rFonts w:ascii="宋体" w:hAnsi="宋体" w:eastAsia="宋体" w:cs="宋体"/>
                      <w:sz w:val="21"/>
                      <w:szCs w:val="21"/>
                      <w:highlight w:val="none"/>
                    </w:rPr>
                    <w:t>。</w:t>
                  </w:r>
                </w:p>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highlight w:val="none"/>
                    </w:rPr>
                    <w:t>4</w:t>
                  </w:r>
                  <w:r>
                    <w:rPr>
                      <w:rFonts w:ascii="宋体" w:hAnsi="宋体" w:eastAsia="宋体" w:cs="宋体"/>
                      <w:sz w:val="21"/>
                      <w:szCs w:val="21"/>
                      <w:highlight w:val="none"/>
                    </w:rPr>
                    <w:t>、本项目不涉及</w:t>
                  </w:r>
                  <w:r>
                    <w:rPr>
                      <w:rFonts w:ascii="Times New Roman" w:hAnsi="Times New Roman" w:eastAsia="宋体" w:cs="Times New Roman"/>
                      <w:sz w:val="21"/>
                      <w:szCs w:val="21"/>
                      <w:highlight w:val="none"/>
                    </w:rPr>
                    <w:t>VOCs</w:t>
                  </w:r>
                  <w:r>
                    <w:rPr>
                      <w:rFonts w:ascii="宋体" w:hAnsi="宋体" w:eastAsia="宋体" w:cs="宋体"/>
                      <w:sz w:val="21"/>
                      <w:szCs w:val="21"/>
                      <w:highlight w:val="none"/>
                    </w:rPr>
                    <w:t>的排放。</w:t>
                  </w:r>
                </w:p>
              </w:tc>
              <w:tc>
                <w:tcPr>
                  <w:tcW w:w="941"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Cs w:val="21"/>
                      <w:vertAlign w:val="baseline"/>
                      <w:lang w:val="en-US" w:eastAsia="zh-CN"/>
                    </w:rPr>
                  </w:pPr>
                  <w:r>
                    <w:rPr>
                      <w:rFonts w:hint="eastAsia" w:cs="Times New Roman"/>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w:t>
                  </w:r>
                </w:p>
              </w:tc>
              <w:tc>
                <w:tcPr>
                  <w:tcW w:w="2442" w:type="dxa"/>
                  <w:noWrap w:val="0"/>
                  <w:vAlign w:val="center"/>
                </w:tcPr>
                <w:p>
                  <w:pPr>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1、执行自治区总体准入要求中关于重点管控单元环境风险防控的准入要求（表2-3 A6.3）。</w:t>
                  </w:r>
                </w:p>
                <w:p>
                  <w:pPr>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2、园区应建立环境风险监管制度、环境风险预警制度、区域性突发事件应急预案、环境风险应急保障制度、环境风险事前预防、事中应急、事后处置等环境风险防控体系。</w:t>
                  </w:r>
                </w:p>
                <w:p>
                  <w:pPr>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3、加强园区污水处理厂运营风险防范，制定有效的突发环境事件应急预案和水环境风险防控体系，降低对周边水体的环境风险。</w:t>
                  </w:r>
                </w:p>
                <w:p>
                  <w:pPr>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4、产生、利用或处置固体废物（含危险废物）的企业，在贮存、转移、利用、处置固体废物过程中，应配套防扬散、防流失、防渗漏及其他防止污染环境的措施。</w:t>
                  </w:r>
                </w:p>
                <w:p>
                  <w:pPr>
                    <w:numPr>
                      <w:ilvl w:val="0"/>
                      <w:numId w:val="0"/>
                    </w:numPr>
                    <w:autoSpaceDE w:val="0"/>
                    <w:autoSpaceDN w:val="0"/>
                    <w:adjustRightInd w:val="0"/>
                    <w:snapToGrid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5、建设涉及有毒有害物质的生产装置、储罐和管道，或者建设污水处理池、应急池等存在土壤污染风险的设施，应当按照国家有关标准和规范的要求，设计、建设和安装有关防腐蚀、防泄漏设施和泄漏监测装置。</w:t>
                  </w:r>
                </w:p>
              </w:tc>
              <w:tc>
                <w:tcPr>
                  <w:tcW w:w="1607" w:type="dxa"/>
                  <w:noWrap w:val="0"/>
                  <w:vAlign w:val="center"/>
                </w:tcPr>
                <w:p>
                  <w:pPr>
                    <w:autoSpaceDE w:val="0"/>
                    <w:autoSpaceDN w:val="0"/>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1、本项目执行自治区、乌昌石片区总体准入要求中关于重点管控单元环境风险防控的准入要求。</w:t>
                  </w:r>
                </w:p>
                <w:p>
                  <w:pPr>
                    <w:autoSpaceDE w:val="0"/>
                    <w:autoSpaceDN w:val="0"/>
                    <w:adjustRightInd w:val="0"/>
                    <w:snapToGrid w:val="0"/>
                    <w:spacing w:line="240" w:lineRule="auto"/>
                    <w:jc w:val="center"/>
                    <w:rPr>
                      <w:rFonts w:ascii="宋体" w:hAnsi="宋体" w:eastAsia="宋体" w:cs="宋体"/>
                      <w:sz w:val="21"/>
                      <w:szCs w:val="21"/>
                      <w:highlight w:val="none"/>
                    </w:rPr>
                  </w:pPr>
                  <w:r>
                    <w:rPr>
                      <w:rFonts w:ascii="宋体" w:hAnsi="宋体" w:eastAsia="宋体" w:cs="宋体"/>
                      <w:sz w:val="21"/>
                      <w:szCs w:val="21"/>
                      <w:highlight w:val="none"/>
                    </w:rPr>
                    <w:t>2、本项目</w:t>
                  </w:r>
                  <w:r>
                    <w:rPr>
                      <w:rFonts w:hint="eastAsia" w:ascii="宋体" w:hAnsi="宋体" w:cs="宋体"/>
                      <w:sz w:val="21"/>
                      <w:szCs w:val="21"/>
                      <w:highlight w:val="none"/>
                      <w:lang w:val="en-US" w:eastAsia="zh-CN"/>
                    </w:rPr>
                    <w:t>严格执行园区的各项监管制度</w:t>
                  </w:r>
                  <w:r>
                    <w:rPr>
                      <w:rFonts w:ascii="宋体" w:hAnsi="宋体" w:eastAsia="宋体" w:cs="宋体"/>
                      <w:sz w:val="21"/>
                      <w:szCs w:val="21"/>
                      <w:highlight w:val="none"/>
                    </w:rPr>
                    <w:t>。</w:t>
                  </w:r>
                </w:p>
                <w:p>
                  <w:pPr>
                    <w:autoSpaceDE w:val="0"/>
                    <w:autoSpaceDN w:val="0"/>
                    <w:adjustRightInd w:val="0"/>
                    <w:snapToGrid w:val="0"/>
                    <w:spacing w:line="240" w:lineRule="auto"/>
                    <w:jc w:val="center"/>
                    <w:rPr>
                      <w:rFonts w:hint="default" w:ascii="Times New Roman" w:hAnsi="Times New Roman" w:eastAsia="宋体" w:cs="Times New Roman"/>
                      <w:sz w:val="21"/>
                      <w:szCs w:val="21"/>
                      <w:highlight w:val="none"/>
                    </w:rPr>
                  </w:pPr>
                  <w:r>
                    <w:rPr>
                      <w:rFonts w:ascii="宋体" w:hAnsi="宋体" w:eastAsia="宋体" w:cs="宋体"/>
                      <w:sz w:val="21"/>
                      <w:szCs w:val="21"/>
                      <w:highlight w:val="none"/>
                    </w:rPr>
                    <w:t>3、</w:t>
                  </w:r>
                  <w:r>
                    <w:rPr>
                      <w:rFonts w:hint="eastAsia" w:ascii="宋体" w:hAnsi="宋体" w:eastAsia="宋体" w:cs="宋体"/>
                      <w:sz w:val="21"/>
                      <w:szCs w:val="21"/>
                      <w:highlight w:val="none"/>
                      <w:lang w:val="en-US" w:eastAsia="zh-CN"/>
                    </w:rPr>
                    <w:t>本</w:t>
                  </w:r>
                  <w:r>
                    <w:rPr>
                      <w:rFonts w:hint="default" w:ascii="Times New Roman" w:hAnsi="Times New Roman" w:eastAsia="宋体" w:cs="Times New Roman"/>
                      <w:sz w:val="21"/>
                      <w:szCs w:val="21"/>
                      <w:highlight w:val="none"/>
                    </w:rPr>
                    <w:t>项目运行过程</w:t>
                  </w:r>
                  <w:r>
                    <w:rPr>
                      <w:rFonts w:hint="eastAsia" w:cs="Times New Roman"/>
                      <w:sz w:val="21"/>
                      <w:szCs w:val="21"/>
                      <w:highlight w:val="none"/>
                      <w:lang w:val="en-US" w:eastAsia="zh-CN"/>
                    </w:rPr>
                    <w:t>仅产生生活污水，生活污水直排园区污水管网，最终进入喇嘛湖梁工业园区污水处理厂</w:t>
                  </w:r>
                  <w:r>
                    <w:rPr>
                      <w:rFonts w:hint="default" w:ascii="Times New Roman" w:hAnsi="Times New Roman" w:eastAsia="宋体" w:cs="Times New Roman"/>
                      <w:sz w:val="21"/>
                      <w:szCs w:val="21"/>
                      <w:highlight w:val="none"/>
                    </w:rPr>
                    <w:t>。</w:t>
                  </w:r>
                </w:p>
                <w:p>
                  <w:pPr>
                    <w:autoSpaceDE w:val="0"/>
                    <w:autoSpaceDN w:val="0"/>
                    <w:adjustRightInd w:val="0"/>
                    <w:snapToGrid w:val="0"/>
                    <w:spacing w:line="240" w:lineRule="auto"/>
                    <w:jc w:val="center"/>
                    <w:rPr>
                      <w:rFonts w:hint="eastAsia" w:cs="Times New Roman"/>
                      <w:sz w:val="21"/>
                      <w:szCs w:val="21"/>
                      <w:highlight w:val="none"/>
                      <w:lang w:val="en-US" w:eastAsia="zh-CN"/>
                    </w:rPr>
                  </w:pPr>
                  <w:r>
                    <w:rPr>
                      <w:rFonts w:hint="eastAsia" w:cs="Times New Roman"/>
                      <w:sz w:val="21"/>
                      <w:szCs w:val="21"/>
                      <w:highlight w:val="none"/>
                      <w:lang w:val="en-US" w:eastAsia="zh-CN"/>
                    </w:rPr>
                    <w:t>4、项目产生的固废均能有效处理，危险废物暂存于危废暂存间，危废暂存间采取防渗漏等措施。</w:t>
                  </w:r>
                </w:p>
                <w:p>
                  <w:pPr>
                    <w:pStyle w:val="29"/>
                    <w:ind w:left="0" w:leftChars="0" w:firstLine="0" w:firstLineChars="0"/>
                    <w:rPr>
                      <w:rFonts w:hint="eastAsia" w:eastAsia="宋体"/>
                      <w:lang w:val="en-US" w:eastAsia="zh-CN"/>
                    </w:rPr>
                  </w:pPr>
                  <w:r>
                    <w:rPr>
                      <w:rFonts w:hint="eastAsia" w:cs="Times New Roman"/>
                      <w:sz w:val="21"/>
                      <w:szCs w:val="21"/>
                      <w:highlight w:val="none"/>
                      <w:lang w:val="en-US" w:eastAsia="zh-CN"/>
                    </w:rPr>
                    <w:t>5、本项目不涉及</w:t>
                  </w:r>
                  <w:r>
                    <w:rPr>
                      <w:rFonts w:hint="default" w:ascii="Times New Roman" w:hAnsi="Times New Roman" w:eastAsia="宋体" w:cs="Times New Roman"/>
                      <w:color w:val="000000"/>
                      <w:kern w:val="0"/>
                      <w:sz w:val="21"/>
                      <w:szCs w:val="21"/>
                      <w:highlight w:val="none"/>
                    </w:rPr>
                    <w:t>有毒有害物质的生产装置、储罐和管道</w:t>
                  </w:r>
                  <w:r>
                    <w:rPr>
                      <w:rFonts w:hint="eastAsia" w:ascii="Times New Roman" w:hAnsi="Times New Roman" w:eastAsia="宋体" w:cs="Times New Roman"/>
                      <w:color w:val="000000"/>
                      <w:kern w:val="0"/>
                      <w:sz w:val="21"/>
                      <w:szCs w:val="21"/>
                      <w:highlight w:val="none"/>
                      <w:lang w:eastAsia="zh-CN"/>
                    </w:rPr>
                    <w:t>。</w:t>
                  </w:r>
                </w:p>
              </w:tc>
              <w:tc>
                <w:tcPr>
                  <w:tcW w:w="941" w:type="dxa"/>
                  <w:noWrap w:val="0"/>
                  <w:vAlign w:val="center"/>
                </w:tcPr>
                <w:p>
                  <w:pPr>
                    <w:autoSpaceDE w:val="0"/>
                    <w:autoSpaceDN w:val="0"/>
                    <w:adjustRightInd w:val="0"/>
                    <w:snapToGrid w:val="0"/>
                    <w:spacing w:line="240" w:lineRule="auto"/>
                    <w:jc w:val="center"/>
                    <w:rPr>
                      <w:rFonts w:hint="default" w:cs="Times New Roman"/>
                      <w:kern w:val="0"/>
                      <w:szCs w:val="21"/>
                      <w:vertAlign w:val="baseline"/>
                      <w:lang w:val="en-US" w:eastAsia="zh-CN"/>
                    </w:rPr>
                  </w:pPr>
                  <w:r>
                    <w:rPr>
                      <w:rFonts w:hint="eastAsia" w:cs="Times New Roman"/>
                      <w:kern w:val="0"/>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noWrap w:val="0"/>
                  <w:vAlign w:val="center"/>
                </w:tcPr>
                <w:p>
                  <w:pPr>
                    <w:autoSpaceDE w:val="0"/>
                    <w:autoSpaceDN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资源利用效率要求</w:t>
                  </w:r>
                </w:p>
              </w:tc>
              <w:tc>
                <w:tcPr>
                  <w:tcW w:w="2442" w:type="dxa"/>
                  <w:noWrap w:val="0"/>
                  <w:vAlign w:val="center"/>
                </w:tcPr>
                <w:p>
                  <w:pPr>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1、执行自治区总体准入要求中关于重点管控单元资源利用效率的准入要求（表2-3 A6.4）。</w:t>
                  </w:r>
                </w:p>
                <w:p>
                  <w:pPr>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2、工业固体废弃物综合利用率达到80%。</w:t>
                  </w:r>
                </w:p>
                <w:p>
                  <w:pPr>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3、单位工业增加值综合能耗（标煤）≤2.0t标煤/万元。</w:t>
                  </w:r>
                </w:p>
                <w:p>
                  <w:pPr>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4、入园企业单位工业增加值新鲜水耗≤8m</w:t>
                  </w:r>
                  <w:r>
                    <w:rPr>
                      <w:rFonts w:hint="default" w:ascii="Times New Roman" w:hAnsi="Times New Roman" w:eastAsia="宋体" w:cs="Times New Roman"/>
                      <w:color w:val="000000"/>
                      <w:sz w:val="21"/>
                      <w:szCs w:val="21"/>
                      <w:vertAlign w:val="superscript"/>
                    </w:rPr>
                    <w:t>3</w:t>
                  </w:r>
                  <w:r>
                    <w:rPr>
                      <w:rFonts w:hint="default" w:ascii="Times New Roman" w:hAnsi="Times New Roman" w:eastAsia="宋体" w:cs="Times New Roman"/>
                      <w:color w:val="000000"/>
                      <w:sz w:val="21"/>
                      <w:szCs w:val="21"/>
                    </w:rPr>
                    <w:t>/万元，工业用水重复利用率≥75%。中水（生活和生产）回用率≥30%。园区废水100%回收，不得外排。</w:t>
                  </w:r>
                </w:p>
                <w:p>
                  <w:pPr>
                    <w:numPr>
                      <w:ilvl w:val="0"/>
                      <w:numId w:val="0"/>
                    </w:numPr>
                    <w:autoSpaceDE w:val="0"/>
                    <w:autoSpaceDN w:val="0"/>
                    <w:adjustRightInd w:val="0"/>
                    <w:snapToGrid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5、入园企业应加强土地管理，推进土地节约集约利用，切实保护耕地，加强土地管理，大力促进节约集约用地，提高土地利用效率。</w:t>
                  </w:r>
                </w:p>
              </w:tc>
              <w:tc>
                <w:tcPr>
                  <w:tcW w:w="1607" w:type="dxa"/>
                  <w:noWrap w:val="0"/>
                  <w:vAlign w:val="center"/>
                </w:tcPr>
                <w:p>
                  <w:pPr>
                    <w:autoSpaceDE w:val="0"/>
                    <w:autoSpaceDN w:val="0"/>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1、本项目执行自治区、乌昌石片区总体准入要求中关于重点管控单元环境风险防控的准入要求。</w:t>
                  </w:r>
                </w:p>
                <w:p>
                  <w:pPr>
                    <w:autoSpaceDE w:val="0"/>
                    <w:autoSpaceDN w:val="0"/>
                    <w:adjustRightInd w:val="0"/>
                    <w:snapToGrid w:val="0"/>
                    <w:spacing w:line="240" w:lineRule="auto"/>
                    <w:jc w:val="center"/>
                    <w:rPr>
                      <w:rFonts w:hint="default" w:ascii="Times New Roman" w:hAnsi="Times New Roman" w:eastAsia="宋体" w:cs="Times New Roman"/>
                      <w:sz w:val="21"/>
                      <w:szCs w:val="21"/>
                      <w:highlight w:val="none"/>
                    </w:rPr>
                  </w:pPr>
                  <w:r>
                    <w:rPr>
                      <w:rFonts w:hint="eastAsia" w:ascii="宋体" w:hAnsi="宋体" w:cs="宋体"/>
                      <w:sz w:val="21"/>
                      <w:szCs w:val="21"/>
                      <w:highlight w:val="none"/>
                      <w:lang w:val="en-US" w:eastAsia="zh-CN"/>
                    </w:rPr>
                    <w:t>2、</w:t>
                  </w:r>
                  <w:r>
                    <w:rPr>
                      <w:rFonts w:hint="default" w:ascii="Times New Roman" w:hAnsi="Times New Roman" w:eastAsia="宋体" w:cs="Times New Roman"/>
                      <w:sz w:val="21"/>
                      <w:szCs w:val="21"/>
                      <w:highlight w:val="none"/>
                    </w:rPr>
                    <w:t>本项目</w:t>
                  </w:r>
                  <w:r>
                    <w:rPr>
                      <w:rFonts w:hint="eastAsia" w:cs="Times New Roman"/>
                      <w:sz w:val="21"/>
                      <w:szCs w:val="21"/>
                      <w:highlight w:val="none"/>
                      <w:lang w:val="en-US" w:eastAsia="zh-CN"/>
                    </w:rPr>
                    <w:t>工业固体废物综合利用率达到100%</w:t>
                  </w:r>
                  <w:r>
                    <w:rPr>
                      <w:rFonts w:hint="default" w:ascii="Times New Roman" w:hAnsi="Times New Roman" w:eastAsia="宋体" w:cs="Times New Roman"/>
                      <w:sz w:val="21"/>
                      <w:szCs w:val="21"/>
                      <w:highlight w:val="none"/>
                    </w:rPr>
                    <w:t>。</w:t>
                  </w:r>
                </w:p>
                <w:p>
                  <w:pPr>
                    <w:autoSpaceDE w:val="0"/>
                    <w:autoSpaceDN w:val="0"/>
                    <w:adjustRightInd w:val="0"/>
                    <w:snapToGrid w:val="0"/>
                    <w:spacing w:line="240" w:lineRule="auto"/>
                    <w:jc w:val="center"/>
                    <w:rPr>
                      <w:rFonts w:ascii="宋体" w:hAnsi="宋体" w:eastAsia="宋体" w:cs="宋体"/>
                      <w:sz w:val="21"/>
                      <w:szCs w:val="21"/>
                      <w:highlight w:val="none"/>
                    </w:rPr>
                  </w:pPr>
                  <w:r>
                    <w:rPr>
                      <w:rFonts w:ascii="宋体" w:hAnsi="宋体" w:eastAsia="宋体" w:cs="宋体"/>
                      <w:sz w:val="21"/>
                      <w:szCs w:val="21"/>
                      <w:highlight w:val="none"/>
                    </w:rPr>
                    <w:t>3、本项目不使用煤炭。</w:t>
                  </w:r>
                </w:p>
                <w:p>
                  <w:pPr>
                    <w:autoSpaceDE w:val="0"/>
                    <w:autoSpaceDN w:val="0"/>
                    <w:adjustRightInd w:val="0"/>
                    <w:snapToGrid w:val="0"/>
                    <w:spacing w:line="240" w:lineRule="auto"/>
                    <w:jc w:val="center"/>
                    <w:rPr>
                      <w:rFonts w:hint="default" w:ascii="Times New Roman" w:hAnsi="Times New Roman" w:eastAsia="宋体" w:cs="Times New Roman"/>
                      <w:color w:val="000000"/>
                      <w:sz w:val="21"/>
                      <w:szCs w:val="21"/>
                    </w:rPr>
                  </w:pPr>
                  <w:r>
                    <w:rPr>
                      <w:rFonts w:ascii="宋体" w:hAnsi="宋体" w:eastAsia="宋体" w:cs="宋体"/>
                      <w:sz w:val="21"/>
                      <w:szCs w:val="21"/>
                      <w:highlight w:val="none"/>
                    </w:rPr>
                    <w:t>4、本项目</w:t>
                  </w:r>
                  <w:r>
                    <w:rPr>
                      <w:rFonts w:hint="eastAsia" w:ascii="Times New Roman" w:hAnsi="Times New Roman" w:eastAsia="宋体" w:cs="Times New Roman"/>
                      <w:color w:val="000000"/>
                      <w:sz w:val="21"/>
                      <w:szCs w:val="21"/>
                      <w:lang w:val="en-US" w:eastAsia="zh-CN"/>
                    </w:rPr>
                    <w:t>生产废水循环使用</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不外排。</w:t>
                  </w:r>
                </w:p>
                <w:p>
                  <w:pPr>
                    <w:pStyle w:val="29"/>
                    <w:ind w:left="0" w:leftChars="0" w:firstLine="0" w:firstLineChars="0"/>
                    <w:rPr>
                      <w:rFonts w:hint="default" w:eastAsia="宋体"/>
                      <w:lang w:val="en-US" w:eastAsia="zh-CN"/>
                    </w:rPr>
                  </w:pPr>
                  <w:r>
                    <w:rPr>
                      <w:rFonts w:hint="eastAsia" w:ascii="Times New Roman" w:hAnsi="Times New Roman" w:eastAsia="宋体" w:cs="Times New Roman"/>
                      <w:color w:val="000000"/>
                      <w:sz w:val="21"/>
                      <w:szCs w:val="21"/>
                      <w:lang w:val="en-US" w:eastAsia="zh-CN"/>
                    </w:rPr>
                    <w:t>5、本项目的建设不涉及耕地。</w:t>
                  </w:r>
                </w:p>
              </w:tc>
              <w:tc>
                <w:tcPr>
                  <w:tcW w:w="941" w:type="dxa"/>
                  <w:noWrap w:val="0"/>
                  <w:vAlign w:val="center"/>
                </w:tcPr>
                <w:p>
                  <w:pPr>
                    <w:autoSpaceDE w:val="0"/>
                    <w:autoSpaceDN w:val="0"/>
                    <w:adjustRightInd w:val="0"/>
                    <w:snapToGrid w:val="0"/>
                    <w:spacing w:line="240" w:lineRule="auto"/>
                    <w:jc w:val="center"/>
                    <w:rPr>
                      <w:rFonts w:hint="default" w:cs="Times New Roman"/>
                      <w:kern w:val="0"/>
                      <w:szCs w:val="21"/>
                      <w:vertAlign w:val="baseline"/>
                      <w:lang w:val="en-US" w:eastAsia="zh-CN"/>
                    </w:rPr>
                  </w:pPr>
                  <w:r>
                    <w:rPr>
                      <w:rFonts w:hint="eastAsia" w:cs="Times New Roman"/>
                      <w:kern w:val="0"/>
                      <w:szCs w:val="21"/>
                      <w:vertAlign w:val="baseline"/>
                      <w:lang w:val="en-US" w:eastAsia="zh-CN"/>
                    </w:rPr>
                    <w:t>符合</w:t>
                  </w:r>
                </w:p>
              </w:tc>
            </w:tr>
          </w:tbl>
          <w:p>
            <w:pPr>
              <w:autoSpaceDE w:val="0"/>
              <w:autoSpaceDN w:val="0"/>
              <w:adjustRightInd w:val="0"/>
              <w:snapToGrid w:val="0"/>
              <w:spacing w:line="520" w:lineRule="exact"/>
              <w:rPr>
                <w:b/>
                <w:bCs/>
                <w:sz w:val="24"/>
              </w:rPr>
            </w:pPr>
            <w:r>
              <w:rPr>
                <w:rFonts w:hint="eastAsia"/>
                <w:b/>
                <w:bCs/>
                <w:sz w:val="24"/>
                <w:lang w:val="en-US" w:eastAsia="zh-CN"/>
              </w:rPr>
              <w:t>4.</w:t>
            </w:r>
            <w:r>
              <w:rPr>
                <w:b/>
                <w:bCs/>
                <w:sz w:val="24"/>
              </w:rPr>
              <w:t>项目选址合理性分析</w:t>
            </w:r>
          </w:p>
          <w:p>
            <w:pPr>
              <w:autoSpaceDE w:val="0"/>
              <w:autoSpaceDN w:val="0"/>
              <w:adjustRightInd w:val="0"/>
              <w:snapToGrid w:val="0"/>
              <w:spacing w:line="52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本项目位于奇台县喇嘛湖梁工业园区，项目所在地属于</w:t>
            </w:r>
            <w:r>
              <w:rPr>
                <w:rFonts w:hint="eastAsia" w:ascii="宋体" w:hAnsi="宋体" w:eastAsia="宋体" w:cs="宋体"/>
                <w:b w:val="0"/>
                <w:bCs w:val="0"/>
                <w:color w:val="000000"/>
                <w:sz w:val="24"/>
                <w:szCs w:val="24"/>
                <w:lang w:val="en-US" w:eastAsia="zh-CN"/>
              </w:rPr>
              <w:t>二</w:t>
            </w:r>
            <w:r>
              <w:rPr>
                <w:rFonts w:ascii="宋体" w:hAnsi="宋体" w:eastAsia="宋体" w:cs="宋体"/>
                <w:b w:val="0"/>
                <w:bCs w:val="0"/>
                <w:color w:val="000000"/>
                <w:sz w:val="24"/>
                <w:szCs w:val="24"/>
              </w:rPr>
              <w:t>类工业用地。项目所在区域供水、供电设施齐全，交通便利，有利于原料及产品的运输，项目生产过程中产生的废气、生活污水、噪声、固废等采取有效的治理措施，对周围环境影响较小。</w:t>
            </w:r>
          </w:p>
          <w:p>
            <w:pPr>
              <w:autoSpaceDE w:val="0"/>
              <w:autoSpaceDN w:val="0"/>
              <w:adjustRightInd w:val="0"/>
              <w:snapToGrid w:val="0"/>
              <w:spacing w:line="520" w:lineRule="exact"/>
              <w:ind w:firstLine="480" w:firstLineChars="200"/>
              <w:rPr>
                <w:rFonts w:hint="eastAsia" w:eastAsia="宋体"/>
                <w:sz w:val="24"/>
                <w:lang w:eastAsia="zh-CN"/>
              </w:rPr>
            </w:pPr>
            <w:r>
              <w:rPr>
                <w:sz w:val="24"/>
              </w:rPr>
              <w:t>根据现场勘查，</w:t>
            </w:r>
            <w:r>
              <w:rPr>
                <w:rFonts w:hint="eastAsia"/>
                <w:sz w:val="24"/>
              </w:rPr>
              <w:t>场址所在地不属于农田保护区，所在地及附近无矿产资源，无农业保护区、自然保护区、文物保护区、风景名胜区、饮用水水源保护区及其他等需要特别保护的区域</w:t>
            </w:r>
            <w:r>
              <w:rPr>
                <w:rFonts w:hint="eastAsia"/>
                <w:sz w:val="24"/>
                <w:lang w:eastAsia="zh-CN"/>
              </w:rPr>
              <w:t>，</w:t>
            </w:r>
            <w:r>
              <w:rPr>
                <w:rFonts w:ascii="宋体" w:hAnsi="宋体" w:eastAsia="宋体" w:cs="宋体"/>
                <w:b w:val="0"/>
                <w:bCs w:val="0"/>
                <w:color w:val="000000"/>
                <w:sz w:val="24"/>
                <w:szCs w:val="24"/>
              </w:rPr>
              <w:t>从环境保护角度分析，区域环境质量较好，有一定容量，没有明显不良地质现象</w:t>
            </w:r>
            <w:r>
              <w:rPr>
                <w:rFonts w:hint="eastAsia" w:ascii="宋体" w:hAnsi="宋体" w:eastAsia="宋体" w:cs="宋体"/>
                <w:b w:val="0"/>
                <w:bCs w:val="0"/>
                <w:color w:val="000000"/>
                <w:sz w:val="24"/>
                <w:szCs w:val="24"/>
                <w:lang w:eastAsia="zh-CN"/>
              </w:rPr>
              <w:t>。</w:t>
            </w:r>
          </w:p>
          <w:p>
            <w:pPr>
              <w:autoSpaceDE w:val="0"/>
              <w:autoSpaceDN w:val="0"/>
              <w:adjustRightInd w:val="0"/>
              <w:snapToGrid w:val="0"/>
              <w:spacing w:line="520" w:lineRule="exact"/>
              <w:ind w:firstLine="480" w:firstLineChars="200"/>
              <w:rPr>
                <w:sz w:val="24"/>
                <w:highlight w:val="none"/>
              </w:rPr>
            </w:pPr>
            <w:r>
              <w:rPr>
                <w:sz w:val="24"/>
                <w:highlight w:val="none"/>
              </w:rPr>
              <w:t>本项目利用</w:t>
            </w:r>
            <w:r>
              <w:rPr>
                <w:rFonts w:hint="eastAsia"/>
                <w:sz w:val="24"/>
                <w:highlight w:val="none"/>
                <w:lang w:val="en-US" w:eastAsia="zh-CN"/>
              </w:rPr>
              <w:t>腐植酸</w:t>
            </w:r>
            <w:r>
              <w:rPr>
                <w:sz w:val="24"/>
                <w:highlight w:val="none"/>
              </w:rPr>
              <w:t>为原材料加工</w:t>
            </w:r>
            <w:r>
              <w:rPr>
                <w:rFonts w:hint="eastAsia"/>
                <w:sz w:val="24"/>
                <w:highlight w:val="none"/>
                <w:lang w:val="en-US" w:eastAsia="zh-CN"/>
              </w:rPr>
              <w:t>腐植酸钾有机肥、腐植酸复混有机肥</w:t>
            </w:r>
            <w:r>
              <w:rPr>
                <w:sz w:val="24"/>
                <w:highlight w:val="none"/>
              </w:rPr>
              <w:t>，与园区的产业发展规划相符，符合其入园行业要求。</w:t>
            </w:r>
          </w:p>
          <w:p>
            <w:pPr>
              <w:autoSpaceDE w:val="0"/>
              <w:autoSpaceDN w:val="0"/>
              <w:adjustRightInd w:val="0"/>
              <w:snapToGrid w:val="0"/>
              <w:spacing w:line="520" w:lineRule="exact"/>
              <w:ind w:firstLine="480" w:firstLineChars="200"/>
              <w:rPr>
                <w:sz w:val="24"/>
              </w:rPr>
            </w:pPr>
            <w:r>
              <w:rPr>
                <w:rFonts w:hint="eastAsia"/>
                <w:sz w:val="24"/>
                <w:lang w:val="en-US" w:eastAsia="zh-CN"/>
              </w:rPr>
              <w:t>综上，本项目的选址较为合理</w:t>
            </w:r>
            <w:r>
              <w:rPr>
                <w:sz w:val="24"/>
              </w:rPr>
              <w:t>。</w:t>
            </w:r>
          </w:p>
          <w:p>
            <w:pPr>
              <w:autoSpaceDE w:val="0"/>
              <w:autoSpaceDN w:val="0"/>
              <w:adjustRightInd w:val="0"/>
              <w:snapToGrid w:val="0"/>
            </w:pPr>
          </w:p>
        </w:tc>
      </w:tr>
    </w:tbl>
    <w:p>
      <w:pPr>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p>
    <w:p>
      <w:pPr>
        <w:pStyle w:val="26"/>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二、建设项目工程分析</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80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pct"/>
            <w:vAlign w:val="center"/>
          </w:tcPr>
          <w:p>
            <w:pPr>
              <w:pStyle w:val="26"/>
              <w:adjustRightInd w:val="0"/>
              <w:snapToGrid w:val="0"/>
              <w:spacing w:before="0" w:beforeAutospacing="0" w:after="0" w:afterAutospacing="0"/>
              <w:jc w:val="center"/>
              <w:rPr>
                <w:rFonts w:ascii="Times New Roman" w:hAnsi="Times New Roman"/>
                <w:color w:val="auto"/>
                <w:szCs w:val="24"/>
                <w:highlight w:val="none"/>
              </w:rPr>
            </w:pPr>
            <w:r>
              <w:rPr>
                <w:rFonts w:ascii="Times New Roman" w:hAnsi="Times New Roman"/>
                <w:color w:val="auto"/>
                <w:szCs w:val="24"/>
                <w:highlight w:val="none"/>
              </w:rPr>
              <w:t>建设内容</w:t>
            </w:r>
          </w:p>
        </w:tc>
        <w:tc>
          <w:tcPr>
            <w:tcW w:w="8074" w:type="dxa"/>
            <w:vAlign w:val="top"/>
          </w:tcPr>
          <w:p>
            <w:pPr>
              <w:pStyle w:val="3"/>
              <w:overflowPunct/>
              <w:spacing w:before="0" w:after="0" w:line="520" w:lineRule="exact"/>
              <w:ind w:left="431" w:hanging="431"/>
              <w:rPr>
                <w:rFonts w:eastAsia="宋体"/>
                <w:sz w:val="24"/>
                <w:szCs w:val="24"/>
              </w:rPr>
            </w:pPr>
            <w:r>
              <w:rPr>
                <w:rFonts w:hint="eastAsia" w:eastAsia="宋体"/>
                <w:sz w:val="24"/>
                <w:szCs w:val="24"/>
              </w:rPr>
              <w:t>1</w:t>
            </w:r>
            <w:r>
              <w:rPr>
                <w:rFonts w:eastAsia="宋体"/>
                <w:sz w:val="24"/>
                <w:szCs w:val="24"/>
              </w:rPr>
              <w:t xml:space="preserve"> 项目基本概况</w:t>
            </w:r>
          </w:p>
          <w:p>
            <w:pPr>
              <w:adjustRightInd w:val="0"/>
              <w:snapToGrid w:val="0"/>
              <w:spacing w:line="360" w:lineRule="auto"/>
              <w:ind w:firstLine="456" w:firstLineChars="200"/>
              <w:rPr>
                <w:rFonts w:ascii="Times New Roman" w:hAnsi="Times New Roman" w:eastAsia="宋体" w:cs="Times New Roman"/>
                <w:color w:val="000000"/>
                <w:kern w:val="0"/>
                <w:sz w:val="24"/>
              </w:rPr>
            </w:pPr>
            <w:r>
              <w:rPr>
                <w:bCs/>
                <w:color w:val="000000"/>
                <w:spacing w:val="-6"/>
                <w:sz w:val="24"/>
              </w:rPr>
              <w:t>项目名称：</w:t>
            </w:r>
            <w:r>
              <w:rPr>
                <w:rFonts w:hint="eastAsia" w:ascii="Times New Roman" w:hAnsi="Times New Roman" w:eastAsia="宋体" w:cs="Times New Roman"/>
                <w:color w:val="000000"/>
                <w:kern w:val="0"/>
                <w:sz w:val="24"/>
                <w:lang w:val="en-US" w:eastAsia="zh-CN"/>
              </w:rPr>
              <w:t>新疆康源新材料有限公司腐植酸盐有机肥生产</w:t>
            </w:r>
            <w:r>
              <w:rPr>
                <w:rFonts w:ascii="Times New Roman" w:hAnsi="Times New Roman" w:eastAsia="宋体" w:cs="Times New Roman"/>
                <w:color w:val="000000"/>
                <w:kern w:val="0"/>
                <w:sz w:val="24"/>
              </w:rPr>
              <w:t>项目；</w:t>
            </w:r>
          </w:p>
          <w:p>
            <w:pPr>
              <w:adjustRightInd w:val="0"/>
              <w:snapToGrid w:val="0"/>
              <w:spacing w:line="360" w:lineRule="auto"/>
              <w:ind w:firstLine="480" w:firstLineChars="200"/>
              <w:rPr>
                <w:color w:val="000000"/>
                <w:sz w:val="24"/>
              </w:rPr>
            </w:pPr>
            <w:r>
              <w:rPr>
                <w:rFonts w:ascii="Times New Roman" w:hAnsi="Times New Roman" w:eastAsia="宋体" w:cs="Times New Roman"/>
                <w:color w:val="000000"/>
                <w:kern w:val="0"/>
                <w:sz w:val="24"/>
              </w:rPr>
              <w:t>建设单位</w:t>
            </w:r>
            <w:r>
              <w:rPr>
                <w:color w:val="000000"/>
                <w:kern w:val="0"/>
                <w:sz w:val="24"/>
              </w:rPr>
              <w:t>：</w:t>
            </w:r>
            <w:r>
              <w:rPr>
                <w:rFonts w:hint="eastAsia" w:ascii="Times New Roman" w:hAnsi="Times New Roman" w:eastAsia="宋体" w:cs="Times New Roman"/>
                <w:color w:val="000000"/>
                <w:kern w:val="0"/>
                <w:sz w:val="24"/>
                <w:lang w:val="en-US" w:eastAsia="zh-CN"/>
              </w:rPr>
              <w:t>新疆康源新材料有限公司</w:t>
            </w:r>
            <w:r>
              <w:rPr>
                <w:color w:val="000000"/>
                <w:sz w:val="24"/>
              </w:rPr>
              <w:t>；</w:t>
            </w:r>
          </w:p>
          <w:p>
            <w:pPr>
              <w:adjustRightInd w:val="0"/>
              <w:snapToGrid w:val="0"/>
              <w:spacing w:line="360" w:lineRule="auto"/>
              <w:ind w:firstLine="480" w:firstLineChars="200"/>
              <w:rPr>
                <w:color w:val="000000"/>
                <w:sz w:val="24"/>
              </w:rPr>
            </w:pPr>
            <w:r>
              <w:rPr>
                <w:color w:val="000000"/>
                <w:sz w:val="24"/>
              </w:rPr>
              <w:t>建设性质：新建；</w:t>
            </w:r>
          </w:p>
          <w:p>
            <w:pPr>
              <w:keepNext w:val="0"/>
              <w:keepLines w:val="0"/>
              <w:widowControl/>
              <w:suppressLineNumbers w:val="0"/>
              <w:spacing w:line="360" w:lineRule="auto"/>
              <w:jc w:val="left"/>
              <w:rPr>
                <w:rFonts w:hint="default"/>
                <w:color w:val="000000"/>
                <w:kern w:val="0"/>
                <w:sz w:val="24"/>
                <w:lang w:val="en-US"/>
              </w:rPr>
            </w:pPr>
            <w:r>
              <w:rPr>
                <w:rFonts w:hint="eastAsia"/>
                <w:color w:val="000000"/>
                <w:kern w:val="0"/>
                <w:sz w:val="24"/>
                <w:lang w:val="en-US" w:eastAsia="zh-CN"/>
              </w:rPr>
              <w:t xml:space="preserve">    </w:t>
            </w:r>
            <w:r>
              <w:rPr>
                <w:color w:val="000000"/>
                <w:kern w:val="0"/>
                <w:sz w:val="24"/>
              </w:rPr>
              <w:t>建设地点：项目位于</w:t>
            </w:r>
            <w:r>
              <w:rPr>
                <w:rFonts w:hint="eastAsia"/>
                <w:sz w:val="24"/>
                <w:u w:val="none"/>
                <w:lang w:val="en-US" w:eastAsia="zh-CN"/>
              </w:rPr>
              <w:t>奇台县喇嘛湖梁工业园安宁路与兴和路交汇处</w:t>
            </w:r>
            <w:r>
              <w:rPr>
                <w:rFonts w:hint="eastAsia" w:ascii="Times New Roman" w:hAnsi="Times New Roman" w:eastAsia="宋体" w:cs="Times New Roman"/>
                <w:color w:val="000000"/>
                <w:kern w:val="0"/>
                <w:sz w:val="24"/>
              </w:rPr>
              <w:t>，</w:t>
            </w:r>
            <w:r>
              <w:rPr>
                <w:rFonts w:hint="eastAsia" w:ascii="Times New Roman" w:hAnsi="Times New Roman" w:eastAsia="宋体" w:cs="Times New Roman"/>
                <w:color w:val="000000"/>
                <w:kern w:val="0"/>
                <w:sz w:val="24"/>
                <w:lang w:val="en-US" w:eastAsia="zh-CN"/>
              </w:rPr>
              <w:t>新建钢结构晾晒车间2栋、生产车间2栋、仓库1栋、办公住宿楼1栋等及配套基</w:t>
            </w:r>
            <w:r>
              <w:rPr>
                <w:rFonts w:hint="eastAsia" w:ascii="Times New Roman" w:hAnsi="Times New Roman" w:eastAsia="宋体" w:cs="Times New Roman"/>
                <w:color w:val="000000"/>
                <w:kern w:val="0"/>
                <w:sz w:val="24"/>
              </w:rPr>
              <w:t>础设施建设</w:t>
            </w:r>
            <w:r>
              <w:rPr>
                <w:rFonts w:ascii="Times New Roman" w:hAnsi="Times New Roman" w:eastAsia="宋体" w:cs="Times New Roman"/>
                <w:color w:val="000000"/>
                <w:kern w:val="0"/>
                <w:sz w:val="24"/>
              </w:rPr>
              <w:t>。</w:t>
            </w:r>
            <w:r>
              <w:rPr>
                <w:color w:val="000000"/>
                <w:kern w:val="0"/>
                <w:sz w:val="24"/>
              </w:rPr>
              <w:t>项目区</w:t>
            </w:r>
            <w:r>
              <w:rPr>
                <w:rFonts w:hint="eastAsia"/>
                <w:color w:val="000000"/>
                <w:kern w:val="0"/>
                <w:sz w:val="24"/>
                <w:lang w:val="en-US" w:eastAsia="zh-CN"/>
              </w:rPr>
              <w:t>东、</w:t>
            </w:r>
            <w:r>
              <w:rPr>
                <w:color w:val="000000"/>
                <w:kern w:val="0"/>
                <w:sz w:val="24"/>
              </w:rPr>
              <w:t>西、北侧均为空地，南侧</w:t>
            </w:r>
            <w:r>
              <w:rPr>
                <w:rFonts w:hint="eastAsia"/>
                <w:color w:val="000000"/>
                <w:kern w:val="0"/>
                <w:sz w:val="24"/>
                <w:lang w:val="en-US" w:eastAsia="zh-CN"/>
              </w:rPr>
              <w:t>隔道路</w:t>
            </w:r>
            <w:r>
              <w:rPr>
                <w:color w:val="000000"/>
                <w:kern w:val="0"/>
                <w:sz w:val="24"/>
              </w:rPr>
              <w:t>为</w:t>
            </w:r>
            <w:r>
              <w:rPr>
                <w:rFonts w:hint="eastAsia"/>
                <w:color w:val="000000"/>
                <w:kern w:val="0"/>
                <w:sz w:val="24"/>
                <w:lang w:val="en-US" w:eastAsia="zh-CN"/>
              </w:rPr>
              <w:t>新疆恒硕智慧农机有限公司及奇台县恒硕智慧生物科技有限公司</w:t>
            </w:r>
            <w:r>
              <w:rPr>
                <w:rFonts w:hint="eastAsia"/>
                <w:color w:val="000000"/>
                <w:kern w:val="0"/>
                <w:sz w:val="24"/>
              </w:rPr>
              <w:t>，</w:t>
            </w:r>
            <w:r>
              <w:rPr>
                <w:color w:val="000000"/>
                <w:kern w:val="0"/>
                <w:sz w:val="24"/>
              </w:rPr>
              <w:t>项目区中心地理坐标：</w:t>
            </w:r>
            <w:r>
              <w:rPr>
                <w:rFonts w:hint="eastAsia"/>
                <w:color w:val="000000"/>
                <w:kern w:val="0"/>
                <w:sz w:val="24"/>
              </w:rPr>
              <w:t>东经</w:t>
            </w:r>
            <w:r>
              <w:rPr>
                <w:rFonts w:hint="eastAsia" w:cs="Times New Roman"/>
                <w:color w:val="000000"/>
                <w:kern w:val="0"/>
                <w:sz w:val="24"/>
                <w:lang w:eastAsia="zh-CN"/>
              </w:rPr>
              <w:t>89°39´</w:t>
            </w:r>
            <w:r>
              <w:rPr>
                <w:rFonts w:hint="eastAsia" w:cs="Times New Roman"/>
                <w:color w:val="000000"/>
                <w:kern w:val="0"/>
                <w:sz w:val="24"/>
                <w:lang w:val="en-US" w:eastAsia="zh-CN"/>
              </w:rPr>
              <w:t>11</w:t>
            </w:r>
            <w:r>
              <w:rPr>
                <w:rFonts w:hint="eastAsia" w:cs="Times New Roman"/>
                <w:color w:val="000000"/>
                <w:kern w:val="0"/>
                <w:sz w:val="24"/>
                <w:lang w:eastAsia="zh-CN"/>
              </w:rPr>
              <w:t>.</w:t>
            </w:r>
            <w:r>
              <w:rPr>
                <w:rFonts w:hint="eastAsia" w:cs="Times New Roman"/>
                <w:color w:val="000000"/>
                <w:kern w:val="0"/>
                <w:sz w:val="24"/>
                <w:lang w:val="en-US" w:eastAsia="zh-CN"/>
              </w:rPr>
              <w:t>756</w:t>
            </w:r>
            <w:r>
              <w:rPr>
                <w:rFonts w:hint="eastAsia" w:cs="Times New Roman"/>
                <w:color w:val="000000"/>
                <w:kern w:val="0"/>
                <w:sz w:val="24"/>
                <w:lang w:eastAsia="zh-CN"/>
              </w:rPr>
              <w:t>"，北纬44°03´</w:t>
            </w:r>
            <w:r>
              <w:rPr>
                <w:rFonts w:hint="eastAsia" w:cs="Times New Roman"/>
                <w:color w:val="000000"/>
                <w:kern w:val="0"/>
                <w:sz w:val="24"/>
                <w:lang w:val="en-US" w:eastAsia="zh-CN"/>
              </w:rPr>
              <w:t>56</w:t>
            </w:r>
            <w:r>
              <w:rPr>
                <w:rFonts w:hint="eastAsia" w:cs="Times New Roman"/>
                <w:color w:val="000000"/>
                <w:kern w:val="0"/>
                <w:sz w:val="24"/>
                <w:lang w:eastAsia="zh-CN"/>
              </w:rPr>
              <w:t>.</w:t>
            </w:r>
            <w:r>
              <w:rPr>
                <w:rFonts w:hint="eastAsia" w:cs="Times New Roman"/>
                <w:color w:val="000000"/>
                <w:kern w:val="0"/>
                <w:sz w:val="24"/>
                <w:lang w:val="en-US" w:eastAsia="zh-CN"/>
              </w:rPr>
              <w:t>503</w:t>
            </w:r>
            <w:r>
              <w:rPr>
                <w:rFonts w:hint="eastAsia" w:cs="Times New Roman"/>
                <w:color w:val="000000"/>
                <w:kern w:val="0"/>
                <w:sz w:val="24"/>
                <w:lang w:eastAsia="zh-CN"/>
              </w:rPr>
              <w:t>"</w:t>
            </w:r>
            <w:r>
              <w:rPr>
                <w:rFonts w:hint="eastAsia"/>
                <w:color w:val="000000"/>
                <w:kern w:val="0"/>
                <w:sz w:val="24"/>
              </w:rPr>
              <w:t>。</w:t>
            </w:r>
            <w:r>
              <w:rPr>
                <w:rFonts w:hint="eastAsia" w:ascii="Times New Roman" w:hAnsi="Times New Roman" w:eastAsia="宋体" w:cs="Times New Roman"/>
                <w:sz w:val="24"/>
                <w:lang w:val="en-US" w:eastAsia="zh-CN"/>
              </w:rPr>
              <w:t>项目地理位置见附图1，</w:t>
            </w:r>
            <w:r>
              <w:rPr>
                <w:rFonts w:hint="eastAsia" w:ascii="Times New Roman" w:hAnsi="Times New Roman" w:eastAsia="宋体" w:cs="Times New Roman"/>
                <w:sz w:val="24"/>
                <w:highlight w:val="none"/>
                <w:lang w:val="en-US" w:eastAsia="zh-CN"/>
              </w:rPr>
              <w:t>项目周边关系图见附图</w:t>
            </w:r>
            <w:r>
              <w:rPr>
                <w:rFonts w:hint="eastAsia" w:cs="Times New Roman"/>
                <w:sz w:val="24"/>
                <w:highlight w:val="none"/>
                <w:lang w:val="en-US" w:eastAsia="zh-CN"/>
              </w:rPr>
              <w:t>2。</w:t>
            </w:r>
          </w:p>
          <w:p>
            <w:pPr>
              <w:adjustRightInd w:val="0"/>
              <w:snapToGrid w:val="0"/>
              <w:spacing w:line="360" w:lineRule="auto"/>
              <w:ind w:firstLine="480" w:firstLineChars="200"/>
              <w:rPr>
                <w:color w:val="000000"/>
                <w:kern w:val="0"/>
                <w:sz w:val="24"/>
              </w:rPr>
            </w:pPr>
            <w:r>
              <w:rPr>
                <w:color w:val="000000"/>
                <w:kern w:val="0"/>
                <w:sz w:val="24"/>
              </w:rPr>
              <w:t>总投资：</w:t>
            </w:r>
            <w:r>
              <w:rPr>
                <w:rFonts w:hint="eastAsia"/>
                <w:color w:val="000000"/>
                <w:kern w:val="0"/>
                <w:sz w:val="24"/>
                <w:lang w:val="en-US" w:eastAsia="zh-CN"/>
              </w:rPr>
              <w:t>7000</w:t>
            </w:r>
            <w:r>
              <w:rPr>
                <w:color w:val="000000"/>
                <w:kern w:val="0"/>
                <w:sz w:val="24"/>
              </w:rPr>
              <w:t>万元，资金来源于企业自筹。</w:t>
            </w:r>
          </w:p>
          <w:p>
            <w:pPr>
              <w:pStyle w:val="3"/>
              <w:overflowPunct/>
              <w:spacing w:before="0" w:after="0" w:line="360" w:lineRule="auto"/>
              <w:ind w:left="431" w:hanging="431"/>
              <w:rPr>
                <w:rFonts w:eastAsia="宋体"/>
                <w:sz w:val="24"/>
                <w:szCs w:val="24"/>
              </w:rPr>
            </w:pPr>
            <w:r>
              <w:rPr>
                <w:rFonts w:hint="eastAsia" w:eastAsia="宋体"/>
                <w:sz w:val="24"/>
                <w:szCs w:val="24"/>
              </w:rPr>
              <w:t xml:space="preserve">2 </w:t>
            </w:r>
            <w:r>
              <w:rPr>
                <w:rFonts w:eastAsia="宋体"/>
                <w:sz w:val="24"/>
                <w:szCs w:val="24"/>
              </w:rPr>
              <w:t>建设内容及规模</w:t>
            </w:r>
          </w:p>
          <w:p>
            <w:pPr>
              <w:adjustRightInd w:val="0"/>
              <w:snapToGrid w:val="0"/>
              <w:spacing w:line="360" w:lineRule="auto"/>
              <w:ind w:firstLine="480" w:firstLineChars="200"/>
              <w:rPr>
                <w:color w:val="000000"/>
                <w:kern w:val="0"/>
                <w:sz w:val="24"/>
              </w:rPr>
            </w:pPr>
            <w:r>
              <w:rPr>
                <w:color w:val="000000"/>
                <w:kern w:val="0"/>
                <w:sz w:val="24"/>
              </w:rPr>
              <w:t>本项目</w:t>
            </w:r>
            <w:r>
              <w:rPr>
                <w:rFonts w:hint="eastAsia"/>
                <w:color w:val="000000"/>
                <w:kern w:val="0"/>
                <w:sz w:val="24"/>
                <w:lang w:val="en-US" w:eastAsia="zh-CN"/>
              </w:rPr>
              <w:t>用</w:t>
            </w:r>
            <w:r>
              <w:rPr>
                <w:rFonts w:hint="eastAsia"/>
                <w:color w:val="000000"/>
                <w:kern w:val="0"/>
                <w:sz w:val="24"/>
              </w:rPr>
              <w:t>地面积为</w:t>
            </w:r>
            <w:r>
              <w:rPr>
                <w:rFonts w:hint="eastAsia"/>
                <w:color w:val="000000"/>
                <w:kern w:val="0"/>
                <w:sz w:val="24"/>
                <w:lang w:val="en-US" w:eastAsia="zh-CN"/>
              </w:rPr>
              <w:t>66831</w:t>
            </w:r>
            <w:r>
              <w:rPr>
                <w:color w:val="000000"/>
                <w:kern w:val="0"/>
                <w:sz w:val="24"/>
              </w:rPr>
              <w:t>m</w:t>
            </w:r>
            <w:r>
              <w:rPr>
                <w:color w:val="000000"/>
                <w:kern w:val="0"/>
                <w:sz w:val="24"/>
                <w:vertAlign w:val="superscript"/>
              </w:rPr>
              <w:t>2</w:t>
            </w:r>
            <w:r>
              <w:rPr>
                <w:rFonts w:hint="eastAsia"/>
                <w:color w:val="000000"/>
                <w:kern w:val="0"/>
                <w:sz w:val="24"/>
              </w:rPr>
              <w:t>，其中</w:t>
            </w:r>
            <w:r>
              <w:rPr>
                <w:rFonts w:hint="eastAsia"/>
                <w:color w:val="000000"/>
                <w:kern w:val="0"/>
                <w:sz w:val="24"/>
                <w:lang w:val="en-US" w:eastAsia="zh-CN"/>
              </w:rPr>
              <w:t>粉碎原料车间</w:t>
            </w:r>
            <w:r>
              <w:rPr>
                <w:rFonts w:hint="eastAsia"/>
                <w:color w:val="000000"/>
                <w:kern w:val="0"/>
                <w:sz w:val="24"/>
              </w:rPr>
              <w:t>占地面积为</w:t>
            </w:r>
            <w:r>
              <w:rPr>
                <w:rFonts w:hint="eastAsia"/>
                <w:color w:val="000000"/>
                <w:kern w:val="0"/>
                <w:sz w:val="24"/>
                <w:lang w:val="en-US" w:eastAsia="zh-CN"/>
              </w:rPr>
              <w:t>2064.44</w:t>
            </w:r>
            <w:r>
              <w:rPr>
                <w:color w:val="000000"/>
                <w:kern w:val="0"/>
                <w:sz w:val="24"/>
              </w:rPr>
              <w:t>m</w:t>
            </w:r>
            <w:r>
              <w:rPr>
                <w:color w:val="000000"/>
                <w:kern w:val="0"/>
                <w:sz w:val="24"/>
                <w:vertAlign w:val="superscript"/>
              </w:rPr>
              <w:t>2</w:t>
            </w:r>
            <w:r>
              <w:rPr>
                <w:rFonts w:hint="eastAsia"/>
                <w:color w:val="000000"/>
                <w:kern w:val="0"/>
                <w:sz w:val="24"/>
                <w:lang w:val="en-US" w:eastAsia="zh-CN"/>
              </w:rPr>
              <w:t>、配料间</w:t>
            </w:r>
            <w:r>
              <w:rPr>
                <w:rFonts w:hint="eastAsia"/>
                <w:color w:val="000000"/>
                <w:kern w:val="0"/>
                <w:sz w:val="24"/>
              </w:rPr>
              <w:t>占地面积为</w:t>
            </w:r>
            <w:r>
              <w:rPr>
                <w:rFonts w:hint="eastAsia"/>
                <w:color w:val="000000"/>
                <w:kern w:val="0"/>
                <w:sz w:val="24"/>
                <w:lang w:val="en-US" w:eastAsia="zh-CN"/>
              </w:rPr>
              <w:t>2044</w:t>
            </w:r>
            <w:r>
              <w:rPr>
                <w:color w:val="000000"/>
                <w:kern w:val="0"/>
                <w:sz w:val="24"/>
              </w:rPr>
              <w:t>m</w:t>
            </w:r>
            <w:r>
              <w:rPr>
                <w:color w:val="000000"/>
                <w:kern w:val="0"/>
                <w:sz w:val="24"/>
                <w:vertAlign w:val="superscript"/>
              </w:rPr>
              <w:t>2</w:t>
            </w:r>
            <w:r>
              <w:rPr>
                <w:rFonts w:hint="eastAsia"/>
                <w:color w:val="000000"/>
                <w:kern w:val="0"/>
                <w:sz w:val="24"/>
                <w:lang w:eastAsia="zh-CN"/>
              </w:rPr>
              <w:t>，</w:t>
            </w:r>
            <w:r>
              <w:rPr>
                <w:rFonts w:hint="eastAsia"/>
                <w:color w:val="000000"/>
                <w:kern w:val="0"/>
                <w:sz w:val="24"/>
                <w:lang w:val="en-US" w:eastAsia="zh-CN"/>
              </w:rPr>
              <w:t>晾晒车间1</w:t>
            </w:r>
            <w:r>
              <w:rPr>
                <w:rFonts w:hint="eastAsia"/>
                <w:color w:val="000000"/>
                <w:kern w:val="0"/>
                <w:sz w:val="24"/>
              </w:rPr>
              <w:t>占地面积为</w:t>
            </w:r>
            <w:r>
              <w:rPr>
                <w:rFonts w:hint="eastAsia"/>
                <w:color w:val="000000"/>
                <w:kern w:val="0"/>
                <w:sz w:val="24"/>
                <w:lang w:val="en-US" w:eastAsia="zh-CN"/>
              </w:rPr>
              <w:t>19454.36</w:t>
            </w:r>
            <w:r>
              <w:rPr>
                <w:color w:val="000000"/>
                <w:kern w:val="0"/>
                <w:sz w:val="24"/>
              </w:rPr>
              <w:t>m</w:t>
            </w:r>
            <w:r>
              <w:rPr>
                <w:color w:val="000000"/>
                <w:kern w:val="0"/>
                <w:sz w:val="24"/>
                <w:vertAlign w:val="superscript"/>
              </w:rPr>
              <w:t>2</w:t>
            </w:r>
            <w:r>
              <w:rPr>
                <w:rFonts w:hint="eastAsia"/>
                <w:color w:val="000000"/>
                <w:kern w:val="0"/>
                <w:sz w:val="24"/>
                <w:lang w:eastAsia="zh-CN"/>
              </w:rPr>
              <w:t>，</w:t>
            </w:r>
            <w:r>
              <w:rPr>
                <w:rFonts w:hint="eastAsia"/>
                <w:color w:val="000000"/>
                <w:kern w:val="0"/>
                <w:sz w:val="24"/>
                <w:lang w:val="en-US" w:eastAsia="zh-CN"/>
              </w:rPr>
              <w:t>晾晒车间2</w:t>
            </w:r>
            <w:r>
              <w:rPr>
                <w:rFonts w:hint="eastAsia"/>
                <w:color w:val="000000"/>
                <w:kern w:val="0"/>
                <w:sz w:val="24"/>
              </w:rPr>
              <w:t>占地面积为</w:t>
            </w:r>
            <w:r>
              <w:rPr>
                <w:rFonts w:hint="eastAsia"/>
                <w:color w:val="000000"/>
                <w:kern w:val="0"/>
                <w:sz w:val="24"/>
                <w:lang w:val="en-US" w:eastAsia="zh-CN"/>
              </w:rPr>
              <w:t>13015.24</w:t>
            </w:r>
            <w:r>
              <w:rPr>
                <w:color w:val="000000"/>
                <w:kern w:val="0"/>
                <w:sz w:val="24"/>
              </w:rPr>
              <w:t>m</w:t>
            </w:r>
            <w:r>
              <w:rPr>
                <w:color w:val="000000"/>
                <w:kern w:val="0"/>
                <w:sz w:val="24"/>
                <w:vertAlign w:val="superscript"/>
              </w:rPr>
              <w:t>2</w:t>
            </w:r>
            <w:r>
              <w:rPr>
                <w:rFonts w:hint="eastAsia"/>
                <w:color w:val="000000"/>
                <w:kern w:val="0"/>
                <w:sz w:val="24"/>
                <w:lang w:eastAsia="zh-CN"/>
              </w:rPr>
              <w:t>，</w:t>
            </w:r>
            <w:r>
              <w:rPr>
                <w:rFonts w:hint="eastAsia"/>
                <w:color w:val="000000"/>
                <w:kern w:val="0"/>
                <w:sz w:val="24"/>
                <w:lang w:val="en-US" w:eastAsia="zh-CN"/>
              </w:rPr>
              <w:t>造粒车间</w:t>
            </w:r>
            <w:r>
              <w:rPr>
                <w:rFonts w:hint="eastAsia"/>
                <w:color w:val="000000"/>
                <w:kern w:val="0"/>
                <w:sz w:val="24"/>
              </w:rPr>
              <w:t>占地面积为</w:t>
            </w:r>
            <w:r>
              <w:rPr>
                <w:rFonts w:hint="eastAsia"/>
                <w:color w:val="000000"/>
                <w:kern w:val="0"/>
                <w:sz w:val="24"/>
                <w:lang w:val="en-US" w:eastAsia="zh-CN"/>
              </w:rPr>
              <w:t>4108.44</w:t>
            </w:r>
            <w:r>
              <w:rPr>
                <w:color w:val="000000"/>
                <w:kern w:val="0"/>
                <w:sz w:val="24"/>
              </w:rPr>
              <w:t>m</w:t>
            </w:r>
            <w:r>
              <w:rPr>
                <w:color w:val="000000"/>
                <w:kern w:val="0"/>
                <w:sz w:val="24"/>
                <w:vertAlign w:val="superscript"/>
              </w:rPr>
              <w:t>2</w:t>
            </w:r>
            <w:r>
              <w:rPr>
                <w:rFonts w:hint="eastAsia"/>
                <w:color w:val="000000"/>
                <w:kern w:val="0"/>
                <w:sz w:val="24"/>
              </w:rPr>
              <w:t>、</w:t>
            </w:r>
            <w:r>
              <w:rPr>
                <w:rFonts w:hint="eastAsia"/>
                <w:color w:val="000000"/>
                <w:kern w:val="0"/>
                <w:sz w:val="24"/>
                <w:lang w:val="en-US" w:eastAsia="zh-CN"/>
              </w:rPr>
              <w:t>成品仓库</w:t>
            </w:r>
            <w:r>
              <w:rPr>
                <w:rFonts w:hint="eastAsia"/>
                <w:color w:val="000000"/>
                <w:kern w:val="0"/>
                <w:sz w:val="24"/>
              </w:rPr>
              <w:t>占地面积为</w:t>
            </w:r>
            <w:r>
              <w:rPr>
                <w:rFonts w:hint="eastAsia"/>
                <w:color w:val="000000"/>
                <w:kern w:val="0"/>
                <w:sz w:val="24"/>
                <w:lang w:val="en-US" w:eastAsia="zh-CN"/>
              </w:rPr>
              <w:t>3086.44</w:t>
            </w:r>
            <w:r>
              <w:rPr>
                <w:color w:val="000000"/>
                <w:kern w:val="0"/>
                <w:sz w:val="24"/>
              </w:rPr>
              <w:t>m</w:t>
            </w:r>
            <w:r>
              <w:rPr>
                <w:color w:val="000000"/>
                <w:kern w:val="0"/>
                <w:sz w:val="24"/>
                <w:vertAlign w:val="superscript"/>
              </w:rPr>
              <w:t>2</w:t>
            </w:r>
            <w:r>
              <w:rPr>
                <w:rFonts w:hint="eastAsia"/>
                <w:color w:val="000000"/>
                <w:kern w:val="0"/>
                <w:sz w:val="24"/>
                <w:szCs w:val="24"/>
                <w:lang w:eastAsia="zh-CN"/>
              </w:rPr>
              <w:t>，</w:t>
            </w:r>
            <w:r>
              <w:rPr>
                <w:rFonts w:hint="eastAsia"/>
                <w:color w:val="000000"/>
                <w:kern w:val="0"/>
                <w:sz w:val="24"/>
                <w:szCs w:val="24"/>
                <w:highlight w:val="none"/>
                <w:lang w:val="en-US" w:eastAsia="zh-CN"/>
              </w:rPr>
              <w:t>危化品库</w:t>
            </w:r>
            <w:r>
              <w:rPr>
                <w:rFonts w:hint="eastAsia"/>
                <w:color w:val="000000"/>
                <w:kern w:val="0"/>
                <w:sz w:val="24"/>
                <w:szCs w:val="24"/>
              </w:rPr>
              <w:t>占</w:t>
            </w:r>
            <w:r>
              <w:rPr>
                <w:rFonts w:hint="eastAsia"/>
                <w:color w:val="000000"/>
                <w:kern w:val="0"/>
                <w:sz w:val="24"/>
              </w:rPr>
              <w:t>地面积为</w:t>
            </w:r>
            <w:r>
              <w:rPr>
                <w:rFonts w:hint="eastAsia"/>
                <w:color w:val="000000"/>
                <w:kern w:val="0"/>
                <w:sz w:val="24"/>
                <w:lang w:val="en-US" w:eastAsia="zh-CN"/>
              </w:rPr>
              <w:t>1204</w:t>
            </w:r>
            <w:r>
              <w:rPr>
                <w:color w:val="000000"/>
                <w:kern w:val="0"/>
                <w:sz w:val="24"/>
              </w:rPr>
              <w:t>m</w:t>
            </w:r>
            <w:r>
              <w:rPr>
                <w:color w:val="000000"/>
                <w:kern w:val="0"/>
                <w:sz w:val="24"/>
                <w:vertAlign w:val="superscript"/>
              </w:rPr>
              <w:t>2</w:t>
            </w:r>
            <w:r>
              <w:rPr>
                <w:rFonts w:hint="eastAsia"/>
                <w:color w:val="000000"/>
                <w:kern w:val="0"/>
                <w:sz w:val="24"/>
                <w:lang w:eastAsia="zh-CN"/>
              </w:rPr>
              <w:t>，</w:t>
            </w:r>
            <w:r>
              <w:rPr>
                <w:rFonts w:hint="eastAsia"/>
                <w:color w:val="000000"/>
                <w:kern w:val="0"/>
                <w:sz w:val="24"/>
                <w:lang w:val="en-US" w:eastAsia="zh-CN"/>
              </w:rPr>
              <w:t>办公住宿楼</w:t>
            </w:r>
            <w:r>
              <w:rPr>
                <w:rFonts w:hint="eastAsia"/>
                <w:color w:val="000000"/>
                <w:kern w:val="0"/>
                <w:sz w:val="24"/>
              </w:rPr>
              <w:t>占地面积为</w:t>
            </w:r>
            <w:r>
              <w:rPr>
                <w:rFonts w:hint="eastAsia"/>
                <w:color w:val="000000"/>
                <w:kern w:val="0"/>
                <w:sz w:val="24"/>
                <w:lang w:val="en-US" w:eastAsia="zh-CN"/>
              </w:rPr>
              <w:t>3060.4</w:t>
            </w:r>
            <w:r>
              <w:rPr>
                <w:color w:val="000000"/>
                <w:kern w:val="0"/>
                <w:sz w:val="24"/>
              </w:rPr>
              <w:t>m</w:t>
            </w:r>
            <w:r>
              <w:rPr>
                <w:color w:val="000000"/>
                <w:kern w:val="0"/>
                <w:sz w:val="24"/>
                <w:vertAlign w:val="superscript"/>
              </w:rPr>
              <w:t>2</w:t>
            </w:r>
            <w:r>
              <w:rPr>
                <w:rFonts w:hint="eastAsia"/>
                <w:color w:val="000000"/>
                <w:kern w:val="0"/>
                <w:sz w:val="24"/>
                <w:lang w:eastAsia="zh-CN"/>
              </w:rPr>
              <w:t>，</w:t>
            </w:r>
            <w:r>
              <w:rPr>
                <w:rFonts w:hint="eastAsia"/>
                <w:color w:val="000000"/>
                <w:kern w:val="0"/>
                <w:sz w:val="24"/>
                <w:lang w:val="en-US" w:eastAsia="zh-CN"/>
              </w:rPr>
              <w:t>门卫室</w:t>
            </w:r>
            <w:r>
              <w:rPr>
                <w:rFonts w:hint="eastAsia"/>
                <w:color w:val="000000"/>
                <w:kern w:val="0"/>
                <w:sz w:val="24"/>
              </w:rPr>
              <w:t>占地面积为</w:t>
            </w:r>
            <w:r>
              <w:rPr>
                <w:rFonts w:hint="eastAsia"/>
                <w:color w:val="000000"/>
                <w:kern w:val="0"/>
                <w:sz w:val="24"/>
                <w:lang w:val="en-US" w:eastAsia="zh-CN"/>
              </w:rPr>
              <w:t>24</w:t>
            </w:r>
            <w:r>
              <w:rPr>
                <w:color w:val="000000"/>
                <w:kern w:val="0"/>
                <w:sz w:val="24"/>
              </w:rPr>
              <w:t>m</w:t>
            </w:r>
            <w:r>
              <w:rPr>
                <w:color w:val="000000"/>
                <w:kern w:val="0"/>
                <w:sz w:val="24"/>
                <w:vertAlign w:val="superscript"/>
              </w:rPr>
              <w:t>2</w:t>
            </w:r>
            <w:r>
              <w:rPr>
                <w:rFonts w:hint="eastAsia"/>
                <w:color w:val="000000"/>
                <w:kern w:val="0"/>
                <w:sz w:val="24"/>
              </w:rPr>
              <w:t>。</w:t>
            </w:r>
            <w:r>
              <w:rPr>
                <w:rFonts w:hint="eastAsia"/>
                <w:color w:val="000000"/>
                <w:kern w:val="0"/>
                <w:sz w:val="24"/>
                <w:highlight w:val="none"/>
              </w:rPr>
              <w:t>本项目新建1条</w:t>
            </w:r>
            <w:r>
              <w:rPr>
                <w:rFonts w:hint="eastAsia"/>
                <w:color w:val="000000"/>
                <w:kern w:val="0"/>
                <w:sz w:val="24"/>
                <w:highlight w:val="none"/>
                <w:lang w:val="en-US" w:eastAsia="zh-CN"/>
              </w:rPr>
              <w:t>腐植酸提纯</w:t>
            </w:r>
            <w:r>
              <w:rPr>
                <w:rFonts w:hint="eastAsia"/>
                <w:color w:val="000000"/>
                <w:kern w:val="0"/>
                <w:sz w:val="24"/>
                <w:highlight w:val="none"/>
              </w:rPr>
              <w:t>生产线，</w:t>
            </w:r>
            <w:r>
              <w:rPr>
                <w:rFonts w:hint="eastAsia"/>
                <w:color w:val="000000"/>
                <w:kern w:val="0"/>
                <w:sz w:val="24"/>
                <w:highlight w:val="none"/>
                <w:lang w:val="en-US" w:eastAsia="zh-CN"/>
              </w:rPr>
              <w:t>1条腐植酸盐有机肥造粒生产线，</w:t>
            </w:r>
            <w:r>
              <w:rPr>
                <w:rFonts w:hint="eastAsia"/>
                <w:color w:val="000000"/>
                <w:kern w:val="0"/>
                <w:sz w:val="24"/>
              </w:rPr>
              <w:t>项目建成后形成年产</w:t>
            </w:r>
            <w:r>
              <w:rPr>
                <w:rFonts w:hint="eastAsia"/>
                <w:color w:val="000000"/>
                <w:kern w:val="0"/>
                <w:sz w:val="24"/>
                <w:lang w:val="en-US" w:eastAsia="zh-CN"/>
              </w:rPr>
              <w:t>腐植酸复混有机肥2</w:t>
            </w:r>
            <w:r>
              <w:rPr>
                <w:rFonts w:hint="eastAsia"/>
                <w:color w:val="000000"/>
                <w:kern w:val="0"/>
                <w:sz w:val="24"/>
              </w:rPr>
              <w:t>0000吨</w:t>
            </w:r>
            <w:r>
              <w:rPr>
                <w:rFonts w:hint="eastAsia"/>
                <w:color w:val="000000"/>
                <w:kern w:val="0"/>
                <w:sz w:val="24"/>
                <w:lang w:eastAsia="zh-CN"/>
              </w:rPr>
              <w:t>、</w:t>
            </w:r>
            <w:r>
              <w:rPr>
                <w:rFonts w:hint="eastAsia"/>
                <w:color w:val="000000"/>
                <w:kern w:val="0"/>
                <w:sz w:val="24"/>
                <w:lang w:val="en-US" w:eastAsia="zh-CN"/>
              </w:rPr>
              <w:t>腐植酸钾有机肥30000吨</w:t>
            </w:r>
            <w:r>
              <w:rPr>
                <w:rFonts w:hint="eastAsia"/>
                <w:color w:val="000000"/>
                <w:kern w:val="0"/>
                <w:sz w:val="24"/>
              </w:rPr>
              <w:t>。</w:t>
            </w:r>
          </w:p>
          <w:p>
            <w:pPr>
              <w:adjustRightInd w:val="0"/>
              <w:snapToGrid w:val="0"/>
              <w:spacing w:line="360" w:lineRule="auto"/>
              <w:ind w:firstLine="480" w:firstLineChars="200"/>
              <w:rPr>
                <w:color w:val="000000"/>
                <w:kern w:val="0"/>
                <w:sz w:val="24"/>
              </w:rPr>
            </w:pPr>
            <w:r>
              <w:rPr>
                <w:color w:val="000000"/>
                <w:kern w:val="0"/>
                <w:sz w:val="24"/>
              </w:rPr>
              <w:t>项目组成</w:t>
            </w:r>
            <w:r>
              <w:rPr>
                <w:rFonts w:hint="eastAsia"/>
                <w:color w:val="000000"/>
                <w:kern w:val="0"/>
                <w:sz w:val="24"/>
              </w:rPr>
              <w:t>详见</w:t>
            </w:r>
            <w:r>
              <w:rPr>
                <w:color w:val="000000"/>
                <w:kern w:val="0"/>
                <w:sz w:val="24"/>
              </w:rPr>
              <w:t>表</w:t>
            </w:r>
            <w:r>
              <w:rPr>
                <w:rFonts w:hint="eastAsia"/>
                <w:color w:val="000000"/>
                <w:kern w:val="0"/>
                <w:sz w:val="24"/>
                <w:lang w:val="en-US" w:eastAsia="zh-CN"/>
              </w:rPr>
              <w:t>2-1</w:t>
            </w:r>
            <w:r>
              <w:rPr>
                <w:color w:val="000000"/>
                <w:kern w:val="0"/>
                <w:sz w:val="24"/>
              </w:rPr>
              <w:t>。</w:t>
            </w:r>
          </w:p>
          <w:p>
            <w:pPr>
              <w:spacing w:line="240" w:lineRule="auto"/>
              <w:jc w:val="center"/>
              <w:rPr>
                <w:color w:val="000000"/>
                <w:sz w:val="24"/>
              </w:rPr>
            </w:pPr>
            <w:r>
              <w:rPr>
                <w:b/>
                <w:bCs/>
                <w:color w:val="000000"/>
                <w:szCs w:val="21"/>
              </w:rPr>
              <w:t>表</w:t>
            </w:r>
            <w:r>
              <w:rPr>
                <w:rFonts w:hint="eastAsia"/>
                <w:b/>
                <w:bCs/>
                <w:color w:val="000000"/>
                <w:szCs w:val="21"/>
                <w:lang w:val="en-US" w:eastAsia="zh-CN"/>
              </w:rPr>
              <w:t>2-1</w:t>
            </w:r>
            <w:r>
              <w:rPr>
                <w:b/>
                <w:bCs/>
                <w:color w:val="000000"/>
                <w:szCs w:val="21"/>
              </w:rPr>
              <w:t xml:space="preserve">   建设项目组成一览表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273"/>
              <w:gridCol w:w="4694"/>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noWrap w:val="0"/>
                  <w:vAlign w:val="center"/>
                </w:tcPr>
                <w:p>
                  <w:pPr>
                    <w:pStyle w:val="48"/>
                    <w:spacing w:line="240" w:lineRule="auto"/>
                    <w:rPr>
                      <w:b/>
                      <w:color w:val="000000"/>
                    </w:rPr>
                  </w:pPr>
                  <w:r>
                    <w:rPr>
                      <w:rFonts w:hint="eastAsia"/>
                      <w:b/>
                      <w:color w:val="000000"/>
                    </w:rPr>
                    <w:t>工程类型</w:t>
                  </w:r>
                </w:p>
              </w:tc>
              <w:tc>
                <w:tcPr>
                  <w:tcW w:w="811" w:type="pct"/>
                  <w:noWrap w:val="0"/>
                  <w:vAlign w:val="center"/>
                </w:tcPr>
                <w:p>
                  <w:pPr>
                    <w:pStyle w:val="48"/>
                    <w:spacing w:line="240" w:lineRule="auto"/>
                    <w:rPr>
                      <w:b/>
                      <w:color w:val="000000"/>
                    </w:rPr>
                  </w:pPr>
                  <w:r>
                    <w:rPr>
                      <w:rFonts w:hint="eastAsia"/>
                      <w:b/>
                      <w:color w:val="000000"/>
                    </w:rPr>
                    <w:t>工程名称</w:t>
                  </w:r>
                </w:p>
              </w:tc>
              <w:tc>
                <w:tcPr>
                  <w:tcW w:w="2991" w:type="pct"/>
                  <w:noWrap w:val="0"/>
                  <w:vAlign w:val="center"/>
                </w:tcPr>
                <w:p>
                  <w:pPr>
                    <w:pStyle w:val="48"/>
                    <w:spacing w:line="240" w:lineRule="auto"/>
                    <w:rPr>
                      <w:b/>
                      <w:color w:val="000000"/>
                    </w:rPr>
                  </w:pPr>
                  <w:r>
                    <w:rPr>
                      <w:b/>
                      <w:color w:val="000000"/>
                    </w:rPr>
                    <w:t>工程内容</w:t>
                  </w:r>
                </w:p>
              </w:tc>
              <w:tc>
                <w:tcPr>
                  <w:tcW w:w="485" w:type="pct"/>
                  <w:noWrap w:val="0"/>
                  <w:vAlign w:val="center"/>
                </w:tcPr>
                <w:p>
                  <w:pPr>
                    <w:pStyle w:val="48"/>
                    <w:spacing w:line="240" w:lineRule="auto"/>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12" w:type="pct"/>
                  <w:vMerge w:val="restart"/>
                  <w:noWrap w:val="0"/>
                  <w:vAlign w:val="center"/>
                </w:tcPr>
                <w:p>
                  <w:pPr>
                    <w:adjustRightInd w:val="0"/>
                    <w:snapToGrid w:val="0"/>
                    <w:jc w:val="center"/>
                    <w:rPr>
                      <w:color w:val="000000"/>
                      <w:kern w:val="0"/>
                      <w:szCs w:val="21"/>
                    </w:rPr>
                  </w:pPr>
                  <w:r>
                    <w:rPr>
                      <w:rFonts w:hint="eastAsia"/>
                      <w:color w:val="000000"/>
                      <w:kern w:val="0"/>
                      <w:szCs w:val="21"/>
                    </w:rPr>
                    <w:t>主体工程</w:t>
                  </w:r>
                </w:p>
              </w:tc>
              <w:tc>
                <w:tcPr>
                  <w:tcW w:w="811" w:type="pct"/>
                  <w:noWrap w:val="0"/>
                  <w:vAlign w:val="center"/>
                </w:tcPr>
                <w:p>
                  <w:pPr>
                    <w:adjustRightInd w:val="0"/>
                    <w:snapToGrid w:val="0"/>
                    <w:spacing w:line="240" w:lineRule="auto"/>
                    <w:jc w:val="center"/>
                    <w:rPr>
                      <w:rFonts w:hint="eastAsia"/>
                      <w:color w:val="000000"/>
                      <w:kern w:val="0"/>
                      <w:sz w:val="21"/>
                      <w:szCs w:val="21"/>
                    </w:rPr>
                  </w:pPr>
                  <w:r>
                    <w:rPr>
                      <w:rFonts w:hint="eastAsia"/>
                      <w:color w:val="000000"/>
                      <w:kern w:val="0"/>
                      <w:sz w:val="21"/>
                      <w:szCs w:val="21"/>
                      <w:lang w:val="en-US" w:eastAsia="zh-CN"/>
                    </w:rPr>
                    <w:t>粉碎原料车间</w:t>
                  </w:r>
                </w:p>
              </w:tc>
              <w:tc>
                <w:tcPr>
                  <w:tcW w:w="2991" w:type="pct"/>
                  <w:noWrap w:val="0"/>
                  <w:vAlign w:val="center"/>
                </w:tcPr>
                <w:p>
                  <w:pPr>
                    <w:adjustRightInd w:val="0"/>
                    <w:snapToGrid w:val="0"/>
                    <w:spacing w:line="240" w:lineRule="auto"/>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位于厂区西北侧，地上一层，钢结构，</w:t>
                  </w:r>
                  <w:r>
                    <w:rPr>
                      <w:rFonts w:hint="eastAsia" w:cs="Times New Roman"/>
                      <w:color w:val="000000"/>
                      <w:kern w:val="0"/>
                      <w:sz w:val="21"/>
                      <w:szCs w:val="21"/>
                      <w:lang w:val="en-US" w:eastAsia="zh-CN"/>
                    </w:rPr>
                    <w:t>主要用于原料筛分、粉碎与搅拌工序，</w:t>
                  </w:r>
                  <w:r>
                    <w:rPr>
                      <w:rFonts w:hint="eastAsia" w:ascii="Times New Roman" w:hAnsi="Times New Roman" w:eastAsia="宋体" w:cs="Times New Roman"/>
                      <w:color w:val="000000"/>
                      <w:kern w:val="0"/>
                      <w:sz w:val="21"/>
                      <w:szCs w:val="21"/>
                      <w:lang w:val="en-US" w:eastAsia="zh-CN"/>
                    </w:rPr>
                    <w:t>占地面积为2064.44m</w:t>
                  </w:r>
                  <w:r>
                    <w:rPr>
                      <w:rFonts w:hint="eastAsia" w:ascii="Times New Roman" w:hAnsi="Times New Roman" w:eastAsia="宋体" w:cs="Times New Roman"/>
                      <w:color w:val="000000"/>
                      <w:kern w:val="0"/>
                      <w:sz w:val="21"/>
                      <w:szCs w:val="21"/>
                      <w:vertAlign w:val="superscript"/>
                      <w:lang w:val="en-US" w:eastAsia="zh-CN"/>
                    </w:rPr>
                    <w:t>2</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12" w:type="pct"/>
                  <w:vMerge w:val="continue"/>
                  <w:noWrap w:val="0"/>
                  <w:vAlign w:val="center"/>
                </w:tcPr>
                <w:p>
                  <w:pPr>
                    <w:adjustRightInd w:val="0"/>
                    <w:snapToGrid w:val="0"/>
                    <w:jc w:val="center"/>
                    <w:rPr>
                      <w:rFonts w:hint="eastAsia"/>
                      <w:color w:val="000000"/>
                      <w:kern w:val="0"/>
                      <w:szCs w:val="21"/>
                    </w:rPr>
                  </w:pPr>
                </w:p>
              </w:tc>
              <w:tc>
                <w:tcPr>
                  <w:tcW w:w="811" w:type="pct"/>
                  <w:noWrap w:val="0"/>
                  <w:vAlign w:val="center"/>
                </w:tcPr>
                <w:p>
                  <w:pPr>
                    <w:adjustRightInd w:val="0"/>
                    <w:snapToGrid w:val="0"/>
                    <w:spacing w:line="240" w:lineRule="auto"/>
                    <w:jc w:val="center"/>
                    <w:rPr>
                      <w:rFonts w:hint="eastAsia"/>
                      <w:color w:val="000000"/>
                      <w:kern w:val="0"/>
                      <w:sz w:val="21"/>
                      <w:szCs w:val="21"/>
                      <w:lang w:val="en-US" w:eastAsia="zh-CN"/>
                    </w:rPr>
                  </w:pPr>
                  <w:r>
                    <w:rPr>
                      <w:rFonts w:hint="eastAsia"/>
                      <w:color w:val="000000"/>
                      <w:kern w:val="0"/>
                      <w:sz w:val="21"/>
                      <w:szCs w:val="21"/>
                      <w:lang w:val="en-US" w:eastAsia="zh-CN"/>
                    </w:rPr>
                    <w:t>造粒车间</w:t>
                  </w:r>
                </w:p>
              </w:tc>
              <w:tc>
                <w:tcPr>
                  <w:tcW w:w="2991" w:type="pct"/>
                  <w:noWrap w:val="0"/>
                  <w:vAlign w:val="center"/>
                </w:tcPr>
                <w:p>
                  <w:pPr>
                    <w:adjustRightInd w:val="0"/>
                    <w:snapToGrid w:val="0"/>
                    <w:spacing w:line="240" w:lineRule="auto"/>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位于厂区西南侧，地上一层，钢结构，</w:t>
                  </w:r>
                  <w:r>
                    <w:rPr>
                      <w:rFonts w:hint="eastAsia" w:cs="Times New Roman"/>
                      <w:color w:val="000000"/>
                      <w:kern w:val="0"/>
                      <w:sz w:val="21"/>
                      <w:szCs w:val="21"/>
                      <w:lang w:val="en-US" w:eastAsia="zh-CN"/>
                    </w:rPr>
                    <w:t>主要用于造粒腐植酸钾有机肥，</w:t>
                  </w:r>
                  <w:r>
                    <w:rPr>
                      <w:rFonts w:hint="eastAsia" w:ascii="Times New Roman" w:hAnsi="Times New Roman" w:eastAsia="宋体" w:cs="Times New Roman"/>
                      <w:color w:val="000000"/>
                      <w:kern w:val="0"/>
                      <w:sz w:val="21"/>
                      <w:szCs w:val="21"/>
                      <w:lang w:val="en-US" w:eastAsia="zh-CN"/>
                    </w:rPr>
                    <w:t>占地面积为4108.44m</w:t>
                  </w:r>
                  <w:r>
                    <w:rPr>
                      <w:rFonts w:hint="eastAsia" w:ascii="Times New Roman" w:hAnsi="Times New Roman" w:eastAsia="宋体" w:cs="Times New Roman"/>
                      <w:color w:val="000000"/>
                      <w:kern w:val="0"/>
                      <w:sz w:val="21"/>
                      <w:szCs w:val="21"/>
                      <w:vertAlign w:val="superscript"/>
                      <w:lang w:val="en-US" w:eastAsia="zh-CN"/>
                    </w:rPr>
                    <w:t>2</w:t>
                  </w:r>
                </w:p>
              </w:tc>
              <w:tc>
                <w:tcPr>
                  <w:tcW w:w="485" w:type="pct"/>
                  <w:noWrap w:val="0"/>
                  <w:vAlign w:val="center"/>
                </w:tcPr>
                <w:p>
                  <w:pPr>
                    <w:adjustRightInd w:val="0"/>
                    <w:snapToGrid w:val="0"/>
                    <w:jc w:val="center"/>
                    <w:rPr>
                      <w:rFonts w:hint="eastAsia"/>
                      <w:color w:val="000000"/>
                      <w:kern w:val="0"/>
                      <w:szCs w:val="21"/>
                    </w:rPr>
                  </w:pPr>
                  <w:r>
                    <w:rPr>
                      <w:rFonts w:hint="eastAsia"/>
                      <w:color w:val="000000"/>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12" w:type="pct"/>
                  <w:vMerge w:val="continue"/>
                  <w:noWrap w:val="0"/>
                  <w:vAlign w:val="center"/>
                </w:tcPr>
                <w:p>
                  <w:pPr>
                    <w:adjustRightInd w:val="0"/>
                    <w:snapToGrid w:val="0"/>
                    <w:jc w:val="center"/>
                    <w:rPr>
                      <w:rFonts w:hint="eastAsia"/>
                      <w:color w:val="000000"/>
                      <w:kern w:val="0"/>
                      <w:szCs w:val="21"/>
                    </w:rPr>
                  </w:pPr>
                </w:p>
              </w:tc>
              <w:tc>
                <w:tcPr>
                  <w:tcW w:w="811" w:type="pct"/>
                  <w:noWrap w:val="0"/>
                  <w:vAlign w:val="center"/>
                </w:tcPr>
                <w:p>
                  <w:pPr>
                    <w:adjustRightInd w:val="0"/>
                    <w:snapToGrid w:val="0"/>
                    <w:spacing w:line="240" w:lineRule="auto"/>
                    <w:jc w:val="center"/>
                    <w:rPr>
                      <w:rFonts w:hint="eastAsia"/>
                      <w:color w:val="000000"/>
                      <w:kern w:val="0"/>
                      <w:sz w:val="21"/>
                      <w:szCs w:val="21"/>
                    </w:rPr>
                  </w:pPr>
                  <w:r>
                    <w:rPr>
                      <w:rFonts w:hint="eastAsia"/>
                      <w:color w:val="000000"/>
                      <w:kern w:val="0"/>
                      <w:sz w:val="21"/>
                      <w:szCs w:val="21"/>
                      <w:lang w:val="en-US" w:eastAsia="zh-CN"/>
                    </w:rPr>
                    <w:t>晾晒车间1</w:t>
                  </w:r>
                </w:p>
              </w:tc>
              <w:tc>
                <w:tcPr>
                  <w:tcW w:w="2991" w:type="pct"/>
                  <w:noWrap w:val="0"/>
                  <w:vAlign w:val="center"/>
                </w:tcPr>
                <w:p>
                  <w:pPr>
                    <w:adjustRightInd w:val="0"/>
                    <w:snapToGrid w:val="0"/>
                    <w:spacing w:line="240" w:lineRule="auto"/>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位于厂区西侧，地上一层，钢结构，占地面积为19454.36m</w:t>
                  </w:r>
                  <w:r>
                    <w:rPr>
                      <w:rFonts w:hint="eastAsia" w:ascii="Times New Roman" w:hAnsi="Times New Roman" w:eastAsia="宋体" w:cs="Times New Roman"/>
                      <w:color w:val="000000"/>
                      <w:kern w:val="0"/>
                      <w:sz w:val="21"/>
                      <w:szCs w:val="21"/>
                      <w:vertAlign w:val="superscript"/>
                      <w:lang w:val="en-US" w:eastAsia="zh-CN"/>
                    </w:rPr>
                    <w:t>2</w:t>
                  </w:r>
                </w:p>
              </w:tc>
              <w:tc>
                <w:tcPr>
                  <w:tcW w:w="485" w:type="pct"/>
                  <w:noWrap w:val="0"/>
                  <w:vAlign w:val="center"/>
                </w:tcPr>
                <w:p>
                  <w:pPr>
                    <w:adjustRightInd w:val="0"/>
                    <w:snapToGrid w:val="0"/>
                    <w:jc w:val="center"/>
                    <w:rPr>
                      <w:rFonts w:hint="eastAsia"/>
                      <w:color w:val="000000"/>
                      <w:kern w:val="0"/>
                      <w:szCs w:val="21"/>
                    </w:rPr>
                  </w:pPr>
                  <w:r>
                    <w:rPr>
                      <w:rFonts w:hint="eastAsia"/>
                      <w:color w:val="000000"/>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12" w:type="pct"/>
                  <w:vMerge w:val="continue"/>
                  <w:noWrap w:val="0"/>
                  <w:vAlign w:val="center"/>
                </w:tcPr>
                <w:p>
                  <w:pPr>
                    <w:adjustRightInd w:val="0"/>
                    <w:snapToGrid w:val="0"/>
                    <w:jc w:val="center"/>
                    <w:rPr>
                      <w:rFonts w:hint="eastAsia"/>
                      <w:color w:val="000000"/>
                      <w:kern w:val="0"/>
                      <w:szCs w:val="21"/>
                    </w:rPr>
                  </w:pPr>
                </w:p>
              </w:tc>
              <w:tc>
                <w:tcPr>
                  <w:tcW w:w="811" w:type="pct"/>
                  <w:noWrap w:val="0"/>
                  <w:vAlign w:val="center"/>
                </w:tcPr>
                <w:p>
                  <w:pPr>
                    <w:adjustRightInd w:val="0"/>
                    <w:snapToGrid w:val="0"/>
                    <w:spacing w:line="240" w:lineRule="auto"/>
                    <w:jc w:val="center"/>
                    <w:rPr>
                      <w:rFonts w:hint="eastAsia"/>
                      <w:color w:val="000000"/>
                      <w:kern w:val="0"/>
                      <w:sz w:val="21"/>
                      <w:szCs w:val="21"/>
                    </w:rPr>
                  </w:pPr>
                  <w:r>
                    <w:rPr>
                      <w:rFonts w:hint="eastAsia"/>
                      <w:color w:val="000000"/>
                      <w:kern w:val="0"/>
                      <w:sz w:val="21"/>
                      <w:szCs w:val="21"/>
                      <w:lang w:val="en-US" w:eastAsia="zh-CN"/>
                    </w:rPr>
                    <w:t>晾晒车间2</w:t>
                  </w:r>
                </w:p>
              </w:tc>
              <w:tc>
                <w:tcPr>
                  <w:tcW w:w="2991" w:type="pct"/>
                  <w:noWrap w:val="0"/>
                  <w:vAlign w:val="center"/>
                </w:tcPr>
                <w:p>
                  <w:pPr>
                    <w:adjustRightInd w:val="0"/>
                    <w:snapToGrid w:val="0"/>
                    <w:spacing w:line="240" w:lineRule="auto"/>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位于厂区东侧，地上一层，钢结构，占地面积为13015.24m</w:t>
                  </w:r>
                  <w:r>
                    <w:rPr>
                      <w:rFonts w:hint="eastAsia" w:ascii="Times New Roman" w:hAnsi="Times New Roman" w:eastAsia="宋体" w:cs="Times New Roman"/>
                      <w:color w:val="000000"/>
                      <w:kern w:val="0"/>
                      <w:sz w:val="21"/>
                      <w:szCs w:val="21"/>
                      <w:vertAlign w:val="superscript"/>
                      <w:lang w:val="en-US" w:eastAsia="zh-CN"/>
                    </w:rPr>
                    <w:t>2</w:t>
                  </w:r>
                </w:p>
              </w:tc>
              <w:tc>
                <w:tcPr>
                  <w:tcW w:w="485" w:type="pct"/>
                  <w:noWrap w:val="0"/>
                  <w:vAlign w:val="center"/>
                </w:tcPr>
                <w:p>
                  <w:pPr>
                    <w:adjustRightInd w:val="0"/>
                    <w:snapToGrid w:val="0"/>
                    <w:jc w:val="center"/>
                    <w:rPr>
                      <w:rFonts w:hint="eastAsia"/>
                      <w:color w:val="000000"/>
                      <w:kern w:val="0"/>
                      <w:szCs w:val="21"/>
                    </w:rPr>
                  </w:pPr>
                  <w:r>
                    <w:rPr>
                      <w:rFonts w:hint="eastAsia"/>
                      <w:color w:val="000000"/>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noWrap w:val="0"/>
                  <w:vAlign w:val="center"/>
                </w:tcPr>
                <w:p>
                  <w:pPr>
                    <w:adjustRightInd w:val="0"/>
                    <w:snapToGrid w:val="0"/>
                    <w:jc w:val="center"/>
                    <w:rPr>
                      <w:rFonts w:hint="eastAsia" w:eastAsia="宋体"/>
                      <w:color w:val="000000"/>
                      <w:kern w:val="0"/>
                      <w:szCs w:val="21"/>
                      <w:lang w:val="en-US" w:eastAsia="zh-CN"/>
                    </w:rPr>
                  </w:pPr>
                  <w:r>
                    <w:rPr>
                      <w:rFonts w:hint="eastAsia"/>
                      <w:color w:val="000000"/>
                      <w:kern w:val="0"/>
                      <w:szCs w:val="21"/>
                      <w:lang w:val="en-US" w:eastAsia="zh-CN"/>
                    </w:rPr>
                    <w:t>储运工程</w:t>
                  </w:r>
                </w:p>
              </w:tc>
              <w:tc>
                <w:tcPr>
                  <w:tcW w:w="811" w:type="pct"/>
                  <w:noWrap w:val="0"/>
                  <w:vAlign w:val="center"/>
                </w:tcPr>
                <w:p>
                  <w:pPr>
                    <w:adjustRightInd w:val="0"/>
                    <w:snapToGrid w:val="0"/>
                    <w:spacing w:line="240" w:lineRule="auto"/>
                    <w:jc w:val="center"/>
                    <w:rPr>
                      <w:color w:val="000000"/>
                      <w:kern w:val="0"/>
                      <w:sz w:val="21"/>
                      <w:szCs w:val="21"/>
                    </w:rPr>
                  </w:pPr>
                  <w:r>
                    <w:rPr>
                      <w:rFonts w:hint="eastAsia"/>
                      <w:color w:val="000000"/>
                      <w:kern w:val="0"/>
                      <w:sz w:val="21"/>
                      <w:szCs w:val="21"/>
                      <w:lang w:val="en-US" w:eastAsia="zh-CN"/>
                    </w:rPr>
                    <w:t>配料间</w:t>
                  </w:r>
                </w:p>
              </w:tc>
              <w:tc>
                <w:tcPr>
                  <w:tcW w:w="2991" w:type="pct"/>
                  <w:noWrap w:val="0"/>
                  <w:vAlign w:val="center"/>
                </w:tcPr>
                <w:p>
                  <w:pPr>
                    <w:adjustRightInd w:val="0"/>
                    <w:snapToGrid w:val="0"/>
                    <w:spacing w:line="240" w:lineRule="auto"/>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位于厂区西北侧，地上一层，钢结构，占地面积为2044m</w:t>
                  </w:r>
                  <w:r>
                    <w:rPr>
                      <w:rFonts w:hint="eastAsia" w:ascii="Times New Roman" w:hAnsi="Times New Roman" w:eastAsia="宋体" w:cs="Times New Roman"/>
                      <w:color w:val="000000"/>
                      <w:kern w:val="0"/>
                      <w:sz w:val="21"/>
                      <w:szCs w:val="21"/>
                      <w:vertAlign w:val="superscript"/>
                      <w:lang w:val="en-US" w:eastAsia="zh-CN"/>
                    </w:rPr>
                    <w:t>2</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color w:val="000000"/>
                      <w:kern w:val="0"/>
                      <w:szCs w:val="21"/>
                    </w:rPr>
                  </w:pPr>
                </w:p>
              </w:tc>
              <w:tc>
                <w:tcPr>
                  <w:tcW w:w="811" w:type="pct"/>
                  <w:noWrap w:val="0"/>
                  <w:vAlign w:val="center"/>
                </w:tcPr>
                <w:p>
                  <w:pPr>
                    <w:adjustRightInd w:val="0"/>
                    <w:snapToGrid w:val="0"/>
                    <w:spacing w:line="240" w:lineRule="auto"/>
                    <w:jc w:val="center"/>
                    <w:rPr>
                      <w:rFonts w:hint="eastAsia"/>
                      <w:color w:val="000000"/>
                      <w:kern w:val="0"/>
                      <w:sz w:val="21"/>
                      <w:szCs w:val="21"/>
                    </w:rPr>
                  </w:pPr>
                  <w:r>
                    <w:rPr>
                      <w:rFonts w:hint="eastAsia"/>
                      <w:color w:val="000000"/>
                      <w:kern w:val="0"/>
                      <w:sz w:val="21"/>
                      <w:szCs w:val="21"/>
                      <w:lang w:val="en-US" w:eastAsia="zh-CN"/>
                    </w:rPr>
                    <w:t>成品仓库</w:t>
                  </w:r>
                </w:p>
              </w:tc>
              <w:tc>
                <w:tcPr>
                  <w:tcW w:w="2991" w:type="pct"/>
                  <w:noWrap w:val="0"/>
                  <w:vAlign w:val="center"/>
                </w:tcPr>
                <w:p>
                  <w:pPr>
                    <w:adjustRightInd w:val="0"/>
                    <w:snapToGrid w:val="0"/>
                    <w:spacing w:line="240" w:lineRule="auto"/>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位于厂区西南侧，地上一层，钢结构，</w:t>
                  </w:r>
                  <w:r>
                    <w:rPr>
                      <w:rFonts w:hint="eastAsia" w:cs="Times New Roman"/>
                      <w:color w:val="000000"/>
                      <w:kern w:val="0"/>
                      <w:sz w:val="21"/>
                      <w:szCs w:val="21"/>
                      <w:lang w:val="en-US" w:eastAsia="zh-CN"/>
                    </w:rPr>
                    <w:t>用于储存成品，</w:t>
                  </w:r>
                  <w:r>
                    <w:rPr>
                      <w:rFonts w:hint="eastAsia" w:ascii="Times New Roman" w:hAnsi="Times New Roman" w:eastAsia="宋体" w:cs="Times New Roman"/>
                      <w:color w:val="000000"/>
                      <w:kern w:val="0"/>
                      <w:sz w:val="21"/>
                      <w:szCs w:val="21"/>
                      <w:lang w:val="en-US" w:eastAsia="zh-CN"/>
                    </w:rPr>
                    <w:t>占地面积为3086.44m</w:t>
                  </w:r>
                  <w:r>
                    <w:rPr>
                      <w:rFonts w:hint="eastAsia" w:ascii="Times New Roman" w:hAnsi="Times New Roman" w:eastAsia="宋体" w:cs="Times New Roman"/>
                      <w:color w:val="000000"/>
                      <w:kern w:val="0"/>
                      <w:sz w:val="21"/>
                      <w:szCs w:val="21"/>
                      <w:vertAlign w:val="superscript"/>
                      <w:lang w:val="en-US" w:eastAsia="zh-CN"/>
                    </w:rPr>
                    <w:t>2</w:t>
                  </w:r>
                </w:p>
              </w:tc>
              <w:tc>
                <w:tcPr>
                  <w:tcW w:w="485" w:type="pct"/>
                  <w:noWrap w:val="0"/>
                  <w:vAlign w:val="center"/>
                </w:tcPr>
                <w:p>
                  <w:pPr>
                    <w:adjustRightInd w:val="0"/>
                    <w:snapToGrid w:val="0"/>
                    <w:jc w:val="center"/>
                    <w:rPr>
                      <w:rFonts w:hint="eastAsia"/>
                      <w:color w:val="000000"/>
                      <w:kern w:val="0"/>
                      <w:szCs w:val="21"/>
                    </w:rPr>
                  </w:pPr>
                  <w:r>
                    <w:rPr>
                      <w:rFonts w:hint="eastAsia"/>
                      <w:color w:val="000000"/>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color w:val="000000"/>
                      <w:kern w:val="0"/>
                      <w:szCs w:val="21"/>
                    </w:rPr>
                  </w:pPr>
                </w:p>
              </w:tc>
              <w:tc>
                <w:tcPr>
                  <w:tcW w:w="811" w:type="pct"/>
                  <w:noWrap w:val="0"/>
                  <w:vAlign w:val="center"/>
                </w:tcPr>
                <w:p>
                  <w:pPr>
                    <w:adjustRightInd w:val="0"/>
                    <w:snapToGrid w:val="0"/>
                    <w:spacing w:line="240" w:lineRule="auto"/>
                    <w:jc w:val="center"/>
                    <w:rPr>
                      <w:rFonts w:hint="eastAsia" w:eastAsia="宋体"/>
                      <w:color w:val="000000"/>
                      <w:kern w:val="0"/>
                      <w:sz w:val="21"/>
                      <w:szCs w:val="21"/>
                      <w:lang w:val="en-US" w:eastAsia="zh-CN"/>
                    </w:rPr>
                  </w:pPr>
                  <w:r>
                    <w:rPr>
                      <w:rFonts w:hint="eastAsia"/>
                      <w:color w:val="000000"/>
                      <w:kern w:val="0"/>
                      <w:sz w:val="21"/>
                      <w:szCs w:val="21"/>
                      <w:highlight w:val="none"/>
                      <w:lang w:val="en-US" w:eastAsia="zh-CN"/>
                    </w:rPr>
                    <w:t>危化品库</w:t>
                  </w:r>
                </w:p>
              </w:tc>
              <w:tc>
                <w:tcPr>
                  <w:tcW w:w="2991" w:type="pct"/>
                  <w:noWrap w:val="0"/>
                  <w:vAlign w:val="center"/>
                </w:tcPr>
                <w:p>
                  <w:pPr>
                    <w:adjustRightInd w:val="0"/>
                    <w:snapToGrid w:val="0"/>
                    <w:spacing w:line="240" w:lineRule="auto"/>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位于厂区东北侧，地上一层，钢结构，</w:t>
                  </w:r>
                  <w:r>
                    <w:rPr>
                      <w:rFonts w:hint="eastAsia" w:cs="Times New Roman"/>
                      <w:color w:val="000000"/>
                      <w:kern w:val="0"/>
                      <w:sz w:val="21"/>
                      <w:szCs w:val="21"/>
                      <w:lang w:val="en-US" w:eastAsia="zh-CN"/>
                    </w:rPr>
                    <w:t>用于贮存氢氧化钾、氢氧化钠原料，</w:t>
                  </w:r>
                  <w:r>
                    <w:rPr>
                      <w:rFonts w:hint="eastAsia" w:ascii="Times New Roman" w:hAnsi="Times New Roman" w:eastAsia="宋体" w:cs="Times New Roman"/>
                      <w:color w:val="000000"/>
                      <w:kern w:val="0"/>
                      <w:sz w:val="21"/>
                      <w:szCs w:val="21"/>
                      <w:lang w:val="en-US" w:eastAsia="zh-CN"/>
                    </w:rPr>
                    <w:t>占地面积为1204m</w:t>
                  </w:r>
                  <w:r>
                    <w:rPr>
                      <w:rFonts w:hint="eastAsia" w:ascii="Times New Roman" w:hAnsi="Times New Roman" w:eastAsia="宋体" w:cs="Times New Roman"/>
                      <w:color w:val="000000"/>
                      <w:kern w:val="0"/>
                      <w:sz w:val="21"/>
                      <w:szCs w:val="21"/>
                      <w:vertAlign w:val="superscript"/>
                      <w:lang w:val="en-US" w:eastAsia="zh-CN"/>
                    </w:rPr>
                    <w:t>2</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noWrap w:val="0"/>
                  <w:vAlign w:val="center"/>
                </w:tcPr>
                <w:p>
                  <w:pPr>
                    <w:adjustRightInd w:val="0"/>
                    <w:snapToGrid w:val="0"/>
                    <w:jc w:val="center"/>
                    <w:rPr>
                      <w:color w:val="000000"/>
                      <w:kern w:val="0"/>
                      <w:szCs w:val="21"/>
                    </w:rPr>
                  </w:pPr>
                  <w:r>
                    <w:rPr>
                      <w:rFonts w:hint="eastAsia"/>
                      <w:color w:val="000000"/>
                      <w:kern w:val="0"/>
                      <w:szCs w:val="21"/>
                    </w:rPr>
                    <w:t>辅助工程</w:t>
                  </w:r>
                </w:p>
              </w:tc>
              <w:tc>
                <w:tcPr>
                  <w:tcW w:w="811" w:type="pct"/>
                  <w:noWrap w:val="0"/>
                  <w:vAlign w:val="center"/>
                </w:tcPr>
                <w:p>
                  <w:pPr>
                    <w:adjustRightInd w:val="0"/>
                    <w:snapToGrid w:val="0"/>
                    <w:jc w:val="center"/>
                    <w:rPr>
                      <w:rFonts w:hint="eastAsia" w:eastAsia="宋体"/>
                      <w:color w:val="000000"/>
                      <w:kern w:val="0"/>
                      <w:szCs w:val="21"/>
                      <w:lang w:eastAsia="zh-CN"/>
                    </w:rPr>
                  </w:pPr>
                  <w:r>
                    <w:rPr>
                      <w:rFonts w:hint="eastAsia"/>
                      <w:color w:val="000000"/>
                      <w:kern w:val="0"/>
                      <w:szCs w:val="21"/>
                      <w:lang w:val="en-US" w:eastAsia="zh-CN"/>
                    </w:rPr>
                    <w:t>办公住宿楼</w:t>
                  </w:r>
                </w:p>
              </w:tc>
              <w:tc>
                <w:tcPr>
                  <w:tcW w:w="2991" w:type="pct"/>
                  <w:noWrap w:val="0"/>
                  <w:vAlign w:val="center"/>
                </w:tcPr>
                <w:p>
                  <w:pPr>
                    <w:adjustRightInd w:val="0"/>
                    <w:snapToGrid w:val="0"/>
                    <w:jc w:val="center"/>
                    <w:rPr>
                      <w:color w:val="000000"/>
                      <w:kern w:val="0"/>
                      <w:szCs w:val="21"/>
                    </w:rPr>
                  </w:pPr>
                  <w:r>
                    <w:rPr>
                      <w:rFonts w:hint="eastAsia" w:ascii="Times New Roman" w:hAnsi="Times New Roman" w:eastAsia="宋体" w:cs="Times New Roman"/>
                      <w:color w:val="000000"/>
                      <w:kern w:val="0"/>
                      <w:sz w:val="21"/>
                      <w:szCs w:val="21"/>
                      <w:lang w:val="en-US" w:eastAsia="zh-CN"/>
                    </w:rPr>
                    <w:t>位于厂区东南侧，地下一层，地上三层，钢筋混凝土结构，</w:t>
                  </w:r>
                  <w:r>
                    <w:rPr>
                      <w:rFonts w:hint="eastAsia" w:cs="Times New Roman"/>
                      <w:color w:val="000000"/>
                      <w:kern w:val="0"/>
                      <w:sz w:val="21"/>
                      <w:szCs w:val="21"/>
                      <w:lang w:val="en-US" w:eastAsia="zh-CN"/>
                    </w:rPr>
                    <w:t>用于员工住宿及办公，</w:t>
                  </w:r>
                  <w:r>
                    <w:rPr>
                      <w:rFonts w:hint="eastAsia" w:ascii="Times New Roman" w:hAnsi="Times New Roman" w:eastAsia="宋体" w:cs="Times New Roman"/>
                      <w:color w:val="000000"/>
                      <w:kern w:val="0"/>
                      <w:sz w:val="21"/>
                      <w:szCs w:val="21"/>
                      <w:lang w:val="en-US" w:eastAsia="zh-CN"/>
                    </w:rPr>
                    <w:t>占地面积为3060.4m</w:t>
                  </w:r>
                  <w:r>
                    <w:rPr>
                      <w:rFonts w:hint="eastAsia" w:ascii="Times New Roman" w:hAnsi="Times New Roman" w:eastAsia="宋体" w:cs="Times New Roman"/>
                      <w:color w:val="000000"/>
                      <w:kern w:val="0"/>
                      <w:sz w:val="21"/>
                      <w:szCs w:val="21"/>
                      <w:vertAlign w:val="superscript"/>
                      <w:lang w:val="en-US" w:eastAsia="zh-CN"/>
                    </w:rPr>
                    <w:t>2</w:t>
                  </w:r>
                </w:p>
              </w:tc>
              <w:tc>
                <w:tcPr>
                  <w:tcW w:w="485" w:type="pct"/>
                  <w:noWrap w:val="0"/>
                  <w:vAlign w:val="center"/>
                </w:tcPr>
                <w:p>
                  <w:pPr>
                    <w:adjustRightInd w:val="0"/>
                    <w:snapToGrid w:val="0"/>
                    <w:jc w:val="center"/>
                    <w:rPr>
                      <w:rFonts w:hint="default" w:eastAsia="宋体"/>
                      <w:color w:val="000000"/>
                      <w:kern w:val="0"/>
                      <w:szCs w:val="21"/>
                      <w:lang w:val="en-US" w:eastAsia="zh-CN"/>
                    </w:rPr>
                  </w:pPr>
                  <w:r>
                    <w:rPr>
                      <w:rFonts w:hint="eastAsia"/>
                      <w:color w:val="000000"/>
                      <w:kern w:val="0"/>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rFonts w:hint="eastAsia"/>
                      <w:color w:val="000000"/>
                      <w:kern w:val="0"/>
                      <w:szCs w:val="21"/>
                    </w:rPr>
                  </w:pPr>
                </w:p>
              </w:tc>
              <w:tc>
                <w:tcPr>
                  <w:tcW w:w="811" w:type="pct"/>
                  <w:noWrap w:val="0"/>
                  <w:vAlign w:val="center"/>
                </w:tcPr>
                <w:p>
                  <w:pPr>
                    <w:adjustRightInd w:val="0"/>
                    <w:snapToGrid w:val="0"/>
                    <w:jc w:val="center"/>
                    <w:rPr>
                      <w:rFonts w:hint="eastAsia" w:eastAsia="宋体"/>
                      <w:color w:val="000000"/>
                      <w:kern w:val="0"/>
                      <w:szCs w:val="21"/>
                      <w:lang w:eastAsia="zh-CN"/>
                    </w:rPr>
                  </w:pPr>
                  <w:r>
                    <w:rPr>
                      <w:rFonts w:hint="eastAsia"/>
                      <w:color w:val="000000"/>
                      <w:kern w:val="0"/>
                      <w:szCs w:val="21"/>
                      <w:lang w:val="en-US" w:eastAsia="zh-CN"/>
                    </w:rPr>
                    <w:t>门卫室</w:t>
                  </w:r>
                </w:p>
              </w:tc>
              <w:tc>
                <w:tcPr>
                  <w:tcW w:w="2991" w:type="pct"/>
                  <w:noWrap w:val="0"/>
                  <w:vAlign w:val="center"/>
                </w:tcPr>
                <w:p>
                  <w:pPr>
                    <w:adjustRightInd w:val="0"/>
                    <w:snapToGrid w:val="0"/>
                    <w:jc w:val="center"/>
                    <w:rPr>
                      <w:color w:val="000000"/>
                      <w:kern w:val="0"/>
                      <w:szCs w:val="21"/>
                    </w:rPr>
                  </w:pPr>
                  <w:r>
                    <w:rPr>
                      <w:rFonts w:hint="eastAsia" w:ascii="Times New Roman" w:hAnsi="Times New Roman" w:eastAsia="宋体" w:cs="Times New Roman"/>
                      <w:color w:val="000000"/>
                      <w:kern w:val="0"/>
                      <w:sz w:val="21"/>
                      <w:szCs w:val="21"/>
                      <w:lang w:val="en-US" w:eastAsia="zh-CN"/>
                    </w:rPr>
                    <w:t>位于厂区东南侧大门处</w:t>
                  </w:r>
                  <w:r>
                    <w:rPr>
                      <w:rFonts w:hint="eastAsia"/>
                      <w:color w:val="000000"/>
                      <w:kern w:val="0"/>
                      <w:szCs w:val="21"/>
                    </w:rPr>
                    <w:t>，占地面积为</w:t>
                  </w:r>
                  <w:r>
                    <w:rPr>
                      <w:rFonts w:hint="eastAsia"/>
                      <w:color w:val="000000"/>
                      <w:kern w:val="0"/>
                      <w:szCs w:val="21"/>
                      <w:lang w:val="en-US" w:eastAsia="zh-CN"/>
                    </w:rPr>
                    <w:t>24</w:t>
                  </w:r>
                  <w:r>
                    <w:rPr>
                      <w:rFonts w:hint="eastAsia"/>
                      <w:color w:val="000000"/>
                      <w:kern w:val="0"/>
                      <w:szCs w:val="21"/>
                    </w:rPr>
                    <w:t>m</w:t>
                  </w:r>
                  <w:r>
                    <w:rPr>
                      <w:rFonts w:hint="eastAsia"/>
                      <w:color w:val="000000"/>
                      <w:kern w:val="0"/>
                      <w:szCs w:val="21"/>
                      <w:vertAlign w:val="superscript"/>
                    </w:rPr>
                    <w:t>2</w:t>
                  </w:r>
                </w:p>
              </w:tc>
              <w:tc>
                <w:tcPr>
                  <w:tcW w:w="485" w:type="pct"/>
                  <w:noWrap w:val="0"/>
                  <w:vAlign w:val="center"/>
                </w:tcPr>
                <w:p>
                  <w:pPr>
                    <w:adjustRightInd w:val="0"/>
                    <w:snapToGrid w:val="0"/>
                    <w:jc w:val="center"/>
                    <w:rPr>
                      <w:rFonts w:hint="eastAsia" w:eastAsia="宋体"/>
                      <w:color w:val="000000"/>
                      <w:kern w:val="0"/>
                      <w:szCs w:val="21"/>
                      <w:lang w:eastAsia="zh-CN"/>
                    </w:rPr>
                  </w:pPr>
                  <w:r>
                    <w:rPr>
                      <w:rFonts w:hint="eastAsia"/>
                      <w:color w:val="000000"/>
                      <w:kern w:val="0"/>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noWrap w:val="0"/>
                  <w:vAlign w:val="center"/>
                </w:tcPr>
                <w:p>
                  <w:pPr>
                    <w:adjustRightInd w:val="0"/>
                    <w:snapToGrid w:val="0"/>
                    <w:jc w:val="center"/>
                    <w:rPr>
                      <w:color w:val="000000"/>
                      <w:kern w:val="0"/>
                      <w:szCs w:val="21"/>
                    </w:rPr>
                  </w:pPr>
                  <w:r>
                    <w:rPr>
                      <w:rFonts w:hint="eastAsia"/>
                      <w:color w:val="000000"/>
                      <w:kern w:val="0"/>
                      <w:szCs w:val="21"/>
                    </w:rPr>
                    <w:t>公用工程</w:t>
                  </w:r>
                </w:p>
              </w:tc>
              <w:tc>
                <w:tcPr>
                  <w:tcW w:w="811" w:type="pct"/>
                  <w:noWrap w:val="0"/>
                  <w:vAlign w:val="center"/>
                </w:tcPr>
                <w:p>
                  <w:pPr>
                    <w:pStyle w:val="48"/>
                    <w:spacing w:line="240" w:lineRule="auto"/>
                    <w:rPr>
                      <w:color w:val="000000"/>
                    </w:rPr>
                  </w:pPr>
                  <w:r>
                    <w:rPr>
                      <w:color w:val="000000"/>
                    </w:rPr>
                    <w:t>给水</w:t>
                  </w:r>
                </w:p>
              </w:tc>
              <w:tc>
                <w:tcPr>
                  <w:tcW w:w="2991" w:type="pct"/>
                  <w:noWrap w:val="0"/>
                  <w:vAlign w:val="center"/>
                </w:tcPr>
                <w:p>
                  <w:pPr>
                    <w:adjustRightInd w:val="0"/>
                    <w:snapToGrid w:val="0"/>
                    <w:jc w:val="center"/>
                    <w:rPr>
                      <w:color w:val="000000"/>
                      <w:kern w:val="0"/>
                      <w:szCs w:val="21"/>
                      <w:highlight w:val="yellow"/>
                    </w:rPr>
                  </w:pPr>
                  <w:r>
                    <w:rPr>
                      <w:rFonts w:hint="eastAsia"/>
                      <w:color w:val="000000"/>
                      <w:kern w:val="0"/>
                      <w:szCs w:val="21"/>
                      <w:highlight w:val="none"/>
                      <w:lang w:val="en-US" w:eastAsia="zh-CN"/>
                    </w:rPr>
                    <w:t>园区</w:t>
                  </w:r>
                  <w:r>
                    <w:rPr>
                      <w:color w:val="000000"/>
                      <w:kern w:val="0"/>
                      <w:szCs w:val="21"/>
                      <w:highlight w:val="none"/>
                    </w:rPr>
                    <w:t>供水管网设施齐全，</w:t>
                  </w:r>
                  <w:r>
                    <w:rPr>
                      <w:rFonts w:hint="eastAsia"/>
                      <w:color w:val="000000"/>
                      <w:kern w:val="0"/>
                      <w:szCs w:val="21"/>
                      <w:highlight w:val="none"/>
                      <w:lang w:val="en-US" w:eastAsia="zh-CN"/>
                    </w:rPr>
                    <w:t>本项目</w:t>
                  </w:r>
                  <w:r>
                    <w:rPr>
                      <w:color w:val="000000"/>
                      <w:kern w:val="0"/>
                      <w:szCs w:val="21"/>
                      <w:highlight w:val="none"/>
                    </w:rPr>
                    <w:t>生产</w:t>
                  </w:r>
                  <w:r>
                    <w:rPr>
                      <w:rFonts w:hint="eastAsia"/>
                      <w:color w:val="000000"/>
                      <w:kern w:val="0"/>
                      <w:szCs w:val="21"/>
                      <w:highlight w:val="none"/>
                      <w:lang w:eastAsia="zh-CN"/>
                    </w:rPr>
                    <w:t>、</w:t>
                  </w:r>
                  <w:r>
                    <w:rPr>
                      <w:rFonts w:hint="eastAsia"/>
                      <w:color w:val="000000"/>
                      <w:kern w:val="0"/>
                      <w:szCs w:val="21"/>
                      <w:highlight w:val="none"/>
                      <w:lang w:val="en-US" w:eastAsia="zh-CN"/>
                    </w:rPr>
                    <w:t>生活</w:t>
                  </w:r>
                  <w:r>
                    <w:rPr>
                      <w:color w:val="000000"/>
                      <w:kern w:val="0"/>
                      <w:szCs w:val="21"/>
                      <w:highlight w:val="none"/>
                    </w:rPr>
                    <w:t>用水依托厂区原有</w:t>
                  </w:r>
                  <w:r>
                    <w:rPr>
                      <w:rFonts w:hint="eastAsia"/>
                      <w:color w:val="000000"/>
                      <w:kern w:val="0"/>
                      <w:szCs w:val="21"/>
                      <w:highlight w:val="none"/>
                    </w:rPr>
                    <w:t>园区</w:t>
                  </w:r>
                  <w:r>
                    <w:rPr>
                      <w:color w:val="000000"/>
                      <w:kern w:val="0"/>
                      <w:szCs w:val="21"/>
                      <w:highlight w:val="none"/>
                    </w:rPr>
                    <w:t>供水管网接入，可满足生产</w:t>
                  </w:r>
                  <w:r>
                    <w:rPr>
                      <w:rFonts w:hint="eastAsia"/>
                      <w:color w:val="000000"/>
                      <w:kern w:val="0"/>
                      <w:szCs w:val="21"/>
                      <w:highlight w:val="none"/>
                      <w:lang w:eastAsia="zh-CN"/>
                    </w:rPr>
                    <w:t>、</w:t>
                  </w:r>
                  <w:r>
                    <w:rPr>
                      <w:rFonts w:hint="eastAsia"/>
                      <w:color w:val="000000"/>
                      <w:kern w:val="0"/>
                      <w:szCs w:val="21"/>
                      <w:highlight w:val="none"/>
                      <w:lang w:val="en-US" w:eastAsia="zh-CN"/>
                    </w:rPr>
                    <w:t>生活</w:t>
                  </w:r>
                  <w:r>
                    <w:rPr>
                      <w:color w:val="000000"/>
                      <w:kern w:val="0"/>
                      <w:szCs w:val="21"/>
                      <w:highlight w:val="none"/>
                    </w:rPr>
                    <w:t>用水需要</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color w:val="000000"/>
                      <w:kern w:val="0"/>
                      <w:szCs w:val="21"/>
                    </w:rPr>
                  </w:pPr>
                </w:p>
              </w:tc>
              <w:tc>
                <w:tcPr>
                  <w:tcW w:w="811" w:type="pct"/>
                  <w:noWrap w:val="0"/>
                  <w:vAlign w:val="center"/>
                </w:tcPr>
                <w:p>
                  <w:pPr>
                    <w:pStyle w:val="48"/>
                    <w:spacing w:line="240" w:lineRule="auto"/>
                    <w:rPr>
                      <w:color w:val="000000"/>
                    </w:rPr>
                  </w:pPr>
                  <w:r>
                    <w:rPr>
                      <w:color w:val="000000"/>
                    </w:rPr>
                    <w:t>排水</w:t>
                  </w:r>
                </w:p>
              </w:tc>
              <w:tc>
                <w:tcPr>
                  <w:tcW w:w="2991" w:type="pct"/>
                  <w:noWrap w:val="0"/>
                  <w:vAlign w:val="center"/>
                </w:tcPr>
                <w:p>
                  <w:pPr>
                    <w:adjustRightInd w:val="0"/>
                    <w:snapToGrid w:val="0"/>
                    <w:jc w:val="center"/>
                    <w:rPr>
                      <w:rFonts w:hint="default" w:eastAsia="宋体"/>
                      <w:color w:val="000000"/>
                      <w:kern w:val="0"/>
                      <w:szCs w:val="21"/>
                      <w:highlight w:val="yellow"/>
                      <w:lang w:val="en-US" w:eastAsia="zh-CN"/>
                    </w:rPr>
                  </w:pPr>
                  <w:r>
                    <w:rPr>
                      <w:rFonts w:hint="eastAsia"/>
                      <w:color w:val="000000"/>
                      <w:kern w:val="0"/>
                      <w:szCs w:val="21"/>
                      <w:highlight w:val="none"/>
                      <w:lang w:val="en-US" w:eastAsia="zh-CN"/>
                    </w:rPr>
                    <w:t>园区</w:t>
                  </w:r>
                  <w:r>
                    <w:rPr>
                      <w:color w:val="000000"/>
                      <w:kern w:val="0"/>
                      <w:szCs w:val="21"/>
                      <w:highlight w:val="none"/>
                    </w:rPr>
                    <w:t>排水管网设施齐全，</w:t>
                  </w:r>
                  <w:r>
                    <w:rPr>
                      <w:rFonts w:hint="eastAsia"/>
                      <w:color w:val="000000"/>
                      <w:kern w:val="0"/>
                      <w:szCs w:val="21"/>
                      <w:highlight w:val="none"/>
                      <w:lang w:val="en-US" w:eastAsia="zh-CN"/>
                    </w:rPr>
                    <w:t>本项目生活污水排入</w:t>
                  </w:r>
                  <w:r>
                    <w:rPr>
                      <w:rFonts w:hint="eastAsia"/>
                      <w:color w:val="000000"/>
                      <w:kern w:val="0"/>
                      <w:szCs w:val="21"/>
                      <w:highlight w:val="none"/>
                    </w:rPr>
                    <w:t>园区</w:t>
                  </w:r>
                  <w:r>
                    <w:rPr>
                      <w:color w:val="000000"/>
                      <w:kern w:val="0"/>
                      <w:szCs w:val="21"/>
                      <w:highlight w:val="none"/>
                    </w:rPr>
                    <w:t>污水管网</w:t>
                  </w:r>
                  <w:r>
                    <w:rPr>
                      <w:rFonts w:hint="eastAsia"/>
                      <w:color w:val="000000"/>
                      <w:kern w:val="0"/>
                      <w:szCs w:val="21"/>
                      <w:highlight w:val="none"/>
                      <w:lang w:eastAsia="zh-CN"/>
                    </w:rPr>
                    <w:t>，</w:t>
                  </w:r>
                  <w:r>
                    <w:rPr>
                      <w:rFonts w:hint="eastAsia"/>
                      <w:color w:val="000000"/>
                      <w:kern w:val="0"/>
                      <w:szCs w:val="21"/>
                      <w:highlight w:val="none"/>
                      <w:lang w:val="en-US" w:eastAsia="zh-CN"/>
                    </w:rPr>
                    <w:t>最终进入喇嘛湖梁工业园区污水处理厂。</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color w:val="000000"/>
                      <w:kern w:val="0"/>
                      <w:szCs w:val="21"/>
                    </w:rPr>
                  </w:pPr>
                </w:p>
              </w:tc>
              <w:tc>
                <w:tcPr>
                  <w:tcW w:w="811" w:type="pct"/>
                  <w:noWrap w:val="0"/>
                  <w:vAlign w:val="center"/>
                </w:tcPr>
                <w:p>
                  <w:pPr>
                    <w:pStyle w:val="48"/>
                    <w:spacing w:line="240" w:lineRule="auto"/>
                    <w:rPr>
                      <w:color w:val="000000"/>
                    </w:rPr>
                  </w:pPr>
                  <w:r>
                    <w:rPr>
                      <w:color w:val="000000"/>
                    </w:rPr>
                    <w:t>供电</w:t>
                  </w:r>
                </w:p>
              </w:tc>
              <w:tc>
                <w:tcPr>
                  <w:tcW w:w="2991" w:type="pct"/>
                  <w:noWrap w:val="0"/>
                  <w:vAlign w:val="center"/>
                </w:tcPr>
                <w:p>
                  <w:pPr>
                    <w:adjustRightInd w:val="0"/>
                    <w:snapToGrid w:val="0"/>
                    <w:jc w:val="center"/>
                    <w:rPr>
                      <w:rFonts w:hint="eastAsia" w:eastAsia="宋体"/>
                      <w:color w:val="000000"/>
                      <w:kern w:val="0"/>
                      <w:szCs w:val="21"/>
                      <w:highlight w:val="yellow"/>
                      <w:lang w:eastAsia="zh-CN"/>
                    </w:rPr>
                  </w:pPr>
                  <w:r>
                    <w:rPr>
                      <w:color w:val="000000"/>
                      <w:kern w:val="0"/>
                      <w:szCs w:val="21"/>
                      <w:highlight w:val="none"/>
                    </w:rPr>
                    <w:t>供电由市政电网接入</w:t>
                  </w:r>
                  <w:r>
                    <w:rPr>
                      <w:rFonts w:hint="eastAsia"/>
                      <w:color w:val="000000"/>
                      <w:kern w:val="0"/>
                      <w:szCs w:val="21"/>
                      <w:highlight w:val="none"/>
                      <w:lang w:eastAsia="zh-CN"/>
                    </w:rPr>
                    <w:t>。</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color w:val="000000"/>
                      <w:kern w:val="0"/>
                      <w:szCs w:val="21"/>
                    </w:rPr>
                  </w:pPr>
                </w:p>
              </w:tc>
              <w:tc>
                <w:tcPr>
                  <w:tcW w:w="811" w:type="pct"/>
                  <w:noWrap w:val="0"/>
                  <w:vAlign w:val="center"/>
                </w:tcPr>
                <w:p>
                  <w:pPr>
                    <w:pStyle w:val="48"/>
                    <w:spacing w:line="240" w:lineRule="auto"/>
                    <w:rPr>
                      <w:rFonts w:hint="eastAsia" w:eastAsia="宋体"/>
                      <w:color w:val="000000"/>
                      <w:lang w:eastAsia="zh-CN"/>
                    </w:rPr>
                  </w:pPr>
                  <w:r>
                    <w:rPr>
                      <w:color w:val="000000"/>
                    </w:rPr>
                    <w:t>供</w:t>
                  </w:r>
                  <w:r>
                    <w:rPr>
                      <w:rFonts w:hint="eastAsia"/>
                      <w:color w:val="000000"/>
                      <w:lang w:val="en-US" w:eastAsia="zh-CN"/>
                    </w:rPr>
                    <w:t>暖</w:t>
                  </w:r>
                </w:p>
              </w:tc>
              <w:tc>
                <w:tcPr>
                  <w:tcW w:w="2991" w:type="pct"/>
                  <w:noWrap w:val="0"/>
                  <w:vAlign w:val="center"/>
                </w:tcPr>
                <w:p>
                  <w:pPr>
                    <w:adjustRightInd w:val="0"/>
                    <w:snapToGrid w:val="0"/>
                    <w:jc w:val="center"/>
                    <w:rPr>
                      <w:rFonts w:hint="default" w:eastAsia="宋体"/>
                      <w:color w:val="000000"/>
                      <w:kern w:val="0"/>
                      <w:szCs w:val="21"/>
                      <w:highlight w:val="yellow"/>
                      <w:lang w:val="en-US" w:eastAsia="zh-CN"/>
                    </w:rPr>
                  </w:pPr>
                  <w:r>
                    <w:rPr>
                      <w:rFonts w:hint="eastAsia"/>
                      <w:color w:val="000000"/>
                      <w:kern w:val="0"/>
                      <w:szCs w:val="21"/>
                      <w:highlight w:val="none"/>
                      <w:lang w:val="en-US" w:eastAsia="zh-CN"/>
                    </w:rPr>
                    <w:t>依托园区集中供暖。</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color w:val="000000"/>
                      <w:kern w:val="0"/>
                      <w:szCs w:val="21"/>
                    </w:rPr>
                  </w:pPr>
                </w:p>
              </w:tc>
              <w:tc>
                <w:tcPr>
                  <w:tcW w:w="811" w:type="pct"/>
                  <w:noWrap w:val="0"/>
                  <w:vAlign w:val="center"/>
                </w:tcPr>
                <w:p>
                  <w:pPr>
                    <w:pStyle w:val="48"/>
                    <w:spacing w:line="240" w:lineRule="auto"/>
                    <w:rPr>
                      <w:rFonts w:hint="eastAsia" w:eastAsia="宋体"/>
                      <w:color w:val="000000"/>
                      <w:lang w:val="en-US" w:eastAsia="zh-CN"/>
                    </w:rPr>
                  </w:pPr>
                  <w:r>
                    <w:rPr>
                      <w:rFonts w:hint="eastAsia"/>
                      <w:color w:val="000000"/>
                      <w:lang w:val="en-US" w:eastAsia="zh-CN"/>
                    </w:rPr>
                    <w:t>供热</w:t>
                  </w:r>
                </w:p>
              </w:tc>
              <w:tc>
                <w:tcPr>
                  <w:tcW w:w="2991" w:type="pct"/>
                  <w:noWrap w:val="0"/>
                  <w:vAlign w:val="center"/>
                </w:tcPr>
                <w:p>
                  <w:pPr>
                    <w:pStyle w:val="7"/>
                    <w:widowControl/>
                    <w:pBdr>
                      <w:top w:val="none" w:color="auto" w:sz="0" w:space="0"/>
                      <w:left w:val="none" w:color="auto" w:sz="0" w:space="0"/>
                      <w:bottom w:val="none" w:color="auto" w:sz="0" w:space="0"/>
                      <w:right w:val="none" w:color="auto" w:sz="0" w:space="0"/>
                    </w:pBdr>
                    <w:shd w:val="clear" w:fill="FFFFFF"/>
                    <w:adjustRightInd w:val="0"/>
                    <w:snapToGrid w:val="0"/>
                    <w:jc w:val="center"/>
                    <w:textAlignment w:val="center"/>
                    <w:rPr>
                      <w:rFonts w:hint="eastAsia"/>
                      <w:color w:val="000000"/>
                      <w:kern w:val="0"/>
                      <w:szCs w:val="21"/>
                      <w:highlight w:val="none"/>
                      <w:lang w:val="en-US" w:eastAsia="zh-CN"/>
                    </w:rPr>
                  </w:pPr>
                  <w:r>
                    <w:rPr>
                      <w:rFonts w:hint="default" w:ascii="Times New Roman" w:hAnsi="Times New Roman" w:cs="Times New Roman"/>
                      <w:b w:val="0"/>
                      <w:bCs w:val="0"/>
                      <w:kern w:val="0"/>
                      <w:sz w:val="21"/>
                      <w:szCs w:val="21"/>
                    </w:rPr>
                    <w:t>生产供</w:t>
                  </w:r>
                  <w:r>
                    <w:rPr>
                      <w:rFonts w:hint="default" w:ascii="Times New Roman" w:hAnsi="Times New Roman" w:eastAsia="宋体" w:cs="Times New Roman"/>
                      <w:b w:val="0"/>
                      <w:bCs w:val="0"/>
                      <w:kern w:val="0"/>
                      <w:sz w:val="21"/>
                      <w:szCs w:val="21"/>
                      <w:lang w:bidi="ar-SA"/>
                    </w:rPr>
                    <w:t>热</w:t>
                  </w:r>
                  <w:r>
                    <w:rPr>
                      <w:rFonts w:hint="default" w:ascii="Times New Roman" w:hAnsi="Times New Roman" w:eastAsia="宋体" w:cs="Times New Roman"/>
                      <w:b w:val="0"/>
                      <w:bCs w:val="0"/>
                      <w:kern w:val="0"/>
                      <w:sz w:val="21"/>
                      <w:szCs w:val="21"/>
                      <w:lang w:val="en-US" w:eastAsia="zh-CN" w:bidi="ar-SA"/>
                    </w:rPr>
                    <w:t>为外购蒸汽，蒸汽由</w:t>
                  </w:r>
                  <w:r>
                    <w:rPr>
                      <w:rFonts w:hint="default" w:ascii="Times New Roman" w:hAnsi="Times New Roman" w:eastAsia="宋体" w:cs="Times New Roman"/>
                      <w:b w:val="0"/>
                      <w:bCs w:val="0"/>
                      <w:i w:val="0"/>
                      <w:iCs w:val="0"/>
                      <w:caps w:val="0"/>
                      <w:color w:val="383838"/>
                      <w:spacing w:val="0"/>
                      <w:sz w:val="21"/>
                      <w:szCs w:val="21"/>
                      <w:shd w:val="clear" w:fill="FFFFFF"/>
                      <w:lang w:bidi="ar-SA"/>
                    </w:rPr>
                    <w:t>新疆天电奇台能源有限责任公司</w:t>
                  </w:r>
                  <w:r>
                    <w:rPr>
                      <w:rFonts w:hint="default" w:ascii="Times New Roman" w:hAnsi="Times New Roman" w:cs="Times New Roman"/>
                      <w:b w:val="0"/>
                      <w:bCs w:val="0"/>
                      <w:kern w:val="0"/>
                      <w:sz w:val="21"/>
                      <w:szCs w:val="21"/>
                      <w:lang w:val="en-US" w:eastAsia="zh-CN"/>
                    </w:rPr>
                    <w:t>提供</w:t>
                  </w:r>
                  <w:r>
                    <w:rPr>
                      <w:rFonts w:hint="eastAsia" w:ascii="Times New Roman" w:hAnsi="Times New Roman" w:cs="Times New Roman"/>
                      <w:b w:val="0"/>
                      <w:bCs w:val="0"/>
                      <w:kern w:val="0"/>
                      <w:sz w:val="21"/>
                      <w:szCs w:val="21"/>
                      <w:lang w:val="en-US" w:eastAsia="zh-CN"/>
                    </w:rPr>
                    <w:t>。</w:t>
                  </w:r>
                </w:p>
              </w:tc>
              <w:tc>
                <w:tcPr>
                  <w:tcW w:w="485" w:type="pct"/>
                  <w:noWrap w:val="0"/>
                  <w:vAlign w:val="center"/>
                </w:tcPr>
                <w:p>
                  <w:pPr>
                    <w:adjustRightInd w:val="0"/>
                    <w:snapToGrid w:val="0"/>
                    <w:jc w:val="center"/>
                    <w:rPr>
                      <w:rFonts w:hint="eastAsia" w:eastAsia="宋体"/>
                      <w:color w:val="000000"/>
                      <w:kern w:val="0"/>
                      <w:szCs w:val="21"/>
                      <w:lang w:val="en-US" w:eastAsia="zh-CN"/>
                    </w:rPr>
                  </w:pPr>
                  <w:r>
                    <w:rPr>
                      <w:rFonts w:hint="eastAsia"/>
                      <w:color w:val="000000"/>
                      <w:kern w:val="0"/>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restart"/>
                  <w:noWrap w:val="0"/>
                  <w:vAlign w:val="center"/>
                </w:tcPr>
                <w:p>
                  <w:pPr>
                    <w:adjustRightInd w:val="0"/>
                    <w:snapToGrid w:val="0"/>
                    <w:jc w:val="center"/>
                    <w:rPr>
                      <w:color w:val="000000"/>
                      <w:kern w:val="0"/>
                      <w:szCs w:val="21"/>
                    </w:rPr>
                  </w:pPr>
                  <w:r>
                    <w:rPr>
                      <w:rFonts w:hint="eastAsia"/>
                      <w:color w:val="000000"/>
                      <w:kern w:val="0"/>
                      <w:szCs w:val="21"/>
                    </w:rPr>
                    <w:t>环保工程</w:t>
                  </w:r>
                </w:p>
              </w:tc>
              <w:tc>
                <w:tcPr>
                  <w:tcW w:w="811" w:type="pct"/>
                  <w:noWrap w:val="0"/>
                  <w:vAlign w:val="center"/>
                </w:tcPr>
                <w:p>
                  <w:pPr>
                    <w:adjustRightInd w:val="0"/>
                    <w:snapToGrid w:val="0"/>
                    <w:jc w:val="center"/>
                    <w:rPr>
                      <w:color w:val="000000"/>
                      <w:kern w:val="0"/>
                      <w:szCs w:val="21"/>
                    </w:rPr>
                  </w:pPr>
                  <w:r>
                    <w:rPr>
                      <w:rFonts w:hint="eastAsia"/>
                      <w:color w:val="000000"/>
                      <w:kern w:val="0"/>
                      <w:szCs w:val="21"/>
                    </w:rPr>
                    <w:t>废气</w:t>
                  </w:r>
                </w:p>
              </w:tc>
              <w:tc>
                <w:tcPr>
                  <w:tcW w:w="2991" w:type="pct"/>
                  <w:noWrap w:val="0"/>
                  <w:vAlign w:val="center"/>
                </w:tcPr>
                <w:p>
                  <w:pPr>
                    <w:adjustRightInd w:val="0"/>
                    <w:snapToGrid w:val="0"/>
                    <w:jc w:val="center"/>
                    <w:rPr>
                      <w:color w:val="000000"/>
                      <w:kern w:val="0"/>
                      <w:szCs w:val="21"/>
                      <w:highlight w:val="yellow"/>
                    </w:rPr>
                  </w:pPr>
                  <w:r>
                    <w:rPr>
                      <w:rFonts w:hint="eastAsia"/>
                      <w:color w:val="000000"/>
                      <w:kern w:val="0"/>
                      <w:szCs w:val="21"/>
                      <w:highlight w:val="none"/>
                    </w:rPr>
                    <w:t>生产过程中产生的有组织粉尘经</w:t>
                  </w:r>
                  <w:r>
                    <w:rPr>
                      <w:rFonts w:hint="eastAsia"/>
                      <w:color w:val="000000"/>
                      <w:kern w:val="0"/>
                      <w:szCs w:val="21"/>
                      <w:highlight w:val="none"/>
                      <w:lang w:val="en-US" w:eastAsia="zh-CN"/>
                    </w:rPr>
                    <w:t>集气罩</w:t>
                  </w:r>
                  <w:r>
                    <w:rPr>
                      <w:rFonts w:hint="eastAsia"/>
                      <w:color w:val="000000"/>
                      <w:kern w:val="0"/>
                      <w:szCs w:val="21"/>
                      <w:highlight w:val="none"/>
                    </w:rPr>
                    <w:t>装置收集后，经过</w:t>
                  </w:r>
                  <w:r>
                    <w:rPr>
                      <w:rFonts w:hint="eastAsia"/>
                      <w:color w:val="000000"/>
                      <w:kern w:val="0"/>
                      <w:szCs w:val="21"/>
                      <w:highlight w:val="none"/>
                      <w:lang w:val="en-US" w:eastAsia="zh-CN"/>
                    </w:rPr>
                    <w:t>布袋除尘器及</w:t>
                  </w:r>
                  <w:r>
                    <w:rPr>
                      <w:rFonts w:hint="eastAsia"/>
                      <w:color w:val="000000"/>
                      <w:kern w:val="0"/>
                      <w:szCs w:val="21"/>
                      <w:highlight w:val="none"/>
                    </w:rPr>
                    <w:t>设备自带布袋除尘器进行处置，最后通过1根15m排气筒排放；生产过程中产生的无组织粉尘通过加强</w:t>
                  </w:r>
                  <w:r>
                    <w:rPr>
                      <w:rFonts w:hint="eastAsia"/>
                      <w:color w:val="000000"/>
                      <w:kern w:val="0"/>
                      <w:szCs w:val="21"/>
                      <w:highlight w:val="none"/>
                      <w:lang w:val="en-US" w:eastAsia="zh-CN"/>
                    </w:rPr>
                    <w:t>生产</w:t>
                  </w:r>
                  <w:r>
                    <w:rPr>
                      <w:rFonts w:hint="eastAsia"/>
                      <w:color w:val="000000"/>
                      <w:kern w:val="0"/>
                      <w:szCs w:val="21"/>
                      <w:highlight w:val="none"/>
                    </w:rPr>
                    <w:t>过程管理，降低落料高度，包装过程采用软连接，</w:t>
                  </w:r>
                  <w:r>
                    <w:rPr>
                      <w:rFonts w:hint="eastAsia"/>
                      <w:color w:val="000000"/>
                      <w:kern w:val="0"/>
                      <w:szCs w:val="21"/>
                      <w:highlight w:val="none"/>
                      <w:lang w:val="en-US" w:eastAsia="zh-CN"/>
                    </w:rPr>
                    <w:t>采用全封闭车间，经</w:t>
                  </w:r>
                  <w:r>
                    <w:rPr>
                      <w:rFonts w:hint="eastAsia"/>
                      <w:color w:val="000000"/>
                      <w:kern w:val="0"/>
                      <w:szCs w:val="21"/>
                      <w:highlight w:val="none"/>
                    </w:rPr>
                    <w:t>自然沉降等措施，达标后以无组织形式排放；食堂油烟经油烟净化器进行处理后，由油烟专用烟道引至屋顶达标排放。</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color w:val="000000"/>
                      <w:kern w:val="0"/>
                      <w:szCs w:val="21"/>
                    </w:rPr>
                  </w:pPr>
                </w:p>
              </w:tc>
              <w:tc>
                <w:tcPr>
                  <w:tcW w:w="811" w:type="pct"/>
                  <w:noWrap w:val="0"/>
                  <w:vAlign w:val="center"/>
                </w:tcPr>
                <w:p>
                  <w:pPr>
                    <w:adjustRightInd w:val="0"/>
                    <w:snapToGrid w:val="0"/>
                    <w:jc w:val="center"/>
                    <w:rPr>
                      <w:color w:val="000000"/>
                      <w:kern w:val="0"/>
                      <w:szCs w:val="21"/>
                    </w:rPr>
                  </w:pPr>
                  <w:r>
                    <w:rPr>
                      <w:rFonts w:hint="eastAsia"/>
                      <w:color w:val="000000"/>
                      <w:kern w:val="0"/>
                      <w:szCs w:val="21"/>
                    </w:rPr>
                    <w:t>废水</w:t>
                  </w:r>
                </w:p>
              </w:tc>
              <w:tc>
                <w:tcPr>
                  <w:tcW w:w="2991" w:type="pct"/>
                  <w:noWrap w:val="0"/>
                  <w:vAlign w:val="center"/>
                </w:tcPr>
                <w:p>
                  <w:pPr>
                    <w:adjustRightInd w:val="0"/>
                    <w:snapToGrid w:val="0"/>
                    <w:jc w:val="center"/>
                    <w:rPr>
                      <w:color w:val="000000"/>
                      <w:kern w:val="0"/>
                      <w:szCs w:val="21"/>
                      <w:highlight w:val="yellow"/>
                    </w:rPr>
                  </w:pPr>
                  <w:r>
                    <w:rPr>
                      <w:rFonts w:hint="eastAsia"/>
                      <w:color w:val="000000"/>
                      <w:kern w:val="0"/>
                      <w:szCs w:val="21"/>
                      <w:highlight w:val="none"/>
                    </w:rPr>
                    <w:t>本项目生产</w:t>
                  </w:r>
                  <w:r>
                    <w:rPr>
                      <w:rFonts w:hint="eastAsia"/>
                      <w:color w:val="000000"/>
                      <w:kern w:val="0"/>
                      <w:szCs w:val="21"/>
                      <w:highlight w:val="none"/>
                      <w:lang w:val="en-US" w:eastAsia="zh-CN"/>
                    </w:rPr>
                    <w:t>废水循环使用不外排</w:t>
                  </w:r>
                  <w:r>
                    <w:rPr>
                      <w:rFonts w:hint="eastAsia"/>
                      <w:color w:val="000000"/>
                      <w:kern w:val="0"/>
                      <w:szCs w:val="21"/>
                      <w:highlight w:val="none"/>
                    </w:rPr>
                    <w:t>，则无生产废水产生；生活污水依托</w:t>
                  </w:r>
                  <w:r>
                    <w:rPr>
                      <w:rFonts w:hint="eastAsia"/>
                      <w:color w:val="000000"/>
                      <w:kern w:val="0"/>
                      <w:szCs w:val="21"/>
                      <w:highlight w:val="none"/>
                      <w:lang w:val="en-US" w:eastAsia="zh-CN"/>
                    </w:rPr>
                    <w:t>园区</w:t>
                  </w:r>
                  <w:r>
                    <w:rPr>
                      <w:rFonts w:hint="eastAsia"/>
                      <w:color w:val="000000"/>
                      <w:kern w:val="0"/>
                      <w:szCs w:val="21"/>
                      <w:highlight w:val="none"/>
                    </w:rPr>
                    <w:t>污水排水管网设施，直接排入园区污水管网，最终进入</w:t>
                  </w:r>
                  <w:r>
                    <w:rPr>
                      <w:rFonts w:hint="eastAsia"/>
                      <w:color w:val="000000"/>
                      <w:kern w:val="0"/>
                      <w:szCs w:val="21"/>
                      <w:highlight w:val="none"/>
                      <w:lang w:val="en-US" w:eastAsia="zh-CN"/>
                    </w:rPr>
                    <w:t>园区</w:t>
                  </w:r>
                  <w:r>
                    <w:rPr>
                      <w:rFonts w:hint="eastAsia"/>
                      <w:color w:val="000000"/>
                      <w:kern w:val="0"/>
                      <w:szCs w:val="21"/>
                      <w:highlight w:val="none"/>
                    </w:rPr>
                    <w:t>污水处理厂处理。</w:t>
                  </w:r>
                </w:p>
              </w:tc>
              <w:tc>
                <w:tcPr>
                  <w:tcW w:w="485" w:type="pct"/>
                  <w:noWrap w:val="0"/>
                  <w:vAlign w:val="center"/>
                </w:tcPr>
                <w:p>
                  <w:pPr>
                    <w:adjustRightInd w:val="0"/>
                    <w:snapToGrid w:val="0"/>
                    <w:jc w:val="center"/>
                    <w:rPr>
                      <w:rFonts w:hint="eastAsia" w:eastAsia="宋体"/>
                      <w:color w:val="000000"/>
                      <w:kern w:val="0"/>
                      <w:szCs w:val="21"/>
                      <w:lang w:eastAsia="zh-CN"/>
                    </w:rPr>
                  </w:pPr>
                  <w:r>
                    <w:rPr>
                      <w:rFonts w:hint="eastAsia"/>
                      <w:color w:val="000000"/>
                      <w:kern w:val="0"/>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color w:val="000000"/>
                      <w:kern w:val="0"/>
                      <w:szCs w:val="21"/>
                    </w:rPr>
                  </w:pPr>
                </w:p>
              </w:tc>
              <w:tc>
                <w:tcPr>
                  <w:tcW w:w="811" w:type="pct"/>
                  <w:noWrap w:val="0"/>
                  <w:vAlign w:val="center"/>
                </w:tcPr>
                <w:p>
                  <w:pPr>
                    <w:adjustRightInd w:val="0"/>
                    <w:snapToGrid w:val="0"/>
                    <w:jc w:val="center"/>
                    <w:rPr>
                      <w:color w:val="000000"/>
                      <w:kern w:val="0"/>
                      <w:szCs w:val="21"/>
                    </w:rPr>
                  </w:pPr>
                  <w:r>
                    <w:rPr>
                      <w:rFonts w:hint="eastAsia"/>
                      <w:color w:val="000000"/>
                      <w:kern w:val="0"/>
                      <w:szCs w:val="21"/>
                    </w:rPr>
                    <w:t>噪声</w:t>
                  </w:r>
                </w:p>
              </w:tc>
              <w:tc>
                <w:tcPr>
                  <w:tcW w:w="2991" w:type="pct"/>
                  <w:noWrap w:val="0"/>
                  <w:vAlign w:val="center"/>
                </w:tcPr>
                <w:p>
                  <w:pPr>
                    <w:adjustRightInd w:val="0"/>
                    <w:snapToGrid w:val="0"/>
                    <w:jc w:val="center"/>
                    <w:rPr>
                      <w:rFonts w:hint="eastAsia" w:eastAsia="宋体"/>
                      <w:color w:val="000000"/>
                      <w:kern w:val="0"/>
                      <w:szCs w:val="21"/>
                      <w:highlight w:val="yellow"/>
                      <w:lang w:eastAsia="zh-CN"/>
                    </w:rPr>
                  </w:pPr>
                  <w:r>
                    <w:rPr>
                      <w:color w:val="000000"/>
                      <w:kern w:val="0"/>
                      <w:szCs w:val="21"/>
                      <w:highlight w:val="none"/>
                    </w:rPr>
                    <w:t>采用基础减振、建筑隔声等措施</w:t>
                  </w:r>
                  <w:r>
                    <w:rPr>
                      <w:rFonts w:hint="eastAsia"/>
                      <w:color w:val="000000"/>
                      <w:kern w:val="0"/>
                      <w:szCs w:val="21"/>
                      <w:highlight w:val="none"/>
                      <w:lang w:eastAsia="zh-CN"/>
                    </w:rPr>
                    <w:t>。</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Merge w:val="continue"/>
                  <w:noWrap w:val="0"/>
                  <w:vAlign w:val="center"/>
                </w:tcPr>
                <w:p>
                  <w:pPr>
                    <w:adjustRightInd w:val="0"/>
                    <w:snapToGrid w:val="0"/>
                    <w:jc w:val="center"/>
                    <w:rPr>
                      <w:color w:val="000000"/>
                      <w:kern w:val="0"/>
                      <w:szCs w:val="21"/>
                    </w:rPr>
                  </w:pPr>
                </w:p>
              </w:tc>
              <w:tc>
                <w:tcPr>
                  <w:tcW w:w="811" w:type="pct"/>
                  <w:noWrap w:val="0"/>
                  <w:vAlign w:val="center"/>
                </w:tcPr>
                <w:p>
                  <w:pPr>
                    <w:adjustRightInd w:val="0"/>
                    <w:snapToGrid w:val="0"/>
                    <w:jc w:val="center"/>
                    <w:rPr>
                      <w:color w:val="000000"/>
                      <w:kern w:val="0"/>
                      <w:szCs w:val="21"/>
                    </w:rPr>
                  </w:pPr>
                  <w:r>
                    <w:rPr>
                      <w:rFonts w:hint="eastAsia"/>
                      <w:color w:val="000000"/>
                      <w:kern w:val="0"/>
                      <w:szCs w:val="21"/>
                    </w:rPr>
                    <w:t>固废</w:t>
                  </w:r>
                </w:p>
              </w:tc>
              <w:tc>
                <w:tcPr>
                  <w:tcW w:w="2991" w:type="pct"/>
                  <w:noWrap w:val="0"/>
                  <w:vAlign w:val="center"/>
                </w:tcPr>
                <w:p>
                  <w:pPr>
                    <w:adjustRightInd w:val="0"/>
                    <w:snapToGrid w:val="0"/>
                    <w:jc w:val="center"/>
                    <w:rPr>
                      <w:rFonts w:hint="default" w:eastAsia="宋体"/>
                      <w:color w:val="000000"/>
                      <w:kern w:val="0"/>
                      <w:szCs w:val="21"/>
                      <w:highlight w:val="yellow"/>
                      <w:lang w:val="en-US" w:eastAsia="zh-CN"/>
                    </w:rPr>
                  </w:pPr>
                  <w:r>
                    <w:rPr>
                      <w:rFonts w:hint="eastAsia"/>
                      <w:color w:val="000000"/>
                      <w:kern w:val="0"/>
                      <w:szCs w:val="21"/>
                      <w:highlight w:val="none"/>
                    </w:rPr>
                    <w:t>项目产生的废包装袋集中收集后外售；集中收集的粉尘回用于生产，不外排；生活垃圾集中收集后，定期委托环卫部门统一清运。</w:t>
                  </w:r>
                  <w:r>
                    <w:rPr>
                      <w:rFonts w:hint="eastAsia"/>
                      <w:color w:val="000000"/>
                      <w:kern w:val="0"/>
                      <w:szCs w:val="21"/>
                      <w:highlight w:val="none"/>
                      <w:lang w:val="en-US" w:eastAsia="zh-CN"/>
                    </w:rPr>
                    <w:t>新建</w:t>
                  </w:r>
                  <w:r>
                    <w:rPr>
                      <w:rFonts w:hint="default" w:ascii="Times New Roman" w:hAnsi="Times New Roman" w:cs="Times New Roman"/>
                      <w:color w:val="000000"/>
                      <w:kern w:val="0"/>
                      <w:szCs w:val="21"/>
                      <w:highlight w:val="none"/>
                      <w:lang w:val="en-US" w:eastAsia="zh-CN"/>
                    </w:rPr>
                    <w:t>1个10</w:t>
                  </w:r>
                  <w:r>
                    <w:rPr>
                      <w:rFonts w:hint="eastAsia" w:ascii="Times New Roman" w:hAnsi="Times New Roman" w:cs="Times New Roman"/>
                      <w:color w:val="000000"/>
                      <w:kern w:val="0"/>
                      <w:szCs w:val="21"/>
                      <w:highlight w:val="none"/>
                      <w:lang w:val="en-US" w:eastAsia="zh-CN"/>
                    </w:rPr>
                    <w:t>m</w:t>
                  </w:r>
                  <w:r>
                    <w:rPr>
                      <w:rFonts w:hint="eastAsia" w:ascii="Times New Roman" w:hAnsi="Times New Roman" w:cs="Times New Roman"/>
                      <w:color w:val="000000"/>
                      <w:kern w:val="0"/>
                      <w:szCs w:val="21"/>
                      <w:highlight w:val="none"/>
                      <w:vertAlign w:val="superscript"/>
                      <w:lang w:val="en-US" w:eastAsia="zh-CN"/>
                    </w:rPr>
                    <w:t>2</w:t>
                  </w:r>
                  <w:r>
                    <w:rPr>
                      <w:rFonts w:hint="eastAsia"/>
                      <w:color w:val="000000"/>
                      <w:kern w:val="0"/>
                      <w:szCs w:val="21"/>
                      <w:highlight w:val="none"/>
                      <w:lang w:val="en-US" w:eastAsia="zh-CN"/>
                    </w:rPr>
                    <w:t>的危废暂存间，危险废物暂存于危废暂存间，集中收集后由具有资质的单位统一处理。</w:t>
                  </w:r>
                </w:p>
              </w:tc>
              <w:tc>
                <w:tcPr>
                  <w:tcW w:w="485" w:type="pct"/>
                  <w:noWrap w:val="0"/>
                  <w:vAlign w:val="center"/>
                </w:tcPr>
                <w:p>
                  <w:pPr>
                    <w:adjustRightInd w:val="0"/>
                    <w:snapToGrid w:val="0"/>
                    <w:jc w:val="center"/>
                    <w:rPr>
                      <w:color w:val="000000"/>
                      <w:kern w:val="0"/>
                      <w:szCs w:val="21"/>
                    </w:rPr>
                  </w:pPr>
                  <w:r>
                    <w:rPr>
                      <w:rFonts w:hint="eastAsia"/>
                      <w:color w:val="000000"/>
                      <w:kern w:val="0"/>
                      <w:szCs w:val="21"/>
                    </w:rPr>
                    <w:t>新建</w:t>
                  </w:r>
                </w:p>
              </w:tc>
            </w:tr>
          </w:tbl>
          <w:p>
            <w:pPr>
              <w:pStyle w:val="3"/>
              <w:overflowPunct/>
              <w:spacing w:before="0" w:after="0" w:line="520" w:lineRule="exact"/>
              <w:ind w:left="431" w:hanging="431"/>
              <w:rPr>
                <w:rFonts w:eastAsia="宋体"/>
                <w:sz w:val="24"/>
                <w:szCs w:val="24"/>
              </w:rPr>
            </w:pPr>
            <w:r>
              <w:rPr>
                <w:rFonts w:hint="eastAsia" w:eastAsia="宋体"/>
                <w:sz w:val="24"/>
                <w:szCs w:val="24"/>
              </w:rPr>
              <w:t>3 主要设备</w:t>
            </w:r>
          </w:p>
          <w:p>
            <w:pPr>
              <w:adjustRightInd w:val="0"/>
              <w:snapToGrid w:val="0"/>
              <w:spacing w:line="520" w:lineRule="exact"/>
              <w:ind w:firstLine="480" w:firstLineChars="200"/>
              <w:rPr>
                <w:color w:val="000000"/>
                <w:kern w:val="0"/>
                <w:sz w:val="24"/>
              </w:rPr>
            </w:pPr>
            <w:r>
              <w:rPr>
                <w:color w:val="000000"/>
                <w:kern w:val="0"/>
                <w:sz w:val="24"/>
              </w:rPr>
              <w:t>本项目选择设备的原则为设备的配套技术与制造技术先进、节能、性能稳定可靠、价格经济合理、适用性强、操作和维修方便。</w:t>
            </w:r>
          </w:p>
          <w:p>
            <w:pPr>
              <w:adjustRightInd w:val="0"/>
              <w:snapToGrid w:val="0"/>
              <w:spacing w:line="520" w:lineRule="exact"/>
              <w:ind w:firstLine="480" w:firstLineChars="200"/>
              <w:rPr>
                <w:color w:val="000000"/>
                <w:kern w:val="0"/>
                <w:sz w:val="24"/>
              </w:rPr>
            </w:pPr>
            <w:r>
              <w:rPr>
                <w:color w:val="000000"/>
                <w:kern w:val="0"/>
                <w:sz w:val="24"/>
              </w:rPr>
              <w:t>本项目主要生产设备情况见表</w:t>
            </w:r>
            <w:r>
              <w:rPr>
                <w:rFonts w:hint="eastAsia"/>
                <w:color w:val="000000"/>
                <w:kern w:val="0"/>
                <w:sz w:val="24"/>
                <w:lang w:val="en-US" w:eastAsia="zh-CN"/>
              </w:rPr>
              <w:t>2-2</w:t>
            </w:r>
            <w:r>
              <w:rPr>
                <w:color w:val="000000"/>
                <w:kern w:val="0"/>
                <w:sz w:val="24"/>
              </w:rPr>
              <w:t>。</w:t>
            </w:r>
          </w:p>
          <w:p>
            <w:pPr>
              <w:spacing w:line="520" w:lineRule="exact"/>
              <w:jc w:val="center"/>
              <w:rPr>
                <w:b/>
                <w:bCs/>
                <w:color w:val="000000"/>
                <w:szCs w:val="21"/>
              </w:rPr>
            </w:pPr>
            <w:r>
              <w:rPr>
                <w:b/>
                <w:bCs/>
                <w:color w:val="000000"/>
                <w:szCs w:val="21"/>
              </w:rPr>
              <w:t>表</w:t>
            </w:r>
            <w:r>
              <w:rPr>
                <w:rFonts w:hint="eastAsia"/>
                <w:b/>
                <w:bCs/>
                <w:color w:val="000000"/>
                <w:szCs w:val="21"/>
                <w:lang w:val="en-US" w:eastAsia="zh-CN"/>
              </w:rPr>
              <w:t>2-2</w:t>
            </w:r>
            <w:r>
              <w:rPr>
                <w:b/>
                <w:bCs/>
                <w:color w:val="000000"/>
                <w:szCs w:val="21"/>
              </w:rPr>
              <w:t xml:space="preserve">   主要设备一览表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496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b/>
                      <w:bCs/>
                      <w:szCs w:val="21"/>
                    </w:rPr>
                  </w:pPr>
                  <w:r>
                    <w:rPr>
                      <w:b/>
                      <w:bCs/>
                      <w:szCs w:val="21"/>
                    </w:rPr>
                    <w:t>序号</w:t>
                  </w:r>
                </w:p>
              </w:tc>
              <w:tc>
                <w:tcPr>
                  <w:tcW w:w="3166"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b/>
                      <w:bCs/>
                      <w:szCs w:val="21"/>
                    </w:rPr>
                  </w:pPr>
                  <w:r>
                    <w:rPr>
                      <w:b/>
                      <w:bCs/>
                      <w:szCs w:val="21"/>
                    </w:rPr>
                    <w:t>设备名称</w:t>
                  </w:r>
                </w:p>
              </w:tc>
              <w:tc>
                <w:tcPr>
                  <w:tcW w:w="949"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b/>
                      <w:bCs/>
                      <w:szCs w:val="21"/>
                    </w:rPr>
                  </w:pPr>
                  <w:r>
                    <w:rPr>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rPr>
                  </w:pPr>
                  <w:r>
                    <w:rPr>
                      <w:szCs w:val="21"/>
                    </w:rPr>
                    <w:t>1</w:t>
                  </w:r>
                </w:p>
              </w:tc>
              <w:tc>
                <w:tcPr>
                  <w:tcW w:w="3166"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default" w:eastAsia="宋体"/>
                      <w:szCs w:val="21"/>
                      <w:highlight w:val="none"/>
                      <w:lang w:val="en-US" w:eastAsia="zh-CN"/>
                    </w:rPr>
                  </w:pPr>
                  <w:r>
                    <w:rPr>
                      <w:rFonts w:hint="eastAsia"/>
                      <w:szCs w:val="21"/>
                      <w:highlight w:val="none"/>
                      <w:lang w:val="en-US" w:eastAsia="zh-CN"/>
                    </w:rPr>
                    <w:t>8T/h粉碎机</w:t>
                  </w:r>
                </w:p>
              </w:tc>
              <w:tc>
                <w:tcPr>
                  <w:tcW w:w="949"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eastAsia" w:eastAsia="宋体"/>
                      <w:szCs w:val="21"/>
                      <w:highlight w:val="none"/>
                      <w:lang w:eastAsia="zh-CN"/>
                    </w:rPr>
                  </w:pPr>
                  <w:r>
                    <w:rPr>
                      <w:szCs w:val="21"/>
                      <w:highlight w:val="none"/>
                    </w:rPr>
                    <w:t>1</w:t>
                  </w:r>
                  <w:r>
                    <w:rPr>
                      <w:rFonts w:hint="eastAsia"/>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rPr>
                  </w:pPr>
                  <w:r>
                    <w:rPr>
                      <w:szCs w:val="21"/>
                    </w:rPr>
                    <w:t>2</w:t>
                  </w:r>
                </w:p>
              </w:tc>
              <w:tc>
                <w:tcPr>
                  <w:tcW w:w="3166"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default" w:eastAsia="宋体"/>
                      <w:szCs w:val="21"/>
                      <w:highlight w:val="none"/>
                      <w:lang w:val="en-US" w:eastAsia="zh-CN"/>
                    </w:rPr>
                  </w:pPr>
                  <w:r>
                    <w:rPr>
                      <w:rFonts w:hint="eastAsia"/>
                      <w:szCs w:val="21"/>
                      <w:highlight w:val="none"/>
                      <w:lang w:val="en-US" w:eastAsia="zh-CN"/>
                    </w:rPr>
                    <w:t>20T搅拌罐</w:t>
                  </w:r>
                </w:p>
              </w:tc>
              <w:tc>
                <w:tcPr>
                  <w:tcW w:w="949"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eastAsia" w:eastAsia="宋体"/>
                      <w:szCs w:val="21"/>
                      <w:highlight w:val="none"/>
                      <w:lang w:eastAsia="zh-CN"/>
                    </w:rPr>
                  </w:pPr>
                  <w:r>
                    <w:rPr>
                      <w:rFonts w:hint="eastAsia"/>
                      <w:szCs w:val="21"/>
                      <w:highlight w:val="no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rPr>
                  </w:pPr>
                  <w:r>
                    <w:rPr>
                      <w:szCs w:val="21"/>
                    </w:rPr>
                    <w:t>3</w:t>
                  </w:r>
                </w:p>
              </w:tc>
              <w:tc>
                <w:tcPr>
                  <w:tcW w:w="3166"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highlight w:val="none"/>
                    </w:rPr>
                  </w:pPr>
                  <w:r>
                    <w:rPr>
                      <w:rFonts w:hint="eastAsia"/>
                      <w:szCs w:val="21"/>
                      <w:highlight w:val="none"/>
                      <w:lang w:val="en-US" w:eastAsia="zh-CN"/>
                    </w:rPr>
                    <w:t>离心</w:t>
                  </w:r>
                  <w:r>
                    <w:rPr>
                      <w:szCs w:val="21"/>
                      <w:highlight w:val="none"/>
                    </w:rPr>
                    <w:t>机</w:t>
                  </w:r>
                </w:p>
              </w:tc>
              <w:tc>
                <w:tcPr>
                  <w:tcW w:w="949"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default" w:eastAsia="宋体"/>
                      <w:szCs w:val="21"/>
                      <w:highlight w:val="none"/>
                      <w:lang w:val="en-US" w:eastAsia="zh-CN"/>
                    </w:rPr>
                  </w:pPr>
                  <w:r>
                    <w:rPr>
                      <w:rFonts w:hint="eastAsia"/>
                      <w:szCs w:val="21"/>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rPr>
                  </w:pPr>
                  <w:r>
                    <w:rPr>
                      <w:szCs w:val="21"/>
                    </w:rPr>
                    <w:t>4</w:t>
                  </w:r>
                </w:p>
              </w:tc>
              <w:tc>
                <w:tcPr>
                  <w:tcW w:w="3166"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eastAsia" w:eastAsia="宋体"/>
                      <w:szCs w:val="21"/>
                      <w:highlight w:val="none"/>
                      <w:lang w:eastAsia="zh-CN"/>
                    </w:rPr>
                  </w:pPr>
                  <w:r>
                    <w:rPr>
                      <w:rFonts w:hint="eastAsia"/>
                      <w:szCs w:val="21"/>
                      <w:highlight w:val="none"/>
                      <w:lang w:val="en-US" w:eastAsia="zh-CN"/>
                    </w:rPr>
                    <w:t>粉碎机</w:t>
                  </w:r>
                </w:p>
              </w:tc>
              <w:tc>
                <w:tcPr>
                  <w:tcW w:w="949"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highlight w:val="none"/>
                    </w:rPr>
                  </w:pPr>
                  <w:r>
                    <w:rPr>
                      <w:rFonts w:hint="eastAsia"/>
                      <w:szCs w:val="21"/>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rPr>
                  </w:pPr>
                  <w:r>
                    <w:rPr>
                      <w:szCs w:val="21"/>
                    </w:rPr>
                    <w:t>5</w:t>
                  </w:r>
                </w:p>
              </w:tc>
              <w:tc>
                <w:tcPr>
                  <w:tcW w:w="3166"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eastAsia" w:eastAsia="宋体"/>
                      <w:szCs w:val="21"/>
                      <w:highlight w:val="none"/>
                      <w:lang w:eastAsia="zh-CN"/>
                    </w:rPr>
                  </w:pPr>
                  <w:r>
                    <w:rPr>
                      <w:rFonts w:hint="eastAsia"/>
                      <w:szCs w:val="21"/>
                      <w:highlight w:val="none"/>
                      <w:lang w:val="en-US" w:eastAsia="zh-CN"/>
                    </w:rPr>
                    <w:t>造粒机</w:t>
                  </w:r>
                </w:p>
              </w:tc>
              <w:tc>
                <w:tcPr>
                  <w:tcW w:w="949"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highlight w:val="none"/>
                    </w:rPr>
                  </w:pPr>
                  <w:r>
                    <w:rPr>
                      <w:rFonts w:hint="eastAsia"/>
                      <w:szCs w:val="21"/>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rPr>
                  </w:pPr>
                  <w:r>
                    <w:rPr>
                      <w:szCs w:val="21"/>
                    </w:rPr>
                    <w:t>6</w:t>
                  </w:r>
                </w:p>
              </w:tc>
              <w:tc>
                <w:tcPr>
                  <w:tcW w:w="3166"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eastAsia" w:eastAsia="宋体"/>
                      <w:szCs w:val="21"/>
                      <w:highlight w:val="none"/>
                      <w:lang w:eastAsia="zh-CN"/>
                    </w:rPr>
                  </w:pPr>
                  <w:r>
                    <w:rPr>
                      <w:rFonts w:hint="eastAsia"/>
                      <w:szCs w:val="21"/>
                      <w:highlight w:val="none"/>
                      <w:lang w:val="en-US" w:eastAsia="zh-CN"/>
                    </w:rPr>
                    <w:t>包装机</w:t>
                  </w:r>
                </w:p>
              </w:tc>
              <w:tc>
                <w:tcPr>
                  <w:tcW w:w="949"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highlight w:val="none"/>
                    </w:rPr>
                  </w:pPr>
                  <w:r>
                    <w:rPr>
                      <w:rFonts w:hint="eastAsia"/>
                      <w:szCs w:val="21"/>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rPr>
                  </w:pPr>
                  <w:r>
                    <w:rPr>
                      <w:szCs w:val="21"/>
                    </w:rPr>
                    <w:t>7</w:t>
                  </w:r>
                </w:p>
              </w:tc>
              <w:tc>
                <w:tcPr>
                  <w:tcW w:w="3166"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eastAsia" w:eastAsia="宋体"/>
                      <w:szCs w:val="21"/>
                      <w:highlight w:val="none"/>
                      <w:lang w:eastAsia="zh-CN"/>
                    </w:rPr>
                  </w:pPr>
                  <w:r>
                    <w:rPr>
                      <w:rFonts w:hint="eastAsia"/>
                      <w:szCs w:val="21"/>
                      <w:highlight w:val="none"/>
                      <w:lang w:val="en-US" w:eastAsia="zh-CN"/>
                    </w:rPr>
                    <w:t>挤压造粒机</w:t>
                  </w:r>
                </w:p>
              </w:tc>
              <w:tc>
                <w:tcPr>
                  <w:tcW w:w="949"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szCs w:val="21"/>
                      <w:highlight w:val="none"/>
                    </w:rPr>
                  </w:pPr>
                  <w:r>
                    <w:rPr>
                      <w:rFonts w:hint="eastAsia"/>
                      <w:szCs w:val="21"/>
                      <w:highlight w:val="no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eastAsia" w:eastAsia="宋体"/>
                      <w:szCs w:val="21"/>
                      <w:lang w:val="en-US" w:eastAsia="zh-CN"/>
                    </w:rPr>
                  </w:pPr>
                  <w:r>
                    <w:rPr>
                      <w:rFonts w:hint="eastAsia"/>
                      <w:szCs w:val="21"/>
                      <w:lang w:val="en-US" w:eastAsia="zh-CN"/>
                    </w:rPr>
                    <w:t>8</w:t>
                  </w:r>
                </w:p>
              </w:tc>
              <w:tc>
                <w:tcPr>
                  <w:tcW w:w="3166"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default"/>
                      <w:szCs w:val="21"/>
                      <w:highlight w:val="none"/>
                      <w:lang w:val="en-US" w:eastAsia="zh-CN"/>
                    </w:rPr>
                  </w:pPr>
                  <w:r>
                    <w:rPr>
                      <w:rFonts w:hint="eastAsia"/>
                      <w:szCs w:val="21"/>
                      <w:highlight w:val="none"/>
                      <w:lang w:val="en-US" w:eastAsia="zh-CN"/>
                    </w:rPr>
                    <w:t>筛分机</w:t>
                  </w:r>
                </w:p>
              </w:tc>
              <w:tc>
                <w:tcPr>
                  <w:tcW w:w="949" w:type="pct"/>
                  <w:tcBorders>
                    <w:top w:val="single" w:color="000000" w:sz="8" w:space="0"/>
                    <w:left w:val="single" w:color="000000" w:sz="8" w:space="0"/>
                    <w:bottom w:val="single" w:color="000000" w:sz="8" w:space="0"/>
                    <w:right w:val="single" w:color="000000" w:sz="8" w:space="0"/>
                  </w:tcBorders>
                  <w:noWrap w:val="0"/>
                  <w:vAlign w:val="center"/>
                </w:tcPr>
                <w:p>
                  <w:pPr>
                    <w:shd w:val="clear" w:color="auto" w:fill="FFFFFF"/>
                    <w:jc w:val="center"/>
                    <w:rPr>
                      <w:rFonts w:hint="default"/>
                      <w:szCs w:val="21"/>
                      <w:highlight w:val="none"/>
                      <w:lang w:val="en-US" w:eastAsia="zh-CN"/>
                    </w:rPr>
                  </w:pPr>
                  <w:r>
                    <w:rPr>
                      <w:rFonts w:hint="eastAsia"/>
                      <w:szCs w:val="21"/>
                      <w:highlight w:val="none"/>
                      <w:lang w:val="en-US" w:eastAsia="zh-CN"/>
                    </w:rPr>
                    <w:t>2台</w:t>
                  </w:r>
                </w:p>
              </w:tc>
            </w:tr>
          </w:tbl>
          <w:p>
            <w:pPr>
              <w:pStyle w:val="3"/>
              <w:overflowPunct/>
              <w:spacing w:before="0" w:after="0" w:line="520" w:lineRule="exact"/>
              <w:ind w:left="431" w:hanging="431"/>
              <w:rPr>
                <w:rFonts w:eastAsia="宋体"/>
                <w:sz w:val="24"/>
                <w:szCs w:val="24"/>
              </w:rPr>
            </w:pPr>
            <w:r>
              <w:rPr>
                <w:rFonts w:hint="eastAsia" w:eastAsia="宋体"/>
                <w:sz w:val="24"/>
                <w:szCs w:val="24"/>
              </w:rPr>
              <w:t>4 产品方案</w:t>
            </w:r>
          </w:p>
          <w:p>
            <w:pPr>
              <w:adjustRightInd w:val="0"/>
              <w:snapToGrid w:val="0"/>
              <w:spacing w:line="520" w:lineRule="exact"/>
              <w:ind w:firstLine="480" w:firstLineChars="200"/>
              <w:rPr>
                <w:color w:val="000000"/>
                <w:kern w:val="0"/>
                <w:sz w:val="24"/>
              </w:rPr>
            </w:pPr>
            <w:r>
              <w:rPr>
                <w:color w:val="000000"/>
                <w:kern w:val="0"/>
                <w:sz w:val="24"/>
              </w:rPr>
              <w:t>项目产品方案见表</w:t>
            </w:r>
            <w:r>
              <w:rPr>
                <w:rFonts w:hint="eastAsia"/>
                <w:color w:val="000000"/>
                <w:kern w:val="0"/>
                <w:sz w:val="24"/>
                <w:lang w:val="en-US" w:eastAsia="zh-CN"/>
              </w:rPr>
              <w:t>2-3</w:t>
            </w:r>
            <w:r>
              <w:rPr>
                <w:color w:val="000000"/>
                <w:kern w:val="0"/>
                <w:sz w:val="24"/>
              </w:rPr>
              <w:t>。</w:t>
            </w:r>
          </w:p>
          <w:p>
            <w:pPr>
              <w:spacing w:line="520" w:lineRule="exact"/>
              <w:jc w:val="center"/>
              <w:rPr>
                <w:b/>
                <w:bCs/>
                <w:color w:val="000000"/>
                <w:szCs w:val="21"/>
              </w:rPr>
            </w:pPr>
            <w:r>
              <w:rPr>
                <w:b/>
                <w:bCs/>
                <w:color w:val="000000"/>
                <w:szCs w:val="21"/>
              </w:rPr>
              <w:t>表</w:t>
            </w:r>
            <w:r>
              <w:rPr>
                <w:rFonts w:hint="eastAsia"/>
                <w:b/>
                <w:bCs/>
                <w:color w:val="000000"/>
                <w:szCs w:val="21"/>
                <w:lang w:val="en-US" w:eastAsia="zh-CN"/>
              </w:rPr>
              <w:t>2-3</w:t>
            </w:r>
            <w:r>
              <w:rPr>
                <w:b/>
                <w:bCs/>
                <w:color w:val="000000"/>
                <w:szCs w:val="21"/>
              </w:rPr>
              <w:t xml:space="preserve">   项目产品方案一览表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688"/>
              <w:gridCol w:w="1303"/>
              <w:gridCol w:w="158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pStyle w:val="63"/>
                    <w:spacing w:line="240" w:lineRule="auto"/>
                    <w:rPr>
                      <w:b/>
                      <w:bCs/>
                      <w:sz w:val="21"/>
                      <w:szCs w:val="21"/>
                    </w:rPr>
                  </w:pPr>
                  <w:r>
                    <w:rPr>
                      <w:b/>
                      <w:bCs/>
                      <w:sz w:val="21"/>
                      <w:szCs w:val="21"/>
                    </w:rPr>
                    <w:t>序号</w:t>
                  </w:r>
                </w:p>
              </w:tc>
              <w:tc>
                <w:tcPr>
                  <w:tcW w:w="2880" w:type="dxa"/>
                  <w:noWrap w:val="0"/>
                  <w:vAlign w:val="center"/>
                </w:tcPr>
                <w:p>
                  <w:pPr>
                    <w:pStyle w:val="63"/>
                    <w:spacing w:line="240" w:lineRule="auto"/>
                    <w:rPr>
                      <w:b/>
                      <w:bCs/>
                      <w:sz w:val="21"/>
                      <w:szCs w:val="21"/>
                    </w:rPr>
                  </w:pPr>
                  <w:r>
                    <w:rPr>
                      <w:b/>
                      <w:bCs/>
                      <w:sz w:val="21"/>
                      <w:szCs w:val="21"/>
                    </w:rPr>
                    <w:t>名称</w:t>
                  </w:r>
                </w:p>
              </w:tc>
              <w:tc>
                <w:tcPr>
                  <w:tcW w:w="1377" w:type="dxa"/>
                  <w:noWrap w:val="0"/>
                  <w:vAlign w:val="center"/>
                </w:tcPr>
                <w:p>
                  <w:pPr>
                    <w:pStyle w:val="63"/>
                    <w:spacing w:line="240" w:lineRule="auto"/>
                    <w:rPr>
                      <w:b/>
                      <w:bCs/>
                      <w:sz w:val="21"/>
                      <w:szCs w:val="21"/>
                    </w:rPr>
                  </w:pPr>
                  <w:r>
                    <w:rPr>
                      <w:b/>
                      <w:bCs/>
                      <w:sz w:val="21"/>
                      <w:szCs w:val="21"/>
                    </w:rPr>
                    <w:t>单位</w:t>
                  </w:r>
                </w:p>
              </w:tc>
              <w:tc>
                <w:tcPr>
                  <w:tcW w:w="1661" w:type="dxa"/>
                  <w:noWrap w:val="0"/>
                  <w:vAlign w:val="center"/>
                </w:tcPr>
                <w:p>
                  <w:pPr>
                    <w:pStyle w:val="63"/>
                    <w:spacing w:line="240" w:lineRule="auto"/>
                    <w:rPr>
                      <w:b/>
                      <w:bCs/>
                      <w:sz w:val="21"/>
                      <w:szCs w:val="21"/>
                    </w:rPr>
                  </w:pPr>
                  <w:r>
                    <w:rPr>
                      <w:b/>
                      <w:bCs/>
                      <w:sz w:val="21"/>
                      <w:szCs w:val="21"/>
                    </w:rPr>
                    <w:t>年产量</w:t>
                  </w:r>
                </w:p>
              </w:tc>
              <w:tc>
                <w:tcPr>
                  <w:tcW w:w="1662" w:type="dxa"/>
                  <w:noWrap w:val="0"/>
                  <w:vAlign w:val="center"/>
                </w:tcPr>
                <w:p>
                  <w:pPr>
                    <w:pStyle w:val="63"/>
                    <w:spacing w:line="240" w:lineRule="auto"/>
                    <w:rPr>
                      <w:b/>
                      <w:bCs/>
                      <w:sz w:val="21"/>
                      <w:szCs w:val="21"/>
                    </w:rPr>
                  </w:pPr>
                  <w:r>
                    <w:rPr>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pStyle w:val="63"/>
                    <w:spacing w:line="240" w:lineRule="auto"/>
                    <w:rPr>
                      <w:sz w:val="21"/>
                      <w:szCs w:val="21"/>
                    </w:rPr>
                  </w:pPr>
                  <w:r>
                    <w:rPr>
                      <w:sz w:val="21"/>
                      <w:szCs w:val="21"/>
                    </w:rPr>
                    <w:t>1</w:t>
                  </w:r>
                </w:p>
              </w:tc>
              <w:tc>
                <w:tcPr>
                  <w:tcW w:w="2880" w:type="dxa"/>
                  <w:noWrap w:val="0"/>
                  <w:vAlign w:val="center"/>
                </w:tcPr>
                <w:p>
                  <w:pPr>
                    <w:pStyle w:val="63"/>
                    <w:spacing w:line="240" w:lineRule="auto"/>
                    <w:rPr>
                      <w:rFonts w:hint="eastAsia" w:eastAsia="宋体"/>
                      <w:sz w:val="21"/>
                      <w:szCs w:val="21"/>
                      <w:lang w:eastAsia="zh-CN"/>
                    </w:rPr>
                  </w:pPr>
                  <w:r>
                    <w:rPr>
                      <w:rFonts w:hint="eastAsia"/>
                      <w:sz w:val="21"/>
                      <w:szCs w:val="21"/>
                      <w:lang w:val="en-US" w:eastAsia="zh-CN"/>
                    </w:rPr>
                    <w:t>腐植酸复混有机肥</w:t>
                  </w:r>
                </w:p>
              </w:tc>
              <w:tc>
                <w:tcPr>
                  <w:tcW w:w="1377" w:type="dxa"/>
                  <w:noWrap w:val="0"/>
                  <w:vAlign w:val="center"/>
                </w:tcPr>
                <w:p>
                  <w:pPr>
                    <w:pStyle w:val="63"/>
                    <w:spacing w:line="240" w:lineRule="auto"/>
                    <w:rPr>
                      <w:sz w:val="21"/>
                      <w:szCs w:val="21"/>
                    </w:rPr>
                  </w:pPr>
                  <w:r>
                    <w:rPr>
                      <w:sz w:val="21"/>
                      <w:szCs w:val="21"/>
                    </w:rPr>
                    <w:t>吨/年</w:t>
                  </w:r>
                </w:p>
              </w:tc>
              <w:tc>
                <w:tcPr>
                  <w:tcW w:w="1661" w:type="dxa"/>
                  <w:noWrap w:val="0"/>
                  <w:vAlign w:val="center"/>
                </w:tcPr>
                <w:p>
                  <w:pPr>
                    <w:pStyle w:val="63"/>
                    <w:spacing w:line="240" w:lineRule="auto"/>
                    <w:rPr>
                      <w:rFonts w:hint="default" w:eastAsia="宋体"/>
                      <w:sz w:val="21"/>
                      <w:szCs w:val="21"/>
                      <w:lang w:val="en-US" w:eastAsia="zh-CN"/>
                    </w:rPr>
                  </w:pPr>
                  <w:r>
                    <w:rPr>
                      <w:rFonts w:hint="eastAsia"/>
                      <w:sz w:val="21"/>
                      <w:szCs w:val="21"/>
                      <w:lang w:val="en-US" w:eastAsia="zh-CN"/>
                    </w:rPr>
                    <w:t>20000</w:t>
                  </w:r>
                </w:p>
              </w:tc>
              <w:tc>
                <w:tcPr>
                  <w:tcW w:w="1662" w:type="dxa"/>
                  <w:noWrap w:val="0"/>
                  <w:vAlign w:val="center"/>
                </w:tcPr>
                <w:p>
                  <w:pPr>
                    <w:pStyle w:val="63"/>
                    <w:spacing w:line="240" w:lineRule="auto"/>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pStyle w:val="63"/>
                    <w:spacing w:line="240" w:lineRule="auto"/>
                    <w:rPr>
                      <w:rFonts w:hint="eastAsia" w:eastAsia="宋体"/>
                      <w:sz w:val="21"/>
                      <w:szCs w:val="21"/>
                      <w:lang w:val="en-US" w:eastAsia="zh-CN"/>
                    </w:rPr>
                  </w:pPr>
                  <w:r>
                    <w:rPr>
                      <w:rFonts w:hint="eastAsia"/>
                      <w:sz w:val="21"/>
                      <w:szCs w:val="21"/>
                      <w:lang w:val="en-US" w:eastAsia="zh-CN"/>
                    </w:rPr>
                    <w:t>2</w:t>
                  </w:r>
                </w:p>
              </w:tc>
              <w:tc>
                <w:tcPr>
                  <w:tcW w:w="2880" w:type="dxa"/>
                  <w:noWrap w:val="0"/>
                  <w:vAlign w:val="center"/>
                </w:tcPr>
                <w:p>
                  <w:pPr>
                    <w:pStyle w:val="63"/>
                    <w:spacing w:line="240" w:lineRule="auto"/>
                    <w:rPr>
                      <w:rFonts w:hint="default"/>
                      <w:sz w:val="21"/>
                      <w:szCs w:val="21"/>
                      <w:lang w:val="en-US" w:eastAsia="zh-CN"/>
                    </w:rPr>
                  </w:pPr>
                  <w:r>
                    <w:rPr>
                      <w:rFonts w:hint="eastAsia"/>
                      <w:sz w:val="21"/>
                      <w:szCs w:val="21"/>
                      <w:lang w:val="en-US" w:eastAsia="zh-CN"/>
                    </w:rPr>
                    <w:t>腐植酸钾有机肥</w:t>
                  </w:r>
                </w:p>
              </w:tc>
              <w:tc>
                <w:tcPr>
                  <w:tcW w:w="1377" w:type="dxa"/>
                  <w:noWrap w:val="0"/>
                  <w:vAlign w:val="center"/>
                </w:tcPr>
                <w:p>
                  <w:pPr>
                    <w:pStyle w:val="63"/>
                    <w:spacing w:line="240" w:lineRule="auto"/>
                    <w:rPr>
                      <w:sz w:val="21"/>
                      <w:szCs w:val="21"/>
                    </w:rPr>
                  </w:pPr>
                  <w:r>
                    <w:rPr>
                      <w:sz w:val="21"/>
                      <w:szCs w:val="21"/>
                    </w:rPr>
                    <w:t>吨/年</w:t>
                  </w:r>
                </w:p>
              </w:tc>
              <w:tc>
                <w:tcPr>
                  <w:tcW w:w="1661" w:type="dxa"/>
                  <w:noWrap w:val="0"/>
                  <w:vAlign w:val="center"/>
                </w:tcPr>
                <w:p>
                  <w:pPr>
                    <w:pStyle w:val="63"/>
                    <w:spacing w:line="240" w:lineRule="auto"/>
                    <w:rPr>
                      <w:rFonts w:hint="default"/>
                      <w:sz w:val="21"/>
                      <w:szCs w:val="21"/>
                      <w:lang w:val="en-US" w:eastAsia="zh-CN"/>
                    </w:rPr>
                  </w:pPr>
                  <w:r>
                    <w:rPr>
                      <w:rFonts w:hint="eastAsia"/>
                      <w:sz w:val="21"/>
                      <w:szCs w:val="21"/>
                      <w:lang w:val="en-US" w:eastAsia="zh-CN"/>
                    </w:rPr>
                    <w:t>30000</w:t>
                  </w:r>
                </w:p>
              </w:tc>
              <w:tc>
                <w:tcPr>
                  <w:tcW w:w="1662" w:type="dxa"/>
                  <w:noWrap w:val="0"/>
                  <w:vAlign w:val="center"/>
                </w:tcPr>
                <w:p>
                  <w:pPr>
                    <w:pStyle w:val="63"/>
                    <w:spacing w:line="240" w:lineRule="auto"/>
                    <w:rPr>
                      <w:rFonts w:hint="eastAsia" w:eastAsia="宋体"/>
                      <w:sz w:val="21"/>
                      <w:szCs w:val="21"/>
                      <w:lang w:val="en-US" w:eastAsia="zh-CN"/>
                    </w:rPr>
                  </w:pPr>
                  <w:r>
                    <w:rPr>
                      <w:rFonts w:hint="eastAsia"/>
                      <w:sz w:val="21"/>
                      <w:szCs w:val="21"/>
                      <w:lang w:val="en-US" w:eastAsia="zh-CN"/>
                    </w:rPr>
                    <w:t>/</w:t>
                  </w:r>
                </w:p>
              </w:tc>
            </w:tr>
          </w:tbl>
          <w:p>
            <w:pPr>
              <w:pStyle w:val="3"/>
              <w:overflowPunct/>
              <w:spacing w:before="0" w:after="0" w:line="520" w:lineRule="exact"/>
              <w:ind w:left="431" w:hanging="431"/>
              <w:rPr>
                <w:rFonts w:eastAsia="宋体"/>
                <w:sz w:val="24"/>
                <w:szCs w:val="24"/>
              </w:rPr>
            </w:pPr>
            <w:r>
              <w:rPr>
                <w:rFonts w:hint="eastAsia" w:eastAsia="宋体"/>
                <w:sz w:val="24"/>
                <w:szCs w:val="24"/>
              </w:rPr>
              <w:t>5</w:t>
            </w:r>
            <w:r>
              <w:rPr>
                <w:rFonts w:hint="eastAsia" w:eastAsia="宋体"/>
                <w:sz w:val="24"/>
                <w:szCs w:val="24"/>
                <w:lang w:val="en-US" w:eastAsia="zh-CN"/>
              </w:rPr>
              <w:t>.</w:t>
            </w:r>
            <w:r>
              <w:rPr>
                <w:rFonts w:hint="eastAsia" w:eastAsia="宋体"/>
                <w:sz w:val="24"/>
                <w:szCs w:val="24"/>
              </w:rPr>
              <w:t>原辅材料消耗及产品性质</w:t>
            </w:r>
          </w:p>
          <w:p>
            <w:pPr>
              <w:adjustRightInd w:val="0"/>
              <w:snapToGrid w:val="0"/>
              <w:spacing w:line="520" w:lineRule="exact"/>
              <w:ind w:firstLine="480" w:firstLineChars="200"/>
              <w:rPr>
                <w:color w:val="000000"/>
                <w:kern w:val="0"/>
                <w:sz w:val="24"/>
              </w:rPr>
            </w:pPr>
            <w:r>
              <w:rPr>
                <w:color w:val="000000"/>
                <w:kern w:val="0"/>
                <w:sz w:val="24"/>
              </w:rPr>
              <w:t>本项目原材料消耗表见表</w:t>
            </w:r>
            <w:r>
              <w:rPr>
                <w:rFonts w:hint="eastAsia"/>
                <w:color w:val="000000"/>
                <w:kern w:val="0"/>
                <w:sz w:val="24"/>
                <w:lang w:val="en-US" w:eastAsia="zh-CN"/>
              </w:rPr>
              <w:t>2-4</w:t>
            </w:r>
            <w:r>
              <w:rPr>
                <w:rFonts w:hint="eastAsia"/>
                <w:color w:val="000000"/>
                <w:kern w:val="0"/>
                <w:sz w:val="24"/>
              </w:rPr>
              <w:t>。</w:t>
            </w:r>
          </w:p>
          <w:p>
            <w:pPr>
              <w:spacing w:line="520" w:lineRule="exact"/>
              <w:jc w:val="center"/>
              <w:rPr>
                <w:b/>
                <w:bCs/>
                <w:color w:val="000000"/>
                <w:szCs w:val="21"/>
              </w:rPr>
            </w:pPr>
            <w:r>
              <w:rPr>
                <w:b/>
                <w:bCs/>
                <w:color w:val="000000"/>
                <w:szCs w:val="21"/>
              </w:rPr>
              <w:t>表</w:t>
            </w:r>
            <w:r>
              <w:rPr>
                <w:rFonts w:hint="eastAsia"/>
                <w:b/>
                <w:bCs/>
                <w:color w:val="000000"/>
                <w:szCs w:val="21"/>
                <w:lang w:val="en-US" w:eastAsia="zh-CN"/>
              </w:rPr>
              <w:t>2-4</w:t>
            </w:r>
            <w:r>
              <w:rPr>
                <w:b/>
                <w:bCs/>
                <w:color w:val="000000"/>
                <w:szCs w:val="21"/>
              </w:rPr>
              <w:t xml:space="preserve">   主要原辅材料及能源消耗表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565"/>
              <w:gridCol w:w="994"/>
              <w:gridCol w:w="1083"/>
              <w:gridCol w:w="3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06" w:type="pct"/>
                  <w:noWrap w:val="0"/>
                  <w:vAlign w:val="center"/>
                </w:tcPr>
                <w:p>
                  <w:pPr>
                    <w:adjustRightInd w:val="0"/>
                    <w:snapToGrid w:val="0"/>
                    <w:jc w:val="center"/>
                    <w:rPr>
                      <w:b/>
                      <w:bCs/>
                      <w:color w:val="000000"/>
                      <w:szCs w:val="21"/>
                      <w:highlight w:val="none"/>
                    </w:rPr>
                  </w:pPr>
                  <w:r>
                    <w:rPr>
                      <w:b/>
                      <w:bCs/>
                      <w:color w:val="000000"/>
                      <w:szCs w:val="21"/>
                      <w:highlight w:val="none"/>
                    </w:rPr>
                    <w:t>序号</w:t>
                  </w:r>
                </w:p>
              </w:tc>
              <w:tc>
                <w:tcPr>
                  <w:tcW w:w="997" w:type="pct"/>
                  <w:noWrap w:val="0"/>
                  <w:vAlign w:val="center"/>
                </w:tcPr>
                <w:p>
                  <w:pPr>
                    <w:adjustRightInd w:val="0"/>
                    <w:snapToGrid w:val="0"/>
                    <w:jc w:val="center"/>
                    <w:rPr>
                      <w:b/>
                      <w:bCs/>
                      <w:color w:val="000000"/>
                      <w:szCs w:val="21"/>
                      <w:highlight w:val="none"/>
                    </w:rPr>
                  </w:pPr>
                  <w:r>
                    <w:rPr>
                      <w:b/>
                      <w:bCs/>
                      <w:color w:val="000000"/>
                      <w:szCs w:val="21"/>
                      <w:highlight w:val="none"/>
                    </w:rPr>
                    <w:t>名称</w:t>
                  </w:r>
                </w:p>
              </w:tc>
              <w:tc>
                <w:tcPr>
                  <w:tcW w:w="633" w:type="pct"/>
                  <w:noWrap w:val="0"/>
                  <w:vAlign w:val="center"/>
                </w:tcPr>
                <w:p>
                  <w:pPr>
                    <w:adjustRightInd w:val="0"/>
                    <w:snapToGrid w:val="0"/>
                    <w:jc w:val="center"/>
                    <w:rPr>
                      <w:b/>
                      <w:bCs/>
                      <w:color w:val="000000"/>
                      <w:szCs w:val="21"/>
                      <w:highlight w:val="none"/>
                    </w:rPr>
                  </w:pPr>
                  <w:r>
                    <w:rPr>
                      <w:b/>
                      <w:bCs/>
                      <w:color w:val="000000"/>
                      <w:szCs w:val="21"/>
                      <w:highlight w:val="none"/>
                    </w:rPr>
                    <w:t>消耗量</w:t>
                  </w:r>
                </w:p>
              </w:tc>
              <w:tc>
                <w:tcPr>
                  <w:tcW w:w="690" w:type="pct"/>
                  <w:noWrap w:val="0"/>
                  <w:vAlign w:val="center"/>
                </w:tcPr>
                <w:p>
                  <w:pPr>
                    <w:adjustRightInd w:val="0"/>
                    <w:snapToGrid w:val="0"/>
                    <w:jc w:val="center"/>
                    <w:rPr>
                      <w:b/>
                      <w:bCs/>
                      <w:color w:val="000000"/>
                      <w:szCs w:val="21"/>
                      <w:highlight w:val="none"/>
                    </w:rPr>
                  </w:pPr>
                  <w:r>
                    <w:rPr>
                      <w:rFonts w:hint="eastAsia"/>
                      <w:b/>
                      <w:bCs/>
                      <w:color w:val="000000"/>
                      <w:szCs w:val="21"/>
                      <w:highlight w:val="none"/>
                    </w:rPr>
                    <w:t>单位</w:t>
                  </w:r>
                </w:p>
              </w:tc>
              <w:tc>
                <w:tcPr>
                  <w:tcW w:w="2272" w:type="pct"/>
                  <w:noWrap w:val="0"/>
                  <w:vAlign w:val="center"/>
                </w:tcPr>
                <w:p>
                  <w:pPr>
                    <w:adjustRightInd w:val="0"/>
                    <w:snapToGrid w:val="0"/>
                    <w:jc w:val="center"/>
                    <w:rPr>
                      <w:b/>
                      <w:bCs/>
                      <w:color w:val="000000"/>
                      <w:szCs w:val="21"/>
                      <w:highlight w:val="none"/>
                    </w:rPr>
                  </w:pPr>
                  <w:r>
                    <w:rPr>
                      <w:rFonts w:hint="eastAsia"/>
                      <w:b/>
                      <w:bCs/>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noWrap w:val="0"/>
                  <w:vAlign w:val="center"/>
                </w:tcPr>
                <w:p>
                  <w:pPr>
                    <w:adjustRightInd w:val="0"/>
                    <w:snapToGrid w:val="0"/>
                    <w:jc w:val="center"/>
                    <w:rPr>
                      <w:color w:val="000000"/>
                      <w:szCs w:val="21"/>
                      <w:highlight w:val="none"/>
                    </w:rPr>
                  </w:pPr>
                  <w:r>
                    <w:rPr>
                      <w:color w:val="000000"/>
                      <w:szCs w:val="21"/>
                      <w:highlight w:val="none"/>
                    </w:rPr>
                    <w:t>1</w:t>
                  </w:r>
                </w:p>
              </w:tc>
              <w:tc>
                <w:tcPr>
                  <w:tcW w:w="997" w:type="pct"/>
                  <w:noWrap w:val="0"/>
                  <w:vAlign w:val="center"/>
                </w:tcPr>
                <w:p>
                  <w:pPr>
                    <w:adjustRightInd w:val="0"/>
                    <w:snapToGrid w:val="0"/>
                    <w:jc w:val="center"/>
                    <w:rPr>
                      <w:rFonts w:hint="eastAsia" w:eastAsia="宋体"/>
                      <w:color w:val="000000"/>
                      <w:szCs w:val="21"/>
                      <w:highlight w:val="none"/>
                      <w:lang w:eastAsia="zh-CN"/>
                    </w:rPr>
                  </w:pPr>
                  <w:r>
                    <w:rPr>
                      <w:rFonts w:hint="eastAsia"/>
                      <w:color w:val="000000"/>
                      <w:szCs w:val="21"/>
                      <w:highlight w:val="none"/>
                      <w:lang w:val="en-US" w:eastAsia="zh-CN"/>
                    </w:rPr>
                    <w:t>风化煤</w:t>
                  </w:r>
                </w:p>
              </w:tc>
              <w:tc>
                <w:tcPr>
                  <w:tcW w:w="633" w:type="pct"/>
                  <w:noWrap w:val="0"/>
                  <w:vAlign w:val="center"/>
                </w:tcPr>
                <w:p>
                  <w:pPr>
                    <w:jc w:val="center"/>
                    <w:rPr>
                      <w:rFonts w:hint="default" w:eastAsia="宋体"/>
                      <w:bCs/>
                      <w:color w:val="000000"/>
                      <w:szCs w:val="21"/>
                      <w:highlight w:val="none"/>
                      <w:lang w:val="en-US" w:eastAsia="zh-CN"/>
                    </w:rPr>
                  </w:pPr>
                  <w:r>
                    <w:rPr>
                      <w:rFonts w:hint="eastAsia"/>
                      <w:bCs/>
                      <w:color w:val="000000"/>
                      <w:szCs w:val="21"/>
                      <w:highlight w:val="none"/>
                      <w:lang w:val="en-US" w:eastAsia="zh-CN"/>
                    </w:rPr>
                    <w:t>3万</w:t>
                  </w:r>
                </w:p>
              </w:tc>
              <w:tc>
                <w:tcPr>
                  <w:tcW w:w="690" w:type="pct"/>
                  <w:noWrap w:val="0"/>
                  <w:vAlign w:val="center"/>
                </w:tcPr>
                <w:p>
                  <w:pPr>
                    <w:jc w:val="center"/>
                    <w:rPr>
                      <w:rFonts w:hint="eastAsia"/>
                      <w:bCs/>
                      <w:color w:val="000000"/>
                      <w:szCs w:val="21"/>
                      <w:highlight w:val="none"/>
                    </w:rPr>
                  </w:pPr>
                  <w:r>
                    <w:rPr>
                      <w:rFonts w:hint="eastAsia"/>
                      <w:bCs/>
                      <w:color w:val="000000"/>
                      <w:szCs w:val="21"/>
                      <w:highlight w:val="none"/>
                    </w:rPr>
                    <w:t>t/a</w:t>
                  </w:r>
                </w:p>
              </w:tc>
              <w:tc>
                <w:tcPr>
                  <w:tcW w:w="2272" w:type="pct"/>
                  <w:noWrap w:val="0"/>
                  <w:vAlign w:val="center"/>
                </w:tcPr>
                <w:p>
                  <w:pPr>
                    <w:jc w:val="center"/>
                    <w:rPr>
                      <w:rFonts w:hint="eastAsia" w:eastAsia="宋体"/>
                      <w:bCs/>
                      <w:color w:val="000000"/>
                      <w:szCs w:val="21"/>
                      <w:highlight w:val="none"/>
                      <w:lang w:eastAsia="zh-CN"/>
                    </w:rPr>
                  </w:pPr>
                  <w:r>
                    <w:rPr>
                      <w:rFonts w:hint="eastAsia"/>
                      <w:bCs/>
                      <w:color w:val="000000"/>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noWrap w:val="0"/>
                  <w:vAlign w:val="center"/>
                </w:tcPr>
                <w:p>
                  <w:pPr>
                    <w:adjustRightInd w:val="0"/>
                    <w:snapToGrid w:val="0"/>
                    <w:jc w:val="center"/>
                    <w:rPr>
                      <w:color w:val="000000"/>
                      <w:szCs w:val="21"/>
                      <w:highlight w:val="none"/>
                    </w:rPr>
                  </w:pPr>
                  <w:r>
                    <w:rPr>
                      <w:color w:val="000000"/>
                      <w:szCs w:val="21"/>
                      <w:highlight w:val="none"/>
                    </w:rPr>
                    <w:t>2</w:t>
                  </w:r>
                </w:p>
              </w:tc>
              <w:tc>
                <w:tcPr>
                  <w:tcW w:w="997" w:type="pct"/>
                  <w:noWrap w:val="0"/>
                  <w:vAlign w:val="center"/>
                </w:tcPr>
                <w:p>
                  <w:pPr>
                    <w:adjustRightInd w:val="0"/>
                    <w:snapToGrid w:val="0"/>
                    <w:jc w:val="center"/>
                    <w:rPr>
                      <w:rFonts w:hint="eastAsia" w:eastAsia="宋体"/>
                      <w:color w:val="000000"/>
                      <w:szCs w:val="21"/>
                      <w:highlight w:val="none"/>
                      <w:lang w:eastAsia="zh-CN"/>
                    </w:rPr>
                  </w:pPr>
                  <w:r>
                    <w:rPr>
                      <w:rFonts w:hint="eastAsia"/>
                      <w:color w:val="000000"/>
                      <w:szCs w:val="21"/>
                      <w:highlight w:val="none"/>
                      <w:lang w:val="en-US" w:eastAsia="zh-CN"/>
                    </w:rPr>
                    <w:t>氢氧化钠</w:t>
                  </w:r>
                </w:p>
              </w:tc>
              <w:tc>
                <w:tcPr>
                  <w:tcW w:w="633" w:type="pct"/>
                  <w:noWrap w:val="0"/>
                  <w:vAlign w:val="center"/>
                </w:tcPr>
                <w:p>
                  <w:pPr>
                    <w:jc w:val="center"/>
                    <w:rPr>
                      <w:rFonts w:hint="default" w:eastAsia="宋体"/>
                      <w:bCs/>
                      <w:color w:val="000000"/>
                      <w:szCs w:val="21"/>
                      <w:highlight w:val="none"/>
                      <w:lang w:val="en-US" w:eastAsia="zh-CN"/>
                    </w:rPr>
                  </w:pPr>
                  <w:r>
                    <w:rPr>
                      <w:rFonts w:hint="eastAsia"/>
                      <w:bCs/>
                      <w:color w:val="000000"/>
                      <w:szCs w:val="21"/>
                      <w:highlight w:val="none"/>
                      <w:lang w:val="en-US" w:eastAsia="zh-CN"/>
                    </w:rPr>
                    <w:t>200</w:t>
                  </w:r>
                </w:p>
              </w:tc>
              <w:tc>
                <w:tcPr>
                  <w:tcW w:w="690" w:type="pct"/>
                  <w:noWrap w:val="0"/>
                  <w:vAlign w:val="center"/>
                </w:tcPr>
                <w:p>
                  <w:pPr>
                    <w:jc w:val="center"/>
                    <w:rPr>
                      <w:bCs/>
                      <w:color w:val="000000"/>
                      <w:szCs w:val="21"/>
                      <w:highlight w:val="none"/>
                    </w:rPr>
                  </w:pPr>
                  <w:r>
                    <w:rPr>
                      <w:rFonts w:hint="eastAsia"/>
                      <w:bCs/>
                      <w:color w:val="000000"/>
                      <w:szCs w:val="21"/>
                      <w:highlight w:val="none"/>
                    </w:rPr>
                    <w:t>t/a</w:t>
                  </w:r>
                </w:p>
              </w:tc>
              <w:tc>
                <w:tcPr>
                  <w:tcW w:w="2272" w:type="pct"/>
                  <w:noWrap w:val="0"/>
                  <w:vAlign w:val="center"/>
                </w:tcPr>
                <w:p>
                  <w:pPr>
                    <w:jc w:val="center"/>
                    <w:rPr>
                      <w:bCs/>
                      <w:color w:val="000000"/>
                      <w:szCs w:val="21"/>
                      <w:highlight w:val="none"/>
                    </w:rPr>
                  </w:pPr>
                  <w:r>
                    <w:rPr>
                      <w:bCs/>
                      <w:color w:val="000000"/>
                      <w:szCs w:val="21"/>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noWrap w:val="0"/>
                  <w:vAlign w:val="center"/>
                </w:tcPr>
                <w:p>
                  <w:pPr>
                    <w:adjustRightInd w:val="0"/>
                    <w:snapToGrid w:val="0"/>
                    <w:jc w:val="center"/>
                    <w:rPr>
                      <w:color w:val="000000"/>
                      <w:szCs w:val="21"/>
                      <w:highlight w:val="none"/>
                    </w:rPr>
                  </w:pPr>
                  <w:r>
                    <w:rPr>
                      <w:color w:val="000000"/>
                      <w:szCs w:val="21"/>
                      <w:highlight w:val="none"/>
                    </w:rPr>
                    <w:t>3</w:t>
                  </w:r>
                </w:p>
              </w:tc>
              <w:tc>
                <w:tcPr>
                  <w:tcW w:w="997" w:type="pct"/>
                  <w:noWrap w:val="0"/>
                  <w:vAlign w:val="center"/>
                </w:tcPr>
                <w:p>
                  <w:pPr>
                    <w:adjustRightInd w:val="0"/>
                    <w:snapToGrid w:val="0"/>
                    <w:jc w:val="center"/>
                    <w:rPr>
                      <w:rFonts w:hint="eastAsia" w:eastAsia="宋体"/>
                      <w:color w:val="000000"/>
                      <w:szCs w:val="21"/>
                      <w:highlight w:val="none"/>
                      <w:lang w:eastAsia="zh-CN"/>
                    </w:rPr>
                  </w:pPr>
                  <w:r>
                    <w:rPr>
                      <w:rFonts w:hint="eastAsia"/>
                      <w:color w:val="000000"/>
                      <w:szCs w:val="21"/>
                      <w:highlight w:val="none"/>
                      <w:lang w:val="en-US" w:eastAsia="zh-CN"/>
                    </w:rPr>
                    <w:t>氢氧化钾</w:t>
                  </w:r>
                </w:p>
              </w:tc>
              <w:tc>
                <w:tcPr>
                  <w:tcW w:w="633" w:type="pct"/>
                  <w:noWrap w:val="0"/>
                  <w:vAlign w:val="center"/>
                </w:tcPr>
                <w:p>
                  <w:pPr>
                    <w:jc w:val="center"/>
                    <w:rPr>
                      <w:rFonts w:hint="default" w:eastAsia="宋体"/>
                      <w:bCs/>
                      <w:color w:val="000000"/>
                      <w:szCs w:val="21"/>
                      <w:highlight w:val="none"/>
                      <w:lang w:val="en-US" w:eastAsia="zh-CN"/>
                    </w:rPr>
                  </w:pPr>
                  <w:r>
                    <w:rPr>
                      <w:rFonts w:hint="eastAsia"/>
                      <w:bCs/>
                      <w:color w:val="000000"/>
                      <w:szCs w:val="21"/>
                      <w:highlight w:val="none"/>
                      <w:lang w:val="en-US" w:eastAsia="zh-CN"/>
                    </w:rPr>
                    <w:t>500</w:t>
                  </w:r>
                </w:p>
              </w:tc>
              <w:tc>
                <w:tcPr>
                  <w:tcW w:w="690" w:type="pct"/>
                  <w:noWrap w:val="0"/>
                  <w:vAlign w:val="center"/>
                </w:tcPr>
                <w:p>
                  <w:pPr>
                    <w:jc w:val="center"/>
                    <w:rPr>
                      <w:bCs/>
                      <w:color w:val="000000"/>
                      <w:szCs w:val="21"/>
                      <w:highlight w:val="none"/>
                    </w:rPr>
                  </w:pPr>
                  <w:r>
                    <w:rPr>
                      <w:rFonts w:hint="eastAsia"/>
                      <w:bCs/>
                      <w:color w:val="000000"/>
                      <w:szCs w:val="21"/>
                      <w:highlight w:val="none"/>
                    </w:rPr>
                    <w:t>t/a</w:t>
                  </w:r>
                </w:p>
              </w:tc>
              <w:tc>
                <w:tcPr>
                  <w:tcW w:w="2272" w:type="pct"/>
                  <w:noWrap w:val="0"/>
                  <w:vAlign w:val="center"/>
                </w:tcPr>
                <w:p>
                  <w:pPr>
                    <w:jc w:val="center"/>
                    <w:rPr>
                      <w:bCs/>
                      <w:color w:val="000000"/>
                      <w:szCs w:val="21"/>
                      <w:highlight w:val="none"/>
                    </w:rPr>
                  </w:pPr>
                  <w:r>
                    <w:rPr>
                      <w:bCs/>
                      <w:color w:val="000000"/>
                      <w:szCs w:val="21"/>
                      <w:highlight w:val="non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noWrap w:val="0"/>
                  <w:vAlign w:val="center"/>
                </w:tcPr>
                <w:p>
                  <w:pPr>
                    <w:adjustRightInd w:val="0"/>
                    <w:snapToGrid w:val="0"/>
                    <w:jc w:val="center"/>
                    <w:rPr>
                      <w:color w:val="000000"/>
                      <w:szCs w:val="21"/>
                      <w:highlight w:val="none"/>
                    </w:rPr>
                  </w:pPr>
                  <w:r>
                    <w:rPr>
                      <w:color w:val="000000"/>
                      <w:szCs w:val="21"/>
                      <w:highlight w:val="none"/>
                    </w:rPr>
                    <w:t>4</w:t>
                  </w:r>
                </w:p>
              </w:tc>
              <w:tc>
                <w:tcPr>
                  <w:tcW w:w="997" w:type="pct"/>
                  <w:noWrap w:val="0"/>
                  <w:vAlign w:val="center"/>
                </w:tcPr>
                <w:p>
                  <w:pPr>
                    <w:adjustRightInd w:val="0"/>
                    <w:snapToGrid w:val="0"/>
                    <w:jc w:val="center"/>
                    <w:rPr>
                      <w:rFonts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包装袋</w:t>
                  </w:r>
                </w:p>
              </w:tc>
              <w:tc>
                <w:tcPr>
                  <w:tcW w:w="633" w:type="pct"/>
                  <w:noWrap w:val="0"/>
                  <w:vAlign w:val="center"/>
                </w:tcPr>
                <w:p>
                  <w:pPr>
                    <w:jc w:val="center"/>
                    <w:rPr>
                      <w:rFonts w:hint="default" w:ascii="Times New Roman" w:hAnsi="Times New Roman" w:eastAsia="宋体" w:cs="Times New Roman"/>
                      <w:bCs/>
                      <w:color w:val="000000"/>
                      <w:kern w:val="2"/>
                      <w:sz w:val="21"/>
                      <w:szCs w:val="21"/>
                      <w:highlight w:val="none"/>
                      <w:lang w:val="en-US" w:eastAsia="zh-CN" w:bidi="ar-SA"/>
                    </w:rPr>
                  </w:pPr>
                  <w:r>
                    <w:rPr>
                      <w:rFonts w:hint="eastAsia"/>
                      <w:bCs/>
                      <w:color w:val="000000"/>
                      <w:szCs w:val="21"/>
                      <w:highlight w:val="none"/>
                      <w:lang w:val="en-US" w:eastAsia="zh-CN"/>
                    </w:rPr>
                    <w:t>100</w:t>
                  </w:r>
                </w:p>
              </w:tc>
              <w:tc>
                <w:tcPr>
                  <w:tcW w:w="690" w:type="pct"/>
                  <w:noWrap w:val="0"/>
                  <w:vAlign w:val="center"/>
                </w:tcPr>
                <w:p>
                  <w:pPr>
                    <w:jc w:val="center"/>
                    <w:rPr>
                      <w:rFonts w:ascii="Times New Roman" w:hAnsi="Times New Roman" w:eastAsia="宋体" w:cs="Times New Roman"/>
                      <w:bCs/>
                      <w:color w:val="000000"/>
                      <w:kern w:val="2"/>
                      <w:sz w:val="21"/>
                      <w:szCs w:val="21"/>
                      <w:highlight w:val="none"/>
                      <w:lang w:val="en-US" w:eastAsia="zh-CN" w:bidi="ar-SA"/>
                    </w:rPr>
                  </w:pPr>
                  <w:r>
                    <w:rPr>
                      <w:rFonts w:hint="eastAsia"/>
                      <w:bCs/>
                      <w:color w:val="000000"/>
                      <w:szCs w:val="21"/>
                      <w:highlight w:val="none"/>
                    </w:rPr>
                    <w:t>万个/a</w:t>
                  </w:r>
                </w:p>
              </w:tc>
              <w:tc>
                <w:tcPr>
                  <w:tcW w:w="2272" w:type="pct"/>
                  <w:noWrap w:val="0"/>
                  <w:vAlign w:val="center"/>
                </w:tcPr>
                <w:p>
                  <w:pPr>
                    <w:jc w:val="center"/>
                    <w:rPr>
                      <w:rFonts w:ascii="Times New Roman" w:hAnsi="Times New Roman" w:eastAsia="宋体" w:cs="Times New Roman"/>
                      <w:bCs/>
                      <w:color w:val="000000"/>
                      <w:kern w:val="2"/>
                      <w:sz w:val="21"/>
                      <w:szCs w:val="21"/>
                      <w:highlight w:val="none"/>
                      <w:lang w:val="en-US" w:eastAsia="zh-CN" w:bidi="ar-SA"/>
                    </w:rPr>
                  </w:pPr>
                  <w:r>
                    <w:rPr>
                      <w:rFonts w:hint="eastAsia"/>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noWrap w:val="0"/>
                  <w:vAlign w:val="center"/>
                </w:tcPr>
                <w:p>
                  <w:pPr>
                    <w:adjustRightInd w:val="0"/>
                    <w:snapToGrid w:val="0"/>
                    <w:jc w:val="center"/>
                    <w:rPr>
                      <w:color w:val="000000"/>
                      <w:szCs w:val="21"/>
                      <w:highlight w:val="none"/>
                    </w:rPr>
                  </w:pPr>
                  <w:r>
                    <w:rPr>
                      <w:color w:val="000000"/>
                      <w:szCs w:val="21"/>
                      <w:highlight w:val="none"/>
                    </w:rPr>
                    <w:t>5</w:t>
                  </w:r>
                </w:p>
              </w:tc>
              <w:tc>
                <w:tcPr>
                  <w:tcW w:w="997" w:type="pct"/>
                  <w:noWrap w:val="0"/>
                  <w:vAlign w:val="center"/>
                </w:tcPr>
                <w:p>
                  <w:pPr>
                    <w:adjustRightInd w:val="0"/>
                    <w:snapToGrid w:val="0"/>
                    <w:jc w:val="center"/>
                    <w:rPr>
                      <w:rFonts w:ascii="Times New Roman" w:hAnsi="Times New Roman" w:eastAsia="宋体" w:cs="Times New Roman"/>
                      <w:color w:val="000000"/>
                      <w:kern w:val="2"/>
                      <w:sz w:val="21"/>
                      <w:szCs w:val="21"/>
                      <w:highlight w:val="none"/>
                      <w:lang w:val="en-US" w:eastAsia="zh-CN" w:bidi="ar-SA"/>
                    </w:rPr>
                  </w:pPr>
                  <w:r>
                    <w:rPr>
                      <w:color w:val="000000"/>
                      <w:szCs w:val="21"/>
                      <w:highlight w:val="none"/>
                    </w:rPr>
                    <w:t>新鲜水</w:t>
                  </w:r>
                </w:p>
              </w:tc>
              <w:tc>
                <w:tcPr>
                  <w:tcW w:w="633" w:type="pct"/>
                  <w:noWrap w:val="0"/>
                  <w:vAlign w:val="center"/>
                </w:tcPr>
                <w:p>
                  <w:pPr>
                    <w:jc w:val="center"/>
                    <w:rPr>
                      <w:rFonts w:hint="default" w:ascii="Times New Roman" w:hAnsi="Times New Roman" w:eastAsia="宋体" w:cs="Times New Roman"/>
                      <w:bCs/>
                      <w:color w:val="000000"/>
                      <w:kern w:val="2"/>
                      <w:sz w:val="21"/>
                      <w:szCs w:val="21"/>
                      <w:highlight w:val="none"/>
                      <w:lang w:val="en-US" w:eastAsia="zh-CN" w:bidi="ar-SA"/>
                    </w:rPr>
                  </w:pPr>
                  <w:r>
                    <w:rPr>
                      <w:rFonts w:hint="eastAsia"/>
                      <w:bCs/>
                      <w:color w:val="000000"/>
                      <w:szCs w:val="21"/>
                      <w:highlight w:val="none"/>
                      <w:lang w:val="en-US" w:eastAsia="zh-CN"/>
                    </w:rPr>
                    <w:t>51500</w:t>
                  </w:r>
                </w:p>
              </w:tc>
              <w:tc>
                <w:tcPr>
                  <w:tcW w:w="690" w:type="pct"/>
                  <w:noWrap w:val="0"/>
                  <w:vAlign w:val="center"/>
                </w:tcPr>
                <w:p>
                  <w:pPr>
                    <w:jc w:val="center"/>
                    <w:rPr>
                      <w:rFonts w:ascii="Times New Roman" w:hAnsi="Times New Roman" w:eastAsia="宋体" w:cs="Times New Roman"/>
                      <w:bCs/>
                      <w:color w:val="000000"/>
                      <w:kern w:val="2"/>
                      <w:sz w:val="21"/>
                      <w:szCs w:val="21"/>
                      <w:highlight w:val="none"/>
                      <w:lang w:val="en-US" w:eastAsia="zh-CN" w:bidi="ar-SA"/>
                    </w:rPr>
                  </w:pPr>
                  <w:r>
                    <w:rPr>
                      <w:bCs/>
                      <w:color w:val="000000"/>
                      <w:szCs w:val="21"/>
                      <w:highlight w:val="none"/>
                    </w:rPr>
                    <w:t>m</w:t>
                  </w:r>
                  <w:r>
                    <w:rPr>
                      <w:bCs/>
                      <w:color w:val="000000"/>
                      <w:szCs w:val="21"/>
                      <w:highlight w:val="none"/>
                      <w:vertAlign w:val="superscript"/>
                    </w:rPr>
                    <w:t>3</w:t>
                  </w:r>
                  <w:r>
                    <w:rPr>
                      <w:bCs/>
                      <w:color w:val="000000"/>
                      <w:szCs w:val="21"/>
                      <w:highlight w:val="none"/>
                    </w:rPr>
                    <w:t>/a</w:t>
                  </w:r>
                </w:p>
              </w:tc>
              <w:tc>
                <w:tcPr>
                  <w:tcW w:w="2272" w:type="pct"/>
                  <w:noWrap w:val="0"/>
                  <w:vAlign w:val="center"/>
                </w:tcPr>
                <w:p>
                  <w:pPr>
                    <w:jc w:val="center"/>
                    <w:rPr>
                      <w:rFonts w:ascii="Times New Roman" w:hAnsi="Times New Roman" w:eastAsia="宋体" w:cs="Times New Roman"/>
                      <w:bCs/>
                      <w:color w:val="000000"/>
                      <w:kern w:val="2"/>
                      <w:sz w:val="21"/>
                      <w:szCs w:val="21"/>
                      <w:highlight w:val="none"/>
                      <w:lang w:val="en-US" w:eastAsia="zh-CN" w:bidi="ar-SA"/>
                    </w:rPr>
                  </w:pPr>
                  <w:r>
                    <w:rPr>
                      <w:rFonts w:hint="eastAsia"/>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noWrap w:val="0"/>
                  <w:vAlign w:val="center"/>
                </w:tcPr>
                <w:p>
                  <w:pPr>
                    <w:adjustRightInd w:val="0"/>
                    <w:snapToGrid w:val="0"/>
                    <w:jc w:val="center"/>
                    <w:rPr>
                      <w:color w:val="000000"/>
                      <w:szCs w:val="21"/>
                      <w:highlight w:val="none"/>
                    </w:rPr>
                  </w:pPr>
                  <w:r>
                    <w:rPr>
                      <w:color w:val="000000"/>
                      <w:szCs w:val="21"/>
                      <w:highlight w:val="none"/>
                    </w:rPr>
                    <w:t>6</w:t>
                  </w:r>
                </w:p>
              </w:tc>
              <w:tc>
                <w:tcPr>
                  <w:tcW w:w="997" w:type="pct"/>
                  <w:noWrap w:val="0"/>
                  <w:vAlign w:val="center"/>
                </w:tcPr>
                <w:p>
                  <w:pPr>
                    <w:adjustRightInd w:val="0"/>
                    <w:snapToGrid w:val="0"/>
                    <w:jc w:val="center"/>
                    <w:rPr>
                      <w:rFonts w:ascii="Times New Roman" w:hAnsi="Times New Roman" w:eastAsia="宋体" w:cs="Times New Roman"/>
                      <w:color w:val="000000"/>
                      <w:kern w:val="2"/>
                      <w:sz w:val="21"/>
                      <w:szCs w:val="21"/>
                      <w:highlight w:val="none"/>
                      <w:lang w:val="en-US" w:eastAsia="zh-CN" w:bidi="ar-SA"/>
                    </w:rPr>
                  </w:pPr>
                  <w:r>
                    <w:rPr>
                      <w:color w:val="000000"/>
                      <w:szCs w:val="21"/>
                      <w:highlight w:val="none"/>
                    </w:rPr>
                    <w:t>电</w:t>
                  </w:r>
                </w:p>
              </w:tc>
              <w:tc>
                <w:tcPr>
                  <w:tcW w:w="633" w:type="pct"/>
                  <w:noWrap w:val="0"/>
                  <w:vAlign w:val="center"/>
                </w:tcPr>
                <w:p>
                  <w:pPr>
                    <w:jc w:val="center"/>
                    <w:rPr>
                      <w:rFonts w:ascii="Times New Roman" w:hAnsi="Times New Roman" w:eastAsia="宋体" w:cs="Times New Roman"/>
                      <w:bCs/>
                      <w:color w:val="000000"/>
                      <w:kern w:val="2"/>
                      <w:sz w:val="21"/>
                      <w:szCs w:val="21"/>
                      <w:highlight w:val="none"/>
                      <w:lang w:val="en-US" w:eastAsia="zh-CN" w:bidi="ar-SA"/>
                    </w:rPr>
                  </w:pPr>
                  <w:r>
                    <w:rPr>
                      <w:rFonts w:hint="eastAsia"/>
                      <w:bCs/>
                      <w:color w:val="000000"/>
                      <w:szCs w:val="21"/>
                      <w:highlight w:val="none"/>
                      <w:lang w:val="en-US" w:eastAsia="zh-CN"/>
                    </w:rPr>
                    <w:t>145</w:t>
                  </w:r>
                  <w:r>
                    <w:rPr>
                      <w:rFonts w:hint="eastAsia"/>
                      <w:bCs/>
                      <w:color w:val="000000"/>
                      <w:szCs w:val="21"/>
                      <w:highlight w:val="none"/>
                    </w:rPr>
                    <w:t>万</w:t>
                  </w:r>
                </w:p>
              </w:tc>
              <w:tc>
                <w:tcPr>
                  <w:tcW w:w="690" w:type="pct"/>
                  <w:noWrap w:val="0"/>
                  <w:vAlign w:val="center"/>
                </w:tcPr>
                <w:p>
                  <w:pPr>
                    <w:jc w:val="center"/>
                    <w:rPr>
                      <w:rFonts w:ascii="Times New Roman" w:hAnsi="Times New Roman" w:eastAsia="宋体" w:cs="Times New Roman"/>
                      <w:bCs/>
                      <w:color w:val="000000"/>
                      <w:kern w:val="2"/>
                      <w:sz w:val="21"/>
                      <w:szCs w:val="21"/>
                      <w:highlight w:val="none"/>
                      <w:lang w:val="en-US" w:eastAsia="zh-CN" w:bidi="ar-SA"/>
                    </w:rPr>
                  </w:pPr>
                  <w:r>
                    <w:rPr>
                      <w:rFonts w:hint="eastAsia"/>
                      <w:bCs/>
                      <w:color w:val="000000"/>
                      <w:szCs w:val="21"/>
                      <w:highlight w:val="none"/>
                    </w:rPr>
                    <w:t>kW·h</w:t>
                  </w:r>
                </w:p>
              </w:tc>
              <w:tc>
                <w:tcPr>
                  <w:tcW w:w="2272" w:type="pct"/>
                  <w:noWrap w:val="0"/>
                  <w:vAlign w:val="center"/>
                </w:tcPr>
                <w:p>
                  <w:pPr>
                    <w:jc w:val="center"/>
                    <w:rPr>
                      <w:rFonts w:ascii="Times New Roman" w:hAnsi="Times New Roman" w:eastAsia="宋体" w:cs="Times New Roman"/>
                      <w:bCs/>
                      <w:color w:val="000000"/>
                      <w:kern w:val="2"/>
                      <w:sz w:val="21"/>
                      <w:szCs w:val="21"/>
                      <w:highlight w:val="none"/>
                      <w:lang w:val="en-US" w:eastAsia="zh-CN" w:bidi="ar-SA"/>
                    </w:rPr>
                  </w:pPr>
                  <w:r>
                    <w:rPr>
                      <w:rFonts w:hint="eastAsia"/>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noWrap w:val="0"/>
                  <w:vAlign w:val="center"/>
                </w:tcPr>
                <w:p>
                  <w:pPr>
                    <w:adjustRightInd w:val="0"/>
                    <w:snapToGrid w:val="0"/>
                    <w:jc w:val="center"/>
                    <w:rPr>
                      <w:rFonts w:hint="eastAsia" w:eastAsia="宋体"/>
                      <w:color w:val="000000"/>
                      <w:szCs w:val="21"/>
                      <w:highlight w:val="none"/>
                      <w:lang w:val="en-US" w:eastAsia="zh-CN"/>
                    </w:rPr>
                  </w:pPr>
                  <w:r>
                    <w:rPr>
                      <w:rFonts w:hint="eastAsia"/>
                      <w:color w:val="000000"/>
                      <w:szCs w:val="21"/>
                      <w:highlight w:val="none"/>
                      <w:lang w:val="en-US" w:eastAsia="zh-CN"/>
                    </w:rPr>
                    <w:t>7</w:t>
                  </w:r>
                </w:p>
              </w:tc>
              <w:tc>
                <w:tcPr>
                  <w:tcW w:w="997" w:type="pct"/>
                  <w:noWrap w:val="0"/>
                  <w:vAlign w:val="center"/>
                </w:tcPr>
                <w:p>
                  <w:pPr>
                    <w:adjustRightInd w:val="0"/>
                    <w:snapToGrid w:val="0"/>
                    <w:jc w:val="center"/>
                    <w:rPr>
                      <w:rFonts w:hint="eastAsia" w:eastAsia="宋体"/>
                      <w:color w:val="000000"/>
                      <w:szCs w:val="21"/>
                      <w:highlight w:val="none"/>
                      <w:lang w:val="en-US" w:eastAsia="zh-CN"/>
                    </w:rPr>
                  </w:pPr>
                  <w:r>
                    <w:rPr>
                      <w:rFonts w:hint="eastAsia"/>
                      <w:color w:val="000000"/>
                      <w:szCs w:val="21"/>
                      <w:highlight w:val="none"/>
                      <w:lang w:val="en-US" w:eastAsia="zh-CN"/>
                    </w:rPr>
                    <w:t>氮肥</w:t>
                  </w:r>
                </w:p>
              </w:tc>
              <w:tc>
                <w:tcPr>
                  <w:tcW w:w="633" w:type="pct"/>
                  <w:noWrap w:val="0"/>
                  <w:vAlign w:val="center"/>
                </w:tcPr>
                <w:p>
                  <w:pPr>
                    <w:jc w:val="center"/>
                    <w:rPr>
                      <w:rFonts w:hint="default"/>
                      <w:bCs/>
                      <w:color w:val="000000"/>
                      <w:szCs w:val="21"/>
                      <w:highlight w:val="none"/>
                      <w:lang w:val="en-US" w:eastAsia="zh-CN"/>
                    </w:rPr>
                  </w:pPr>
                  <w:r>
                    <w:rPr>
                      <w:rFonts w:hint="eastAsia"/>
                      <w:bCs/>
                      <w:color w:val="000000"/>
                      <w:szCs w:val="21"/>
                      <w:highlight w:val="none"/>
                      <w:lang w:val="en-US" w:eastAsia="zh-CN"/>
                    </w:rPr>
                    <w:t>5000</w:t>
                  </w:r>
                </w:p>
              </w:tc>
              <w:tc>
                <w:tcPr>
                  <w:tcW w:w="690" w:type="pct"/>
                  <w:noWrap w:val="0"/>
                  <w:vAlign w:val="center"/>
                </w:tcPr>
                <w:p>
                  <w:pPr>
                    <w:jc w:val="center"/>
                    <w:rPr>
                      <w:rFonts w:hint="eastAsia"/>
                      <w:bCs/>
                      <w:color w:val="000000"/>
                      <w:szCs w:val="21"/>
                      <w:highlight w:val="none"/>
                    </w:rPr>
                  </w:pPr>
                  <w:r>
                    <w:rPr>
                      <w:rFonts w:hint="eastAsia"/>
                      <w:bCs/>
                      <w:color w:val="000000"/>
                      <w:szCs w:val="21"/>
                      <w:highlight w:val="none"/>
                    </w:rPr>
                    <w:t>t/a</w:t>
                  </w:r>
                </w:p>
              </w:tc>
              <w:tc>
                <w:tcPr>
                  <w:tcW w:w="2272" w:type="pct"/>
                  <w:noWrap w:val="0"/>
                  <w:vAlign w:val="center"/>
                </w:tcPr>
                <w:p>
                  <w:pPr>
                    <w:jc w:val="center"/>
                    <w:rPr>
                      <w:rFonts w:hint="eastAsia" w:eastAsia="宋体"/>
                      <w:bCs/>
                      <w:color w:val="000000"/>
                      <w:szCs w:val="21"/>
                      <w:highlight w:val="none"/>
                      <w:lang w:val="en-US" w:eastAsia="zh-CN"/>
                    </w:rPr>
                  </w:pPr>
                  <w:r>
                    <w:rPr>
                      <w:rFonts w:hint="eastAsia"/>
                      <w:bCs/>
                      <w:color w:val="000000"/>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noWrap w:val="0"/>
                  <w:vAlign w:val="center"/>
                </w:tcPr>
                <w:p>
                  <w:pPr>
                    <w:adjustRightInd w:val="0"/>
                    <w:snapToGrid w:val="0"/>
                    <w:jc w:val="center"/>
                    <w:rPr>
                      <w:rFonts w:hint="default"/>
                      <w:color w:val="000000"/>
                      <w:szCs w:val="21"/>
                      <w:highlight w:val="none"/>
                      <w:lang w:val="en-US" w:eastAsia="zh-CN"/>
                    </w:rPr>
                  </w:pPr>
                  <w:r>
                    <w:rPr>
                      <w:rFonts w:hint="eastAsia"/>
                      <w:color w:val="000000"/>
                      <w:szCs w:val="21"/>
                      <w:highlight w:val="none"/>
                      <w:lang w:val="en-US" w:eastAsia="zh-CN"/>
                    </w:rPr>
                    <w:t>8</w:t>
                  </w:r>
                </w:p>
              </w:tc>
              <w:tc>
                <w:tcPr>
                  <w:tcW w:w="997" w:type="pct"/>
                  <w:noWrap w:val="0"/>
                  <w:vAlign w:val="center"/>
                </w:tcPr>
                <w:p>
                  <w:pPr>
                    <w:adjustRightInd w:val="0"/>
                    <w:snapToGrid w:val="0"/>
                    <w:jc w:val="center"/>
                    <w:rPr>
                      <w:rFonts w:hint="default"/>
                      <w:color w:val="000000"/>
                      <w:szCs w:val="21"/>
                      <w:highlight w:val="none"/>
                      <w:lang w:val="en-US" w:eastAsia="zh-CN"/>
                    </w:rPr>
                  </w:pPr>
                  <w:r>
                    <w:rPr>
                      <w:rFonts w:hint="eastAsia"/>
                      <w:color w:val="000000"/>
                      <w:szCs w:val="21"/>
                      <w:highlight w:val="none"/>
                      <w:lang w:val="en-US" w:eastAsia="zh-CN"/>
                    </w:rPr>
                    <w:t>磷肥</w:t>
                  </w:r>
                </w:p>
              </w:tc>
              <w:tc>
                <w:tcPr>
                  <w:tcW w:w="633" w:type="pct"/>
                  <w:noWrap w:val="0"/>
                  <w:vAlign w:val="center"/>
                </w:tcPr>
                <w:p>
                  <w:pPr>
                    <w:jc w:val="center"/>
                    <w:rPr>
                      <w:rFonts w:hint="default"/>
                      <w:bCs/>
                      <w:color w:val="000000"/>
                      <w:szCs w:val="21"/>
                      <w:highlight w:val="none"/>
                      <w:lang w:val="en-US" w:eastAsia="zh-CN"/>
                    </w:rPr>
                  </w:pPr>
                  <w:r>
                    <w:rPr>
                      <w:rFonts w:hint="eastAsia"/>
                      <w:bCs/>
                      <w:color w:val="000000"/>
                      <w:szCs w:val="21"/>
                      <w:highlight w:val="none"/>
                      <w:lang w:val="en-US" w:eastAsia="zh-CN"/>
                    </w:rPr>
                    <w:t>10000</w:t>
                  </w:r>
                </w:p>
              </w:tc>
              <w:tc>
                <w:tcPr>
                  <w:tcW w:w="690" w:type="pct"/>
                  <w:noWrap w:val="0"/>
                  <w:vAlign w:val="center"/>
                </w:tcPr>
                <w:p>
                  <w:pPr>
                    <w:jc w:val="center"/>
                    <w:rPr>
                      <w:rFonts w:hint="eastAsia"/>
                      <w:bCs/>
                      <w:color w:val="000000"/>
                      <w:szCs w:val="21"/>
                      <w:highlight w:val="none"/>
                    </w:rPr>
                  </w:pPr>
                  <w:r>
                    <w:rPr>
                      <w:rFonts w:hint="eastAsia"/>
                      <w:bCs/>
                      <w:color w:val="000000"/>
                      <w:szCs w:val="21"/>
                      <w:highlight w:val="none"/>
                    </w:rPr>
                    <w:t>t/a</w:t>
                  </w:r>
                </w:p>
              </w:tc>
              <w:tc>
                <w:tcPr>
                  <w:tcW w:w="2272" w:type="pct"/>
                  <w:noWrap w:val="0"/>
                  <w:vAlign w:val="center"/>
                </w:tcPr>
                <w:p>
                  <w:pPr>
                    <w:jc w:val="center"/>
                    <w:rPr>
                      <w:rFonts w:hint="eastAsia" w:eastAsia="宋体"/>
                      <w:bCs/>
                      <w:color w:val="000000"/>
                      <w:szCs w:val="21"/>
                      <w:highlight w:val="none"/>
                      <w:lang w:val="en-US" w:eastAsia="zh-CN"/>
                    </w:rPr>
                  </w:pPr>
                  <w:r>
                    <w:rPr>
                      <w:rFonts w:hint="eastAsia"/>
                      <w:bCs/>
                      <w:color w:val="000000"/>
                      <w:szCs w:val="21"/>
                      <w:highlight w:val="none"/>
                      <w:lang w:val="en-US" w:eastAsia="zh-CN"/>
                    </w:rPr>
                    <w:t>外购</w:t>
                  </w:r>
                </w:p>
              </w:tc>
            </w:tr>
          </w:tbl>
          <w:p>
            <w:pPr>
              <w:adjustRightInd w:val="0"/>
              <w:snapToGrid w:val="0"/>
              <w:spacing w:line="520" w:lineRule="exact"/>
              <w:ind w:firstLine="480" w:firstLineChars="200"/>
              <w:rPr>
                <w:color w:val="000000"/>
                <w:kern w:val="0"/>
                <w:sz w:val="24"/>
              </w:rPr>
            </w:pPr>
            <w:r>
              <w:rPr>
                <w:color w:val="000000"/>
                <w:kern w:val="0"/>
                <w:sz w:val="24"/>
              </w:rPr>
              <w:t>主要原料理化性质见</w:t>
            </w:r>
            <w:r>
              <w:rPr>
                <w:rFonts w:hint="eastAsia"/>
                <w:color w:val="000000"/>
                <w:kern w:val="0"/>
                <w:sz w:val="24"/>
              </w:rPr>
              <w:t>表</w:t>
            </w:r>
            <w:r>
              <w:rPr>
                <w:rFonts w:hint="eastAsia"/>
                <w:color w:val="000000"/>
                <w:kern w:val="0"/>
                <w:sz w:val="24"/>
                <w:lang w:val="en-US" w:eastAsia="zh-CN"/>
              </w:rPr>
              <w:t>2-5</w:t>
            </w:r>
            <w:r>
              <w:rPr>
                <w:rFonts w:hint="eastAsia"/>
                <w:color w:val="000000"/>
                <w:kern w:val="0"/>
                <w:sz w:val="24"/>
              </w:rPr>
              <w:t>。</w:t>
            </w:r>
          </w:p>
          <w:p>
            <w:pPr>
              <w:spacing w:line="520" w:lineRule="exact"/>
              <w:jc w:val="center"/>
              <w:rPr>
                <w:b/>
                <w:bCs/>
                <w:color w:val="000000"/>
                <w:szCs w:val="21"/>
              </w:rPr>
            </w:pPr>
            <w:r>
              <w:rPr>
                <w:b/>
                <w:bCs/>
                <w:color w:val="000000"/>
                <w:szCs w:val="21"/>
              </w:rPr>
              <w:t>表</w:t>
            </w:r>
            <w:r>
              <w:rPr>
                <w:rFonts w:hint="eastAsia"/>
                <w:b/>
                <w:bCs/>
                <w:color w:val="000000"/>
                <w:szCs w:val="21"/>
                <w:lang w:val="en-US" w:eastAsia="zh-CN"/>
              </w:rPr>
              <w:t>2-5</w:t>
            </w:r>
            <w:r>
              <w:rPr>
                <w:b/>
                <w:bCs/>
                <w:color w:val="000000"/>
                <w:szCs w:val="21"/>
              </w:rPr>
              <w:t xml:space="preserve">   主要原辅材料理化性质一览表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246"/>
              <w:gridCol w:w="5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adjustRightInd w:val="0"/>
                    <w:snapToGrid w:val="0"/>
                    <w:jc w:val="center"/>
                    <w:rPr>
                      <w:b/>
                      <w:bCs/>
                      <w:color w:val="000000"/>
                      <w:kern w:val="0"/>
                      <w:szCs w:val="21"/>
                    </w:rPr>
                  </w:pPr>
                  <w:r>
                    <w:rPr>
                      <w:rFonts w:hint="eastAsia"/>
                      <w:b/>
                      <w:bCs/>
                      <w:color w:val="000000"/>
                      <w:kern w:val="0"/>
                      <w:szCs w:val="21"/>
                    </w:rPr>
                    <w:t>序号</w:t>
                  </w:r>
                </w:p>
              </w:tc>
              <w:tc>
                <w:tcPr>
                  <w:tcW w:w="794" w:type="pct"/>
                  <w:noWrap w:val="0"/>
                  <w:vAlign w:val="center"/>
                </w:tcPr>
                <w:p>
                  <w:pPr>
                    <w:adjustRightInd w:val="0"/>
                    <w:snapToGrid w:val="0"/>
                    <w:jc w:val="center"/>
                    <w:rPr>
                      <w:b/>
                      <w:bCs/>
                      <w:color w:val="000000"/>
                      <w:kern w:val="0"/>
                      <w:szCs w:val="21"/>
                    </w:rPr>
                  </w:pPr>
                  <w:r>
                    <w:rPr>
                      <w:rFonts w:hint="eastAsia"/>
                      <w:b/>
                      <w:bCs/>
                      <w:color w:val="000000"/>
                      <w:kern w:val="0"/>
                      <w:szCs w:val="21"/>
                    </w:rPr>
                    <w:t>物料名称</w:t>
                  </w:r>
                </w:p>
              </w:tc>
              <w:tc>
                <w:tcPr>
                  <w:tcW w:w="3798" w:type="pct"/>
                  <w:noWrap w:val="0"/>
                  <w:vAlign w:val="center"/>
                </w:tcPr>
                <w:p>
                  <w:pPr>
                    <w:adjustRightInd w:val="0"/>
                    <w:snapToGrid w:val="0"/>
                    <w:jc w:val="center"/>
                    <w:rPr>
                      <w:b/>
                      <w:bCs/>
                      <w:color w:val="000000"/>
                      <w:kern w:val="0"/>
                      <w:szCs w:val="21"/>
                    </w:rPr>
                  </w:pPr>
                  <w:r>
                    <w:rPr>
                      <w:rFonts w:hint="eastAsia"/>
                      <w:b/>
                      <w:bCs/>
                      <w:color w:val="000000"/>
                      <w:kern w:val="0"/>
                      <w:szCs w:val="21"/>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adjustRightInd w:val="0"/>
                    <w:snapToGrid w:val="0"/>
                    <w:jc w:val="center"/>
                    <w:rPr>
                      <w:color w:val="000000"/>
                      <w:kern w:val="0"/>
                      <w:szCs w:val="21"/>
                    </w:rPr>
                  </w:pPr>
                  <w:r>
                    <w:rPr>
                      <w:rFonts w:hint="eastAsia"/>
                      <w:color w:val="000000"/>
                      <w:kern w:val="0"/>
                      <w:szCs w:val="21"/>
                    </w:rPr>
                    <w:t>1</w:t>
                  </w:r>
                </w:p>
              </w:tc>
              <w:tc>
                <w:tcPr>
                  <w:tcW w:w="794" w:type="pct"/>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氢氧化钠</w:t>
                  </w:r>
                </w:p>
              </w:tc>
              <w:tc>
                <w:tcPr>
                  <w:tcW w:w="3798" w:type="pct"/>
                  <w:noWrap w:val="0"/>
                  <w:vAlign w:val="center"/>
                </w:tcPr>
                <w:p>
                  <w:pPr>
                    <w:adjustRightInd w:val="0"/>
                    <w:snapToGrid w:val="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kern w:val="0"/>
                      <w:szCs w:val="21"/>
                    </w:rPr>
                    <w:t>也称苛性钠、烧碱、火碱、片碱，是一种无机化合物，化学式NaOH，相对分子量为39.9970。极易溶于水，溶解时会放出大量的热，并且易溶于乙醇和甘油</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氢氧化钠具有强碱性，腐蚀性极强，可作酸中和剂、配合掩蔽剂、沉淀剂、沉淀掩蔽剂、显色剂、皂化剂、去皮剂、洗涤剂等，用途非常广泛。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adjustRightInd w:val="0"/>
                    <w:snapToGrid w:val="0"/>
                    <w:jc w:val="center"/>
                    <w:rPr>
                      <w:color w:val="000000"/>
                      <w:kern w:val="0"/>
                      <w:szCs w:val="21"/>
                    </w:rPr>
                  </w:pPr>
                  <w:r>
                    <w:rPr>
                      <w:rFonts w:hint="eastAsia"/>
                      <w:color w:val="000000"/>
                      <w:kern w:val="0"/>
                      <w:szCs w:val="21"/>
                    </w:rPr>
                    <w:t>2</w:t>
                  </w:r>
                </w:p>
              </w:tc>
              <w:tc>
                <w:tcPr>
                  <w:tcW w:w="794" w:type="pct"/>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氢氧化钾</w:t>
                  </w:r>
                </w:p>
              </w:tc>
              <w:tc>
                <w:tcPr>
                  <w:tcW w:w="3798" w:type="pct"/>
                  <w:noWrap w:val="0"/>
                  <w:vAlign w:val="center"/>
                </w:tcPr>
                <w:p>
                  <w:pPr>
                    <w:adjustRightInd w:val="0"/>
                    <w:snapToGrid w:val="0"/>
                    <w:jc w:val="left"/>
                    <w:rPr>
                      <w:rFonts w:hint="default" w:ascii="Times New Roman" w:hAnsi="Times New Roman" w:eastAsia="宋体" w:cs="Times New Roman"/>
                      <w:color w:val="000000"/>
                      <w:kern w:val="0"/>
                      <w:sz w:val="21"/>
                      <w:szCs w:val="21"/>
                      <w:highlight w:val="yellow"/>
                      <w:lang w:val="en-US" w:eastAsia="zh-CN" w:bidi="ar-SA"/>
                    </w:rPr>
                  </w:pPr>
                  <w:r>
                    <w:rPr>
                      <w:rFonts w:hint="default" w:ascii="Times New Roman" w:hAnsi="Times New Roman" w:cs="Times New Roman"/>
                      <w:color w:val="000000"/>
                      <w:kern w:val="0"/>
                      <w:szCs w:val="21"/>
                    </w:rPr>
                    <w:t>氢氧化钾，是一种无机化合物，化学式为KOH，是常见的无机碱，具有强碱性，0.1mol/L溶液的pH为13.5，溶于水、乙醇，微溶于乙醚，极易吸收空气中水分而潮解，吸收二氧化碳而成碳酸钾，主要用作生产钾盐的原料，也可用于电镀、印染等</w:t>
                  </w:r>
                  <w:r>
                    <w:rPr>
                      <w:rFonts w:hint="default" w:ascii="Times New Roman" w:hAnsi="Times New Roman" w:cs="Times New Roman"/>
                      <w:color w:val="000000"/>
                      <w:kern w:val="0"/>
                      <w:szCs w:val="21"/>
                      <w:lang w:eastAsia="zh-CN"/>
                    </w:rPr>
                    <w:t>。</w:t>
                  </w:r>
                </w:p>
              </w:tc>
            </w:tr>
          </w:tbl>
          <w:p>
            <w:pPr>
              <w:pStyle w:val="3"/>
              <w:overflowPunct/>
              <w:spacing w:before="0" w:after="0" w:line="360" w:lineRule="auto"/>
              <w:ind w:left="431" w:hanging="431"/>
              <w:rPr>
                <w:rFonts w:eastAsia="宋体"/>
                <w:sz w:val="24"/>
                <w:szCs w:val="24"/>
              </w:rPr>
            </w:pPr>
            <w:r>
              <w:rPr>
                <w:rFonts w:hint="eastAsia" w:eastAsia="宋体"/>
                <w:sz w:val="24"/>
                <w:szCs w:val="24"/>
              </w:rPr>
              <w:t>6</w:t>
            </w:r>
            <w:r>
              <w:rPr>
                <w:rFonts w:hint="eastAsia" w:eastAsia="宋体"/>
                <w:sz w:val="24"/>
                <w:szCs w:val="24"/>
                <w:lang w:val="en-US" w:eastAsia="zh-CN"/>
              </w:rPr>
              <w:t>.</w:t>
            </w:r>
            <w:r>
              <w:rPr>
                <w:rFonts w:hint="eastAsia" w:eastAsia="宋体"/>
                <w:sz w:val="24"/>
                <w:szCs w:val="24"/>
              </w:rPr>
              <w:t>劳动定员及工作制度</w:t>
            </w:r>
          </w:p>
          <w:p>
            <w:pPr>
              <w:adjustRightInd w:val="0"/>
              <w:snapToGrid w:val="0"/>
              <w:spacing w:line="360" w:lineRule="auto"/>
              <w:ind w:firstLine="480" w:firstLineChars="200"/>
              <w:rPr>
                <w:rFonts w:hint="eastAsia" w:eastAsia="宋体"/>
                <w:color w:val="000000"/>
                <w:kern w:val="0"/>
                <w:sz w:val="24"/>
                <w:highlight w:val="none"/>
                <w:lang w:val="en-US" w:eastAsia="zh-CN"/>
              </w:rPr>
            </w:pPr>
            <w:r>
              <w:rPr>
                <w:color w:val="000000"/>
                <w:kern w:val="0"/>
                <w:sz w:val="24"/>
                <w:highlight w:val="none"/>
              </w:rPr>
              <w:t>项目建成后劳动定员为</w:t>
            </w:r>
            <w:r>
              <w:rPr>
                <w:rFonts w:hint="eastAsia"/>
                <w:color w:val="000000"/>
                <w:kern w:val="0"/>
                <w:sz w:val="24"/>
                <w:highlight w:val="none"/>
                <w:lang w:val="en-US" w:eastAsia="zh-CN"/>
              </w:rPr>
              <w:t>5</w:t>
            </w:r>
            <w:r>
              <w:rPr>
                <w:color w:val="000000"/>
                <w:kern w:val="0"/>
                <w:sz w:val="24"/>
                <w:highlight w:val="none"/>
              </w:rPr>
              <w:t>0人，</w:t>
            </w:r>
            <w:r>
              <w:rPr>
                <w:rFonts w:hint="eastAsia"/>
                <w:color w:val="000000"/>
                <w:kern w:val="0"/>
                <w:sz w:val="24"/>
                <w:highlight w:val="none"/>
                <w:lang w:val="en-US" w:eastAsia="zh-CN"/>
              </w:rPr>
              <w:t>每日1班，每班工作8小时，</w:t>
            </w:r>
            <w:r>
              <w:rPr>
                <w:color w:val="000000"/>
                <w:kern w:val="0"/>
                <w:sz w:val="24"/>
                <w:highlight w:val="none"/>
              </w:rPr>
              <w:t>计划全年生产约</w:t>
            </w:r>
            <w:r>
              <w:rPr>
                <w:rFonts w:hint="eastAsia"/>
                <w:color w:val="000000"/>
                <w:kern w:val="0"/>
                <w:sz w:val="24"/>
                <w:highlight w:val="none"/>
                <w:lang w:val="en-US" w:eastAsia="zh-CN"/>
              </w:rPr>
              <w:t>300</w:t>
            </w:r>
            <w:r>
              <w:rPr>
                <w:color w:val="000000"/>
                <w:kern w:val="0"/>
                <w:sz w:val="24"/>
                <w:highlight w:val="none"/>
              </w:rPr>
              <w:t>天</w:t>
            </w:r>
            <w:r>
              <w:rPr>
                <w:rFonts w:hint="eastAsia"/>
                <w:color w:val="000000"/>
                <w:kern w:val="0"/>
                <w:sz w:val="24"/>
                <w:highlight w:val="none"/>
                <w:lang w:eastAsia="zh-CN"/>
              </w:rPr>
              <w:t>。</w:t>
            </w:r>
          </w:p>
          <w:p>
            <w:pPr>
              <w:pStyle w:val="3"/>
              <w:overflowPunct/>
              <w:spacing w:before="0" w:after="0" w:line="360" w:lineRule="auto"/>
              <w:ind w:left="431" w:hanging="431"/>
              <w:rPr>
                <w:rFonts w:eastAsia="宋体"/>
                <w:sz w:val="24"/>
                <w:szCs w:val="24"/>
              </w:rPr>
            </w:pPr>
            <w:r>
              <w:rPr>
                <w:rFonts w:hint="eastAsia" w:eastAsia="宋体"/>
                <w:sz w:val="24"/>
                <w:szCs w:val="24"/>
              </w:rPr>
              <w:t>7</w:t>
            </w:r>
            <w:r>
              <w:rPr>
                <w:rFonts w:hint="eastAsia" w:eastAsia="宋体"/>
                <w:sz w:val="24"/>
                <w:szCs w:val="24"/>
                <w:lang w:val="en-US" w:eastAsia="zh-CN"/>
              </w:rPr>
              <w:t>.</w:t>
            </w:r>
            <w:r>
              <w:rPr>
                <w:rFonts w:hint="eastAsia" w:eastAsia="宋体"/>
                <w:sz w:val="24"/>
                <w:szCs w:val="24"/>
              </w:rPr>
              <w:t>公用工程</w:t>
            </w:r>
          </w:p>
          <w:p>
            <w:pPr>
              <w:adjustRightInd w:val="0"/>
              <w:snapToGrid w:val="0"/>
              <w:spacing w:line="360" w:lineRule="auto"/>
              <w:ind w:firstLine="480" w:firstLineChars="200"/>
              <w:rPr>
                <w:color w:val="000000"/>
                <w:kern w:val="0"/>
                <w:sz w:val="24"/>
              </w:rPr>
            </w:pPr>
            <w:r>
              <w:rPr>
                <w:rFonts w:hint="eastAsia"/>
                <w:color w:val="000000"/>
                <w:kern w:val="0"/>
                <w:sz w:val="24"/>
              </w:rPr>
              <w:t>（1）给水</w:t>
            </w:r>
          </w:p>
          <w:p>
            <w:pPr>
              <w:adjustRightInd w:val="0"/>
              <w:snapToGrid w:val="0"/>
              <w:spacing w:line="360" w:lineRule="auto"/>
              <w:ind w:firstLine="480" w:firstLineChars="200"/>
              <w:rPr>
                <w:color w:val="000000"/>
                <w:kern w:val="0"/>
                <w:sz w:val="24"/>
                <w:highlight w:val="none"/>
              </w:rPr>
            </w:pPr>
            <w:r>
              <w:rPr>
                <w:color w:val="000000"/>
                <w:kern w:val="0"/>
                <w:sz w:val="24"/>
                <w:highlight w:val="none"/>
              </w:rPr>
              <w:t>本项目</w:t>
            </w:r>
            <w:r>
              <w:rPr>
                <w:rFonts w:hint="eastAsia"/>
                <w:color w:val="000000"/>
                <w:kern w:val="0"/>
                <w:sz w:val="24"/>
                <w:highlight w:val="none"/>
                <w:lang w:val="en-US" w:eastAsia="zh-CN"/>
              </w:rPr>
              <w:t>位于奇台县喇嘛湖梁工业园区</w:t>
            </w:r>
            <w:r>
              <w:rPr>
                <w:color w:val="000000"/>
                <w:kern w:val="0"/>
                <w:sz w:val="24"/>
                <w:highlight w:val="none"/>
              </w:rPr>
              <w:t>，</w:t>
            </w:r>
            <w:r>
              <w:rPr>
                <w:rFonts w:hint="eastAsia"/>
                <w:color w:val="000000"/>
                <w:kern w:val="0"/>
                <w:sz w:val="24"/>
                <w:highlight w:val="none"/>
                <w:lang w:val="en-US" w:eastAsia="zh-CN"/>
              </w:rPr>
              <w:t>园</w:t>
            </w:r>
            <w:r>
              <w:rPr>
                <w:color w:val="000000"/>
                <w:kern w:val="0"/>
                <w:sz w:val="24"/>
                <w:highlight w:val="none"/>
              </w:rPr>
              <w:t>区供水管网设施齐全。本项目生产</w:t>
            </w:r>
            <w:r>
              <w:rPr>
                <w:rFonts w:hint="eastAsia"/>
                <w:color w:val="000000"/>
                <w:kern w:val="0"/>
                <w:sz w:val="24"/>
                <w:highlight w:val="none"/>
                <w:lang w:val="en-US" w:eastAsia="zh-CN"/>
              </w:rPr>
              <w:t>用水、</w:t>
            </w:r>
            <w:r>
              <w:rPr>
                <w:color w:val="000000"/>
                <w:kern w:val="0"/>
                <w:sz w:val="24"/>
                <w:highlight w:val="none"/>
              </w:rPr>
              <w:t>生活用水依托</w:t>
            </w:r>
            <w:r>
              <w:rPr>
                <w:rFonts w:hint="eastAsia"/>
                <w:color w:val="000000"/>
                <w:kern w:val="0"/>
                <w:sz w:val="24"/>
                <w:highlight w:val="none"/>
              </w:rPr>
              <w:t>园区</w:t>
            </w:r>
            <w:r>
              <w:rPr>
                <w:color w:val="000000"/>
                <w:kern w:val="0"/>
                <w:sz w:val="24"/>
                <w:highlight w:val="none"/>
              </w:rPr>
              <w:t>供水管网接入，水质、水量能够满足项目需求。</w:t>
            </w:r>
          </w:p>
          <w:p>
            <w:pPr>
              <w:adjustRightInd w:val="0"/>
              <w:snapToGrid w:val="0"/>
              <w:spacing w:line="360" w:lineRule="auto"/>
              <w:ind w:firstLine="480" w:firstLineChars="200"/>
              <w:rPr>
                <w:rFonts w:hint="eastAsia" w:eastAsia="宋体"/>
                <w:color w:val="000000"/>
                <w:kern w:val="0"/>
                <w:sz w:val="24"/>
                <w:highlight w:val="none"/>
                <w:lang w:val="en-US" w:eastAsia="zh-CN"/>
              </w:rPr>
            </w:pPr>
            <w:r>
              <w:rPr>
                <w:color w:val="000000"/>
                <w:kern w:val="0"/>
                <w:sz w:val="24"/>
                <w:highlight w:val="none"/>
              </w:rPr>
              <w:t>根据</w:t>
            </w:r>
            <w:r>
              <w:rPr>
                <w:rFonts w:hint="eastAsia"/>
                <w:bCs/>
                <w:color w:val="000000"/>
                <w:sz w:val="24"/>
                <w:highlight w:val="none"/>
              </w:rPr>
              <w:t>《新疆维吾尔自治区生活用水定额》</w:t>
            </w:r>
            <w:r>
              <w:rPr>
                <w:color w:val="000000"/>
                <w:kern w:val="0"/>
                <w:sz w:val="24"/>
                <w:highlight w:val="none"/>
              </w:rPr>
              <w:t>，项目劳动定员</w:t>
            </w:r>
            <w:r>
              <w:rPr>
                <w:rFonts w:hint="eastAsia"/>
                <w:color w:val="000000"/>
                <w:kern w:val="0"/>
                <w:sz w:val="24"/>
                <w:highlight w:val="none"/>
                <w:lang w:val="en-US" w:eastAsia="zh-CN"/>
              </w:rPr>
              <w:t>50</w:t>
            </w:r>
            <w:r>
              <w:rPr>
                <w:color w:val="000000"/>
                <w:kern w:val="0"/>
                <w:sz w:val="24"/>
                <w:highlight w:val="none"/>
              </w:rPr>
              <w:t>人，用水量按照</w:t>
            </w:r>
            <w:r>
              <w:rPr>
                <w:rFonts w:hint="eastAsia"/>
                <w:color w:val="000000"/>
                <w:kern w:val="0"/>
                <w:sz w:val="24"/>
                <w:highlight w:val="none"/>
              </w:rPr>
              <w:t>100</w:t>
            </w:r>
            <w:r>
              <w:rPr>
                <w:color w:val="000000"/>
                <w:kern w:val="0"/>
                <w:sz w:val="24"/>
                <w:highlight w:val="none"/>
              </w:rPr>
              <w:t>L/人·d计算，则生活用水量为</w:t>
            </w:r>
            <w:r>
              <w:rPr>
                <w:rFonts w:hint="eastAsia"/>
                <w:color w:val="000000"/>
                <w:kern w:val="0"/>
                <w:sz w:val="24"/>
                <w:highlight w:val="none"/>
                <w:lang w:val="en-US" w:eastAsia="zh-CN"/>
              </w:rPr>
              <w:t>1500</w:t>
            </w:r>
            <w:r>
              <w:rPr>
                <w:color w:val="000000"/>
                <w:kern w:val="0"/>
                <w:sz w:val="24"/>
                <w:highlight w:val="none"/>
              </w:rPr>
              <w:t>m</w:t>
            </w:r>
            <w:r>
              <w:rPr>
                <w:color w:val="000000"/>
                <w:kern w:val="0"/>
                <w:sz w:val="24"/>
                <w:highlight w:val="none"/>
                <w:vertAlign w:val="superscript"/>
              </w:rPr>
              <w:t>3</w:t>
            </w:r>
            <w:r>
              <w:rPr>
                <w:color w:val="000000"/>
                <w:kern w:val="0"/>
                <w:sz w:val="24"/>
                <w:highlight w:val="none"/>
              </w:rPr>
              <w:t>/a。</w:t>
            </w:r>
            <w:r>
              <w:rPr>
                <w:rFonts w:hint="eastAsia"/>
                <w:color w:val="000000"/>
                <w:kern w:val="0"/>
                <w:sz w:val="24"/>
                <w:highlight w:val="none"/>
                <w:lang w:val="en-US" w:eastAsia="zh-CN"/>
              </w:rPr>
              <w:t>生产用水主要用于搅拌工序，搅拌工序用水量为50000</w:t>
            </w:r>
            <w:r>
              <w:rPr>
                <w:color w:val="000000"/>
                <w:kern w:val="0"/>
                <w:sz w:val="24"/>
                <w:highlight w:val="none"/>
              </w:rPr>
              <w:t>m</w:t>
            </w:r>
            <w:r>
              <w:rPr>
                <w:color w:val="000000"/>
                <w:kern w:val="0"/>
                <w:sz w:val="24"/>
                <w:highlight w:val="none"/>
                <w:vertAlign w:val="superscript"/>
              </w:rPr>
              <w:t>3</w:t>
            </w:r>
            <w:r>
              <w:rPr>
                <w:color w:val="000000"/>
                <w:kern w:val="0"/>
                <w:sz w:val="24"/>
                <w:highlight w:val="none"/>
              </w:rPr>
              <w:t>/a</w:t>
            </w:r>
            <w:r>
              <w:rPr>
                <w:rFonts w:hint="eastAsia"/>
                <w:color w:val="000000"/>
                <w:kern w:val="0"/>
                <w:sz w:val="24"/>
                <w:highlight w:val="none"/>
                <w:lang w:val="en-US" w:eastAsia="zh-CN"/>
              </w:rPr>
              <w:t>.</w:t>
            </w:r>
          </w:p>
          <w:p>
            <w:pPr>
              <w:adjustRightInd w:val="0"/>
              <w:snapToGrid w:val="0"/>
              <w:spacing w:line="360" w:lineRule="auto"/>
              <w:ind w:firstLine="480" w:firstLineChars="200"/>
              <w:rPr>
                <w:color w:val="000000"/>
                <w:kern w:val="0"/>
                <w:sz w:val="24"/>
                <w:highlight w:val="none"/>
              </w:rPr>
            </w:pPr>
            <w:r>
              <w:rPr>
                <w:rFonts w:hint="eastAsia"/>
                <w:color w:val="000000"/>
                <w:kern w:val="0"/>
                <w:sz w:val="24"/>
                <w:highlight w:val="none"/>
              </w:rPr>
              <w:t>（2）排水</w:t>
            </w:r>
          </w:p>
          <w:p>
            <w:pPr>
              <w:adjustRightInd w:val="0"/>
              <w:snapToGrid w:val="0"/>
              <w:spacing w:line="360" w:lineRule="auto"/>
              <w:ind w:firstLine="480" w:firstLineChars="200"/>
              <w:rPr>
                <w:color w:val="000000"/>
                <w:kern w:val="0"/>
                <w:sz w:val="24"/>
                <w:highlight w:val="none"/>
              </w:rPr>
            </w:pPr>
            <w:r>
              <w:rPr>
                <w:color w:val="000000"/>
                <w:kern w:val="0"/>
                <w:sz w:val="24"/>
                <w:highlight w:val="none"/>
              </w:rPr>
              <w:t>本项目生产</w:t>
            </w:r>
            <w:r>
              <w:rPr>
                <w:rFonts w:hint="eastAsia"/>
                <w:color w:val="000000"/>
                <w:kern w:val="0"/>
                <w:sz w:val="24"/>
                <w:highlight w:val="none"/>
                <w:lang w:val="en-US" w:eastAsia="zh-CN"/>
              </w:rPr>
              <w:t>废水循环使用不外排</w:t>
            </w:r>
            <w:r>
              <w:rPr>
                <w:color w:val="000000"/>
                <w:kern w:val="0"/>
                <w:sz w:val="24"/>
                <w:highlight w:val="none"/>
              </w:rPr>
              <w:t>，无生产废水产生。项目排水主要为员工产生的生活污水，生活污水排放量按用水量的80%计，则排放量为</w:t>
            </w:r>
            <w:r>
              <w:rPr>
                <w:rFonts w:hint="eastAsia"/>
                <w:color w:val="000000"/>
                <w:kern w:val="0"/>
                <w:sz w:val="24"/>
                <w:highlight w:val="none"/>
                <w:lang w:val="en-US" w:eastAsia="zh-CN"/>
              </w:rPr>
              <w:t>1200</w:t>
            </w:r>
            <w:r>
              <w:rPr>
                <w:color w:val="000000"/>
                <w:kern w:val="0"/>
                <w:sz w:val="24"/>
                <w:highlight w:val="none"/>
              </w:rPr>
              <w:t>m</w:t>
            </w:r>
            <w:r>
              <w:rPr>
                <w:color w:val="000000"/>
                <w:kern w:val="0"/>
                <w:sz w:val="24"/>
                <w:highlight w:val="none"/>
                <w:vertAlign w:val="superscript"/>
              </w:rPr>
              <w:t>3</w:t>
            </w:r>
            <w:r>
              <w:rPr>
                <w:color w:val="000000"/>
                <w:kern w:val="0"/>
                <w:sz w:val="24"/>
                <w:highlight w:val="none"/>
              </w:rPr>
              <w:t>/a。</w:t>
            </w:r>
            <w:r>
              <w:rPr>
                <w:rFonts w:hint="eastAsia"/>
                <w:color w:val="000000"/>
                <w:kern w:val="0"/>
                <w:sz w:val="24"/>
                <w:highlight w:val="none"/>
                <w:lang w:val="en-US" w:eastAsia="zh-CN"/>
              </w:rPr>
              <w:t>园区排水设施齐全，</w:t>
            </w:r>
            <w:r>
              <w:rPr>
                <w:color w:val="000000"/>
                <w:kern w:val="0"/>
                <w:sz w:val="24"/>
                <w:highlight w:val="none"/>
              </w:rPr>
              <w:t>本项目</w:t>
            </w:r>
            <w:r>
              <w:rPr>
                <w:rFonts w:hint="eastAsia"/>
                <w:color w:val="000000"/>
                <w:kern w:val="0"/>
                <w:sz w:val="24"/>
                <w:highlight w:val="none"/>
                <w:lang w:val="en-US" w:eastAsia="zh-CN"/>
              </w:rPr>
              <w:t>生活污水直排园区</w:t>
            </w:r>
            <w:r>
              <w:rPr>
                <w:color w:val="000000"/>
                <w:kern w:val="0"/>
                <w:sz w:val="24"/>
                <w:highlight w:val="none"/>
              </w:rPr>
              <w:t>污水管网</w:t>
            </w:r>
            <w:r>
              <w:rPr>
                <w:rFonts w:hint="eastAsia"/>
                <w:color w:val="000000"/>
                <w:kern w:val="0"/>
                <w:sz w:val="24"/>
                <w:highlight w:val="none"/>
                <w:lang w:eastAsia="zh-CN"/>
              </w:rPr>
              <w:t>，</w:t>
            </w:r>
            <w:r>
              <w:rPr>
                <w:rFonts w:hint="eastAsia"/>
                <w:color w:val="000000"/>
                <w:kern w:val="0"/>
                <w:sz w:val="24"/>
                <w:highlight w:val="none"/>
                <w:lang w:val="en-US" w:eastAsia="zh-CN"/>
              </w:rPr>
              <w:t>最终进入喇嘛湖梁工业园区污水处理厂深度处理</w:t>
            </w:r>
            <w:r>
              <w:rPr>
                <w:color w:val="000000"/>
                <w:kern w:val="0"/>
                <w:sz w:val="24"/>
                <w:highlight w:val="none"/>
              </w:rPr>
              <w:t>。</w:t>
            </w:r>
          </w:p>
          <w:p>
            <w:pPr>
              <w:adjustRightInd w:val="0"/>
              <w:snapToGrid w:val="0"/>
              <w:spacing w:line="360" w:lineRule="auto"/>
              <w:ind w:firstLine="480" w:firstLineChars="200"/>
              <w:rPr>
                <w:rFonts w:hint="eastAsia"/>
                <w:color w:val="000000"/>
                <w:kern w:val="0"/>
                <w:sz w:val="24"/>
                <w:highlight w:val="none"/>
              </w:rPr>
            </w:pPr>
            <w:r>
              <w:rPr>
                <w:rFonts w:hint="eastAsia"/>
                <w:color w:val="000000"/>
                <w:kern w:val="0"/>
                <w:sz w:val="24"/>
                <w:highlight w:val="none"/>
              </w:rPr>
              <w:t>本项目水平衡详见图</w:t>
            </w:r>
            <w:r>
              <w:rPr>
                <w:rFonts w:hint="eastAsia"/>
                <w:color w:val="000000"/>
                <w:kern w:val="0"/>
                <w:sz w:val="24"/>
                <w:highlight w:val="none"/>
                <w:lang w:val="en-US" w:eastAsia="zh-CN"/>
              </w:rPr>
              <w:t>2-1</w:t>
            </w:r>
            <w:r>
              <w:rPr>
                <w:rFonts w:hint="eastAsia"/>
                <w:color w:val="000000"/>
                <w:kern w:val="0"/>
                <w:sz w:val="24"/>
                <w:highlight w:val="none"/>
              </w:rPr>
              <w:t>。</w:t>
            </w:r>
          </w:p>
          <w:p>
            <w:pPr>
              <w:adjustRightInd w:val="0"/>
              <w:snapToGrid w:val="0"/>
              <w:rPr>
                <w:rFonts w:hint="eastAsia" w:eastAsia="宋体"/>
                <w:color w:val="000000"/>
                <w:kern w:val="0"/>
                <w:sz w:val="24"/>
                <w:lang w:eastAsia="zh-CN"/>
              </w:rPr>
            </w:pPr>
            <w:r>
              <w:rPr>
                <w:rFonts w:hint="eastAsia" w:eastAsia="宋体"/>
                <w:color w:val="000000"/>
                <w:kern w:val="0"/>
                <w:sz w:val="24"/>
                <w:lang w:eastAsia="zh-CN"/>
              </w:rPr>
              <w:drawing>
                <wp:inline distT="0" distB="0" distL="114300" distR="114300">
                  <wp:extent cx="4870450" cy="1558925"/>
                  <wp:effectExtent l="0" t="0" r="0" b="0"/>
                  <wp:docPr id="2" name="ECB019B1-382A-4266-B25C-5B523AA43C14-1" descr="C:/Users/86180/AppData/Local/Temp/wps.msPNk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86180/AppData/Local/Temp/wps.msPNktwps"/>
                          <pic:cNvPicPr>
                            <a:picLocks noChangeAspect="1"/>
                          </pic:cNvPicPr>
                        </pic:nvPicPr>
                        <pic:blipFill>
                          <a:blip r:embed="rId8"/>
                          <a:stretch>
                            <a:fillRect/>
                          </a:stretch>
                        </pic:blipFill>
                        <pic:spPr>
                          <a:xfrm>
                            <a:off x="0" y="0"/>
                            <a:ext cx="4870450" cy="1558925"/>
                          </a:xfrm>
                          <a:prstGeom prst="rect">
                            <a:avLst/>
                          </a:prstGeom>
                        </pic:spPr>
                      </pic:pic>
                    </a:graphicData>
                  </a:graphic>
                </wp:inline>
              </w:drawing>
            </w:r>
          </w:p>
          <w:p>
            <w:pPr>
              <w:adjustRightInd w:val="0"/>
              <w:snapToGrid w:val="0"/>
              <w:spacing w:line="360" w:lineRule="auto"/>
              <w:jc w:val="center"/>
              <w:rPr>
                <w:b/>
                <w:bCs/>
                <w:color w:val="000000"/>
                <w:sz w:val="24"/>
              </w:rPr>
            </w:pPr>
            <w:r>
              <w:rPr>
                <w:b/>
                <w:bCs/>
                <w:color w:val="000000"/>
                <w:szCs w:val="21"/>
              </w:rPr>
              <w:t>图</w:t>
            </w:r>
            <w:r>
              <w:rPr>
                <w:rFonts w:hint="eastAsia"/>
                <w:b/>
                <w:bCs/>
                <w:color w:val="000000"/>
                <w:szCs w:val="21"/>
                <w:lang w:val="en-US" w:eastAsia="zh-CN"/>
              </w:rPr>
              <w:t>2-1</w:t>
            </w:r>
            <w:r>
              <w:rPr>
                <w:b/>
                <w:bCs/>
                <w:color w:val="000000"/>
                <w:szCs w:val="21"/>
              </w:rPr>
              <w:t xml:space="preserve">   项目水平衡图  单位：m</w:t>
            </w:r>
            <w:r>
              <w:rPr>
                <w:b/>
                <w:bCs/>
                <w:color w:val="000000"/>
                <w:szCs w:val="21"/>
                <w:vertAlign w:val="superscript"/>
              </w:rPr>
              <w:t>3</w:t>
            </w:r>
            <w:r>
              <w:rPr>
                <w:b/>
                <w:bCs/>
                <w:color w:val="000000"/>
                <w:szCs w:val="21"/>
              </w:rPr>
              <w:t>/</w:t>
            </w:r>
            <w:r>
              <w:rPr>
                <w:rFonts w:hint="eastAsia"/>
                <w:b/>
                <w:bCs/>
                <w:color w:val="000000"/>
                <w:szCs w:val="21"/>
              </w:rPr>
              <w:t>a</w:t>
            </w:r>
          </w:p>
          <w:p>
            <w:pPr>
              <w:adjustRightInd w:val="0"/>
              <w:snapToGrid w:val="0"/>
              <w:spacing w:line="360" w:lineRule="auto"/>
              <w:ind w:firstLine="480" w:firstLineChars="200"/>
              <w:rPr>
                <w:color w:val="000000"/>
                <w:kern w:val="0"/>
                <w:sz w:val="24"/>
              </w:rPr>
            </w:pPr>
            <w:r>
              <w:rPr>
                <w:rFonts w:hint="eastAsia"/>
                <w:color w:val="000000"/>
                <w:kern w:val="0"/>
                <w:sz w:val="24"/>
              </w:rPr>
              <w:t>（3）供电</w:t>
            </w:r>
          </w:p>
          <w:p>
            <w:pPr>
              <w:adjustRightInd w:val="0"/>
              <w:snapToGrid w:val="0"/>
              <w:spacing w:line="360" w:lineRule="auto"/>
              <w:ind w:firstLine="480" w:firstLineChars="200"/>
              <w:rPr>
                <w:color w:val="000000"/>
                <w:kern w:val="0"/>
                <w:sz w:val="24"/>
              </w:rPr>
            </w:pPr>
            <w:r>
              <w:rPr>
                <w:rFonts w:ascii="宋体" w:hAnsi="宋体" w:eastAsia="宋体" w:cs="宋体"/>
                <w:b w:val="0"/>
                <w:bCs w:val="0"/>
                <w:color w:val="000000"/>
                <w:sz w:val="24"/>
                <w:szCs w:val="24"/>
              </w:rPr>
              <w:t>本项目供电</w:t>
            </w:r>
            <w:r>
              <w:rPr>
                <w:rFonts w:hint="eastAsia" w:ascii="宋体" w:hAnsi="宋体" w:cs="宋体"/>
                <w:b w:val="0"/>
                <w:bCs w:val="0"/>
                <w:color w:val="000000"/>
                <w:sz w:val="24"/>
                <w:szCs w:val="24"/>
                <w:lang w:val="en-US" w:eastAsia="zh-CN"/>
              </w:rPr>
              <w:t>自</w:t>
            </w:r>
            <w:r>
              <w:rPr>
                <w:rFonts w:ascii="宋体" w:hAnsi="宋体" w:eastAsia="宋体" w:cs="宋体"/>
                <w:b w:val="0"/>
                <w:bCs w:val="0"/>
                <w:color w:val="000000"/>
                <w:sz w:val="24"/>
                <w:szCs w:val="24"/>
              </w:rPr>
              <w:t>自</w:t>
            </w:r>
            <w:r>
              <w:rPr>
                <w:rFonts w:hint="eastAsia" w:ascii="宋体" w:hAnsi="宋体" w:cs="宋体"/>
                <w:b w:val="0"/>
                <w:bCs w:val="0"/>
                <w:color w:val="000000"/>
                <w:sz w:val="24"/>
                <w:szCs w:val="24"/>
                <w:lang w:val="en-US" w:eastAsia="zh-CN"/>
              </w:rPr>
              <w:t>市政管网接入</w:t>
            </w:r>
            <w:r>
              <w:rPr>
                <w:color w:val="000000"/>
                <w:kern w:val="0"/>
                <w:sz w:val="24"/>
              </w:rPr>
              <w:t>，可满足本项目的用电需求。</w:t>
            </w:r>
          </w:p>
          <w:p>
            <w:pPr>
              <w:adjustRightInd w:val="0"/>
              <w:snapToGrid w:val="0"/>
              <w:spacing w:line="360" w:lineRule="auto"/>
              <w:ind w:firstLine="480" w:firstLineChars="200"/>
              <w:rPr>
                <w:color w:val="000000"/>
                <w:kern w:val="0"/>
                <w:sz w:val="24"/>
                <w:highlight w:val="none"/>
              </w:rPr>
            </w:pPr>
            <w:r>
              <w:rPr>
                <w:rFonts w:hint="eastAsia"/>
                <w:color w:val="000000"/>
                <w:kern w:val="0"/>
                <w:sz w:val="24"/>
                <w:highlight w:val="none"/>
              </w:rPr>
              <w:t>（4）供暖</w:t>
            </w:r>
          </w:p>
          <w:p>
            <w:pPr>
              <w:adjustRightInd w:val="0"/>
              <w:snapToGrid w:val="0"/>
              <w:spacing w:line="360" w:lineRule="auto"/>
              <w:ind w:firstLine="480" w:firstLineChars="200"/>
              <w:rPr>
                <w:color w:val="000000"/>
                <w:kern w:val="0"/>
                <w:sz w:val="24"/>
                <w:highlight w:val="none"/>
              </w:rPr>
            </w:pPr>
            <w:r>
              <w:rPr>
                <w:rFonts w:hint="eastAsia" w:ascii="宋体" w:hAnsi="宋体" w:eastAsia="宋体" w:cs="宋体"/>
                <w:b w:val="0"/>
                <w:bCs w:val="0"/>
                <w:color w:val="000000"/>
                <w:sz w:val="24"/>
                <w:szCs w:val="24"/>
                <w:highlight w:val="none"/>
                <w:lang w:val="en-US" w:eastAsia="zh-CN"/>
              </w:rPr>
              <w:t>依托园区</w:t>
            </w:r>
            <w:r>
              <w:rPr>
                <w:rFonts w:hint="eastAsia" w:ascii="宋体" w:hAnsi="宋体" w:cs="宋体"/>
                <w:b w:val="0"/>
                <w:bCs w:val="0"/>
                <w:color w:val="000000"/>
                <w:sz w:val="24"/>
                <w:szCs w:val="24"/>
                <w:highlight w:val="none"/>
                <w:lang w:val="en-US" w:eastAsia="zh-CN"/>
              </w:rPr>
              <w:t>集中供暖，满足项目供暖需求</w:t>
            </w:r>
            <w:r>
              <w:rPr>
                <w:color w:val="000000"/>
                <w:kern w:val="0"/>
                <w:sz w:val="24"/>
                <w:highlight w:val="none"/>
              </w:rPr>
              <w:t>。</w:t>
            </w:r>
          </w:p>
          <w:p>
            <w:pPr>
              <w:adjustRightInd w:val="0"/>
              <w:snapToGrid w:val="0"/>
              <w:spacing w:line="360" w:lineRule="auto"/>
              <w:ind w:firstLine="480" w:firstLineChars="200"/>
              <w:rPr>
                <w:rFonts w:hint="eastAsia" w:eastAsia="宋体"/>
                <w:color w:val="000000"/>
                <w:kern w:val="0"/>
                <w:sz w:val="24"/>
                <w:highlight w:val="none"/>
                <w:lang w:eastAsia="zh-CN"/>
              </w:rPr>
            </w:pPr>
            <w:r>
              <w:rPr>
                <w:rFonts w:hint="eastAsia"/>
                <w:color w:val="000000"/>
                <w:kern w:val="0"/>
                <w:sz w:val="24"/>
                <w:highlight w:val="none"/>
              </w:rPr>
              <w:t>（</w:t>
            </w:r>
            <w:r>
              <w:rPr>
                <w:rFonts w:hint="eastAsia"/>
                <w:color w:val="000000"/>
                <w:kern w:val="0"/>
                <w:sz w:val="24"/>
                <w:highlight w:val="none"/>
                <w:lang w:val="en-US" w:eastAsia="zh-CN"/>
              </w:rPr>
              <w:t>5</w:t>
            </w:r>
            <w:r>
              <w:rPr>
                <w:rFonts w:hint="eastAsia"/>
                <w:color w:val="000000"/>
                <w:kern w:val="0"/>
                <w:sz w:val="24"/>
                <w:highlight w:val="none"/>
              </w:rPr>
              <w:t>）供</w:t>
            </w:r>
            <w:r>
              <w:rPr>
                <w:rFonts w:hint="eastAsia"/>
                <w:color w:val="000000"/>
                <w:kern w:val="0"/>
                <w:sz w:val="24"/>
                <w:highlight w:val="none"/>
                <w:lang w:val="en-US" w:eastAsia="zh-CN"/>
              </w:rPr>
              <w:t>热</w:t>
            </w:r>
          </w:p>
          <w:p>
            <w:pPr>
              <w:pStyle w:val="39"/>
              <w:spacing w:line="360" w:lineRule="auto"/>
              <w:ind w:firstLine="480" w:firstLineChars="200"/>
              <w:rPr>
                <w:rFonts w:hint="default" w:ascii="Times New Roman" w:hAnsi="Times New Roman" w:cs="Times New Roman"/>
                <w:lang w:val="en-US"/>
              </w:rPr>
            </w:pPr>
            <w:r>
              <w:rPr>
                <w:rFonts w:hint="eastAsia" w:ascii="Times New Roman" w:hAnsi="Times New Roman" w:cs="Times New Roman"/>
                <w:lang w:val="en-US" w:eastAsia="zh-CN"/>
              </w:rPr>
              <w:t>本项目在搅拌工序使用蒸汽间接加热，使用蒸汽量约为10000t/a，</w:t>
            </w:r>
            <w:r>
              <w:rPr>
                <w:rFonts w:hint="eastAsia" w:ascii="Times New Roman" w:hAnsi="Times New Roman" w:cs="Times New Roman"/>
                <w:kern w:val="2"/>
                <w:szCs w:val="24"/>
                <w:lang w:val="en-US" w:eastAsia="zh-CN"/>
              </w:rPr>
              <w:t>蒸汽由新疆天电奇台能源有限责任公司蒸汽管道</w:t>
            </w:r>
            <w:r>
              <w:rPr>
                <w:rFonts w:hint="default" w:ascii="Times New Roman" w:hAnsi="Times New Roman" w:cs="Times New Roman"/>
                <w:kern w:val="0"/>
                <w:szCs w:val="21"/>
                <w:lang w:val="en-US" w:eastAsia="zh-CN"/>
              </w:rPr>
              <w:t>提供，</w:t>
            </w:r>
            <w:r>
              <w:rPr>
                <w:rFonts w:hint="eastAsia" w:ascii="Times New Roman" w:hAnsi="Times New Roman" w:cs="Times New Roman"/>
                <w:lang w:val="en-US" w:eastAsia="zh-CN"/>
              </w:rPr>
              <w:t>依托园区已建设完成的管网，</w:t>
            </w:r>
            <w:r>
              <w:rPr>
                <w:rFonts w:hint="default" w:ascii="Times New Roman" w:hAnsi="Times New Roman" w:cs="Times New Roman"/>
              </w:rPr>
              <w:t>可满足本项目供热需求。</w:t>
            </w:r>
          </w:p>
          <w:p>
            <w:pPr>
              <w:spacing w:line="360" w:lineRule="auto"/>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本项目蒸汽损耗按</w:t>
            </w:r>
            <w:r>
              <w:rPr>
                <w:rFonts w:ascii="TimesNewRomanPSMT" w:hAnsi="TimesNewRomanPSMT" w:eastAsia="TimesNewRomanPSMT" w:cs="TimesNewRomanPSMT"/>
                <w:b w:val="0"/>
                <w:bCs w:val="0"/>
                <w:color w:val="000000"/>
                <w:sz w:val="24"/>
                <w:szCs w:val="24"/>
              </w:rPr>
              <w:t>1%</w:t>
            </w:r>
            <w:r>
              <w:rPr>
                <w:rFonts w:ascii="宋体" w:hAnsi="宋体" w:eastAsia="宋体" w:cs="宋体"/>
                <w:b w:val="0"/>
                <w:bCs w:val="0"/>
                <w:color w:val="000000"/>
                <w:sz w:val="24"/>
                <w:szCs w:val="24"/>
              </w:rPr>
              <w:t>计，蒸汽损耗量为</w:t>
            </w:r>
            <w:r>
              <w:rPr>
                <w:rFonts w:hint="default" w:ascii="TimesNewRomanPSMT" w:hAnsi="TimesNewRomanPSMT" w:eastAsia="TimesNewRomanPSMT" w:cs="TimesNewRomanPSMT"/>
                <w:b w:val="0"/>
                <w:bCs w:val="0"/>
                <w:color w:val="000000"/>
                <w:sz w:val="24"/>
                <w:szCs w:val="24"/>
              </w:rPr>
              <w:t>1</w:t>
            </w:r>
            <w:r>
              <w:rPr>
                <w:rFonts w:hint="eastAsia" w:ascii="TimesNewRomanPSMT" w:hAnsi="TimesNewRomanPSMT" w:eastAsia="宋体" w:cs="TimesNewRomanPSMT"/>
                <w:b w:val="0"/>
                <w:bCs w:val="0"/>
                <w:color w:val="000000"/>
                <w:sz w:val="24"/>
                <w:szCs w:val="24"/>
                <w:lang w:val="en-US" w:eastAsia="zh-CN"/>
              </w:rPr>
              <w:t>0</w:t>
            </w:r>
            <w:r>
              <w:rPr>
                <w:rFonts w:hint="default" w:ascii="TimesNewRomanPSMT" w:hAnsi="TimesNewRomanPSMT" w:eastAsia="TimesNewRomanPSMT" w:cs="TimesNewRomanPSMT"/>
                <w:b w:val="0"/>
                <w:bCs w:val="0"/>
                <w:color w:val="000000"/>
                <w:sz w:val="24"/>
                <w:szCs w:val="24"/>
              </w:rPr>
              <w:t>0t/a</w:t>
            </w:r>
            <w:r>
              <w:rPr>
                <w:rFonts w:ascii="宋体" w:hAnsi="宋体" w:eastAsia="宋体" w:cs="宋体"/>
                <w:b w:val="0"/>
                <w:bCs w:val="0"/>
                <w:color w:val="000000"/>
                <w:sz w:val="24"/>
                <w:szCs w:val="24"/>
              </w:rPr>
              <w:t>，使用后的蒸汽（</w:t>
            </w:r>
            <w:r>
              <w:rPr>
                <w:rFonts w:hint="eastAsia" w:ascii="TimesNewRomanPSMT" w:hAnsi="TimesNewRomanPSMT" w:eastAsia="宋体" w:cs="TimesNewRomanPSMT"/>
                <w:b w:val="0"/>
                <w:bCs w:val="0"/>
                <w:color w:val="000000"/>
                <w:sz w:val="24"/>
                <w:szCs w:val="24"/>
                <w:lang w:val="en-US" w:eastAsia="zh-CN"/>
              </w:rPr>
              <w:t>9900</w:t>
            </w:r>
            <w:r>
              <w:rPr>
                <w:rFonts w:hint="default" w:ascii="TimesNewRomanPSMT" w:hAnsi="TimesNewRomanPSMT" w:eastAsia="TimesNewRomanPSMT" w:cs="TimesNewRomanPSMT"/>
                <w:b w:val="0"/>
                <w:bCs w:val="0"/>
                <w:color w:val="000000"/>
                <w:sz w:val="24"/>
                <w:szCs w:val="24"/>
              </w:rPr>
              <w:t>t/a</w:t>
            </w:r>
            <w:r>
              <w:rPr>
                <w:rFonts w:ascii="宋体" w:hAnsi="宋体" w:eastAsia="宋体" w:cs="宋体"/>
                <w:b w:val="0"/>
                <w:bCs w:val="0"/>
                <w:color w:val="000000"/>
                <w:sz w:val="24"/>
                <w:szCs w:val="24"/>
              </w:rPr>
              <w:t>） 利用七效蒸发器提升温度，继续回用于生产供热，不外排。</w:t>
            </w:r>
          </w:p>
          <w:p>
            <w:pPr>
              <w:pStyle w:val="2"/>
              <w:numPr>
                <w:ilvl w:val="0"/>
                <w:numId w:val="0"/>
              </w:numPr>
              <w:spacing w:line="360" w:lineRule="auto"/>
              <w:ind w:left="0" w:firstLine="0"/>
              <w:rPr>
                <w:rFonts w:hint="eastAsia" w:ascii="Times New Roman" w:hAnsi="Times New Roman" w:eastAsia="宋体" w:cs="Times New Roman"/>
                <w:b/>
                <w:bCs/>
                <w:color w:val="000000"/>
                <w:kern w:val="44"/>
                <w:sz w:val="24"/>
                <w:szCs w:val="24"/>
                <w:lang w:val="en-US" w:eastAsia="zh-CN"/>
              </w:rPr>
            </w:pPr>
            <w:r>
              <w:rPr>
                <w:rFonts w:hint="eastAsia" w:ascii="Times New Roman" w:hAnsi="Times New Roman" w:eastAsia="宋体" w:cs="Times New Roman"/>
                <w:b/>
                <w:bCs/>
                <w:color w:val="000000"/>
                <w:kern w:val="44"/>
                <w:sz w:val="24"/>
                <w:szCs w:val="24"/>
                <w:lang w:val="en-US" w:eastAsia="zh-CN" w:bidi="ar-SA"/>
              </w:rPr>
              <w:t>8.</w:t>
            </w:r>
            <w:r>
              <w:rPr>
                <w:rFonts w:hint="eastAsia" w:ascii="Times New Roman" w:hAnsi="Times New Roman" w:eastAsia="宋体" w:cs="Times New Roman"/>
                <w:b/>
                <w:bCs/>
                <w:color w:val="000000"/>
                <w:kern w:val="44"/>
                <w:sz w:val="24"/>
                <w:szCs w:val="24"/>
                <w:lang w:val="en-US" w:eastAsia="zh-CN"/>
              </w:rPr>
              <w:t>项目依托可行性分析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textAlignment w:val="center"/>
              <w:rPr>
                <w:rFonts w:hint="default" w:ascii="Times New Roman" w:hAnsi="Times New Roman" w:eastAsia="宋体" w:cs="Times New Roman"/>
                <w:b w:val="0"/>
                <w:bCs w:val="0"/>
                <w:i w:val="0"/>
                <w:iCs w:val="0"/>
                <w:caps w:val="0"/>
                <w:color w:val="383838"/>
                <w:spacing w:val="0"/>
                <w:sz w:val="24"/>
                <w:szCs w:val="24"/>
                <w:shd w:val="clear" w:fill="FFFFFF"/>
                <w:lang w:val="en-US" w:eastAsia="zh-CN"/>
              </w:rPr>
            </w:pPr>
            <w:r>
              <w:rPr>
                <w:rFonts w:hint="default" w:ascii="Times New Roman" w:hAnsi="Times New Roman" w:eastAsia="宋体" w:cs="Times New Roman"/>
                <w:b w:val="0"/>
                <w:bCs w:val="0"/>
                <w:color w:val="000000"/>
                <w:kern w:val="44"/>
                <w:sz w:val="24"/>
                <w:szCs w:val="24"/>
                <w:lang w:val="en-US" w:eastAsia="zh-CN"/>
              </w:rPr>
              <w:t>本项目位于奇台县喇嘛湖梁工业园区，项目生产过程中使用的蒸汽由</w:t>
            </w:r>
            <w:r>
              <w:rPr>
                <w:rFonts w:hint="default" w:ascii="Times New Roman" w:hAnsi="Times New Roman" w:eastAsia="宋体" w:cs="Times New Roman"/>
                <w:b w:val="0"/>
                <w:bCs w:val="0"/>
                <w:i w:val="0"/>
                <w:iCs w:val="0"/>
                <w:caps w:val="0"/>
                <w:color w:val="383838"/>
                <w:spacing w:val="0"/>
                <w:sz w:val="24"/>
                <w:szCs w:val="24"/>
                <w:shd w:val="clear" w:fill="FFFFFF"/>
              </w:rPr>
              <w:t>新疆天电奇台能源有限责任公司</w:t>
            </w:r>
            <w:r>
              <w:rPr>
                <w:rFonts w:hint="default" w:ascii="Times New Roman" w:hAnsi="Times New Roman" w:eastAsia="宋体" w:cs="Times New Roman"/>
                <w:b w:val="0"/>
                <w:bCs w:val="0"/>
                <w:i w:val="0"/>
                <w:iCs w:val="0"/>
                <w:caps w:val="0"/>
                <w:color w:val="383838"/>
                <w:spacing w:val="0"/>
                <w:sz w:val="24"/>
                <w:szCs w:val="24"/>
                <w:shd w:val="clear" w:fill="FFFFFF"/>
                <w:lang w:val="en-US" w:eastAsia="zh-CN"/>
              </w:rPr>
              <w:t>提供，</w:t>
            </w:r>
            <w:r>
              <w:rPr>
                <w:rFonts w:hint="default" w:ascii="Times New Roman" w:hAnsi="Times New Roman" w:eastAsia="宋体" w:cs="Times New Roman"/>
                <w:b w:val="0"/>
                <w:bCs w:val="0"/>
                <w:i w:val="0"/>
                <w:iCs w:val="0"/>
                <w:caps w:val="0"/>
                <w:color w:val="383838"/>
                <w:spacing w:val="0"/>
                <w:sz w:val="24"/>
                <w:szCs w:val="24"/>
                <w:shd w:val="clear" w:fill="FFFFFF"/>
              </w:rPr>
              <w:t>新疆天电奇台能源有限责任公司</w:t>
            </w:r>
            <w:r>
              <w:rPr>
                <w:rFonts w:hint="default" w:ascii="Times New Roman" w:hAnsi="Times New Roman" w:eastAsia="宋体" w:cs="Times New Roman"/>
                <w:b w:val="0"/>
                <w:bCs w:val="0"/>
                <w:i w:val="0"/>
                <w:iCs w:val="0"/>
                <w:caps w:val="0"/>
                <w:color w:val="383838"/>
                <w:spacing w:val="0"/>
                <w:sz w:val="24"/>
                <w:szCs w:val="24"/>
                <w:shd w:val="clear" w:fill="FFFFFF"/>
                <w:lang w:val="en-US" w:eastAsia="zh-CN"/>
              </w:rPr>
              <w:t>位于喇嘛湖梁工业园区，</w:t>
            </w:r>
            <w:r>
              <w:rPr>
                <w:rFonts w:hint="default" w:ascii="Times New Roman" w:hAnsi="Times New Roman" w:eastAsia="宋体" w:cs="Times New Roman"/>
                <w:b w:val="0"/>
                <w:bCs w:val="0"/>
                <w:i w:val="0"/>
                <w:iCs w:val="0"/>
                <w:caps w:val="0"/>
                <w:color w:val="555555"/>
                <w:spacing w:val="0"/>
                <w:sz w:val="24"/>
                <w:szCs w:val="24"/>
                <w:shd w:val="clear" w:fill="FFFFFF"/>
              </w:rPr>
              <w:t>年常规发电能力38.5亿千瓦时，最大供热能力1200万平方米，同时还可提供186吨/小时的工业抽汽，是喇嘛湖梁工业园区配套热源、电源企业，也是新疆天山东部电网的支撑电源。</w:t>
            </w:r>
            <w:r>
              <w:rPr>
                <w:rFonts w:hint="default" w:ascii="Times New Roman" w:hAnsi="Times New Roman" w:eastAsia="宋体" w:cs="Times New Roman"/>
                <w:b w:val="0"/>
                <w:bCs w:val="0"/>
                <w:i w:val="0"/>
                <w:iCs w:val="0"/>
                <w:caps w:val="0"/>
                <w:color w:val="555555"/>
                <w:spacing w:val="0"/>
                <w:sz w:val="24"/>
                <w:szCs w:val="24"/>
                <w:shd w:val="clear" w:fill="FFFFFF"/>
                <w:lang w:val="en-US" w:eastAsia="zh-CN"/>
              </w:rPr>
              <w:t>本项目使用蒸汽量为10000t/a</w:t>
            </w:r>
            <w:r>
              <w:rPr>
                <w:rFonts w:hint="default" w:ascii="Times New Roman" w:hAnsi="Times New Roman" w:eastAsia="宋体" w:cs="Times New Roman"/>
                <w:b w:val="0"/>
                <w:bCs w:val="0"/>
                <w:i w:val="0"/>
                <w:iCs w:val="0"/>
                <w:caps w:val="0"/>
                <w:color w:val="383838"/>
                <w:spacing w:val="0"/>
                <w:sz w:val="24"/>
                <w:szCs w:val="24"/>
                <w:shd w:val="clear" w:fill="FFFFFF"/>
                <w:lang w:val="en-US" w:eastAsia="zh-CN"/>
              </w:rPr>
              <w:t>，使用量较小，依托</w:t>
            </w:r>
            <w:r>
              <w:rPr>
                <w:rFonts w:hint="default" w:ascii="Times New Roman" w:hAnsi="Times New Roman" w:eastAsia="宋体" w:cs="Times New Roman"/>
                <w:b w:val="0"/>
                <w:bCs w:val="0"/>
                <w:i w:val="0"/>
                <w:iCs w:val="0"/>
                <w:caps w:val="0"/>
                <w:color w:val="383838"/>
                <w:spacing w:val="0"/>
                <w:sz w:val="24"/>
                <w:szCs w:val="24"/>
                <w:shd w:val="clear" w:fill="FFFFFF"/>
              </w:rPr>
              <w:t>新疆天电奇台能源有限责任公司</w:t>
            </w:r>
            <w:r>
              <w:rPr>
                <w:rFonts w:hint="default" w:ascii="Times New Roman" w:hAnsi="Times New Roman" w:eastAsia="宋体" w:cs="Times New Roman"/>
                <w:b w:val="0"/>
                <w:bCs w:val="0"/>
                <w:i w:val="0"/>
                <w:iCs w:val="0"/>
                <w:caps w:val="0"/>
                <w:color w:val="383838"/>
                <w:spacing w:val="0"/>
                <w:sz w:val="24"/>
                <w:szCs w:val="24"/>
                <w:shd w:val="clear" w:fill="FFFFFF"/>
                <w:lang w:val="en-US" w:eastAsia="zh-CN"/>
              </w:rPr>
              <w:t>提供蒸汽是可行的。</w:t>
            </w:r>
          </w:p>
          <w:p>
            <w:pPr>
              <w:adjustRightInd w:val="0"/>
              <w:spacing w:line="360" w:lineRule="auto"/>
              <w:ind w:firstLine="480" w:firstLineChars="200"/>
              <w:rPr>
                <w:rFonts w:hint="default" w:ascii="Times New Roman" w:hAnsi="Times New Roman" w:eastAsia="宋体" w:cs="Times New Roman"/>
                <w:b w:val="0"/>
                <w:bCs w:val="0"/>
                <w:color w:val="000000"/>
                <w:kern w:val="44"/>
                <w:sz w:val="24"/>
                <w:szCs w:val="24"/>
                <w:lang w:val="en-US" w:eastAsia="zh-CN"/>
              </w:rPr>
            </w:pPr>
            <w:r>
              <w:rPr>
                <w:rFonts w:hint="default" w:ascii="Times New Roman" w:hAnsi="Times New Roman" w:eastAsia="宋体" w:cs="Times New Roman"/>
                <w:b w:val="0"/>
                <w:bCs w:val="0"/>
                <w:i w:val="0"/>
                <w:iCs w:val="0"/>
                <w:caps w:val="0"/>
                <w:color w:val="383838"/>
                <w:spacing w:val="0"/>
                <w:sz w:val="24"/>
                <w:szCs w:val="24"/>
                <w:shd w:val="clear" w:fill="FFFFFF"/>
                <w:lang w:val="en-US" w:eastAsia="zh-CN"/>
              </w:rPr>
              <w:t>项目生活污水排入园区污水管网，最终进入喇嘛湖梁工业园区污水处理厂，</w:t>
            </w:r>
            <w:r>
              <w:rPr>
                <w:rFonts w:hint="default" w:ascii="Times New Roman" w:hAnsi="Times New Roman" w:eastAsia="宋体" w:cs="Times New Roman"/>
                <w:sz w:val="24"/>
                <w:szCs w:val="24"/>
                <w:lang w:val="en-US" w:eastAsia="zh-CN"/>
              </w:rPr>
              <w:t>奇台县喇嘛湖梁工业园区污水处理厂位于园区以北 5km处，目前处理规模为2.5万m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 xml:space="preserve"> /d。《奇台县喇嘛湖梁工业园区污水处理及再生利用工程》（新环函﹝2017﹞970号），2017 年6月30日。于2018年8月通过项目竣工环境保护验收，预处理工艺为“粗细格栅+曝气沉砂池+初沉池+膜格栅”，污水处理工艺为“水解酸化+A</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/O+MBR”。本项目生活污水排放量为4m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/d，</w:t>
            </w:r>
            <w:r>
              <w:rPr>
                <w:rFonts w:hint="default" w:ascii="Times New Roman" w:hAnsi="Times New Roman" w:eastAsia="宋体" w:cs="Times New Roman"/>
                <w:kern w:val="0"/>
                <w:sz w:val="24"/>
              </w:rPr>
              <w:t>生活污水水质简单。因此本项目</w:t>
            </w:r>
            <w:r>
              <w:rPr>
                <w:rFonts w:hint="eastAsia" w:ascii="Times New Roman" w:hAnsi="Times New Roman" w:eastAsia="宋体" w:cs="Times New Roman"/>
                <w:kern w:val="0"/>
                <w:sz w:val="24"/>
                <w:lang w:val="en-US" w:eastAsia="zh-CN"/>
              </w:rPr>
              <w:t>的生活污水</w:t>
            </w:r>
            <w:r>
              <w:rPr>
                <w:rFonts w:hint="default" w:ascii="Times New Roman" w:hAnsi="Times New Roman" w:eastAsia="宋体" w:cs="Times New Roman"/>
                <w:kern w:val="0"/>
                <w:sz w:val="24"/>
              </w:rPr>
              <w:t>进入</w:t>
            </w:r>
            <w:r>
              <w:rPr>
                <w:rFonts w:hint="default" w:ascii="Times New Roman" w:hAnsi="Times New Roman" w:eastAsia="宋体" w:cs="Times New Roman"/>
                <w:sz w:val="24"/>
                <w:szCs w:val="24"/>
                <w:lang w:val="en-US" w:eastAsia="zh-CN"/>
              </w:rPr>
              <w:t>喇嘛湖梁工业园区污水处理厂</w:t>
            </w:r>
            <w:r>
              <w:rPr>
                <w:rFonts w:hint="default" w:ascii="Times New Roman" w:hAnsi="Times New Roman" w:eastAsia="宋体" w:cs="Times New Roman"/>
                <w:kern w:val="0"/>
                <w:sz w:val="24"/>
              </w:rPr>
              <w:t>是可行的。</w:t>
            </w:r>
          </w:p>
          <w:p>
            <w:pPr>
              <w:pStyle w:val="3"/>
              <w:overflowPunct/>
              <w:spacing w:before="0" w:after="0" w:line="360" w:lineRule="auto"/>
              <w:ind w:left="431" w:hanging="431"/>
              <w:rPr>
                <w:rFonts w:eastAsia="宋体"/>
                <w:sz w:val="24"/>
                <w:szCs w:val="24"/>
              </w:rPr>
            </w:pPr>
            <w:r>
              <w:rPr>
                <w:rFonts w:hint="eastAsia" w:eastAsia="宋体"/>
                <w:sz w:val="24"/>
                <w:szCs w:val="24"/>
                <w:lang w:val="en-US" w:eastAsia="zh-CN"/>
              </w:rPr>
              <w:t>9.</w:t>
            </w:r>
            <w:r>
              <w:rPr>
                <w:rFonts w:hint="eastAsia" w:eastAsia="宋体"/>
                <w:sz w:val="24"/>
                <w:szCs w:val="24"/>
              </w:rPr>
              <w:t>厂区平面布置</w:t>
            </w:r>
          </w:p>
          <w:p>
            <w:pPr>
              <w:adjustRightInd w:val="0"/>
              <w:snapToGrid w:val="0"/>
              <w:spacing w:line="360" w:lineRule="auto"/>
              <w:ind w:firstLine="480" w:firstLineChars="200"/>
              <w:rPr>
                <w:rFonts w:ascii="宋体" w:hAnsi="宋体" w:eastAsia="宋体" w:cs="宋体"/>
                <w:b w:val="0"/>
                <w:bCs w:val="0"/>
                <w:color w:val="000000"/>
                <w:sz w:val="24"/>
                <w:szCs w:val="24"/>
              </w:rPr>
            </w:pPr>
            <w:r>
              <w:rPr>
                <w:rFonts w:hint="eastAsia"/>
                <w:color w:val="000000"/>
                <w:kern w:val="0"/>
                <w:sz w:val="24"/>
                <w:lang w:val="en-US" w:eastAsia="zh-CN"/>
              </w:rPr>
              <w:t>项目</w:t>
            </w:r>
            <w:r>
              <w:rPr>
                <w:rFonts w:hint="eastAsia" w:ascii="Times New Roman" w:hAnsi="Times New Roman" w:eastAsia="宋体" w:cs="Times New Roman"/>
                <w:color w:val="000000"/>
                <w:kern w:val="0"/>
                <w:sz w:val="24"/>
                <w:lang w:val="en-US" w:eastAsia="zh-CN"/>
              </w:rPr>
              <w:t>新建钢结构晾晒车间2栋、生产车间2栋、仓库1栋、办公住宿楼1栋等及配套基</w:t>
            </w:r>
            <w:r>
              <w:rPr>
                <w:rFonts w:hint="eastAsia" w:ascii="Times New Roman" w:hAnsi="Times New Roman" w:eastAsia="宋体" w:cs="Times New Roman"/>
                <w:color w:val="000000"/>
                <w:kern w:val="0"/>
                <w:sz w:val="24"/>
              </w:rPr>
              <w:t>础设施建设</w:t>
            </w:r>
            <w:r>
              <w:rPr>
                <w:rFonts w:ascii="Times New Roman" w:hAnsi="Times New Roman" w:eastAsia="宋体" w:cs="Times New Roman"/>
                <w:color w:val="000000"/>
                <w:kern w:val="0"/>
                <w:sz w:val="24"/>
              </w:rPr>
              <w:t>。</w:t>
            </w:r>
            <w:r>
              <w:rPr>
                <w:color w:val="000000"/>
                <w:kern w:val="0"/>
                <w:sz w:val="24"/>
              </w:rPr>
              <w:t>本项目</w:t>
            </w:r>
            <w:r>
              <w:rPr>
                <w:rFonts w:hint="eastAsia"/>
                <w:color w:val="auto"/>
                <w:sz w:val="24"/>
                <w:szCs w:val="20"/>
                <w:highlight w:val="none"/>
                <w:lang w:val="en-US" w:eastAsia="zh-CN" w:bidi="ar"/>
              </w:rPr>
              <w:t>生产</w:t>
            </w:r>
            <w:r>
              <w:rPr>
                <w:rFonts w:hint="eastAsia"/>
                <w:color w:val="auto"/>
                <w:sz w:val="24"/>
                <w:szCs w:val="20"/>
                <w:highlight w:val="none"/>
                <w:lang w:bidi="ar"/>
              </w:rPr>
              <w:t>车间按照生产工序循序由</w:t>
            </w:r>
            <w:r>
              <w:rPr>
                <w:rFonts w:hint="eastAsia"/>
                <w:color w:val="auto"/>
                <w:sz w:val="24"/>
                <w:szCs w:val="20"/>
                <w:highlight w:val="none"/>
                <w:lang w:val="en-US" w:eastAsia="zh-CN" w:bidi="ar"/>
              </w:rPr>
              <w:t>北</w:t>
            </w:r>
            <w:r>
              <w:rPr>
                <w:rFonts w:hint="eastAsia"/>
                <w:color w:val="auto"/>
                <w:sz w:val="24"/>
                <w:szCs w:val="20"/>
                <w:highlight w:val="none"/>
                <w:lang w:bidi="ar"/>
              </w:rPr>
              <w:t>向</w:t>
            </w:r>
            <w:r>
              <w:rPr>
                <w:rFonts w:hint="eastAsia"/>
                <w:color w:val="auto"/>
                <w:sz w:val="24"/>
                <w:szCs w:val="20"/>
                <w:highlight w:val="none"/>
                <w:lang w:val="en-US" w:eastAsia="zh-CN" w:bidi="ar"/>
              </w:rPr>
              <w:t>南</w:t>
            </w:r>
            <w:r>
              <w:rPr>
                <w:rFonts w:hint="eastAsia"/>
                <w:color w:val="auto"/>
                <w:sz w:val="24"/>
                <w:szCs w:val="20"/>
                <w:highlight w:val="none"/>
                <w:lang w:bidi="ar"/>
              </w:rPr>
              <w:t>布置，</w:t>
            </w:r>
            <w:r>
              <w:rPr>
                <w:rFonts w:hint="eastAsia"/>
                <w:color w:val="auto"/>
                <w:sz w:val="24"/>
                <w:szCs w:val="20"/>
                <w:highlight w:val="none"/>
                <w:lang w:val="en-US" w:eastAsia="zh-CN" w:bidi="ar"/>
              </w:rPr>
              <w:t>北侧设置粉碎原料车间、配料间、危化品库及危废暂存间，中部设置晾晒车间，西南侧设置造粒车间及成品库房，东南侧设置办公住宿楼。</w:t>
            </w:r>
            <w:r>
              <w:rPr>
                <w:rFonts w:ascii="宋体" w:hAnsi="宋体" w:eastAsia="宋体" w:cs="宋体"/>
                <w:b w:val="0"/>
                <w:bCs w:val="0"/>
                <w:color w:val="000000"/>
                <w:sz w:val="24"/>
                <w:szCs w:val="24"/>
              </w:rPr>
              <w:t>项目所在区域主导风向为南风，办公楼位于厂区东南侧，位于厂区常年主导风向上风向，废气对生活区影响较小；项目车间内功能分区明确，衔接有序，运营过程中所产生的废气、生活污水、噪声、固体废物等通过合理有效地措施治理后，对周围环境影响较小。</w:t>
            </w:r>
          </w:p>
          <w:p>
            <w:pPr>
              <w:spacing w:line="360" w:lineRule="auto"/>
              <w:ind w:firstLine="480" w:firstLineChars="200"/>
              <w:rPr>
                <w:color w:val="000000"/>
                <w:kern w:val="0"/>
                <w:sz w:val="24"/>
                <w:highlight w:val="none"/>
              </w:rPr>
            </w:pPr>
            <w:r>
              <w:rPr>
                <w:rFonts w:hint="eastAsia" w:ascii="宋体" w:hAnsi="宋体" w:eastAsia="宋体" w:cs="宋体"/>
                <w:b w:val="0"/>
                <w:bCs w:val="0"/>
                <w:color w:val="000000"/>
                <w:sz w:val="24"/>
                <w:szCs w:val="24"/>
                <w:lang w:val="en-US" w:eastAsia="zh-CN"/>
              </w:rPr>
              <w:t>评价认为项目平面布置图</w:t>
            </w:r>
            <w:r>
              <w:rPr>
                <w:rFonts w:hint="eastAsia"/>
                <w:color w:val="auto"/>
                <w:sz w:val="24"/>
                <w:szCs w:val="20"/>
                <w:highlight w:val="none"/>
                <w:lang w:bidi="ar"/>
              </w:rPr>
              <w:t>布设泾渭分明，层次明显，便于管理，为环保设施的布设预留了充足的空间，一定程度上降低了环境管理的难度，为各项环保设施的正常运行和风险防范措施的有效实施创造了条件</w:t>
            </w:r>
            <w:r>
              <w:rPr>
                <w:color w:val="000000"/>
                <w:kern w:val="0"/>
                <w:sz w:val="24"/>
              </w:rPr>
              <w:t>，厂区设置基本合理。</w:t>
            </w:r>
          </w:p>
          <w:p>
            <w:pPr>
              <w:adjustRightInd w:val="0"/>
              <w:snapToGrid w:val="0"/>
              <w:spacing w:line="360" w:lineRule="auto"/>
              <w:ind w:firstLine="480" w:firstLineChars="200"/>
              <w:rPr>
                <w:color w:val="000000"/>
                <w:kern w:val="0"/>
                <w:sz w:val="24"/>
                <w:highlight w:val="none"/>
              </w:rPr>
            </w:pPr>
            <w:r>
              <w:rPr>
                <w:rFonts w:hint="eastAsia"/>
                <w:color w:val="000000"/>
                <w:kern w:val="0"/>
                <w:sz w:val="24"/>
                <w:highlight w:val="none"/>
                <w:lang w:val="en-US" w:eastAsia="zh-CN"/>
              </w:rPr>
              <w:t>项目平面布置图</w:t>
            </w:r>
            <w:r>
              <w:rPr>
                <w:rFonts w:hint="eastAsia"/>
                <w:color w:val="000000"/>
                <w:kern w:val="0"/>
                <w:sz w:val="24"/>
                <w:highlight w:val="none"/>
              </w:rPr>
              <w:t>详</w:t>
            </w:r>
            <w:r>
              <w:rPr>
                <w:color w:val="000000"/>
                <w:kern w:val="0"/>
                <w:sz w:val="24"/>
                <w:highlight w:val="none"/>
              </w:rPr>
              <w:t>见</w:t>
            </w:r>
            <w:r>
              <w:rPr>
                <w:rFonts w:hint="eastAsia"/>
                <w:color w:val="000000"/>
                <w:kern w:val="0"/>
                <w:sz w:val="24"/>
                <w:highlight w:val="none"/>
                <w:lang w:val="en-US" w:eastAsia="zh-CN"/>
              </w:rPr>
              <w:t>附</w:t>
            </w:r>
            <w:r>
              <w:rPr>
                <w:color w:val="000000"/>
                <w:kern w:val="0"/>
                <w:sz w:val="24"/>
                <w:highlight w:val="none"/>
              </w:rPr>
              <w:t>图</w:t>
            </w:r>
            <w:r>
              <w:rPr>
                <w:rFonts w:hint="eastAsia"/>
                <w:color w:val="000000"/>
                <w:kern w:val="0"/>
                <w:sz w:val="24"/>
                <w:highlight w:val="none"/>
                <w:lang w:val="en-US" w:eastAsia="zh-CN"/>
              </w:rPr>
              <w:t>3</w:t>
            </w:r>
            <w:r>
              <w:rPr>
                <w:color w:val="000000"/>
                <w:kern w:val="0"/>
                <w:sz w:val="24"/>
                <w:highlight w:val="none"/>
              </w:rPr>
              <w:t>。</w:t>
            </w:r>
          </w:p>
          <w:p>
            <w:pPr>
              <w:adjustRightInd w:val="0"/>
              <w:snapToGrid w:val="0"/>
              <w:spacing w:line="520" w:lineRule="exact"/>
              <w:ind w:firstLine="480" w:firstLineChars="200"/>
              <w:rPr>
                <w:color w:val="000000"/>
                <w:kern w:val="0"/>
                <w:sz w:val="24"/>
              </w:rPr>
            </w:pPr>
          </w:p>
          <w:p>
            <w:pPr>
              <w:pStyle w:val="2"/>
              <w:rPr>
                <w:color w:val="000000"/>
                <w:kern w:val="0"/>
                <w:sz w:val="24"/>
              </w:rPr>
            </w:pPr>
          </w:p>
          <w:p>
            <w:pPr>
              <w:pStyle w:val="2"/>
              <w:rPr>
                <w:color w:val="000000"/>
                <w:kern w:val="0"/>
                <w:sz w:val="24"/>
              </w:rPr>
            </w:pPr>
          </w:p>
          <w:p>
            <w:pPr>
              <w:pStyle w:val="2"/>
              <w:rPr>
                <w:color w:val="000000"/>
                <w:kern w:val="0"/>
                <w:sz w:val="24"/>
              </w:rPr>
            </w:pPr>
          </w:p>
          <w:p>
            <w:pPr>
              <w:pStyle w:val="2"/>
              <w:rPr>
                <w:color w:val="000000"/>
                <w:kern w:val="0"/>
                <w:sz w:val="24"/>
              </w:rPr>
            </w:pPr>
          </w:p>
          <w:p>
            <w:pPr>
              <w:pStyle w:val="2"/>
              <w:rPr>
                <w:color w:val="000000"/>
                <w:kern w:val="0"/>
                <w:sz w:val="24"/>
              </w:rPr>
            </w:pPr>
          </w:p>
          <w:p>
            <w:pPr>
              <w:adjustRightInd w:val="0"/>
              <w:snapToGrid w:val="0"/>
              <w:spacing w:line="520" w:lineRule="exact"/>
              <w:ind w:firstLine="0" w:firstLineChars="0"/>
            </w:pPr>
          </w:p>
          <w:p>
            <w:pPr>
              <w:pStyle w:val="29"/>
            </w:pPr>
          </w:p>
          <w:p>
            <w:pPr>
              <w:pStyle w:val="12"/>
            </w:pPr>
          </w:p>
          <w:p>
            <w:pPr>
              <w:pStyle w:val="13"/>
            </w:pPr>
          </w:p>
          <w:p>
            <w:pPr>
              <w:pStyle w:val="12"/>
            </w:pPr>
          </w:p>
          <w:p>
            <w:pPr>
              <w:pStyle w:val="13"/>
            </w:pPr>
          </w:p>
          <w:p>
            <w:pPr>
              <w:pStyle w:val="12"/>
            </w:pPr>
          </w:p>
          <w:p>
            <w:pPr>
              <w:pStyle w:val="13"/>
            </w:pPr>
          </w:p>
          <w:p>
            <w:pPr>
              <w:pStyle w:val="12"/>
            </w:pPr>
          </w:p>
          <w:p>
            <w:pPr>
              <w:pStyle w:val="13"/>
            </w:pPr>
          </w:p>
          <w:p>
            <w:pPr>
              <w:pStyle w:val="12"/>
            </w:pPr>
          </w:p>
          <w:p>
            <w:pPr>
              <w:pStyle w:val="13"/>
            </w:pPr>
          </w:p>
          <w:p>
            <w:pPr>
              <w:pStyle w:val="12"/>
            </w:pPr>
          </w:p>
          <w:p>
            <w:pPr>
              <w:pStyle w:val="13"/>
            </w:pPr>
          </w:p>
          <w:p>
            <w:pPr>
              <w:pStyle w:val="12"/>
            </w:pPr>
          </w:p>
          <w:p>
            <w:pPr>
              <w:pStyle w:val="12"/>
            </w:pPr>
          </w:p>
          <w:p>
            <w:pPr>
              <w:pStyle w:val="13"/>
            </w:pPr>
          </w:p>
          <w:p>
            <w:pPr>
              <w:pStyle w:val="12"/>
            </w:pPr>
          </w:p>
          <w:p>
            <w:pPr>
              <w:pStyle w:val="13"/>
            </w:pPr>
          </w:p>
          <w:p>
            <w:pPr>
              <w:pStyle w:val="12"/>
            </w:pPr>
          </w:p>
          <w:p>
            <w:pPr>
              <w:pStyle w:val="13"/>
            </w:pPr>
          </w:p>
          <w:p>
            <w:pPr>
              <w:pStyle w:val="12"/>
            </w:pPr>
          </w:p>
          <w:p>
            <w:pPr>
              <w:pStyle w:val="13"/>
            </w:pPr>
          </w:p>
          <w:p>
            <w:pPr>
              <w:pStyle w:val="1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9" w:hRule="atLeast"/>
          <w:jc w:val="center"/>
        </w:trPr>
        <w:tc>
          <w:tcPr>
            <w:tcW w:w="440" w:type="pct"/>
            <w:vAlign w:val="center"/>
          </w:tcPr>
          <w:p>
            <w:pPr>
              <w:pStyle w:val="26"/>
              <w:adjustRightInd w:val="0"/>
              <w:snapToGrid w:val="0"/>
              <w:spacing w:before="0" w:beforeAutospacing="0" w:after="0" w:afterAutospacing="0"/>
              <w:jc w:val="center"/>
              <w:rPr>
                <w:rFonts w:ascii="Times New Roman" w:hAnsi="Times New Roman"/>
                <w:color w:val="auto"/>
                <w:szCs w:val="24"/>
                <w:highlight w:val="none"/>
              </w:rPr>
            </w:pPr>
            <w:r>
              <w:rPr>
                <w:rFonts w:ascii="Times New Roman" w:hAnsi="Times New Roman"/>
                <w:color w:val="auto"/>
                <w:szCs w:val="24"/>
                <w:highlight w:val="none"/>
              </w:rPr>
              <w:t>工艺流程和产排污环节</w:t>
            </w:r>
          </w:p>
        </w:tc>
        <w:tc>
          <w:tcPr>
            <w:tcW w:w="8074" w:type="dxa"/>
            <w:vAlign w:val="top"/>
          </w:tcPr>
          <w:p>
            <w:pPr>
              <w:adjustRightInd w:val="0"/>
              <w:snapToGrid w:val="0"/>
              <w:spacing w:line="360" w:lineRule="auto"/>
              <w:jc w:val="left"/>
              <w:rPr>
                <w:rFonts w:hint="default" w:eastAsia="宋体"/>
                <w:b/>
                <w:bCs/>
                <w:color w:val="000000"/>
                <w:kern w:val="0"/>
                <w:sz w:val="24"/>
                <w:lang w:val="en-US" w:eastAsia="zh-CN"/>
              </w:rPr>
            </w:pPr>
            <w:r>
              <w:rPr>
                <w:rFonts w:hint="eastAsia" w:eastAsia="宋体"/>
                <w:b/>
                <w:bCs/>
                <w:sz w:val="24"/>
                <w:szCs w:val="24"/>
              </w:rPr>
              <w:t xml:space="preserve">1 </w:t>
            </w:r>
            <w:r>
              <w:rPr>
                <w:rFonts w:hint="eastAsia" w:eastAsia="宋体"/>
                <w:b/>
                <w:bCs/>
                <w:sz w:val="24"/>
                <w:szCs w:val="24"/>
                <w:lang w:val="en-US" w:eastAsia="zh-CN"/>
              </w:rPr>
              <w:t>.</w:t>
            </w:r>
            <w:r>
              <w:rPr>
                <w:rFonts w:hint="eastAsia"/>
                <w:b/>
                <w:bCs/>
                <w:color w:val="000000"/>
                <w:kern w:val="0"/>
                <w:sz w:val="24"/>
              </w:rPr>
              <w:t>施工期</w:t>
            </w:r>
            <w:r>
              <w:rPr>
                <w:rFonts w:hint="eastAsia"/>
                <w:b/>
                <w:bCs/>
                <w:color w:val="000000"/>
                <w:kern w:val="0"/>
                <w:sz w:val="24"/>
                <w:lang w:val="en-US" w:eastAsia="zh-CN"/>
              </w:rPr>
              <w:t>工艺流程及产污环节</w:t>
            </w:r>
          </w:p>
          <w:p>
            <w:pPr>
              <w:adjustRightInd w:val="0"/>
              <w:snapToGrid w:val="0"/>
              <w:spacing w:line="360" w:lineRule="auto"/>
              <w:ind w:firstLine="480" w:firstLineChars="200"/>
              <w:rPr>
                <w:rFonts w:hint="eastAsia"/>
                <w:color w:val="000000"/>
                <w:kern w:val="0"/>
                <w:sz w:val="24"/>
              </w:rPr>
            </w:pPr>
            <w:r>
              <w:rPr>
                <w:rFonts w:ascii="宋体" w:hAnsi="宋体" w:eastAsia="宋体" w:cs="宋体"/>
                <w:b w:val="0"/>
                <w:bCs w:val="0"/>
                <w:color w:val="000000"/>
                <w:sz w:val="24"/>
                <w:szCs w:val="24"/>
              </w:rPr>
              <w:t>根据现场调查，本项目现场现状为空地，施工内容包括主体工程及配套辅助工程的建设。项目工程施工期涉及基础工程、主体工程、装饰工程、安装工程、工程验收等工序，建设过程中将产生噪声、扬尘、废气、固体废弃物、施工废水和生活污水，其排放量随工期和施工强度不同而有所变化。</w:t>
            </w:r>
          </w:p>
          <w:p>
            <w:pPr>
              <w:pStyle w:val="2"/>
              <w:spacing w:line="360" w:lineRule="auto"/>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250825</wp:posOffset>
                  </wp:positionV>
                  <wp:extent cx="5063490" cy="986790"/>
                  <wp:effectExtent l="0" t="0" r="0" b="0"/>
                  <wp:wrapNone/>
                  <wp:docPr id="56" name="图片 1" descr="C:/Users/86180/AppData/Local/Temp/wps.XImAx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descr="C:/Users/86180/AppData/Local/Temp/wps.XImAxswps"/>
                          <pic:cNvPicPr>
                            <a:picLocks noChangeAspect="1"/>
                          </pic:cNvPicPr>
                        </pic:nvPicPr>
                        <pic:blipFill>
                          <a:blip r:embed="rId9"/>
                          <a:stretch>
                            <a:fillRect/>
                          </a:stretch>
                        </pic:blipFill>
                        <pic:spPr>
                          <a:xfrm>
                            <a:off x="0" y="0"/>
                            <a:ext cx="5063490" cy="986790"/>
                          </a:xfrm>
                          <a:prstGeom prst="rect">
                            <a:avLst/>
                          </a:prstGeom>
                          <a:noFill/>
                          <a:ln>
                            <a:noFill/>
                          </a:ln>
                        </pic:spPr>
                      </pic:pic>
                    </a:graphicData>
                  </a:graphic>
                </wp:anchor>
              </w:drawing>
            </w:r>
            <w:r>
              <w:rPr>
                <w:rFonts w:ascii="宋体" w:hAnsi="宋体" w:eastAsia="宋体" w:cs="宋体"/>
                <w:b w:val="0"/>
                <w:bCs w:val="0"/>
                <w:color w:val="000000"/>
                <w:sz w:val="24"/>
                <w:szCs w:val="24"/>
              </w:rPr>
              <w:t>施工期工艺流程及产污节点</w:t>
            </w:r>
            <w:r>
              <w:rPr>
                <w:rFonts w:hint="eastAsia" w:ascii="宋体" w:hAnsi="宋体" w:eastAsia="宋体" w:cs="宋体"/>
                <w:b w:val="0"/>
                <w:bCs w:val="0"/>
                <w:color w:val="000000"/>
                <w:sz w:val="24"/>
                <w:szCs w:val="24"/>
                <w:lang w:val="en-US" w:eastAsia="zh-CN"/>
              </w:rPr>
              <w:t>图</w:t>
            </w:r>
            <w:r>
              <w:rPr>
                <w:rFonts w:ascii="宋体" w:hAnsi="宋体" w:eastAsia="宋体" w:cs="宋体"/>
                <w:b w:val="0"/>
                <w:bCs w:val="0"/>
                <w:color w:val="000000"/>
                <w:sz w:val="24"/>
                <w:szCs w:val="24"/>
              </w:rPr>
              <w:t xml:space="preserve">见图 </w:t>
            </w:r>
            <w:r>
              <w:rPr>
                <w:rFonts w:ascii="TimesNewRomanPSMT" w:hAnsi="TimesNewRomanPSMT" w:eastAsia="TimesNewRomanPSMT" w:cs="TimesNewRomanPSMT"/>
                <w:b w:val="0"/>
                <w:bCs w:val="0"/>
                <w:color w:val="000000"/>
                <w:sz w:val="24"/>
                <w:szCs w:val="24"/>
              </w:rPr>
              <w:t>2-</w:t>
            </w:r>
            <w:r>
              <w:rPr>
                <w:rFonts w:hint="eastAsia" w:ascii="TimesNewRomanPSMT" w:hAnsi="TimesNewRomanPSMT" w:eastAsia="宋体" w:cs="TimesNewRomanPSMT"/>
                <w:b w:val="0"/>
                <w:bCs w:val="0"/>
                <w:color w:val="000000"/>
                <w:sz w:val="24"/>
                <w:szCs w:val="24"/>
                <w:lang w:val="en-US" w:eastAsia="zh-CN"/>
              </w:rPr>
              <w:t>1</w:t>
            </w:r>
            <w:r>
              <w:rPr>
                <w:rFonts w:ascii="宋体" w:hAnsi="宋体" w:eastAsia="宋体" w:cs="宋体"/>
                <w:b w:val="0"/>
                <w:bCs w:val="0"/>
                <w:color w:val="000000"/>
                <w:sz w:val="24"/>
                <w:szCs w:val="24"/>
              </w:rPr>
              <w:t>所示。</w:t>
            </w:r>
          </w:p>
          <w:p>
            <w:pPr>
              <w:pStyle w:val="2"/>
              <w:spacing w:line="360" w:lineRule="auto"/>
              <w:ind w:firstLine="480" w:firstLineChars="200"/>
              <w:rPr>
                <w:rFonts w:ascii="宋体" w:hAnsi="宋体" w:eastAsia="宋体" w:cs="宋体"/>
                <w:b w:val="0"/>
                <w:bCs w:val="0"/>
                <w:color w:val="000000"/>
                <w:sz w:val="24"/>
                <w:szCs w:val="24"/>
              </w:rPr>
            </w:pPr>
          </w:p>
          <w:p>
            <w:pPr>
              <w:pStyle w:val="2"/>
              <w:spacing w:line="360" w:lineRule="auto"/>
              <w:ind w:firstLine="480" w:firstLineChars="200"/>
              <w:rPr>
                <w:rFonts w:ascii="宋体" w:hAnsi="宋体" w:eastAsia="宋体" w:cs="宋体"/>
                <w:b w:val="0"/>
                <w:bCs w:val="0"/>
                <w:color w:val="000000"/>
                <w:sz w:val="24"/>
                <w:szCs w:val="24"/>
              </w:rPr>
            </w:pPr>
          </w:p>
          <w:p>
            <w:pPr>
              <w:pStyle w:val="2"/>
              <w:ind w:firstLine="480" w:firstLineChars="200"/>
              <w:jc w:val="center"/>
              <w:rPr>
                <w:rFonts w:hint="eastAsia" w:ascii="宋体" w:hAnsi="宋体" w:eastAsia="宋体" w:cs="宋体"/>
                <w:b w:val="0"/>
                <w:bCs w:val="0"/>
                <w:color w:val="000000"/>
                <w:sz w:val="24"/>
                <w:szCs w:val="24"/>
                <w:lang w:eastAsia="zh-CN"/>
              </w:rPr>
            </w:pPr>
          </w:p>
          <w:p>
            <w:pPr>
              <w:pStyle w:val="2"/>
              <w:jc w:val="center"/>
              <w:rPr>
                <w:rFonts w:hint="eastAsia"/>
              </w:rPr>
            </w:pPr>
            <w:r>
              <w:rPr>
                <w:rFonts w:hint="eastAsia" w:ascii="宋体" w:hAnsi="宋体" w:eastAsia="宋体" w:cs="宋体"/>
                <w:b/>
                <w:bCs/>
                <w:color w:val="000000"/>
                <w:sz w:val="21"/>
                <w:szCs w:val="21"/>
                <w:lang w:val="en-US" w:eastAsia="zh-CN"/>
              </w:rPr>
              <w:t>图</w:t>
            </w:r>
            <w:r>
              <w:rPr>
                <w:rFonts w:ascii="TimesNewRomanPSMT" w:hAnsi="TimesNewRomanPSMT" w:eastAsia="TimesNewRomanPSMT" w:cs="TimesNewRomanPSMT"/>
                <w:b/>
                <w:bCs/>
                <w:color w:val="000000"/>
                <w:sz w:val="21"/>
                <w:szCs w:val="21"/>
              </w:rPr>
              <w:t>2-</w:t>
            </w:r>
            <w:r>
              <w:rPr>
                <w:rFonts w:hint="eastAsia" w:ascii="TimesNewRomanPSMT" w:hAnsi="TimesNewRomanPSMT" w:eastAsia="宋体" w:cs="TimesNewRomanPSMT"/>
                <w:b/>
                <w:bCs/>
                <w:color w:val="000000"/>
                <w:sz w:val="21"/>
                <w:szCs w:val="21"/>
                <w:lang w:val="en-US" w:eastAsia="zh-CN"/>
              </w:rPr>
              <w:t>2</w:t>
            </w:r>
            <w:r>
              <w:rPr>
                <w:rFonts w:ascii="宋体" w:hAnsi="宋体" w:eastAsia="宋体" w:cs="宋体"/>
                <w:b/>
                <w:bCs/>
                <w:color w:val="000000"/>
                <w:sz w:val="21"/>
                <w:szCs w:val="21"/>
              </w:rPr>
              <w:t>施工期工艺流程及产污节点</w:t>
            </w:r>
            <w:r>
              <w:rPr>
                <w:rFonts w:hint="eastAsia" w:ascii="宋体" w:hAnsi="宋体" w:eastAsia="宋体" w:cs="宋体"/>
                <w:b/>
                <w:bCs/>
                <w:color w:val="000000"/>
                <w:sz w:val="21"/>
                <w:szCs w:val="21"/>
                <w:lang w:val="en-US" w:eastAsia="zh-CN"/>
              </w:rPr>
              <w:t>图</w:t>
            </w:r>
          </w:p>
          <w:p>
            <w:pPr>
              <w:spacing w:line="520" w:lineRule="exact"/>
              <w:ind w:firstLine="480" w:firstLineChars="200"/>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废气</w:t>
            </w:r>
          </w:p>
          <w:p>
            <w:pPr>
              <w:spacing w:line="520" w:lineRule="exact"/>
              <w:ind w:firstLine="480" w:firstLineChars="200"/>
              <w:rPr>
                <w:color w:val="auto"/>
                <w:sz w:val="24"/>
                <w:highlight w:val="none"/>
              </w:rPr>
            </w:pPr>
            <w:r>
              <w:rPr>
                <w:rFonts w:hint="eastAsia"/>
                <w:color w:val="auto"/>
                <w:sz w:val="24"/>
                <w:highlight w:val="none"/>
                <w:lang w:val="en-US" w:eastAsia="zh-CN"/>
              </w:rPr>
              <w:t>本项目产生的废气主要为</w:t>
            </w:r>
            <w:r>
              <w:rPr>
                <w:color w:val="auto"/>
                <w:sz w:val="24"/>
                <w:highlight w:val="none"/>
              </w:rPr>
              <w:t>运输车辆行驶将产生的废气及扬尘</w:t>
            </w:r>
            <w:r>
              <w:rPr>
                <w:rFonts w:hint="eastAsia"/>
                <w:color w:val="auto"/>
                <w:sz w:val="24"/>
                <w:highlight w:val="none"/>
                <w:lang w:eastAsia="zh-CN"/>
              </w:rPr>
              <w:t>，</w:t>
            </w:r>
            <w:r>
              <w:rPr>
                <w:rFonts w:hint="eastAsia"/>
                <w:color w:val="auto"/>
                <w:sz w:val="24"/>
                <w:highlight w:val="none"/>
                <w:lang w:val="en-US" w:eastAsia="zh-CN"/>
              </w:rPr>
              <w:t>场地平整、基础工程、主体工程、装饰工程以及</w:t>
            </w:r>
            <w:r>
              <w:rPr>
                <w:rFonts w:hint="eastAsia"/>
                <w:color w:val="auto"/>
                <w:sz w:val="24"/>
                <w:highlight w:val="none"/>
              </w:rPr>
              <w:t>设备安装完成后厂区清扫产生的扬尘</w:t>
            </w:r>
            <w:r>
              <w:rPr>
                <w:color w:val="auto"/>
                <w:sz w:val="24"/>
                <w:highlight w:val="none"/>
              </w:rPr>
              <w:t>。</w:t>
            </w:r>
          </w:p>
          <w:p>
            <w:pPr>
              <w:spacing w:line="520" w:lineRule="exact"/>
              <w:ind w:firstLine="480" w:firstLineChars="200"/>
              <w:rPr>
                <w:rFonts w:hint="eastAsia" w:eastAsia="宋体"/>
                <w:color w:val="auto"/>
                <w:sz w:val="24"/>
                <w:highlight w:val="none"/>
                <w:lang w:eastAsia="zh-CN"/>
              </w:rPr>
            </w:pPr>
            <w:r>
              <w:rPr>
                <w:rFonts w:hint="eastAsia"/>
                <w:color w:val="auto"/>
                <w:sz w:val="24"/>
                <w:highlight w:val="none"/>
              </w:rPr>
              <w:t>（2）</w:t>
            </w:r>
            <w:r>
              <w:rPr>
                <w:rFonts w:hint="eastAsia"/>
                <w:color w:val="auto"/>
                <w:sz w:val="24"/>
                <w:highlight w:val="none"/>
                <w:lang w:val="en-US" w:eastAsia="zh-CN"/>
              </w:rPr>
              <w:t>废水</w:t>
            </w:r>
          </w:p>
          <w:p>
            <w:pPr>
              <w:spacing w:line="520" w:lineRule="exact"/>
              <w:ind w:firstLine="480" w:firstLineChars="200"/>
              <w:rPr>
                <w:color w:val="auto"/>
                <w:sz w:val="24"/>
                <w:highlight w:val="none"/>
              </w:rPr>
            </w:pPr>
            <w:r>
              <w:rPr>
                <w:rFonts w:hint="eastAsia"/>
                <w:color w:val="auto"/>
                <w:sz w:val="24"/>
                <w:highlight w:val="none"/>
                <w:lang w:val="en-US" w:eastAsia="zh-CN"/>
              </w:rPr>
              <w:t>本项目施工期产生的废水主要为</w:t>
            </w:r>
            <w:r>
              <w:rPr>
                <w:color w:val="auto"/>
                <w:sz w:val="24"/>
                <w:highlight w:val="none"/>
              </w:rPr>
              <w:t>施工人员产生</w:t>
            </w:r>
            <w:r>
              <w:rPr>
                <w:rFonts w:hint="eastAsia"/>
                <w:color w:val="auto"/>
                <w:sz w:val="24"/>
                <w:highlight w:val="none"/>
                <w:lang w:val="en-US" w:eastAsia="zh-CN"/>
              </w:rPr>
              <w:t>的施工废水及</w:t>
            </w:r>
            <w:r>
              <w:rPr>
                <w:color w:val="auto"/>
                <w:sz w:val="24"/>
                <w:highlight w:val="none"/>
              </w:rPr>
              <w:t>生活污水。</w:t>
            </w:r>
          </w:p>
          <w:p>
            <w:pPr>
              <w:spacing w:line="520" w:lineRule="exact"/>
              <w:ind w:firstLine="480" w:firstLineChars="200"/>
              <w:rPr>
                <w:rFonts w:hint="eastAsia" w:eastAsia="宋体"/>
                <w:color w:val="auto"/>
                <w:sz w:val="24"/>
                <w:highlight w:val="none"/>
                <w:lang w:eastAsia="zh-CN"/>
              </w:rPr>
            </w:pPr>
            <w:r>
              <w:rPr>
                <w:rFonts w:hint="eastAsia"/>
                <w:color w:val="auto"/>
                <w:sz w:val="24"/>
                <w:highlight w:val="none"/>
              </w:rPr>
              <w:t>（3）</w:t>
            </w:r>
            <w:r>
              <w:rPr>
                <w:rFonts w:hint="eastAsia"/>
                <w:color w:val="auto"/>
                <w:sz w:val="24"/>
                <w:highlight w:val="none"/>
                <w:lang w:val="en-US" w:eastAsia="zh-CN"/>
              </w:rPr>
              <w:t>噪声</w:t>
            </w:r>
          </w:p>
          <w:p>
            <w:pPr>
              <w:spacing w:line="520" w:lineRule="exact"/>
              <w:ind w:firstLine="480" w:firstLineChars="200"/>
              <w:rPr>
                <w:rFonts w:hint="eastAsia"/>
                <w:color w:val="auto"/>
                <w:sz w:val="24"/>
                <w:highlight w:val="none"/>
                <w:lang w:eastAsia="zh-CN"/>
              </w:rPr>
            </w:pPr>
            <w:r>
              <w:rPr>
                <w:rFonts w:hint="eastAsia"/>
                <w:color w:val="auto"/>
                <w:sz w:val="24"/>
                <w:highlight w:val="none"/>
                <w:lang w:val="en-US" w:eastAsia="zh-CN"/>
              </w:rPr>
              <w:t>本项目产生的噪声主要为施工</w:t>
            </w:r>
            <w:r>
              <w:rPr>
                <w:color w:val="auto"/>
                <w:sz w:val="24"/>
                <w:highlight w:val="none"/>
              </w:rPr>
              <w:t>机械产生</w:t>
            </w:r>
            <w:r>
              <w:rPr>
                <w:rFonts w:hint="eastAsia"/>
                <w:color w:val="auto"/>
                <w:sz w:val="24"/>
                <w:highlight w:val="none"/>
                <w:lang w:val="en-US" w:eastAsia="zh-CN"/>
              </w:rPr>
              <w:t>的</w:t>
            </w:r>
            <w:r>
              <w:rPr>
                <w:color w:val="auto"/>
                <w:sz w:val="24"/>
                <w:highlight w:val="none"/>
              </w:rPr>
              <w:t>噪声</w:t>
            </w:r>
            <w:r>
              <w:rPr>
                <w:rFonts w:hint="eastAsia"/>
                <w:color w:val="auto"/>
                <w:sz w:val="24"/>
                <w:highlight w:val="none"/>
                <w:lang w:eastAsia="zh-CN"/>
              </w:rPr>
              <w:t>，</w:t>
            </w:r>
            <w:r>
              <w:rPr>
                <w:rFonts w:hint="eastAsia"/>
                <w:color w:val="auto"/>
                <w:sz w:val="24"/>
                <w:highlight w:val="none"/>
                <w:lang w:val="en-US" w:eastAsia="zh-CN"/>
              </w:rPr>
              <w:t>以及施工车辆运转、行驶过程中产生的噪声</w:t>
            </w:r>
            <w:r>
              <w:rPr>
                <w:rFonts w:hint="eastAsia"/>
                <w:color w:val="auto"/>
                <w:sz w:val="24"/>
                <w:highlight w:val="none"/>
              </w:rPr>
              <w:t>。</w:t>
            </w:r>
          </w:p>
          <w:p>
            <w:pPr>
              <w:spacing w:line="520" w:lineRule="exact"/>
              <w:ind w:firstLine="480" w:firstLineChars="200"/>
              <w:rPr>
                <w:rFonts w:hint="default" w:eastAsia="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lang w:val="en-US" w:eastAsia="zh-CN"/>
              </w:rPr>
              <w:t>固废</w:t>
            </w:r>
          </w:p>
          <w:p>
            <w:pPr>
              <w:spacing w:line="520" w:lineRule="exact"/>
              <w:ind w:firstLine="480" w:firstLineChars="200"/>
              <w:rPr>
                <w:rFonts w:hint="eastAsia"/>
                <w:color w:val="000000"/>
                <w:kern w:val="0"/>
                <w:sz w:val="24"/>
              </w:rPr>
            </w:pPr>
            <w:r>
              <w:rPr>
                <w:rFonts w:hint="eastAsia"/>
                <w:color w:val="auto"/>
                <w:sz w:val="24"/>
                <w:szCs w:val="24"/>
                <w:highlight w:val="none"/>
                <w:lang w:val="en-US" w:eastAsia="zh-CN"/>
              </w:rPr>
              <w:t>本项目产生的固废主要为施工过程产生的建筑垃圾和施工人员产生的生活垃圾</w:t>
            </w:r>
            <w:r>
              <w:rPr>
                <w:rFonts w:hint="eastAsia"/>
                <w:color w:val="auto"/>
                <w:sz w:val="24"/>
                <w:szCs w:val="24"/>
                <w:highlight w:val="none"/>
              </w:rPr>
              <w:t>。</w:t>
            </w:r>
          </w:p>
          <w:p>
            <w:pPr>
              <w:numPr>
                <w:ilvl w:val="0"/>
                <w:numId w:val="6"/>
              </w:numPr>
              <w:adjustRightInd w:val="0"/>
              <w:snapToGrid w:val="0"/>
              <w:spacing w:line="520" w:lineRule="exact"/>
              <w:rPr>
                <w:rFonts w:hint="eastAsia"/>
                <w:b/>
                <w:bCs/>
                <w:color w:val="000000"/>
                <w:kern w:val="0"/>
                <w:sz w:val="24"/>
                <w:lang w:val="en-US" w:eastAsia="zh-CN"/>
              </w:rPr>
            </w:pPr>
            <w:r>
              <w:rPr>
                <w:rFonts w:hint="eastAsia"/>
                <w:b/>
                <w:bCs/>
                <w:color w:val="000000"/>
                <w:kern w:val="0"/>
                <w:sz w:val="24"/>
              </w:rPr>
              <w:t>运营期</w:t>
            </w:r>
            <w:r>
              <w:rPr>
                <w:rFonts w:hint="eastAsia"/>
                <w:b/>
                <w:bCs/>
                <w:color w:val="000000"/>
                <w:kern w:val="0"/>
                <w:sz w:val="24"/>
                <w:lang w:val="en-US" w:eastAsia="zh-CN"/>
              </w:rPr>
              <w:t>工艺流程及产污环节</w:t>
            </w:r>
          </w:p>
          <w:p>
            <w:pPr>
              <w:numPr>
                <w:ilvl w:val="0"/>
                <w:numId w:val="0"/>
              </w:numPr>
              <w:adjustRightInd w:val="0"/>
              <w:snapToGrid w:val="0"/>
              <w:spacing w:line="520" w:lineRule="exact"/>
              <w:ind w:firstLine="480" w:firstLineChars="200"/>
              <w:rPr>
                <w:color w:val="000000"/>
                <w:kern w:val="0"/>
                <w:sz w:val="24"/>
              </w:rPr>
            </w:pPr>
            <w:r>
              <w:rPr>
                <w:rFonts w:hint="eastAsia"/>
                <w:color w:val="000000"/>
                <w:kern w:val="0"/>
                <w:sz w:val="24"/>
              </w:rPr>
              <w:t>本项目生产工艺流程图详见图</w:t>
            </w:r>
            <w:r>
              <w:rPr>
                <w:rFonts w:hint="eastAsia"/>
                <w:color w:val="000000"/>
                <w:kern w:val="0"/>
                <w:sz w:val="24"/>
                <w:lang w:val="en-US" w:eastAsia="zh-CN"/>
              </w:rPr>
              <w:t>2-3</w:t>
            </w:r>
            <w:r>
              <w:rPr>
                <w:rFonts w:hint="eastAsia"/>
                <w:color w:val="000000"/>
                <w:kern w:val="0"/>
                <w:sz w:val="24"/>
              </w:rPr>
              <w:t>。</w:t>
            </w:r>
          </w:p>
          <w:p>
            <w:pPr>
              <w:adjustRightInd w:val="0"/>
              <w:snapToGrid w:val="0"/>
              <w:jc w:val="center"/>
              <w:outlineLvl w:val="2"/>
              <w:rPr>
                <w:rFonts w:hint="eastAsia"/>
                <w:b/>
                <w:color w:val="000000"/>
                <w:sz w:val="22"/>
                <w:szCs w:val="22"/>
              </w:rPr>
            </w:pPr>
          </w:p>
          <w:p>
            <w:pPr>
              <w:pStyle w:val="12"/>
              <w:rPr>
                <w:rFonts w:hint="eastAsia"/>
                <w:b/>
                <w:color w:val="000000"/>
                <w:sz w:val="22"/>
                <w:szCs w:val="22"/>
              </w:rPr>
            </w:pPr>
          </w:p>
          <w:p>
            <w:pPr>
              <w:pStyle w:val="37"/>
              <w:rPr>
                <w:rFonts w:hint="eastAsia"/>
                <w:b/>
                <w:color w:val="000000"/>
                <w:sz w:val="22"/>
                <w:szCs w:val="22"/>
              </w:rPr>
            </w:pPr>
          </w:p>
          <w:p>
            <w:pPr>
              <w:pStyle w:val="37"/>
              <w:rPr>
                <w:rFonts w:hint="eastAsia"/>
                <w:b/>
                <w:color w:val="000000"/>
                <w:sz w:val="22"/>
                <w:szCs w:val="22"/>
              </w:rPr>
            </w:pPr>
            <w:r>
              <w:rPr>
                <w:rFonts w:hint="eastAsia" w:eastAsia="宋体"/>
                <w:lang w:eastAsia="zh-CN"/>
              </w:rPr>
              <w:drawing>
                <wp:inline distT="0" distB="0" distL="114300" distR="114300">
                  <wp:extent cx="4752975" cy="2171700"/>
                  <wp:effectExtent l="0" t="0" r="0" b="0"/>
                  <wp:docPr id="3" name="ECB019B1-382A-4266-B25C-5B523AA43C14-2" descr="C:/Users/86180/AppData/Local/Temp/wps.xtYzz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2" descr="C:/Users/86180/AppData/Local/Temp/wps.xtYzzrwps"/>
                          <pic:cNvPicPr>
                            <a:picLocks noChangeAspect="1"/>
                          </pic:cNvPicPr>
                        </pic:nvPicPr>
                        <pic:blipFill>
                          <a:blip r:embed="rId10"/>
                          <a:stretch>
                            <a:fillRect/>
                          </a:stretch>
                        </pic:blipFill>
                        <pic:spPr>
                          <a:xfrm>
                            <a:off x="0" y="0"/>
                            <a:ext cx="4752975" cy="2171700"/>
                          </a:xfrm>
                          <a:prstGeom prst="rect">
                            <a:avLst/>
                          </a:prstGeom>
                        </pic:spPr>
                      </pic:pic>
                    </a:graphicData>
                  </a:graphic>
                </wp:inline>
              </w:drawing>
            </w:r>
          </w:p>
          <w:p>
            <w:pPr>
              <w:adjustRightInd w:val="0"/>
              <w:snapToGrid w:val="0"/>
              <w:spacing w:line="520" w:lineRule="exact"/>
              <w:jc w:val="center"/>
              <w:outlineLvl w:val="2"/>
              <w:rPr>
                <w:rFonts w:hint="eastAsia"/>
                <w:b/>
                <w:color w:val="000000"/>
                <w:sz w:val="22"/>
                <w:szCs w:val="22"/>
              </w:rPr>
            </w:pPr>
            <w:r>
              <w:rPr>
                <w:rFonts w:hint="eastAsia"/>
                <w:b/>
                <w:color w:val="000000"/>
                <w:sz w:val="22"/>
                <w:szCs w:val="22"/>
              </w:rPr>
              <w:t>图</w:t>
            </w:r>
            <w:r>
              <w:rPr>
                <w:rFonts w:hint="eastAsia"/>
                <w:b/>
                <w:color w:val="000000"/>
                <w:sz w:val="22"/>
                <w:szCs w:val="22"/>
                <w:lang w:val="en-US" w:eastAsia="zh-CN"/>
              </w:rPr>
              <w:t>2-3</w:t>
            </w:r>
            <w:r>
              <w:rPr>
                <w:rFonts w:hint="eastAsia"/>
                <w:b/>
                <w:color w:val="000000"/>
                <w:sz w:val="22"/>
                <w:szCs w:val="22"/>
              </w:rPr>
              <w:t xml:space="preserve">  生产工艺流程及产污环节图</w:t>
            </w:r>
          </w:p>
          <w:p>
            <w:pPr>
              <w:pStyle w:val="3"/>
              <w:numPr>
                <w:ilvl w:val="0"/>
                <w:numId w:val="6"/>
              </w:numPr>
              <w:overflowPunct/>
              <w:spacing w:before="0" w:after="0" w:line="520" w:lineRule="exact"/>
              <w:ind w:left="0" w:leftChars="0" w:firstLine="0" w:firstLineChars="0"/>
              <w:rPr>
                <w:rFonts w:hint="eastAsia" w:eastAsia="宋体"/>
                <w:lang w:eastAsia="zh-CN"/>
              </w:rPr>
            </w:pPr>
            <w:r>
              <w:rPr>
                <w:rFonts w:hint="eastAsia" w:eastAsia="宋体"/>
                <w:sz w:val="24"/>
                <w:szCs w:val="24"/>
              </w:rPr>
              <w:t>生产工艺简述</w:t>
            </w:r>
          </w:p>
          <w:p>
            <w:pPr>
              <w:numPr>
                <w:ilvl w:val="0"/>
                <w:numId w:val="0"/>
              </w:numPr>
              <w:adjustRightInd w:val="0"/>
              <w:snapToGrid w:val="0"/>
              <w:spacing w:line="360" w:lineRule="auto"/>
              <w:ind w:left="0" w:leftChars="0"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lang w:val="en-US" w:eastAsia="zh-CN"/>
              </w:rPr>
              <w:t>进料：将腐植酸</w:t>
            </w:r>
            <w:r>
              <w:rPr>
                <w:rFonts w:hint="eastAsia" w:ascii="宋体" w:hAnsi="宋体" w:cs="宋体"/>
                <w:b w:val="0"/>
                <w:bCs w:val="0"/>
                <w:color w:val="000000"/>
                <w:sz w:val="24"/>
                <w:szCs w:val="24"/>
                <w:lang w:val="en-US" w:eastAsia="zh-CN"/>
              </w:rPr>
              <w:t>颗粒</w:t>
            </w:r>
            <w:r>
              <w:rPr>
                <w:rFonts w:hint="eastAsia" w:ascii="宋体" w:hAnsi="宋体" w:eastAsia="宋体" w:cs="宋体"/>
                <w:b w:val="0"/>
                <w:bCs w:val="0"/>
                <w:color w:val="000000"/>
                <w:sz w:val="24"/>
                <w:szCs w:val="24"/>
                <w:lang w:val="en-US" w:eastAsia="zh-CN"/>
              </w:rPr>
              <w:t>通过铲车倒入进料斗，输送至下一工段。该工序会产生</w:t>
            </w:r>
            <w:r>
              <w:rPr>
                <w:rFonts w:hint="eastAsia" w:ascii="宋体" w:hAnsi="宋体" w:cs="宋体"/>
                <w:b w:val="0"/>
                <w:bCs w:val="0"/>
                <w:color w:val="000000"/>
                <w:sz w:val="24"/>
                <w:szCs w:val="24"/>
                <w:lang w:val="en-US" w:eastAsia="zh-CN"/>
              </w:rPr>
              <w:t>粉尘</w:t>
            </w:r>
            <w:r>
              <w:rPr>
                <w:rFonts w:hint="eastAsia" w:ascii="宋体" w:hAnsi="宋体" w:eastAsia="宋体" w:cs="宋体"/>
                <w:b w:val="0"/>
                <w:bCs w:val="0"/>
                <w:color w:val="000000"/>
                <w:sz w:val="24"/>
                <w:szCs w:val="24"/>
                <w:lang w:val="en-US" w:eastAsia="zh-CN"/>
              </w:rPr>
              <w:t>及噪声。</w:t>
            </w:r>
          </w:p>
          <w:p>
            <w:pPr>
              <w:pStyle w:val="12"/>
              <w:numPr>
                <w:ilvl w:val="0"/>
                <w:numId w:val="0"/>
              </w:numPr>
              <w:ind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w:t>
            </w:r>
            <w:r>
              <w:rPr>
                <w:rFonts w:hint="eastAsia" w:ascii="宋体" w:hAnsi="宋体" w:cs="宋体"/>
                <w:b w:val="0"/>
                <w:bCs w:val="0"/>
                <w:color w:val="000000"/>
                <w:kern w:val="2"/>
                <w:sz w:val="24"/>
                <w:szCs w:val="24"/>
                <w:lang w:val="en-US" w:eastAsia="zh-CN" w:bidi="ar-SA"/>
              </w:rPr>
              <w:t>筛分：去除腐植酸颗粒中含有的碎石子等杂质。该工序会产生固废及噪声。</w:t>
            </w:r>
          </w:p>
          <w:p>
            <w:pPr>
              <w:numPr>
                <w:ilvl w:val="0"/>
                <w:numId w:val="0"/>
              </w:numPr>
              <w:adjustRightInd w:val="0"/>
              <w:snapToGrid w:val="0"/>
              <w:spacing w:line="360" w:lineRule="auto"/>
              <w:ind w:left="0" w:leftChars="0" w:firstLine="480" w:firstLineChars="200"/>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3</w:t>
            </w:r>
            <w:r>
              <w:rPr>
                <w:rFonts w:hint="eastAsia" w:ascii="宋体" w:hAnsi="宋体" w:eastAsia="宋体" w:cs="宋体"/>
                <w:b w:val="0"/>
                <w:bCs w:val="0"/>
                <w:color w:val="000000"/>
                <w:sz w:val="24"/>
                <w:szCs w:val="24"/>
                <w:lang w:val="en-US" w:eastAsia="zh-CN"/>
              </w:rPr>
              <w:t>）粉碎：腐植酸</w:t>
            </w:r>
            <w:r>
              <w:rPr>
                <w:rFonts w:hint="eastAsia" w:ascii="宋体" w:hAnsi="宋体" w:cs="宋体"/>
                <w:b w:val="0"/>
                <w:bCs w:val="0"/>
                <w:color w:val="000000"/>
                <w:sz w:val="24"/>
                <w:szCs w:val="24"/>
                <w:lang w:val="en-US" w:eastAsia="zh-CN"/>
              </w:rPr>
              <w:t>颗粒</w:t>
            </w:r>
            <w:r>
              <w:rPr>
                <w:rFonts w:hint="eastAsia" w:ascii="宋体" w:hAnsi="宋体" w:eastAsia="宋体" w:cs="宋体"/>
                <w:b w:val="0"/>
                <w:bCs w:val="0"/>
                <w:color w:val="000000"/>
                <w:sz w:val="24"/>
                <w:szCs w:val="24"/>
                <w:lang w:val="en-US" w:eastAsia="zh-CN"/>
              </w:rPr>
              <w:t>进入粉碎机后粉碎，粉碎后的腐植酸</w:t>
            </w:r>
            <w:r>
              <w:rPr>
                <w:rFonts w:hint="eastAsia" w:ascii="宋体" w:hAnsi="宋体" w:cs="宋体"/>
                <w:b w:val="0"/>
                <w:bCs w:val="0"/>
                <w:color w:val="000000"/>
                <w:sz w:val="24"/>
                <w:szCs w:val="24"/>
                <w:lang w:val="en-US" w:eastAsia="zh-CN"/>
              </w:rPr>
              <w:t>呈粉末状，</w:t>
            </w:r>
            <w:r>
              <w:rPr>
                <w:rFonts w:hint="eastAsia" w:ascii="宋体" w:hAnsi="宋体" w:eastAsia="宋体" w:cs="宋体"/>
                <w:b w:val="0"/>
                <w:bCs w:val="0"/>
                <w:color w:val="000000"/>
                <w:sz w:val="24"/>
                <w:szCs w:val="24"/>
                <w:lang w:val="en-US" w:eastAsia="zh-CN"/>
              </w:rPr>
              <w:t>进入搅拌罐中。该工序会产生</w:t>
            </w:r>
            <w:r>
              <w:rPr>
                <w:rFonts w:hint="eastAsia" w:ascii="宋体" w:hAnsi="宋体" w:cs="宋体"/>
                <w:b w:val="0"/>
                <w:bCs w:val="0"/>
                <w:color w:val="000000"/>
                <w:sz w:val="24"/>
                <w:szCs w:val="24"/>
                <w:lang w:val="en-US" w:eastAsia="zh-CN"/>
              </w:rPr>
              <w:t>粉尘</w:t>
            </w:r>
            <w:r>
              <w:rPr>
                <w:rFonts w:hint="eastAsia" w:ascii="宋体" w:hAnsi="宋体" w:eastAsia="宋体" w:cs="宋体"/>
                <w:b w:val="0"/>
                <w:bCs w:val="0"/>
                <w:color w:val="000000"/>
                <w:sz w:val="24"/>
                <w:szCs w:val="24"/>
                <w:lang w:val="en-US" w:eastAsia="zh-CN"/>
              </w:rPr>
              <w:t>及噪声。</w:t>
            </w:r>
          </w:p>
          <w:p>
            <w:pPr>
              <w:numPr>
                <w:ilvl w:val="0"/>
                <w:numId w:val="0"/>
              </w:numPr>
              <w:adjustRightInd w:val="0"/>
              <w:snapToGrid w:val="0"/>
              <w:spacing w:line="360" w:lineRule="auto"/>
              <w:ind w:left="0" w:leftChars="0" w:firstLine="480" w:firstLineChars="200"/>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4</w:t>
            </w:r>
            <w:r>
              <w:rPr>
                <w:rFonts w:hint="eastAsia" w:ascii="宋体" w:hAnsi="宋体" w:eastAsia="宋体" w:cs="宋体"/>
                <w:b w:val="0"/>
                <w:bCs w:val="0"/>
                <w:color w:val="000000"/>
                <w:sz w:val="24"/>
                <w:szCs w:val="24"/>
                <w:lang w:val="en-US" w:eastAsia="zh-CN"/>
              </w:rPr>
              <w:t>）一次搅拌：先将氢氧化钾、氢氧化钠加入水罐中，粉碎后的腐植酸与氢氧化钾、氢氧化钠水溶液按照一定比例投入搅拌机中，同时加入适量的水进行充分搅拌混合</w:t>
            </w:r>
            <w:r>
              <w:rPr>
                <w:rFonts w:hint="eastAsia" w:ascii="宋体" w:hAnsi="宋体" w:cs="宋体"/>
                <w:b w:val="0"/>
                <w:bCs w:val="0"/>
                <w:color w:val="000000"/>
                <w:sz w:val="24"/>
                <w:szCs w:val="24"/>
                <w:lang w:val="en-US" w:eastAsia="zh-CN"/>
              </w:rPr>
              <w:t>1小时，</w:t>
            </w:r>
            <w:r>
              <w:rPr>
                <w:rFonts w:hint="eastAsia" w:ascii="宋体" w:hAnsi="宋体" w:eastAsia="宋体" w:cs="宋体"/>
                <w:b w:val="0"/>
                <w:bCs w:val="0"/>
                <w:color w:val="000000"/>
                <w:sz w:val="24"/>
                <w:szCs w:val="24"/>
                <w:lang w:val="en-US" w:eastAsia="zh-CN"/>
              </w:rPr>
              <w:t>待溶液完全静置分层后，上清液送至沉降池中，深沉物进入离心机中。该工序会产生噪声，搅拌过程基本无粉尘产生。</w:t>
            </w:r>
          </w:p>
          <w:p>
            <w:pPr>
              <w:numPr>
                <w:ilvl w:val="0"/>
                <w:numId w:val="0"/>
              </w:numPr>
              <w:adjustRightInd w:val="0"/>
              <w:snapToGrid w:val="0"/>
              <w:spacing w:line="360" w:lineRule="auto"/>
              <w:ind w:left="0" w:leftChars="0" w:firstLine="480" w:firstLineChars="200"/>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5</w:t>
            </w:r>
            <w:r>
              <w:rPr>
                <w:rFonts w:hint="eastAsia" w:ascii="宋体" w:hAnsi="宋体" w:eastAsia="宋体" w:cs="宋体"/>
                <w:b w:val="0"/>
                <w:bCs w:val="0"/>
                <w:color w:val="000000"/>
                <w:sz w:val="24"/>
                <w:szCs w:val="24"/>
                <w:lang w:val="en-US" w:eastAsia="zh-CN"/>
              </w:rPr>
              <w:t>）离心：将混合物料在离心机中进行离心，得到的溶液送入沉降池，物料送入下一个搅拌罐中。该离心机为全封闭式，此工序会产生噪声。</w:t>
            </w:r>
          </w:p>
          <w:p>
            <w:pPr>
              <w:numPr>
                <w:ilvl w:val="0"/>
                <w:numId w:val="0"/>
              </w:numPr>
              <w:adjustRightInd w:val="0"/>
              <w:snapToGrid w:val="0"/>
              <w:spacing w:line="360" w:lineRule="auto"/>
              <w:ind w:left="0" w:leftChars="0" w:firstLine="480" w:firstLineChars="200"/>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6</w:t>
            </w:r>
            <w:r>
              <w:rPr>
                <w:rFonts w:hint="eastAsia" w:ascii="宋体" w:hAnsi="宋体" w:eastAsia="宋体" w:cs="宋体"/>
                <w:b w:val="0"/>
                <w:bCs w:val="0"/>
                <w:color w:val="000000"/>
                <w:sz w:val="24"/>
                <w:szCs w:val="24"/>
                <w:lang w:val="en-US" w:eastAsia="zh-CN"/>
              </w:rPr>
              <w:t>）沉降：沉降池中的混合溶液进行沉降后，得到的物料送入晾晒车间，溶液送至二次搅拌罐中。</w:t>
            </w:r>
          </w:p>
          <w:p>
            <w:pPr>
              <w:numPr>
                <w:ilvl w:val="0"/>
                <w:numId w:val="0"/>
              </w:numPr>
              <w:adjustRightInd w:val="0"/>
              <w:snapToGrid w:val="0"/>
              <w:spacing w:line="360" w:lineRule="auto"/>
              <w:ind w:left="0" w:leftChars="0" w:firstLine="480" w:firstLineChars="200"/>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7</w:t>
            </w:r>
            <w:r>
              <w:rPr>
                <w:rFonts w:hint="eastAsia" w:ascii="宋体" w:hAnsi="宋体" w:eastAsia="宋体" w:cs="宋体"/>
                <w:b w:val="0"/>
                <w:bCs w:val="0"/>
                <w:color w:val="000000"/>
                <w:sz w:val="24"/>
                <w:szCs w:val="24"/>
                <w:lang w:val="en-US" w:eastAsia="zh-CN"/>
              </w:rPr>
              <w:t>）二次搅拌：</w:t>
            </w:r>
            <w:r>
              <w:rPr>
                <w:rFonts w:hint="eastAsia" w:ascii="宋体" w:hAnsi="宋体" w:eastAsia="宋体" w:cs="宋体"/>
                <w:b w:val="0"/>
                <w:bCs w:val="0"/>
                <w:color w:val="000000"/>
                <w:sz w:val="24"/>
                <w:szCs w:val="24"/>
                <w:highlight w:val="none"/>
                <w:lang w:val="en-US" w:eastAsia="zh-CN"/>
              </w:rPr>
              <w:t>将氮肥、磷肥按比例与混合物料投入搅拌罐中</w:t>
            </w:r>
            <w:r>
              <w:rPr>
                <w:rFonts w:hint="eastAsia" w:ascii="宋体" w:hAnsi="宋体" w:eastAsia="宋体" w:cs="宋体"/>
                <w:b w:val="0"/>
                <w:bCs w:val="0"/>
                <w:color w:val="000000"/>
                <w:sz w:val="24"/>
                <w:szCs w:val="24"/>
                <w:lang w:val="en-US" w:eastAsia="zh-CN"/>
              </w:rPr>
              <w:t>，同时加入适量的水进行充分搅拌混合</w:t>
            </w:r>
            <w:r>
              <w:rPr>
                <w:rFonts w:hint="eastAsia" w:ascii="宋体" w:hAnsi="宋体" w:cs="宋体"/>
                <w:b w:val="0"/>
                <w:bCs w:val="0"/>
                <w:color w:val="000000"/>
                <w:sz w:val="24"/>
                <w:szCs w:val="24"/>
                <w:lang w:val="en-US" w:eastAsia="zh-CN"/>
              </w:rPr>
              <w:t>1小时</w:t>
            </w:r>
            <w:r>
              <w:rPr>
                <w:rFonts w:hint="eastAsia" w:ascii="宋体" w:hAnsi="宋体" w:eastAsia="宋体" w:cs="宋体"/>
                <w:b w:val="0"/>
                <w:bCs w:val="0"/>
                <w:color w:val="000000"/>
                <w:sz w:val="24"/>
                <w:szCs w:val="24"/>
                <w:lang w:val="en-US" w:eastAsia="zh-CN"/>
              </w:rPr>
              <w:t>，待溶液完全静置分层后，上清液送至沉降池中，物料送至晾晒车间。此工序会产生噪声。</w:t>
            </w:r>
          </w:p>
          <w:p>
            <w:pPr>
              <w:numPr>
                <w:ilvl w:val="0"/>
                <w:numId w:val="0"/>
              </w:numPr>
              <w:adjustRightInd w:val="0"/>
              <w:snapToGrid w:val="0"/>
              <w:spacing w:line="360" w:lineRule="auto"/>
              <w:ind w:left="0" w:leftChars="0" w:firstLine="480" w:firstLineChars="200"/>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8</w:t>
            </w:r>
            <w:r>
              <w:rPr>
                <w:rFonts w:hint="eastAsia" w:ascii="宋体" w:hAnsi="宋体" w:eastAsia="宋体" w:cs="宋体"/>
                <w:b w:val="0"/>
                <w:bCs w:val="0"/>
                <w:color w:val="000000"/>
                <w:sz w:val="24"/>
                <w:szCs w:val="24"/>
                <w:lang w:val="en-US" w:eastAsia="zh-CN"/>
              </w:rPr>
              <w:t>）晾晒：物料在晾晒车间内晾晒后得到腐植酸</w:t>
            </w:r>
            <w:r>
              <w:rPr>
                <w:rFonts w:hint="eastAsia" w:ascii="宋体" w:hAnsi="宋体" w:cs="宋体"/>
                <w:b w:val="0"/>
                <w:bCs w:val="0"/>
                <w:color w:val="000000"/>
                <w:sz w:val="24"/>
                <w:szCs w:val="24"/>
                <w:lang w:val="en-US" w:eastAsia="zh-CN"/>
              </w:rPr>
              <w:t>钾</w:t>
            </w:r>
            <w:r>
              <w:rPr>
                <w:rFonts w:hint="eastAsia" w:ascii="宋体" w:hAnsi="宋体" w:eastAsia="宋体" w:cs="宋体"/>
                <w:b w:val="0"/>
                <w:bCs w:val="0"/>
                <w:color w:val="000000"/>
                <w:sz w:val="24"/>
                <w:szCs w:val="24"/>
                <w:lang w:val="en-US" w:eastAsia="zh-CN"/>
              </w:rPr>
              <w:t>有机肥，根据客户需求，部分腐植酸</w:t>
            </w:r>
            <w:r>
              <w:rPr>
                <w:rFonts w:hint="eastAsia" w:ascii="宋体" w:hAnsi="宋体" w:cs="宋体"/>
                <w:b w:val="0"/>
                <w:bCs w:val="0"/>
                <w:color w:val="000000"/>
                <w:sz w:val="24"/>
                <w:szCs w:val="24"/>
                <w:lang w:val="en-US" w:eastAsia="zh-CN"/>
              </w:rPr>
              <w:t>钾</w:t>
            </w:r>
            <w:r>
              <w:rPr>
                <w:rFonts w:hint="eastAsia" w:ascii="宋体" w:hAnsi="宋体" w:eastAsia="宋体" w:cs="宋体"/>
                <w:b w:val="0"/>
                <w:bCs w:val="0"/>
                <w:color w:val="000000"/>
                <w:sz w:val="24"/>
                <w:szCs w:val="24"/>
                <w:lang w:val="en-US" w:eastAsia="zh-CN"/>
              </w:rPr>
              <w:t>有机肥包装外售</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部分腐植酸</w:t>
            </w:r>
            <w:r>
              <w:rPr>
                <w:rFonts w:hint="eastAsia" w:ascii="宋体" w:hAnsi="宋体" w:cs="宋体"/>
                <w:b w:val="0"/>
                <w:bCs w:val="0"/>
                <w:color w:val="000000"/>
                <w:sz w:val="24"/>
                <w:szCs w:val="24"/>
                <w:lang w:val="en-US" w:eastAsia="zh-CN"/>
              </w:rPr>
              <w:t>钾</w:t>
            </w:r>
            <w:r>
              <w:rPr>
                <w:rFonts w:hint="eastAsia" w:ascii="宋体" w:hAnsi="宋体" w:eastAsia="宋体" w:cs="宋体"/>
                <w:b w:val="0"/>
                <w:bCs w:val="0"/>
                <w:color w:val="000000"/>
                <w:sz w:val="24"/>
                <w:szCs w:val="24"/>
                <w:lang w:val="en-US" w:eastAsia="zh-CN"/>
              </w:rPr>
              <w:t>有机肥送至粉碎机中。</w:t>
            </w:r>
          </w:p>
          <w:p>
            <w:pPr>
              <w:numPr>
                <w:ilvl w:val="0"/>
                <w:numId w:val="0"/>
              </w:numPr>
              <w:adjustRightInd w:val="0"/>
              <w:snapToGrid w:val="0"/>
              <w:spacing w:line="360" w:lineRule="auto"/>
              <w:ind w:left="0" w:leftChars="0" w:firstLine="480" w:firstLineChars="200"/>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9</w:t>
            </w:r>
            <w:r>
              <w:rPr>
                <w:rFonts w:hint="eastAsia" w:ascii="宋体" w:hAnsi="宋体" w:eastAsia="宋体" w:cs="宋体"/>
                <w:b w:val="0"/>
                <w:bCs w:val="0"/>
                <w:color w:val="000000"/>
                <w:sz w:val="24"/>
                <w:szCs w:val="24"/>
                <w:lang w:val="en-US" w:eastAsia="zh-CN"/>
              </w:rPr>
              <w:t>）粉碎：腐植酸</w:t>
            </w:r>
            <w:r>
              <w:rPr>
                <w:rFonts w:hint="eastAsia" w:ascii="宋体" w:hAnsi="宋体" w:cs="宋体"/>
                <w:b w:val="0"/>
                <w:bCs w:val="0"/>
                <w:color w:val="000000"/>
                <w:sz w:val="24"/>
                <w:szCs w:val="24"/>
                <w:lang w:val="en-US" w:eastAsia="zh-CN"/>
              </w:rPr>
              <w:t>钾</w:t>
            </w:r>
            <w:r>
              <w:rPr>
                <w:rFonts w:hint="eastAsia" w:ascii="宋体" w:hAnsi="宋体" w:eastAsia="宋体" w:cs="宋体"/>
                <w:b w:val="0"/>
                <w:bCs w:val="0"/>
                <w:color w:val="000000"/>
                <w:sz w:val="24"/>
                <w:szCs w:val="24"/>
                <w:lang w:val="en-US" w:eastAsia="zh-CN"/>
              </w:rPr>
              <w:t>有机肥送至粉碎机中粉碎，粉碎后的腐植酸</w:t>
            </w:r>
            <w:r>
              <w:rPr>
                <w:rFonts w:hint="eastAsia" w:ascii="宋体" w:hAnsi="宋体" w:cs="宋体"/>
                <w:b w:val="0"/>
                <w:bCs w:val="0"/>
                <w:color w:val="000000"/>
                <w:sz w:val="24"/>
                <w:szCs w:val="24"/>
                <w:lang w:val="en-US" w:eastAsia="zh-CN"/>
              </w:rPr>
              <w:t>钾</w:t>
            </w:r>
            <w:r>
              <w:rPr>
                <w:rFonts w:hint="eastAsia" w:ascii="宋体" w:hAnsi="宋体" w:eastAsia="宋体" w:cs="宋体"/>
                <w:b w:val="0"/>
                <w:bCs w:val="0"/>
                <w:color w:val="000000"/>
                <w:sz w:val="24"/>
                <w:szCs w:val="24"/>
                <w:lang w:val="en-US" w:eastAsia="zh-CN"/>
              </w:rPr>
              <w:t>有机肥送至造粒车间。此工序会产生</w:t>
            </w:r>
            <w:r>
              <w:rPr>
                <w:rFonts w:hint="eastAsia" w:ascii="宋体" w:hAnsi="宋体" w:cs="宋体"/>
                <w:b w:val="0"/>
                <w:bCs w:val="0"/>
                <w:color w:val="000000"/>
                <w:sz w:val="24"/>
                <w:szCs w:val="24"/>
                <w:lang w:val="en-US" w:eastAsia="zh-CN"/>
              </w:rPr>
              <w:t>粉尘</w:t>
            </w:r>
            <w:r>
              <w:rPr>
                <w:rFonts w:hint="eastAsia" w:ascii="宋体" w:hAnsi="宋体" w:eastAsia="宋体" w:cs="宋体"/>
                <w:b w:val="0"/>
                <w:bCs w:val="0"/>
                <w:color w:val="000000"/>
                <w:sz w:val="24"/>
                <w:szCs w:val="24"/>
                <w:lang w:val="en-US" w:eastAsia="zh-CN"/>
              </w:rPr>
              <w:t>、噪声。</w:t>
            </w:r>
          </w:p>
          <w:p>
            <w:pPr>
              <w:numPr>
                <w:ilvl w:val="0"/>
                <w:numId w:val="0"/>
              </w:numPr>
              <w:adjustRightInd w:val="0"/>
              <w:snapToGrid w:val="0"/>
              <w:spacing w:line="360" w:lineRule="auto"/>
              <w:ind w:left="0" w:leftChars="0" w:firstLine="480" w:firstLineChars="200"/>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10</w:t>
            </w:r>
            <w:r>
              <w:rPr>
                <w:rFonts w:hint="eastAsia" w:ascii="宋体" w:hAnsi="宋体" w:eastAsia="宋体" w:cs="宋体"/>
                <w:b w:val="0"/>
                <w:bCs w:val="0"/>
                <w:color w:val="000000"/>
                <w:sz w:val="24"/>
                <w:szCs w:val="24"/>
                <w:lang w:val="en-US" w:eastAsia="zh-CN"/>
              </w:rPr>
              <w:t>）造粒：根据客户需求，产品通过</w:t>
            </w:r>
            <w:r>
              <w:rPr>
                <w:rFonts w:hint="eastAsia" w:ascii="宋体" w:hAnsi="宋体" w:cs="宋体"/>
                <w:b w:val="0"/>
                <w:bCs w:val="0"/>
                <w:color w:val="000000"/>
                <w:sz w:val="24"/>
                <w:szCs w:val="24"/>
                <w:lang w:val="en-US" w:eastAsia="zh-CN"/>
              </w:rPr>
              <w:t>挤压</w:t>
            </w:r>
            <w:r>
              <w:rPr>
                <w:rFonts w:hint="eastAsia" w:ascii="宋体" w:hAnsi="宋体" w:eastAsia="宋体" w:cs="宋体"/>
                <w:b w:val="0"/>
                <w:bCs w:val="0"/>
                <w:color w:val="000000"/>
                <w:sz w:val="24"/>
                <w:szCs w:val="24"/>
                <w:lang w:val="en-US" w:eastAsia="zh-CN"/>
              </w:rPr>
              <w:t>造粒机</w:t>
            </w:r>
            <w:r>
              <w:rPr>
                <w:rFonts w:hint="eastAsia" w:ascii="宋体" w:hAnsi="宋体" w:cs="宋体"/>
                <w:b w:val="0"/>
                <w:bCs w:val="0"/>
                <w:color w:val="000000"/>
                <w:sz w:val="24"/>
                <w:szCs w:val="24"/>
                <w:lang w:val="en-US" w:eastAsia="zh-CN"/>
              </w:rPr>
              <w:t>挤压</w:t>
            </w:r>
            <w:r>
              <w:rPr>
                <w:rFonts w:hint="eastAsia" w:ascii="宋体" w:hAnsi="宋体" w:eastAsia="宋体" w:cs="宋体"/>
                <w:b w:val="0"/>
                <w:bCs w:val="0"/>
                <w:color w:val="000000"/>
                <w:sz w:val="24"/>
                <w:szCs w:val="24"/>
                <w:lang w:val="en-US" w:eastAsia="zh-CN"/>
              </w:rPr>
              <w:t>造粒成不同的粒径进行包装，此工序会产生噪声。</w:t>
            </w:r>
          </w:p>
          <w:p>
            <w:pPr>
              <w:numPr>
                <w:ilvl w:val="0"/>
                <w:numId w:val="0"/>
              </w:numPr>
              <w:adjustRightInd w:val="0"/>
              <w:snapToGrid w:val="0"/>
              <w:spacing w:line="360" w:lineRule="auto"/>
              <w:ind w:left="0" w:leftChars="0" w:firstLine="480" w:firstLineChars="200"/>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11</w:t>
            </w:r>
            <w:r>
              <w:rPr>
                <w:rFonts w:hint="eastAsia" w:ascii="宋体" w:hAnsi="宋体" w:eastAsia="宋体" w:cs="宋体"/>
                <w:b w:val="0"/>
                <w:bCs w:val="0"/>
                <w:color w:val="000000"/>
                <w:sz w:val="24"/>
                <w:szCs w:val="24"/>
                <w:lang w:val="en-US" w:eastAsia="zh-CN"/>
              </w:rPr>
              <w:t>）包装：径粒合格的腐植酸</w:t>
            </w:r>
            <w:r>
              <w:rPr>
                <w:rFonts w:hint="eastAsia" w:ascii="宋体" w:hAnsi="宋体" w:cs="宋体"/>
                <w:b w:val="0"/>
                <w:bCs w:val="0"/>
                <w:color w:val="000000"/>
                <w:sz w:val="24"/>
                <w:szCs w:val="24"/>
                <w:lang w:val="en-US" w:eastAsia="zh-CN"/>
              </w:rPr>
              <w:t>复混</w:t>
            </w:r>
            <w:r>
              <w:rPr>
                <w:rFonts w:hint="eastAsia" w:ascii="宋体" w:hAnsi="宋体" w:eastAsia="宋体" w:cs="宋体"/>
                <w:b w:val="0"/>
                <w:bCs w:val="0"/>
                <w:color w:val="000000"/>
                <w:sz w:val="24"/>
                <w:szCs w:val="24"/>
                <w:lang w:val="en-US" w:eastAsia="zh-CN"/>
              </w:rPr>
              <w:t>有机肥成品进行包装，此工序会产生少量包装袋。</w:t>
            </w:r>
          </w:p>
          <w:p>
            <w:pPr>
              <w:pStyle w:val="3"/>
              <w:overflowPunct/>
              <w:spacing w:before="0" w:after="0" w:line="520" w:lineRule="exact"/>
              <w:ind w:left="431" w:hanging="431"/>
              <w:rPr>
                <w:rFonts w:eastAsia="宋体"/>
                <w:sz w:val="24"/>
                <w:szCs w:val="24"/>
                <w:highlight w:val="none"/>
              </w:rPr>
            </w:pPr>
            <w:r>
              <w:rPr>
                <w:rFonts w:hint="eastAsia" w:eastAsia="宋体"/>
                <w:sz w:val="24"/>
                <w:szCs w:val="24"/>
                <w:highlight w:val="none"/>
              </w:rPr>
              <w:t>3</w:t>
            </w:r>
            <w:r>
              <w:rPr>
                <w:rFonts w:hint="eastAsia" w:eastAsia="宋体"/>
                <w:sz w:val="24"/>
                <w:szCs w:val="24"/>
                <w:highlight w:val="none"/>
                <w:lang w:val="en-US" w:eastAsia="zh-CN"/>
              </w:rPr>
              <w:t>.</w:t>
            </w:r>
            <w:r>
              <w:rPr>
                <w:rFonts w:hint="eastAsia" w:eastAsia="宋体"/>
                <w:sz w:val="24"/>
                <w:szCs w:val="24"/>
                <w:highlight w:val="none"/>
              </w:rPr>
              <w:t>产污环节</w:t>
            </w:r>
          </w:p>
          <w:p>
            <w:pPr>
              <w:spacing w:line="360" w:lineRule="auto"/>
              <w:ind w:firstLine="480" w:firstLineChars="200"/>
              <w:rPr>
                <w:color w:val="auto"/>
                <w:sz w:val="24"/>
                <w:highlight w:val="none"/>
              </w:rPr>
            </w:pPr>
            <w:r>
              <w:rPr>
                <w:rFonts w:hint="eastAsia"/>
                <w:color w:val="auto"/>
                <w:sz w:val="24"/>
                <w:highlight w:val="none"/>
              </w:rPr>
              <w:t>本项目</w:t>
            </w:r>
            <w:r>
              <w:rPr>
                <w:rFonts w:hint="eastAsia"/>
                <w:color w:val="auto"/>
                <w:sz w:val="24"/>
                <w:highlight w:val="none"/>
                <w:lang w:val="en-US" w:eastAsia="zh-CN"/>
              </w:rPr>
              <w:t>运营期</w:t>
            </w:r>
            <w:r>
              <w:rPr>
                <w:rFonts w:hint="eastAsia"/>
                <w:color w:val="auto"/>
                <w:sz w:val="24"/>
                <w:highlight w:val="none"/>
              </w:rPr>
              <w:t>产排污情况见表</w:t>
            </w:r>
            <w:r>
              <w:rPr>
                <w:rFonts w:hint="eastAsia"/>
                <w:color w:val="auto"/>
                <w:sz w:val="24"/>
                <w:highlight w:val="none"/>
                <w:lang w:val="en-US" w:eastAsia="zh-CN"/>
              </w:rPr>
              <w:t>2-6</w:t>
            </w:r>
            <w:r>
              <w:rPr>
                <w:rFonts w:hint="eastAsia"/>
                <w:color w:val="auto"/>
                <w:sz w:val="24"/>
                <w:highlight w:val="none"/>
              </w:rPr>
              <w:t>。</w:t>
            </w:r>
          </w:p>
          <w:p>
            <w:pPr>
              <w:adjustRightInd w:val="0"/>
              <w:snapToGrid w:val="0"/>
              <w:spacing w:line="240" w:lineRule="auto"/>
              <w:ind w:firstLine="422" w:firstLineChars="200"/>
              <w:jc w:val="center"/>
              <w:rPr>
                <w:rFonts w:hint="default" w:ascii="Times New Roman" w:hAnsi="Times New Roman" w:eastAsia="黑体" w:cs="Times New Roman"/>
                <w:sz w:val="24"/>
              </w:rPr>
            </w:pPr>
            <w:r>
              <w:rPr>
                <w:rFonts w:hint="default" w:ascii="Times New Roman" w:hAnsi="Times New Roman" w:eastAsia="宋体" w:cs="Times New Roman"/>
                <w:b/>
                <w:bCs/>
                <w:sz w:val="21"/>
                <w:szCs w:val="21"/>
              </w:rPr>
              <w:t>表</w:t>
            </w:r>
            <w:r>
              <w:rPr>
                <w:rFonts w:hint="default" w:ascii="Times New Roman" w:hAnsi="Times New Roman" w:eastAsia="黑体" w:cs="Times New Roman"/>
                <w:sz w:val="21"/>
                <w:szCs w:val="21"/>
              </w:rPr>
              <w:t>2-</w:t>
            </w:r>
            <w:r>
              <w:rPr>
                <w:rFonts w:hint="default" w:ascii="Times New Roman" w:hAnsi="Times New Roman" w:eastAsia="黑体" w:cs="Times New Roman"/>
                <w:sz w:val="21"/>
                <w:szCs w:val="21"/>
                <w:lang w:val="en-US" w:eastAsia="zh-CN"/>
              </w:rPr>
              <w:t>6</w:t>
            </w:r>
            <w:r>
              <w:rPr>
                <w:rFonts w:hint="default" w:ascii="Times New Roman" w:hAnsi="Times New Roman" w:eastAsia="黑体" w:cs="Times New Roman"/>
                <w:sz w:val="24"/>
              </w:rPr>
              <w:t xml:space="preserve">  </w:t>
            </w:r>
            <w:r>
              <w:rPr>
                <w:rFonts w:hint="default" w:ascii="Times New Roman" w:hAnsi="Times New Roman" w:eastAsia="宋体" w:cs="Times New Roman"/>
                <w:b/>
                <w:bCs/>
                <w:sz w:val="21"/>
                <w:szCs w:val="21"/>
              </w:rPr>
              <w:t>运营期主要产污环节一览表</w:t>
            </w:r>
          </w:p>
          <w:tbl>
            <w:tblPr>
              <w:tblStyle w:val="30"/>
              <w:tblW w:w="81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760"/>
              <w:gridCol w:w="2318"/>
              <w:gridCol w:w="34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排放类别</w:t>
                  </w:r>
                </w:p>
              </w:tc>
              <w:tc>
                <w:tcPr>
                  <w:tcW w:w="1760" w:type="dxa"/>
                  <w:noWrap w:val="0"/>
                  <w:vAlign w:val="center"/>
                </w:tcPr>
                <w:p>
                  <w:pPr>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污染物</w:t>
                  </w:r>
                </w:p>
              </w:tc>
              <w:tc>
                <w:tcPr>
                  <w:tcW w:w="2318" w:type="dxa"/>
                  <w:noWrap w:val="0"/>
                  <w:vAlign w:val="center"/>
                </w:tcPr>
                <w:p>
                  <w:pPr>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污染工序</w:t>
                  </w:r>
                </w:p>
              </w:tc>
              <w:tc>
                <w:tcPr>
                  <w:tcW w:w="3412" w:type="dxa"/>
                  <w:noWrap w:val="0"/>
                  <w:vAlign w:val="center"/>
                </w:tcPr>
                <w:p>
                  <w:pPr>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47" w:type="dxa"/>
                  <w:vMerge w:val="restart"/>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废气</w:t>
                  </w:r>
                </w:p>
              </w:tc>
              <w:tc>
                <w:tcPr>
                  <w:tcW w:w="1760" w:type="dxa"/>
                  <w:noWrap w:val="0"/>
                  <w:vAlign w:val="center"/>
                </w:tcPr>
                <w:p>
                  <w:pPr>
                    <w:adjustRightInd w:val="0"/>
                    <w:snapToGrid w:val="0"/>
                    <w:spacing w:line="240" w:lineRule="auto"/>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进料工序</w:t>
                  </w:r>
                </w:p>
              </w:tc>
              <w:tc>
                <w:tcPr>
                  <w:tcW w:w="231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eastAsia" w:cs="Times New Roman"/>
                      <w:sz w:val="21"/>
                      <w:szCs w:val="21"/>
                      <w:lang w:val="en-US" w:eastAsia="zh-CN"/>
                    </w:rPr>
                    <w:t>进料</w:t>
                  </w:r>
                  <w:r>
                    <w:rPr>
                      <w:rFonts w:hint="default" w:ascii="Times New Roman" w:hAnsi="Times New Roman" w:cs="Times New Roman"/>
                      <w:sz w:val="21"/>
                      <w:szCs w:val="21"/>
                    </w:rPr>
                    <w:t>过程</w:t>
                  </w:r>
                </w:p>
              </w:tc>
              <w:tc>
                <w:tcPr>
                  <w:tcW w:w="34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47" w:type="dxa"/>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c>
                <w:tcPr>
                  <w:tcW w:w="1760" w:type="dxa"/>
                  <w:noWrap w:val="0"/>
                  <w:vAlign w:val="center"/>
                </w:tcPr>
                <w:p>
                  <w:pPr>
                    <w:adjustRightInd w:val="0"/>
                    <w:snapToGrid w:val="0"/>
                    <w:spacing w:line="240" w:lineRule="auto"/>
                    <w:jc w:val="center"/>
                    <w:rPr>
                      <w:rFonts w:hint="default" w:cs="Times New Roman"/>
                      <w:sz w:val="21"/>
                      <w:szCs w:val="21"/>
                      <w:lang w:val="en-US" w:eastAsia="zh-CN"/>
                    </w:rPr>
                  </w:pPr>
                  <w:r>
                    <w:rPr>
                      <w:rFonts w:hint="eastAsia" w:cs="Times New Roman"/>
                      <w:sz w:val="21"/>
                      <w:szCs w:val="21"/>
                      <w:lang w:val="en-US" w:eastAsia="zh-CN"/>
                    </w:rPr>
                    <w:t>筛分工序</w:t>
                  </w:r>
                </w:p>
              </w:tc>
              <w:tc>
                <w:tcPr>
                  <w:tcW w:w="2318" w:type="dxa"/>
                  <w:noWrap w:val="0"/>
                  <w:vAlign w:val="center"/>
                </w:tcPr>
                <w:p>
                  <w:pPr>
                    <w:adjustRightInd w:val="0"/>
                    <w:snapToGrid w:val="0"/>
                    <w:spacing w:line="240" w:lineRule="auto"/>
                    <w:jc w:val="center"/>
                    <w:rPr>
                      <w:rFonts w:hint="eastAsia" w:cs="Times New Roman"/>
                      <w:sz w:val="21"/>
                      <w:szCs w:val="21"/>
                      <w:lang w:val="en-US" w:eastAsia="zh-CN"/>
                    </w:rPr>
                  </w:pPr>
                  <w:r>
                    <w:rPr>
                      <w:rFonts w:hint="eastAsia" w:cs="Times New Roman"/>
                      <w:sz w:val="21"/>
                      <w:szCs w:val="21"/>
                      <w:lang w:val="en-US" w:eastAsia="zh-CN"/>
                    </w:rPr>
                    <w:t>进料</w:t>
                  </w:r>
                  <w:r>
                    <w:rPr>
                      <w:rFonts w:hint="default" w:ascii="Times New Roman" w:hAnsi="Times New Roman" w:cs="Times New Roman"/>
                      <w:sz w:val="21"/>
                      <w:szCs w:val="21"/>
                    </w:rPr>
                    <w:t>过程</w:t>
                  </w:r>
                </w:p>
              </w:tc>
              <w:tc>
                <w:tcPr>
                  <w:tcW w:w="34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47" w:type="dxa"/>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c>
                <w:tcPr>
                  <w:tcW w:w="1760"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粉碎工序</w:t>
                  </w:r>
                </w:p>
              </w:tc>
              <w:tc>
                <w:tcPr>
                  <w:tcW w:w="231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eastAsia" w:cs="Times New Roman"/>
                      <w:sz w:val="21"/>
                      <w:szCs w:val="21"/>
                      <w:lang w:val="en-US" w:eastAsia="zh-CN"/>
                    </w:rPr>
                    <w:t>粉碎</w:t>
                  </w:r>
                  <w:r>
                    <w:rPr>
                      <w:rFonts w:hint="default" w:ascii="Times New Roman" w:hAnsi="Times New Roman" w:cs="Times New Roman"/>
                      <w:sz w:val="21"/>
                      <w:szCs w:val="21"/>
                    </w:rPr>
                    <w:t>过程</w:t>
                  </w:r>
                </w:p>
              </w:tc>
              <w:tc>
                <w:tcPr>
                  <w:tcW w:w="34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47" w:type="dxa"/>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c>
                <w:tcPr>
                  <w:tcW w:w="1760"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包装工序</w:t>
                  </w:r>
                </w:p>
              </w:tc>
              <w:tc>
                <w:tcPr>
                  <w:tcW w:w="231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eastAsia" w:cs="Times New Roman"/>
                      <w:sz w:val="21"/>
                      <w:szCs w:val="21"/>
                      <w:highlight w:val="none"/>
                      <w:lang w:val="en-US" w:eastAsia="zh-CN"/>
                    </w:rPr>
                    <w:t>包装</w:t>
                  </w:r>
                  <w:r>
                    <w:rPr>
                      <w:rFonts w:hint="default" w:ascii="Times New Roman" w:hAnsi="Times New Roman" w:cs="Times New Roman"/>
                      <w:sz w:val="21"/>
                      <w:szCs w:val="21"/>
                    </w:rPr>
                    <w:t>过程</w:t>
                  </w:r>
                </w:p>
              </w:tc>
              <w:tc>
                <w:tcPr>
                  <w:tcW w:w="34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废水</w:t>
                  </w:r>
                </w:p>
              </w:tc>
              <w:tc>
                <w:tcPr>
                  <w:tcW w:w="1760"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生活污水</w:t>
                  </w:r>
                </w:p>
              </w:tc>
              <w:tc>
                <w:tcPr>
                  <w:tcW w:w="231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办公、生活过程</w:t>
                  </w:r>
                </w:p>
              </w:tc>
              <w:tc>
                <w:tcPr>
                  <w:tcW w:w="34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eastAsia" w:cs="Times New Roman"/>
                      <w:sz w:val="21"/>
                      <w:szCs w:val="21"/>
                      <w:lang w:eastAsia="zh-CN"/>
                    </w:rPr>
                    <w:t>CODcr</w:t>
                  </w: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r>
                    <w:rPr>
                      <w:rFonts w:hint="default" w:ascii="Times New Roman" w:hAnsi="Times New Roman" w:cs="Times New Roman"/>
                      <w:sz w:val="21"/>
                      <w:szCs w:val="21"/>
                    </w:rPr>
                    <w:t>、SS、NH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噪声</w:t>
                  </w:r>
                </w:p>
              </w:tc>
              <w:tc>
                <w:tcPr>
                  <w:tcW w:w="1760"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机械噪声</w:t>
                  </w:r>
                </w:p>
              </w:tc>
              <w:tc>
                <w:tcPr>
                  <w:tcW w:w="231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各类设备运转过程</w:t>
                  </w:r>
                </w:p>
              </w:tc>
              <w:tc>
                <w:tcPr>
                  <w:tcW w:w="34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设备噪声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固废</w:t>
                  </w:r>
                </w:p>
              </w:tc>
              <w:tc>
                <w:tcPr>
                  <w:tcW w:w="1760"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废包装袋</w:t>
                  </w:r>
                </w:p>
              </w:tc>
              <w:tc>
                <w:tcPr>
                  <w:tcW w:w="2318" w:type="dxa"/>
                  <w:noWrap w:val="0"/>
                  <w:vAlign w:val="center"/>
                </w:tcPr>
                <w:p>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包装</w:t>
                  </w:r>
                </w:p>
              </w:tc>
              <w:tc>
                <w:tcPr>
                  <w:tcW w:w="3412"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包装袋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c>
                <w:tcPr>
                  <w:tcW w:w="1760" w:type="dxa"/>
                  <w:noWrap w:val="0"/>
                  <w:vAlign w:val="center"/>
                </w:tcPr>
                <w:p>
                  <w:pPr>
                    <w:adjustRightInd w:val="0"/>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布袋除尘收集的粉尘</w:t>
                  </w:r>
                </w:p>
              </w:tc>
              <w:tc>
                <w:tcPr>
                  <w:tcW w:w="2318"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除尘过程</w:t>
                  </w:r>
                </w:p>
              </w:tc>
              <w:tc>
                <w:tcPr>
                  <w:tcW w:w="3412" w:type="dxa"/>
                  <w:noWrap w:val="0"/>
                  <w:vAlign w:val="center"/>
                </w:tcPr>
                <w:p>
                  <w:pPr>
                    <w:adjustRightInd w:val="0"/>
                    <w:snapToGri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47" w:type="dxa"/>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c>
                <w:tcPr>
                  <w:tcW w:w="1760" w:type="dxa"/>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highlight w:val="none"/>
                      <w:lang w:val="en-US" w:eastAsia="zh-CN" w:bidi="ar-SA"/>
                    </w:rPr>
                    <w:t>筛分废物</w:t>
                  </w:r>
                </w:p>
              </w:tc>
              <w:tc>
                <w:tcPr>
                  <w:tcW w:w="2318" w:type="dxa"/>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筛分过程</w:t>
                  </w:r>
                </w:p>
              </w:tc>
              <w:tc>
                <w:tcPr>
                  <w:tcW w:w="3412" w:type="dxa"/>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碎石子等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noWrap w:val="0"/>
                  <w:vAlign w:val="center"/>
                </w:tcPr>
                <w:p>
                  <w:pPr>
                    <w:adjustRightInd w:val="0"/>
                    <w:snapToGrid w:val="0"/>
                    <w:spacing w:line="240" w:lineRule="auto"/>
                    <w:jc w:val="center"/>
                    <w:rPr>
                      <w:rFonts w:hint="default" w:ascii="Times New Roman" w:hAnsi="Times New Roman" w:cs="Times New Roman"/>
                      <w:sz w:val="21"/>
                      <w:szCs w:val="21"/>
                    </w:rPr>
                  </w:pPr>
                </w:p>
              </w:tc>
              <w:tc>
                <w:tcPr>
                  <w:tcW w:w="1760" w:type="dxa"/>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生活垃圾</w:t>
                  </w:r>
                </w:p>
              </w:tc>
              <w:tc>
                <w:tcPr>
                  <w:tcW w:w="2318" w:type="dxa"/>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生活、办公过程</w:t>
                  </w:r>
                </w:p>
              </w:tc>
              <w:tc>
                <w:tcPr>
                  <w:tcW w:w="3412" w:type="dxa"/>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生活垃圾</w:t>
                  </w:r>
                </w:p>
              </w:tc>
            </w:tr>
          </w:tbl>
          <w:p>
            <w:pPr>
              <w:numPr>
                <w:ilvl w:val="0"/>
                <w:numId w:val="0"/>
              </w:numPr>
              <w:adjustRightInd w:val="0"/>
              <w:snapToGrid w:val="0"/>
              <w:spacing w:line="520" w:lineRule="exact"/>
              <w:ind w:left="0" w:leftChars="0" w:firstLine="480" w:firstLineChars="200"/>
              <w:rPr>
                <w:color w:val="auto"/>
                <w:sz w:val="24"/>
                <w:szCs w:val="20"/>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4" w:hRule="atLeast"/>
          <w:jc w:val="center"/>
        </w:trPr>
        <w:tc>
          <w:tcPr>
            <w:tcW w:w="440" w:type="pct"/>
            <w:vAlign w:val="center"/>
          </w:tcPr>
          <w:p>
            <w:pPr>
              <w:pStyle w:val="26"/>
              <w:adjustRightInd w:val="0"/>
              <w:snapToGrid w:val="0"/>
              <w:spacing w:before="0" w:beforeAutospacing="0" w:after="0" w:afterAutospacing="0"/>
              <w:jc w:val="center"/>
              <w:rPr>
                <w:rFonts w:cs="宋体"/>
                <w:color w:val="auto"/>
                <w:sz w:val="21"/>
                <w:szCs w:val="21"/>
                <w:highlight w:val="none"/>
              </w:rPr>
            </w:pPr>
            <w:r>
              <w:rPr>
                <w:rFonts w:hint="eastAsia" w:ascii="Times New Roman" w:hAnsi="Times New Roman"/>
                <w:bCs/>
                <w:color w:val="auto"/>
                <w:kern w:val="2"/>
                <w:szCs w:val="24"/>
                <w:highlight w:val="none"/>
              </w:rPr>
              <w:t>与项目有关的原有环境污染问题</w:t>
            </w:r>
          </w:p>
        </w:tc>
        <w:tc>
          <w:tcPr>
            <w:tcW w:w="8074" w:type="dxa"/>
            <w:vAlign w:val="top"/>
          </w:tcPr>
          <w:p>
            <w:pPr>
              <w:adjustRightInd w:val="0"/>
              <w:snapToGrid w:val="0"/>
              <w:spacing w:line="520" w:lineRule="exact"/>
              <w:ind w:firstLine="480" w:firstLineChars="200"/>
              <w:rPr>
                <w:color w:val="000000"/>
                <w:kern w:val="0"/>
                <w:sz w:val="24"/>
              </w:rPr>
            </w:pPr>
            <w:r>
              <w:rPr>
                <w:color w:val="000000"/>
                <w:kern w:val="0"/>
                <w:sz w:val="24"/>
              </w:rPr>
              <w:t>本项目为新建项目，</w:t>
            </w:r>
            <w:r>
              <w:rPr>
                <w:rFonts w:hint="eastAsia"/>
                <w:color w:val="000000"/>
                <w:kern w:val="0"/>
                <w:sz w:val="24"/>
                <w:lang w:val="en-US" w:eastAsia="zh-CN"/>
              </w:rPr>
              <w:t>不涉及</w:t>
            </w:r>
            <w:r>
              <w:rPr>
                <w:color w:val="000000"/>
                <w:kern w:val="0"/>
                <w:sz w:val="24"/>
              </w:rPr>
              <w:t>原有</w:t>
            </w:r>
            <w:r>
              <w:rPr>
                <w:rFonts w:hint="eastAsia"/>
                <w:color w:val="000000"/>
                <w:kern w:val="0"/>
                <w:sz w:val="24"/>
                <w:lang w:val="en-US" w:eastAsia="zh-CN"/>
              </w:rPr>
              <w:t>环境</w:t>
            </w:r>
            <w:r>
              <w:rPr>
                <w:color w:val="000000"/>
                <w:kern w:val="0"/>
                <w:sz w:val="24"/>
              </w:rPr>
              <w:t>污染问题。</w:t>
            </w:r>
          </w:p>
          <w:p>
            <w:pPr>
              <w:adjustRightInd w:val="0"/>
              <w:snapToGrid w:val="0"/>
              <w:spacing w:line="520" w:lineRule="exact"/>
              <w:ind w:firstLine="480" w:firstLineChars="200"/>
              <w:rPr>
                <w:color w:val="000000"/>
                <w:kern w:val="0"/>
                <w:sz w:val="24"/>
              </w:rPr>
            </w:pPr>
          </w:p>
          <w:p>
            <w:pPr>
              <w:adjustRightInd w:val="0"/>
              <w:snapToGrid w:val="0"/>
              <w:spacing w:line="520" w:lineRule="exact"/>
              <w:ind w:firstLine="480" w:firstLineChars="200"/>
              <w:rPr>
                <w:color w:val="000000"/>
                <w:kern w:val="0"/>
                <w:sz w:val="24"/>
              </w:rPr>
            </w:pPr>
          </w:p>
          <w:p>
            <w:pPr>
              <w:adjustRightInd w:val="0"/>
              <w:snapToGrid w:val="0"/>
              <w:spacing w:line="520" w:lineRule="exact"/>
              <w:ind w:firstLine="480" w:firstLineChars="200"/>
              <w:rPr>
                <w:color w:val="000000"/>
                <w:kern w:val="0"/>
                <w:sz w:val="24"/>
              </w:rPr>
            </w:pPr>
          </w:p>
          <w:p>
            <w:pPr>
              <w:adjustRightInd w:val="0"/>
              <w:snapToGrid w:val="0"/>
              <w:spacing w:line="520" w:lineRule="exact"/>
              <w:ind w:firstLine="480" w:firstLineChars="200"/>
              <w:rPr>
                <w:color w:val="000000"/>
                <w:kern w:val="0"/>
                <w:sz w:val="24"/>
              </w:rPr>
            </w:pPr>
          </w:p>
          <w:p>
            <w:pPr>
              <w:adjustRightInd w:val="0"/>
              <w:snapToGrid w:val="0"/>
              <w:spacing w:line="520" w:lineRule="exact"/>
              <w:ind w:firstLine="480" w:firstLineChars="200"/>
              <w:rPr>
                <w:color w:val="000000"/>
                <w:kern w:val="0"/>
                <w:sz w:val="24"/>
              </w:rPr>
            </w:pPr>
          </w:p>
          <w:p>
            <w:pPr>
              <w:adjustRightInd w:val="0"/>
              <w:snapToGrid w:val="0"/>
              <w:spacing w:line="520" w:lineRule="exact"/>
              <w:ind w:firstLine="480" w:firstLineChars="200"/>
              <w:rPr>
                <w:color w:val="000000"/>
                <w:kern w:val="0"/>
                <w:sz w:val="24"/>
              </w:rPr>
            </w:pPr>
          </w:p>
          <w:p>
            <w:pPr>
              <w:adjustRightInd w:val="0"/>
              <w:snapToGrid w:val="0"/>
              <w:spacing w:line="520" w:lineRule="exact"/>
              <w:ind w:firstLine="480" w:firstLineChars="200"/>
              <w:rPr>
                <w:color w:val="000000"/>
                <w:kern w:val="0"/>
                <w:sz w:val="24"/>
              </w:rPr>
            </w:pPr>
          </w:p>
          <w:p>
            <w:pPr>
              <w:adjustRightInd w:val="0"/>
              <w:snapToGrid w:val="0"/>
              <w:spacing w:line="520" w:lineRule="exact"/>
              <w:ind w:firstLine="480" w:firstLineChars="200"/>
              <w:rPr>
                <w:color w:val="000000"/>
                <w:kern w:val="0"/>
                <w:sz w:val="24"/>
              </w:rPr>
            </w:pPr>
          </w:p>
          <w:p>
            <w:pPr>
              <w:adjustRightInd w:val="0"/>
              <w:snapToGrid w:val="0"/>
              <w:spacing w:line="520" w:lineRule="exact"/>
              <w:ind w:firstLine="480" w:firstLineChars="200"/>
              <w:rPr>
                <w:color w:val="000000"/>
                <w:kern w:val="0"/>
                <w:sz w:val="24"/>
              </w:rPr>
            </w:pPr>
          </w:p>
          <w:p>
            <w:pPr>
              <w:adjustRightInd w:val="0"/>
              <w:snapToGrid w:val="0"/>
            </w:pPr>
          </w:p>
        </w:tc>
      </w:tr>
    </w:tbl>
    <w:p>
      <w:pPr>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p>
    <w:p>
      <w:pPr>
        <w:pStyle w:val="26"/>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三、区域环境质量现状、环境保护目标及评价标准</w:t>
      </w:r>
    </w:p>
    <w:tbl>
      <w:tblPr>
        <w:tblStyle w:val="30"/>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9" w:hRule="atLeast"/>
          <w:jc w:val="center"/>
        </w:trPr>
        <w:tc>
          <w:tcPr>
            <w:tcW w:w="800" w:type="dxa"/>
            <w:vAlign w:val="center"/>
          </w:tcPr>
          <w:p>
            <w:pPr>
              <w:adjustRightInd w:val="0"/>
              <w:snapToGrid w:val="0"/>
              <w:jc w:val="center"/>
              <w:rPr>
                <w:color w:val="auto"/>
                <w:kern w:val="0"/>
                <w:sz w:val="24"/>
                <w:highlight w:val="none"/>
              </w:rPr>
            </w:pPr>
            <w:r>
              <w:rPr>
                <w:color w:val="auto"/>
                <w:kern w:val="0"/>
                <w:sz w:val="24"/>
                <w:highlight w:val="none"/>
              </w:rPr>
              <w:t>区域</w:t>
            </w:r>
          </w:p>
          <w:p>
            <w:pPr>
              <w:adjustRightInd w:val="0"/>
              <w:snapToGrid w:val="0"/>
              <w:jc w:val="center"/>
              <w:rPr>
                <w:color w:val="auto"/>
                <w:kern w:val="0"/>
                <w:sz w:val="24"/>
                <w:highlight w:val="none"/>
              </w:rPr>
            </w:pPr>
            <w:r>
              <w:rPr>
                <w:color w:val="auto"/>
                <w:kern w:val="0"/>
                <w:sz w:val="24"/>
                <w:highlight w:val="none"/>
              </w:rPr>
              <w:t>环境</w:t>
            </w:r>
          </w:p>
          <w:p>
            <w:pPr>
              <w:adjustRightInd w:val="0"/>
              <w:snapToGrid w:val="0"/>
              <w:jc w:val="center"/>
              <w:rPr>
                <w:color w:val="auto"/>
                <w:kern w:val="0"/>
                <w:sz w:val="24"/>
                <w:highlight w:val="none"/>
              </w:rPr>
            </w:pPr>
            <w:r>
              <w:rPr>
                <w:color w:val="auto"/>
                <w:kern w:val="0"/>
                <w:sz w:val="24"/>
                <w:highlight w:val="none"/>
              </w:rPr>
              <w:t>质量</w:t>
            </w:r>
          </w:p>
          <w:p>
            <w:pPr>
              <w:adjustRightInd w:val="0"/>
              <w:snapToGrid w:val="0"/>
              <w:jc w:val="center"/>
              <w:rPr>
                <w:color w:val="auto"/>
                <w:kern w:val="0"/>
                <w:sz w:val="24"/>
                <w:highlight w:val="none"/>
              </w:rPr>
            </w:pPr>
            <w:r>
              <w:rPr>
                <w:color w:val="auto"/>
                <w:kern w:val="0"/>
                <w:sz w:val="24"/>
                <w:highlight w:val="none"/>
              </w:rPr>
              <w:t>现状</w:t>
            </w:r>
          </w:p>
        </w:tc>
        <w:tc>
          <w:tcPr>
            <w:tcW w:w="8190" w:type="dxa"/>
            <w:vAlign w:val="center"/>
          </w:tcPr>
          <w:p>
            <w:pPr>
              <w:bidi w:val="0"/>
              <w:spacing w:line="360" w:lineRule="auto"/>
              <w:rPr>
                <w:b/>
                <w:bCs/>
                <w:sz w:val="24"/>
                <w:szCs w:val="32"/>
              </w:rPr>
            </w:pPr>
            <w:r>
              <w:rPr>
                <w:b/>
                <w:bCs/>
                <w:sz w:val="24"/>
                <w:szCs w:val="32"/>
              </w:rPr>
              <w:t>1</w:t>
            </w:r>
            <w:r>
              <w:rPr>
                <w:rFonts w:hint="eastAsia"/>
                <w:b/>
                <w:bCs/>
                <w:sz w:val="24"/>
                <w:szCs w:val="32"/>
                <w:lang w:val="en-US" w:eastAsia="zh-CN"/>
              </w:rPr>
              <w:t>.</w:t>
            </w:r>
            <w:r>
              <w:rPr>
                <w:b/>
                <w:bCs/>
                <w:sz w:val="24"/>
                <w:szCs w:val="32"/>
              </w:rPr>
              <w:t>大气环境</w:t>
            </w:r>
          </w:p>
          <w:p>
            <w:pPr>
              <w:bidi w:val="0"/>
              <w:spacing w:line="360" w:lineRule="auto"/>
              <w:ind w:firstLine="480" w:firstLineChars="200"/>
              <w:rPr>
                <w:rFonts w:hint="eastAsia"/>
                <w:sz w:val="24"/>
                <w:szCs w:val="32"/>
              </w:rPr>
            </w:pPr>
            <w:r>
              <w:rPr>
                <w:rFonts w:hint="eastAsia"/>
                <w:sz w:val="24"/>
                <w:szCs w:val="32"/>
              </w:rPr>
              <w:t>（</w:t>
            </w:r>
            <w:r>
              <w:rPr>
                <w:rFonts w:hint="eastAsia"/>
                <w:sz w:val="24"/>
                <w:szCs w:val="32"/>
                <w:lang w:val="en-US" w:eastAsia="zh-CN"/>
              </w:rPr>
              <w:t>1</w:t>
            </w:r>
            <w:r>
              <w:rPr>
                <w:rFonts w:hint="eastAsia"/>
                <w:sz w:val="24"/>
                <w:szCs w:val="32"/>
              </w:rPr>
              <w:t>）数据来源</w:t>
            </w:r>
          </w:p>
          <w:p>
            <w:pPr>
              <w:keepNext w:val="0"/>
              <w:keepLines w:val="0"/>
              <w:widowControl/>
              <w:suppressLineNumbers w:val="0"/>
              <w:spacing w:line="360" w:lineRule="auto"/>
              <w:ind w:firstLine="480" w:firstLineChars="200"/>
              <w:jc w:val="left"/>
            </w:pPr>
            <w:r>
              <w:rPr>
                <w:rFonts w:hint="eastAsia"/>
                <w:sz w:val="24"/>
                <w:szCs w:val="22"/>
              </w:rPr>
              <w:t>本项目位于</w:t>
            </w:r>
            <w:r>
              <w:rPr>
                <w:sz w:val="24"/>
                <w:u w:val="none"/>
              </w:rPr>
              <w:t>新疆维吾尔自治区</w:t>
            </w:r>
            <w:r>
              <w:rPr>
                <w:rFonts w:hint="eastAsia"/>
                <w:sz w:val="24"/>
                <w:u w:val="none"/>
                <w:lang w:val="en-US" w:eastAsia="zh-CN"/>
              </w:rPr>
              <w:t>奇台县喇嘛湖梁工业园安宁路与兴和路交汇处</w:t>
            </w:r>
            <w:r>
              <w:rPr>
                <w:rFonts w:hint="eastAsia"/>
                <w:sz w:val="24"/>
                <w:szCs w:val="22"/>
              </w:rPr>
              <w:t>，</w:t>
            </w:r>
            <w:r>
              <w:rPr>
                <w:sz w:val="24"/>
                <w:szCs w:val="22"/>
              </w:rPr>
              <w:t>根据《环境影响评价技术导则大气环境》（HJ2.2-2018）的要求，</w:t>
            </w:r>
            <w:r>
              <w:rPr>
                <w:rFonts w:ascii="宋体" w:hAnsi="宋体" w:eastAsia="宋体" w:cs="宋体"/>
                <w:b w:val="0"/>
                <w:bCs w:val="0"/>
                <w:color w:val="000000"/>
                <w:kern w:val="0"/>
                <w:sz w:val="24"/>
                <w:szCs w:val="24"/>
                <w:lang w:val="en-US" w:eastAsia="zh-CN" w:bidi="ar"/>
              </w:rPr>
              <w:t>本次大气环境质量评价选择距离项目</w:t>
            </w:r>
            <w:r>
              <w:rPr>
                <w:rFonts w:hint="eastAsia"/>
                <w:sz w:val="24"/>
                <w:szCs w:val="24"/>
              </w:rPr>
              <w:t>最近的</w:t>
            </w:r>
            <w:r>
              <w:rPr>
                <w:rFonts w:hint="eastAsia"/>
                <w:sz w:val="24"/>
                <w:szCs w:val="24"/>
                <w:lang w:val="en-US" w:eastAsia="zh-CN"/>
              </w:rPr>
              <w:t>奇台县空气自动</w:t>
            </w:r>
            <w:r>
              <w:rPr>
                <w:rFonts w:hint="eastAsia"/>
                <w:sz w:val="24"/>
                <w:szCs w:val="24"/>
              </w:rPr>
              <w:t>站监测</w:t>
            </w:r>
            <w:r>
              <w:rPr>
                <w:rFonts w:hint="eastAsia"/>
                <w:sz w:val="24"/>
                <w:szCs w:val="24"/>
                <w:lang w:val="en-US" w:eastAsia="zh-CN"/>
              </w:rPr>
              <w:t>2022年</w:t>
            </w:r>
            <w:r>
              <w:rPr>
                <w:rFonts w:hint="eastAsia"/>
                <w:sz w:val="24"/>
                <w:szCs w:val="24"/>
              </w:rPr>
              <w:t>基准年连续1年</w:t>
            </w:r>
            <w:r>
              <w:rPr>
                <w:rFonts w:ascii="宋体" w:hAnsi="宋体" w:eastAsia="宋体" w:cs="宋体"/>
                <w:b w:val="0"/>
                <w:bCs w:val="0"/>
                <w:color w:val="000000"/>
                <w:kern w:val="0"/>
                <w:sz w:val="24"/>
                <w:szCs w:val="24"/>
                <w:lang w:val="en-US" w:eastAsia="zh-CN" w:bidi="ar"/>
              </w:rPr>
              <w:t>的监测数据，作为本项目环境空气现状评价基本污染物</w:t>
            </w:r>
            <w:r>
              <w:rPr>
                <w:rFonts w:hint="default" w:ascii="TimesNewRomanPSMT" w:hAnsi="TimesNewRomanPSMT" w:eastAsia="TimesNewRomanPSMT" w:cs="TimesNewRomanPSMT"/>
                <w:b w:val="0"/>
                <w:bCs w:val="0"/>
                <w:color w:val="000000"/>
                <w:kern w:val="0"/>
                <w:sz w:val="24"/>
                <w:szCs w:val="24"/>
                <w:lang w:val="en-US" w:eastAsia="zh-CN" w:bidi="ar"/>
              </w:rPr>
              <w:t>SO</w:t>
            </w:r>
            <w:r>
              <w:rPr>
                <w:rFonts w:hint="default" w:ascii="TimesNewRomanPSMT" w:hAnsi="TimesNewRomanPSMT" w:eastAsia="TimesNewRomanPSMT" w:cs="TimesNewRomanPSMT"/>
                <w:b w:val="0"/>
                <w:bCs w:val="0"/>
                <w:color w:val="000000"/>
                <w:kern w:val="0"/>
                <w:sz w:val="15"/>
                <w:szCs w:val="15"/>
                <w:lang w:val="en-US" w:eastAsia="zh-CN" w:bidi="ar"/>
              </w:rPr>
              <w:t>2</w:t>
            </w:r>
            <w:r>
              <w:rPr>
                <w:rFonts w:ascii="宋体" w:hAnsi="宋体" w:eastAsia="宋体" w:cs="宋体"/>
                <w:b w:val="0"/>
                <w:bCs w:val="0"/>
                <w:color w:val="000000"/>
                <w:kern w:val="0"/>
                <w:sz w:val="24"/>
                <w:szCs w:val="24"/>
                <w:lang w:val="en-US" w:eastAsia="zh-CN" w:bidi="ar"/>
              </w:rPr>
              <w:t>、</w:t>
            </w:r>
            <w:r>
              <w:rPr>
                <w:rFonts w:hint="default" w:ascii="TimesNewRomanPSMT" w:hAnsi="TimesNewRomanPSMT" w:eastAsia="TimesNewRomanPSMT" w:cs="TimesNewRomanPSMT"/>
                <w:b w:val="0"/>
                <w:bCs w:val="0"/>
                <w:color w:val="000000"/>
                <w:kern w:val="0"/>
                <w:sz w:val="24"/>
                <w:szCs w:val="24"/>
                <w:lang w:val="en-US" w:eastAsia="zh-CN" w:bidi="ar"/>
              </w:rPr>
              <w:t>NO</w:t>
            </w:r>
            <w:r>
              <w:rPr>
                <w:rFonts w:hint="default" w:ascii="TimesNewRomanPSMT" w:hAnsi="TimesNewRomanPSMT" w:eastAsia="TimesNewRomanPSMT" w:cs="TimesNewRomanPSMT"/>
                <w:b w:val="0"/>
                <w:bCs w:val="0"/>
                <w:color w:val="000000"/>
                <w:kern w:val="0"/>
                <w:sz w:val="15"/>
                <w:szCs w:val="15"/>
                <w:lang w:val="en-US" w:eastAsia="zh-CN" w:bidi="ar"/>
              </w:rPr>
              <w:t>2</w:t>
            </w:r>
            <w:r>
              <w:rPr>
                <w:rFonts w:ascii="宋体" w:hAnsi="宋体" w:eastAsia="宋体" w:cs="宋体"/>
                <w:b w:val="0"/>
                <w:bCs w:val="0"/>
                <w:color w:val="000000"/>
                <w:kern w:val="0"/>
                <w:sz w:val="24"/>
                <w:szCs w:val="24"/>
                <w:lang w:val="en-US" w:eastAsia="zh-CN" w:bidi="ar"/>
              </w:rPr>
              <w:t>、</w:t>
            </w:r>
            <w:r>
              <w:rPr>
                <w:rFonts w:hint="default" w:ascii="TimesNewRomanPSMT" w:hAnsi="TimesNewRomanPSMT" w:eastAsia="TimesNewRomanPSMT" w:cs="TimesNewRomanPSMT"/>
                <w:b w:val="0"/>
                <w:bCs w:val="0"/>
                <w:color w:val="000000"/>
                <w:kern w:val="0"/>
                <w:sz w:val="24"/>
                <w:szCs w:val="24"/>
                <w:lang w:val="en-US" w:eastAsia="zh-CN" w:bidi="ar"/>
              </w:rPr>
              <w:t>PM</w:t>
            </w:r>
            <w:r>
              <w:rPr>
                <w:rFonts w:hint="default" w:ascii="TimesNewRomanPSMT" w:hAnsi="TimesNewRomanPSMT" w:eastAsia="TimesNewRomanPSMT" w:cs="TimesNewRomanPSMT"/>
                <w:b w:val="0"/>
                <w:bCs w:val="0"/>
                <w:color w:val="000000"/>
                <w:kern w:val="0"/>
                <w:sz w:val="15"/>
                <w:szCs w:val="15"/>
                <w:lang w:val="en-US" w:eastAsia="zh-CN" w:bidi="ar"/>
              </w:rPr>
              <w:t>10</w:t>
            </w:r>
            <w:r>
              <w:rPr>
                <w:rFonts w:ascii="宋体" w:hAnsi="宋体" w:eastAsia="宋体" w:cs="宋体"/>
                <w:b w:val="0"/>
                <w:bCs w:val="0"/>
                <w:color w:val="000000"/>
                <w:kern w:val="0"/>
                <w:sz w:val="24"/>
                <w:szCs w:val="24"/>
                <w:lang w:val="en-US" w:eastAsia="zh-CN" w:bidi="ar"/>
              </w:rPr>
              <w:t>、</w:t>
            </w:r>
            <w:r>
              <w:rPr>
                <w:rFonts w:hint="default" w:ascii="TimesNewRomanPSMT" w:hAnsi="TimesNewRomanPSMT" w:eastAsia="TimesNewRomanPSMT" w:cs="TimesNewRomanPSMT"/>
                <w:b w:val="0"/>
                <w:bCs w:val="0"/>
                <w:color w:val="000000"/>
                <w:kern w:val="0"/>
                <w:sz w:val="24"/>
                <w:szCs w:val="24"/>
                <w:lang w:val="en-US" w:eastAsia="zh-CN" w:bidi="ar"/>
              </w:rPr>
              <w:t>PM</w:t>
            </w:r>
            <w:r>
              <w:rPr>
                <w:rFonts w:hint="default" w:ascii="TimesNewRomanPSMT" w:hAnsi="TimesNewRomanPSMT" w:eastAsia="TimesNewRomanPSMT" w:cs="TimesNewRomanPSMT"/>
                <w:b w:val="0"/>
                <w:bCs w:val="0"/>
                <w:color w:val="000000"/>
                <w:kern w:val="0"/>
                <w:sz w:val="15"/>
                <w:szCs w:val="15"/>
                <w:lang w:val="en-US" w:eastAsia="zh-CN" w:bidi="ar"/>
              </w:rPr>
              <w:t>2.5</w:t>
            </w:r>
            <w:r>
              <w:rPr>
                <w:rFonts w:ascii="宋体" w:hAnsi="宋体" w:eastAsia="宋体" w:cs="宋体"/>
                <w:b w:val="0"/>
                <w:bCs w:val="0"/>
                <w:color w:val="000000"/>
                <w:kern w:val="0"/>
                <w:sz w:val="24"/>
                <w:szCs w:val="24"/>
                <w:lang w:val="en-US" w:eastAsia="zh-CN" w:bidi="ar"/>
              </w:rPr>
              <w:t>、</w:t>
            </w:r>
            <w:r>
              <w:rPr>
                <w:rFonts w:hint="default" w:ascii="TimesNewRomanPSMT" w:hAnsi="TimesNewRomanPSMT" w:eastAsia="TimesNewRomanPSMT" w:cs="TimesNewRomanPSMT"/>
                <w:b w:val="0"/>
                <w:bCs w:val="0"/>
                <w:color w:val="000000"/>
                <w:kern w:val="0"/>
                <w:sz w:val="24"/>
                <w:szCs w:val="24"/>
                <w:lang w:val="en-US" w:eastAsia="zh-CN" w:bidi="ar"/>
              </w:rPr>
              <w:t>CO</w:t>
            </w:r>
            <w:r>
              <w:rPr>
                <w:rFonts w:ascii="宋体" w:hAnsi="宋体" w:eastAsia="宋体" w:cs="宋体"/>
                <w:b w:val="0"/>
                <w:bCs w:val="0"/>
                <w:color w:val="000000"/>
                <w:kern w:val="0"/>
                <w:sz w:val="24"/>
                <w:szCs w:val="24"/>
                <w:lang w:val="en-US" w:eastAsia="zh-CN" w:bidi="ar"/>
              </w:rPr>
              <w:t>和</w:t>
            </w:r>
            <w:r>
              <w:rPr>
                <w:rFonts w:hint="default" w:ascii="TimesNewRomanPSMT" w:hAnsi="TimesNewRomanPSMT" w:eastAsia="TimesNewRomanPSMT" w:cs="TimesNewRomanPSMT"/>
                <w:b w:val="0"/>
                <w:bCs w:val="0"/>
                <w:color w:val="000000"/>
                <w:kern w:val="0"/>
                <w:sz w:val="24"/>
                <w:szCs w:val="24"/>
                <w:lang w:val="en-US" w:eastAsia="zh-CN" w:bidi="ar"/>
              </w:rPr>
              <w:t>O</w:t>
            </w:r>
            <w:r>
              <w:rPr>
                <w:rFonts w:hint="default" w:ascii="TimesNewRomanPSMT" w:hAnsi="TimesNewRomanPSMT" w:eastAsia="TimesNewRomanPSMT" w:cs="TimesNewRomanPSMT"/>
                <w:b w:val="0"/>
                <w:bCs w:val="0"/>
                <w:color w:val="000000"/>
                <w:kern w:val="0"/>
                <w:sz w:val="15"/>
                <w:szCs w:val="15"/>
                <w:lang w:val="en-US" w:eastAsia="zh-CN" w:bidi="ar"/>
              </w:rPr>
              <w:t>3</w:t>
            </w:r>
            <w:r>
              <w:rPr>
                <w:rFonts w:ascii="宋体" w:hAnsi="宋体" w:eastAsia="宋体" w:cs="宋体"/>
                <w:b w:val="0"/>
                <w:bCs w:val="0"/>
                <w:color w:val="000000"/>
                <w:kern w:val="0"/>
                <w:sz w:val="24"/>
                <w:szCs w:val="24"/>
                <w:lang w:val="en-US" w:eastAsia="zh-CN" w:bidi="ar"/>
              </w:rPr>
              <w:t>的数据来源。</w:t>
            </w:r>
          </w:p>
          <w:p>
            <w:pPr>
              <w:bidi w:val="0"/>
              <w:spacing w:line="360" w:lineRule="auto"/>
              <w:ind w:firstLine="480" w:firstLineChars="200"/>
              <w:rPr>
                <w:rFonts w:hint="eastAsia"/>
                <w:sz w:val="24"/>
                <w:szCs w:val="32"/>
                <w:lang w:val="en-US" w:eastAsia="zh-CN"/>
              </w:rPr>
            </w:pPr>
            <w:r>
              <w:rPr>
                <w:rFonts w:hint="eastAsia"/>
                <w:sz w:val="24"/>
                <w:szCs w:val="32"/>
              </w:rPr>
              <w:t>（</w:t>
            </w:r>
            <w:r>
              <w:rPr>
                <w:rFonts w:hint="eastAsia"/>
                <w:sz w:val="24"/>
                <w:szCs w:val="32"/>
                <w:lang w:val="en-US" w:eastAsia="zh-CN"/>
              </w:rPr>
              <w:t>2</w:t>
            </w:r>
            <w:r>
              <w:rPr>
                <w:rFonts w:hint="eastAsia"/>
                <w:sz w:val="24"/>
                <w:szCs w:val="32"/>
              </w:rPr>
              <w:t>）评价</w:t>
            </w:r>
            <w:r>
              <w:rPr>
                <w:rFonts w:hint="eastAsia"/>
                <w:sz w:val="24"/>
                <w:szCs w:val="32"/>
                <w:lang w:val="en-US" w:eastAsia="zh-CN"/>
              </w:rPr>
              <w:t>标准</w:t>
            </w:r>
          </w:p>
          <w:p>
            <w:pPr>
              <w:bidi w:val="0"/>
              <w:spacing w:line="360" w:lineRule="auto"/>
              <w:ind w:firstLine="480" w:firstLineChars="200"/>
              <w:rPr>
                <w:sz w:val="24"/>
                <w:szCs w:val="32"/>
              </w:rPr>
            </w:pPr>
            <w:r>
              <w:rPr>
                <w:sz w:val="24"/>
                <w:szCs w:val="32"/>
              </w:rPr>
              <w:t>本次评价基本污染物执行《环境空气质量标准》（GB3095-2012）中的二级标准。</w:t>
            </w:r>
          </w:p>
          <w:p>
            <w:pPr>
              <w:numPr>
                <w:ilvl w:val="0"/>
                <w:numId w:val="0"/>
              </w:numPr>
              <w:bidi w:val="0"/>
              <w:spacing w:line="360" w:lineRule="auto"/>
              <w:ind w:left="0" w:leftChars="0" w:firstLine="480" w:firstLineChars="200"/>
              <w:rPr>
                <w:rFonts w:hint="eastAsia"/>
                <w:sz w:val="24"/>
                <w:szCs w:val="32"/>
                <w:lang w:val="en-US" w:eastAsia="zh-CN"/>
              </w:rPr>
            </w:pPr>
            <w:r>
              <w:rPr>
                <w:rFonts w:hint="eastAsia"/>
                <w:kern w:val="2"/>
                <w:sz w:val="24"/>
                <w:szCs w:val="32"/>
                <w:lang w:val="en-US" w:eastAsia="zh-CN" w:bidi="ar-SA"/>
              </w:rPr>
              <w:t>（3）</w:t>
            </w:r>
            <w:r>
              <w:rPr>
                <w:rFonts w:hint="eastAsia"/>
                <w:sz w:val="24"/>
                <w:szCs w:val="32"/>
                <w:lang w:val="en-US" w:eastAsia="zh-CN"/>
              </w:rPr>
              <w:t>评价方法</w:t>
            </w:r>
          </w:p>
          <w:p>
            <w:pPr>
              <w:adjustRightInd w:val="0"/>
              <w:snapToGrid w:val="0"/>
              <w:spacing w:line="360" w:lineRule="auto"/>
              <w:ind w:firstLine="480" w:firstLineChars="200"/>
              <w:jc w:val="left"/>
              <w:rPr>
                <w:color w:val="auto"/>
                <w:sz w:val="24"/>
                <w:highlight w:val="none"/>
              </w:rPr>
            </w:pPr>
            <w:r>
              <w:rPr>
                <w:color w:val="auto"/>
                <w:sz w:val="24"/>
                <w:highlight w:val="none"/>
              </w:rPr>
              <w:t>基本污染物按照《环境空气质量评价技术规范（试行）》（HJ 663-2013）中各评价项目的年评价指标进行判定。年评价指标中的年均浓度和相应百分位数24h平均或8h平均质量浓度满足GB3095中浓度限值要求的即为达标。对于超标的污染物，计算其超标倍数和超标率。</w:t>
            </w:r>
          </w:p>
          <w:p>
            <w:pPr>
              <w:spacing w:line="360" w:lineRule="auto"/>
              <w:ind w:firstLine="480" w:firstLineChars="200"/>
              <w:rPr>
                <w:color w:val="auto"/>
                <w:sz w:val="24"/>
                <w:highlight w:val="none"/>
              </w:rPr>
            </w:pPr>
            <w:r>
              <w:rPr>
                <w:color w:val="auto"/>
                <w:sz w:val="24"/>
                <w:highlight w:val="none"/>
              </w:rPr>
              <w:t>空气环境质量现状采用单项污染指数法、计算公式为：</w:t>
            </w:r>
          </w:p>
          <w:p>
            <w:pPr>
              <w:spacing w:line="360" w:lineRule="auto"/>
              <w:ind w:firstLine="480" w:firstLineChars="200"/>
              <w:rPr>
                <w:color w:val="auto"/>
                <w:sz w:val="24"/>
                <w:highlight w:val="none"/>
              </w:rPr>
            </w:pPr>
            <w:r>
              <w:rPr>
                <w:color w:val="auto"/>
                <w:sz w:val="24"/>
                <w:highlight w:val="none"/>
              </w:rPr>
              <w:t>超标率=超标数据个数/总监测数据个数×100%</w:t>
            </w:r>
          </w:p>
          <w:p>
            <w:pPr>
              <w:adjustRightInd w:val="0"/>
              <w:snapToGrid w:val="0"/>
              <w:spacing w:line="360" w:lineRule="auto"/>
              <w:ind w:firstLine="480"/>
              <w:jc w:val="center"/>
              <w:rPr>
                <w:rFonts w:cs="宋体"/>
                <w:color w:val="auto"/>
                <w:kern w:val="0"/>
                <w:szCs w:val="21"/>
                <w:highlight w:val="none"/>
              </w:rPr>
            </w:pPr>
            <w:r>
              <w:rPr>
                <w:rFonts w:cs="宋体"/>
                <w:color w:val="auto"/>
                <w:kern w:val="0"/>
                <w:szCs w:val="21"/>
                <w:highlight w:val="none"/>
              </w:rPr>
              <w:object>
                <v:shape id="_x0000_i1025" o:spt="75" type="#_x0000_t75" style="height:33pt;width:89.5pt;" o:ole="t" filled="f" stroked="f" coordsize="21600,21600">
                  <v:path/>
                  <v:fill on="f" focussize="0,0"/>
                  <v:stroke on="f"/>
                  <v:imagedata r:id="rId12" o:title=""/>
                  <o:lock v:ext="edit" aspectratio="t"/>
                  <w10:wrap type="none"/>
                  <w10:anchorlock/>
                </v:shape>
                <o:OLEObject Type="Embed" ProgID="Equation.AxMath" ShapeID="_x0000_i1025" DrawAspect="Content" ObjectID="_1468075725" r:id="rId11">
                  <o:LockedField>false</o:LockedField>
                </o:OLEObject>
              </w:object>
            </w:r>
          </w:p>
          <w:p>
            <w:pPr>
              <w:spacing w:line="360" w:lineRule="auto"/>
              <w:ind w:firstLine="480" w:firstLineChars="200"/>
              <w:rPr>
                <w:color w:val="auto"/>
                <w:sz w:val="24"/>
                <w:highlight w:val="none"/>
              </w:rPr>
            </w:pPr>
            <w:r>
              <w:rPr>
                <w:color w:val="auto"/>
                <w:sz w:val="24"/>
                <w:highlight w:val="none"/>
              </w:rPr>
              <w:t>式中：P</w:t>
            </w:r>
            <w:r>
              <w:rPr>
                <w:color w:val="auto"/>
                <w:sz w:val="24"/>
                <w:highlight w:val="none"/>
                <w:vertAlign w:val="subscript"/>
              </w:rPr>
              <w:t>i</w:t>
            </w:r>
            <w:r>
              <w:rPr>
                <w:color w:val="auto"/>
                <w:sz w:val="24"/>
                <w:highlight w:val="none"/>
              </w:rPr>
              <w:t>—第i个污染物的最大浓度占标率（无量纲）；</w:t>
            </w:r>
          </w:p>
          <w:p>
            <w:pPr>
              <w:spacing w:line="360" w:lineRule="auto"/>
              <w:ind w:firstLine="1200" w:firstLineChars="500"/>
              <w:rPr>
                <w:color w:val="auto"/>
                <w:sz w:val="24"/>
                <w:highlight w:val="none"/>
              </w:rPr>
            </w:pPr>
            <w:r>
              <w:rPr>
                <w:color w:val="auto"/>
                <w:sz w:val="24"/>
                <w:highlight w:val="none"/>
              </w:rPr>
              <w:t>C</w:t>
            </w:r>
            <w:r>
              <w:rPr>
                <w:color w:val="auto"/>
                <w:sz w:val="24"/>
                <w:highlight w:val="none"/>
                <w:vertAlign w:val="subscript"/>
              </w:rPr>
              <w:t>i</w:t>
            </w:r>
            <w:r>
              <w:rPr>
                <w:color w:val="auto"/>
                <w:sz w:val="24"/>
                <w:highlight w:val="none"/>
              </w:rPr>
              <w:t>—第i个污染物的最大浓度（μg/m</w:t>
            </w:r>
            <w:r>
              <w:rPr>
                <w:color w:val="auto"/>
                <w:sz w:val="24"/>
                <w:highlight w:val="none"/>
                <w:vertAlign w:val="superscript"/>
              </w:rPr>
              <w:t>3</w:t>
            </w:r>
            <w:r>
              <w:rPr>
                <w:color w:val="auto"/>
                <w:sz w:val="24"/>
                <w:highlight w:val="none"/>
              </w:rPr>
              <w:t>）；</w:t>
            </w:r>
          </w:p>
          <w:p>
            <w:pPr>
              <w:spacing w:line="360" w:lineRule="auto"/>
              <w:ind w:firstLine="1200" w:firstLineChars="500"/>
              <w:rPr>
                <w:color w:val="auto"/>
                <w:sz w:val="24"/>
                <w:highlight w:val="none"/>
              </w:rPr>
            </w:pPr>
            <w:r>
              <w:rPr>
                <w:color w:val="auto"/>
                <w:sz w:val="24"/>
                <w:highlight w:val="none"/>
              </w:rPr>
              <w:t>C</w:t>
            </w:r>
            <w:r>
              <w:rPr>
                <w:color w:val="auto"/>
                <w:sz w:val="24"/>
                <w:highlight w:val="none"/>
                <w:vertAlign w:val="subscript"/>
              </w:rPr>
              <w:t>oi</w:t>
            </w:r>
            <w:r>
              <w:rPr>
                <w:color w:val="auto"/>
                <w:sz w:val="24"/>
                <w:highlight w:val="none"/>
              </w:rPr>
              <w:t>—第i个污染物的环境空气质量浓度标准（μg/m</w:t>
            </w:r>
            <w:r>
              <w:rPr>
                <w:color w:val="auto"/>
                <w:sz w:val="24"/>
                <w:highlight w:val="none"/>
                <w:vertAlign w:val="superscript"/>
              </w:rPr>
              <w:t>3</w:t>
            </w:r>
            <w:r>
              <w:rPr>
                <w:color w:val="auto"/>
                <w:sz w:val="24"/>
                <w:highlight w:val="none"/>
              </w:rPr>
              <w:t>）。</w:t>
            </w:r>
          </w:p>
          <w:p>
            <w:pPr>
              <w:adjustRightInd w:val="0"/>
              <w:snapToGrid w:val="0"/>
              <w:spacing w:line="360" w:lineRule="auto"/>
              <w:ind w:firstLine="480" w:firstLineChars="200"/>
              <w:jc w:val="left"/>
              <w:rPr>
                <w:color w:val="auto"/>
                <w:sz w:val="24"/>
                <w:highlight w:val="none"/>
              </w:rPr>
            </w:pPr>
            <w:r>
              <w:rPr>
                <w:color w:val="auto"/>
                <w:sz w:val="24"/>
                <w:highlight w:val="none"/>
              </w:rPr>
              <w:t>当P</w:t>
            </w:r>
            <w:r>
              <w:rPr>
                <w:color w:val="auto"/>
                <w:sz w:val="24"/>
                <w:highlight w:val="none"/>
                <w:vertAlign w:val="subscript"/>
              </w:rPr>
              <w:t>i</w:t>
            </w:r>
            <w:r>
              <w:rPr>
                <w:color w:val="auto"/>
                <w:sz w:val="24"/>
                <w:highlight w:val="none"/>
              </w:rPr>
              <w:t>＞1时，说明环境中i污染物含量超过标准值，当P</w:t>
            </w:r>
            <w:r>
              <w:rPr>
                <w:color w:val="auto"/>
                <w:sz w:val="24"/>
                <w:highlight w:val="none"/>
                <w:vertAlign w:val="subscript"/>
              </w:rPr>
              <w:t>i</w:t>
            </w:r>
            <w:r>
              <w:rPr>
                <w:color w:val="auto"/>
                <w:sz w:val="24"/>
                <w:highlight w:val="none"/>
              </w:rPr>
              <w:t>≤1时，则说明i污染物符合标准。某污染物的Pi值越大，则污染相对越严重。</w:t>
            </w:r>
          </w:p>
          <w:p>
            <w:pPr>
              <w:adjustRightInd w:val="0"/>
              <w:snapToGrid w:val="0"/>
              <w:spacing w:line="360" w:lineRule="auto"/>
              <w:ind w:firstLine="420" w:firstLineChars="200"/>
              <w:jc w:val="left"/>
              <w:rPr>
                <w:color w:val="auto"/>
                <w:sz w:val="24"/>
                <w:highlight w:val="none"/>
              </w:rPr>
            </w:pPr>
            <w:r>
              <w:rPr>
                <w:rFonts w:hint="eastAsia"/>
                <w:lang w:eastAsia="zh-CN"/>
              </w:rPr>
              <w:t>（</w:t>
            </w:r>
            <w:r>
              <w:rPr>
                <w:rFonts w:hint="eastAsia"/>
                <w:lang w:val="en-US" w:eastAsia="zh-CN"/>
              </w:rPr>
              <w:t>4</w:t>
            </w:r>
            <w:r>
              <w:rPr>
                <w:rFonts w:hint="eastAsia"/>
                <w:lang w:eastAsia="zh-CN"/>
              </w:rPr>
              <w:t>）</w:t>
            </w:r>
            <w:r>
              <w:rPr>
                <w:color w:val="auto"/>
                <w:sz w:val="24"/>
                <w:highlight w:val="none"/>
              </w:rPr>
              <w:t>基本污染物监测及评价</w:t>
            </w:r>
          </w:p>
          <w:p>
            <w:pPr>
              <w:bidi w:val="0"/>
              <w:ind w:firstLine="480" w:firstLineChars="200"/>
              <w:rPr>
                <w:rFonts w:hint="default" w:eastAsia="宋体"/>
                <w:sz w:val="24"/>
                <w:szCs w:val="32"/>
                <w:lang w:val="en-US" w:eastAsia="zh-CN"/>
              </w:rPr>
            </w:pPr>
            <w:r>
              <w:rPr>
                <w:color w:val="auto"/>
                <w:sz w:val="24"/>
                <w:szCs w:val="32"/>
                <w:highlight w:val="none"/>
              </w:rPr>
              <w:t>项目区大气环境质量现状监测结果见表</w:t>
            </w:r>
            <w:r>
              <w:rPr>
                <w:rFonts w:hint="eastAsia"/>
                <w:color w:val="auto"/>
                <w:sz w:val="24"/>
                <w:szCs w:val="32"/>
                <w:highlight w:val="none"/>
                <w:lang w:val="en-US" w:eastAsia="zh-CN"/>
              </w:rPr>
              <w:t>3-1</w:t>
            </w:r>
          </w:p>
          <w:p>
            <w:pPr>
              <w:bidi w:val="0"/>
              <w:jc w:val="center"/>
              <w:rPr>
                <w:b/>
                <w:bCs/>
              </w:rPr>
            </w:pPr>
            <w:r>
              <w:rPr>
                <w:b/>
                <w:bCs/>
              </w:rPr>
              <w:t>表</w:t>
            </w:r>
            <w:r>
              <w:rPr>
                <w:rFonts w:hint="eastAsia"/>
                <w:b/>
                <w:bCs/>
                <w:lang w:val="en-US" w:eastAsia="zh-CN"/>
              </w:rPr>
              <w:t>3-1</w:t>
            </w:r>
            <w:r>
              <w:rPr>
                <w:b/>
                <w:bCs/>
              </w:rPr>
              <w:t xml:space="preserve">   环境空气质量现状评价结果</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216"/>
              <w:gridCol w:w="1361"/>
              <w:gridCol w:w="1232"/>
              <w:gridCol w:w="1032"/>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pct"/>
                  <w:noWrap w:val="0"/>
                  <w:vAlign w:val="center"/>
                </w:tcPr>
                <w:p>
                  <w:pPr>
                    <w:bidi w:val="0"/>
                    <w:jc w:val="center"/>
                  </w:pPr>
                  <w:r>
                    <w:t>监测因子</w:t>
                  </w:r>
                </w:p>
              </w:tc>
              <w:tc>
                <w:tcPr>
                  <w:tcW w:w="1391" w:type="pct"/>
                  <w:noWrap w:val="0"/>
                  <w:vAlign w:val="center"/>
                </w:tcPr>
                <w:p>
                  <w:pPr>
                    <w:bidi w:val="0"/>
                    <w:jc w:val="center"/>
                  </w:pPr>
                  <w:r>
                    <w:t>评价指标</w:t>
                  </w:r>
                </w:p>
              </w:tc>
              <w:tc>
                <w:tcPr>
                  <w:tcW w:w="854" w:type="pct"/>
                  <w:noWrap w:val="0"/>
                  <w:vAlign w:val="center"/>
                </w:tcPr>
                <w:p>
                  <w:pPr>
                    <w:bidi w:val="0"/>
                    <w:jc w:val="center"/>
                    <w:rPr>
                      <w:highlight w:val="none"/>
                    </w:rPr>
                  </w:pPr>
                  <w:r>
                    <w:rPr>
                      <w:highlight w:val="none"/>
                    </w:rPr>
                    <w:t>现状浓度（μg/m</w:t>
                  </w:r>
                  <w:r>
                    <w:rPr>
                      <w:highlight w:val="none"/>
                      <w:vertAlign w:val="superscript"/>
                    </w:rPr>
                    <w:t>3</w:t>
                  </w:r>
                  <w:r>
                    <w:rPr>
                      <w:highlight w:val="none"/>
                    </w:rPr>
                    <w:t>）</w:t>
                  </w:r>
                </w:p>
              </w:tc>
              <w:tc>
                <w:tcPr>
                  <w:tcW w:w="773" w:type="pct"/>
                  <w:noWrap w:val="0"/>
                  <w:vAlign w:val="center"/>
                </w:tcPr>
                <w:p>
                  <w:pPr>
                    <w:bidi w:val="0"/>
                    <w:jc w:val="center"/>
                    <w:rPr>
                      <w:highlight w:val="none"/>
                    </w:rPr>
                  </w:pPr>
                  <w:r>
                    <w:rPr>
                      <w:highlight w:val="none"/>
                    </w:rPr>
                    <w:t>标准值</w:t>
                  </w:r>
                </w:p>
                <w:p>
                  <w:pPr>
                    <w:bidi w:val="0"/>
                    <w:jc w:val="center"/>
                    <w:rPr>
                      <w:highlight w:val="none"/>
                    </w:rPr>
                  </w:pPr>
                  <w:r>
                    <w:rPr>
                      <w:highlight w:val="none"/>
                    </w:rPr>
                    <w:t>（μg/m</w:t>
                  </w:r>
                  <w:r>
                    <w:rPr>
                      <w:highlight w:val="none"/>
                      <w:vertAlign w:val="superscript"/>
                    </w:rPr>
                    <w:t>3</w:t>
                  </w:r>
                  <w:r>
                    <w:rPr>
                      <w:highlight w:val="none"/>
                    </w:rPr>
                    <w:t>）</w:t>
                  </w:r>
                </w:p>
              </w:tc>
              <w:tc>
                <w:tcPr>
                  <w:tcW w:w="648" w:type="pct"/>
                  <w:noWrap w:val="0"/>
                  <w:vAlign w:val="center"/>
                </w:tcPr>
                <w:p>
                  <w:pPr>
                    <w:bidi w:val="0"/>
                    <w:jc w:val="center"/>
                  </w:pPr>
                  <w:r>
                    <w:rPr>
                      <w:rFonts w:hint="default" w:ascii="Times New Roman" w:hAnsi="Times New Roman" w:eastAsia="宋体" w:cs="Times New Roman"/>
                      <w:sz w:val="21"/>
                      <w:szCs w:val="21"/>
                    </w:rPr>
                    <w:t>占标率/%</w:t>
                  </w:r>
                </w:p>
              </w:tc>
              <w:tc>
                <w:tcPr>
                  <w:tcW w:w="648" w:type="pct"/>
                  <w:noWrap w:val="0"/>
                  <w:vAlign w:val="center"/>
                </w:tcPr>
                <w:p>
                  <w:pPr>
                    <w:bidi w:val="0"/>
                    <w:jc w:val="center"/>
                  </w:pPr>
                  <w: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pct"/>
                  <w:noWrap w:val="0"/>
                  <w:vAlign w:val="center"/>
                </w:tcPr>
                <w:p>
                  <w:pPr>
                    <w:bidi w:val="0"/>
                    <w:jc w:val="center"/>
                  </w:pPr>
                  <w:r>
                    <w:t>SO</w:t>
                  </w:r>
                  <w:r>
                    <w:rPr>
                      <w:vertAlign w:val="subscript"/>
                    </w:rPr>
                    <w:t>2</w:t>
                  </w:r>
                </w:p>
              </w:tc>
              <w:tc>
                <w:tcPr>
                  <w:tcW w:w="1391" w:type="pct"/>
                  <w:noWrap w:val="0"/>
                  <w:vAlign w:val="center"/>
                </w:tcPr>
                <w:p>
                  <w:pPr>
                    <w:bidi w:val="0"/>
                    <w:jc w:val="center"/>
                  </w:pPr>
                  <w:r>
                    <w:t>年平均值</w:t>
                  </w:r>
                </w:p>
              </w:tc>
              <w:tc>
                <w:tcPr>
                  <w:tcW w:w="854" w:type="pct"/>
                  <w:noWrap w:val="0"/>
                  <w:vAlign w:val="center"/>
                </w:tcPr>
                <w:p>
                  <w:pPr>
                    <w:bidi w:val="0"/>
                    <w:jc w:val="center"/>
                    <w:rPr>
                      <w:rFonts w:hint="eastAsia" w:eastAsia="宋体"/>
                      <w:lang w:eastAsia="zh-CN"/>
                    </w:rPr>
                  </w:pPr>
                  <w:r>
                    <w:rPr>
                      <w:rFonts w:hint="eastAsia"/>
                      <w:lang w:val="en-US" w:eastAsia="zh-CN"/>
                    </w:rPr>
                    <w:t>7</w:t>
                  </w:r>
                </w:p>
              </w:tc>
              <w:tc>
                <w:tcPr>
                  <w:tcW w:w="773" w:type="pct"/>
                  <w:noWrap w:val="0"/>
                  <w:vAlign w:val="center"/>
                </w:tcPr>
                <w:p>
                  <w:pPr>
                    <w:bidi w:val="0"/>
                    <w:jc w:val="center"/>
                  </w:pPr>
                  <w:r>
                    <w:t>60</w:t>
                  </w:r>
                </w:p>
              </w:tc>
              <w:tc>
                <w:tcPr>
                  <w:tcW w:w="648" w:type="pct"/>
                  <w:noWrap w:val="0"/>
                  <w:vAlign w:val="center"/>
                </w:tcPr>
                <w:p>
                  <w:pPr>
                    <w:bidi w:val="0"/>
                    <w:jc w:val="center"/>
                    <w:rPr>
                      <w:rFonts w:hint="default" w:eastAsia="宋体"/>
                      <w:lang w:val="en-US" w:eastAsia="zh-CN"/>
                    </w:rPr>
                  </w:pPr>
                  <w:r>
                    <w:rPr>
                      <w:rFonts w:hint="eastAsia"/>
                      <w:lang w:val="en-US" w:eastAsia="zh-CN"/>
                    </w:rPr>
                    <w:t>11.67</w:t>
                  </w:r>
                </w:p>
              </w:tc>
              <w:tc>
                <w:tcPr>
                  <w:tcW w:w="648" w:type="pct"/>
                  <w:noWrap w:val="0"/>
                  <w:vAlign w:val="center"/>
                </w:tcPr>
                <w:p>
                  <w:pPr>
                    <w:bidi w:val="0"/>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pct"/>
                  <w:noWrap w:val="0"/>
                  <w:vAlign w:val="center"/>
                </w:tcPr>
                <w:p>
                  <w:pPr>
                    <w:bidi w:val="0"/>
                    <w:jc w:val="center"/>
                  </w:pPr>
                  <w:r>
                    <w:t>NO</w:t>
                  </w:r>
                  <w:r>
                    <w:rPr>
                      <w:vertAlign w:val="subscript"/>
                    </w:rPr>
                    <w:t>2</w:t>
                  </w:r>
                </w:p>
              </w:tc>
              <w:tc>
                <w:tcPr>
                  <w:tcW w:w="1391" w:type="pct"/>
                  <w:noWrap w:val="0"/>
                  <w:vAlign w:val="center"/>
                </w:tcPr>
                <w:p>
                  <w:pPr>
                    <w:bidi w:val="0"/>
                    <w:jc w:val="center"/>
                  </w:pPr>
                  <w:r>
                    <w:t>年平均值</w:t>
                  </w:r>
                </w:p>
              </w:tc>
              <w:tc>
                <w:tcPr>
                  <w:tcW w:w="854" w:type="pct"/>
                  <w:noWrap w:val="0"/>
                  <w:vAlign w:val="center"/>
                </w:tcPr>
                <w:p>
                  <w:pPr>
                    <w:bidi w:val="0"/>
                    <w:jc w:val="center"/>
                    <w:rPr>
                      <w:rFonts w:hint="default" w:eastAsia="宋体"/>
                      <w:lang w:val="en-US" w:eastAsia="zh-CN"/>
                    </w:rPr>
                  </w:pPr>
                  <w:r>
                    <w:rPr>
                      <w:rFonts w:hint="eastAsia"/>
                      <w:lang w:val="en-US" w:eastAsia="zh-CN"/>
                    </w:rPr>
                    <w:t>16</w:t>
                  </w:r>
                </w:p>
              </w:tc>
              <w:tc>
                <w:tcPr>
                  <w:tcW w:w="773" w:type="pct"/>
                  <w:noWrap w:val="0"/>
                  <w:vAlign w:val="center"/>
                </w:tcPr>
                <w:p>
                  <w:pPr>
                    <w:bidi w:val="0"/>
                    <w:jc w:val="center"/>
                  </w:pPr>
                  <w:r>
                    <w:t>40</w:t>
                  </w:r>
                </w:p>
              </w:tc>
              <w:tc>
                <w:tcPr>
                  <w:tcW w:w="648" w:type="pct"/>
                  <w:noWrap w:val="0"/>
                  <w:vAlign w:val="center"/>
                </w:tcPr>
                <w:p>
                  <w:pPr>
                    <w:bidi w:val="0"/>
                    <w:jc w:val="center"/>
                    <w:rPr>
                      <w:rFonts w:hint="default" w:eastAsia="宋体"/>
                      <w:lang w:val="en-US" w:eastAsia="zh-CN"/>
                    </w:rPr>
                  </w:pPr>
                  <w:r>
                    <w:rPr>
                      <w:rFonts w:hint="eastAsia"/>
                      <w:lang w:val="en-US" w:eastAsia="zh-CN"/>
                    </w:rPr>
                    <w:t>40</w:t>
                  </w:r>
                </w:p>
              </w:tc>
              <w:tc>
                <w:tcPr>
                  <w:tcW w:w="648" w:type="pct"/>
                  <w:noWrap w:val="0"/>
                  <w:vAlign w:val="center"/>
                </w:tcPr>
                <w:p>
                  <w:pPr>
                    <w:bidi w:val="0"/>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pct"/>
                  <w:noWrap w:val="0"/>
                  <w:vAlign w:val="center"/>
                </w:tcPr>
                <w:p>
                  <w:pPr>
                    <w:bidi w:val="0"/>
                    <w:jc w:val="center"/>
                  </w:pPr>
                  <w:r>
                    <w:t>PM</w:t>
                  </w:r>
                  <w:r>
                    <w:rPr>
                      <w:vertAlign w:val="subscript"/>
                    </w:rPr>
                    <w:t>10</w:t>
                  </w:r>
                </w:p>
              </w:tc>
              <w:tc>
                <w:tcPr>
                  <w:tcW w:w="1391" w:type="pct"/>
                  <w:noWrap w:val="0"/>
                  <w:vAlign w:val="center"/>
                </w:tcPr>
                <w:p>
                  <w:pPr>
                    <w:bidi w:val="0"/>
                    <w:jc w:val="center"/>
                  </w:pPr>
                  <w:r>
                    <w:t>年平均值</w:t>
                  </w:r>
                </w:p>
              </w:tc>
              <w:tc>
                <w:tcPr>
                  <w:tcW w:w="854" w:type="pct"/>
                  <w:noWrap w:val="0"/>
                  <w:vAlign w:val="center"/>
                </w:tcPr>
                <w:p>
                  <w:pPr>
                    <w:bidi w:val="0"/>
                    <w:jc w:val="center"/>
                    <w:rPr>
                      <w:rFonts w:hint="default" w:eastAsia="宋体"/>
                      <w:lang w:val="en-US" w:eastAsia="zh-CN"/>
                    </w:rPr>
                  </w:pPr>
                  <w:r>
                    <w:rPr>
                      <w:rFonts w:hint="eastAsia"/>
                      <w:lang w:val="en-US" w:eastAsia="zh-CN"/>
                    </w:rPr>
                    <w:t>62</w:t>
                  </w:r>
                </w:p>
              </w:tc>
              <w:tc>
                <w:tcPr>
                  <w:tcW w:w="773" w:type="pct"/>
                  <w:noWrap w:val="0"/>
                  <w:vAlign w:val="center"/>
                </w:tcPr>
                <w:p>
                  <w:pPr>
                    <w:bidi w:val="0"/>
                    <w:jc w:val="center"/>
                  </w:pPr>
                  <w:r>
                    <w:t>70</w:t>
                  </w:r>
                </w:p>
              </w:tc>
              <w:tc>
                <w:tcPr>
                  <w:tcW w:w="648" w:type="pct"/>
                  <w:noWrap w:val="0"/>
                  <w:vAlign w:val="center"/>
                </w:tcPr>
                <w:p>
                  <w:pPr>
                    <w:bidi w:val="0"/>
                    <w:jc w:val="center"/>
                    <w:rPr>
                      <w:rFonts w:hint="default" w:eastAsia="宋体"/>
                      <w:lang w:val="en-US" w:eastAsia="zh-CN"/>
                    </w:rPr>
                  </w:pPr>
                  <w:r>
                    <w:rPr>
                      <w:rFonts w:hint="eastAsia"/>
                      <w:lang w:val="en-US" w:eastAsia="zh-CN"/>
                    </w:rPr>
                    <w:t>88.57</w:t>
                  </w:r>
                </w:p>
              </w:tc>
              <w:tc>
                <w:tcPr>
                  <w:tcW w:w="648" w:type="pct"/>
                  <w:noWrap w:val="0"/>
                  <w:vAlign w:val="center"/>
                </w:tcPr>
                <w:p>
                  <w:pPr>
                    <w:bidi w:val="0"/>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pct"/>
                  <w:noWrap w:val="0"/>
                  <w:vAlign w:val="center"/>
                </w:tcPr>
                <w:p>
                  <w:pPr>
                    <w:bidi w:val="0"/>
                    <w:jc w:val="center"/>
                  </w:pPr>
                  <w:r>
                    <w:t>PM</w:t>
                  </w:r>
                  <w:r>
                    <w:rPr>
                      <w:vertAlign w:val="subscript"/>
                    </w:rPr>
                    <w:t>2.5</w:t>
                  </w:r>
                </w:p>
              </w:tc>
              <w:tc>
                <w:tcPr>
                  <w:tcW w:w="1391" w:type="pct"/>
                  <w:noWrap w:val="0"/>
                  <w:vAlign w:val="center"/>
                </w:tcPr>
                <w:p>
                  <w:pPr>
                    <w:bidi w:val="0"/>
                    <w:jc w:val="center"/>
                  </w:pPr>
                  <w:r>
                    <w:t>年平均值</w:t>
                  </w:r>
                </w:p>
              </w:tc>
              <w:tc>
                <w:tcPr>
                  <w:tcW w:w="854" w:type="pct"/>
                  <w:noWrap w:val="0"/>
                  <w:vAlign w:val="center"/>
                </w:tcPr>
                <w:p>
                  <w:pPr>
                    <w:bidi w:val="0"/>
                    <w:jc w:val="center"/>
                    <w:rPr>
                      <w:rFonts w:hint="default" w:eastAsia="宋体"/>
                      <w:lang w:val="en-US" w:eastAsia="zh-CN"/>
                    </w:rPr>
                  </w:pPr>
                  <w:r>
                    <w:rPr>
                      <w:rFonts w:hint="eastAsia"/>
                      <w:lang w:val="en-US" w:eastAsia="zh-CN"/>
                    </w:rPr>
                    <w:t>29</w:t>
                  </w:r>
                </w:p>
              </w:tc>
              <w:tc>
                <w:tcPr>
                  <w:tcW w:w="773" w:type="pct"/>
                  <w:noWrap w:val="0"/>
                  <w:vAlign w:val="center"/>
                </w:tcPr>
                <w:p>
                  <w:pPr>
                    <w:bidi w:val="0"/>
                    <w:jc w:val="center"/>
                  </w:pPr>
                  <w:r>
                    <w:t>35</w:t>
                  </w:r>
                </w:p>
              </w:tc>
              <w:tc>
                <w:tcPr>
                  <w:tcW w:w="648" w:type="pct"/>
                  <w:noWrap w:val="0"/>
                  <w:vAlign w:val="center"/>
                </w:tcPr>
                <w:p>
                  <w:pPr>
                    <w:bidi w:val="0"/>
                    <w:jc w:val="center"/>
                    <w:rPr>
                      <w:rFonts w:hint="default" w:eastAsia="宋体"/>
                      <w:lang w:val="en-US" w:eastAsia="zh-CN"/>
                    </w:rPr>
                  </w:pPr>
                  <w:r>
                    <w:rPr>
                      <w:rFonts w:hint="eastAsia"/>
                      <w:lang w:val="en-US" w:eastAsia="zh-CN"/>
                    </w:rPr>
                    <w:t>82.86</w:t>
                  </w:r>
                </w:p>
              </w:tc>
              <w:tc>
                <w:tcPr>
                  <w:tcW w:w="648" w:type="pct"/>
                  <w:noWrap w:val="0"/>
                  <w:vAlign w:val="center"/>
                </w:tcPr>
                <w:p>
                  <w:pPr>
                    <w:bidi w:val="0"/>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pct"/>
                  <w:noWrap w:val="0"/>
                  <w:vAlign w:val="center"/>
                </w:tcPr>
                <w:p>
                  <w:pPr>
                    <w:bidi w:val="0"/>
                    <w:jc w:val="center"/>
                  </w:pPr>
                  <w:r>
                    <w:t>CO</w:t>
                  </w:r>
                </w:p>
              </w:tc>
              <w:tc>
                <w:tcPr>
                  <w:tcW w:w="1391" w:type="pct"/>
                  <w:noWrap w:val="0"/>
                  <w:vAlign w:val="center"/>
                </w:tcPr>
                <w:p>
                  <w:pPr>
                    <w:bidi w:val="0"/>
                    <w:jc w:val="center"/>
                  </w:pPr>
                  <w:r>
                    <w:t>日平均值</w:t>
                  </w:r>
                </w:p>
              </w:tc>
              <w:tc>
                <w:tcPr>
                  <w:tcW w:w="854" w:type="pct"/>
                  <w:noWrap w:val="0"/>
                  <w:vAlign w:val="center"/>
                </w:tcPr>
                <w:p>
                  <w:pPr>
                    <w:bidi w:val="0"/>
                    <w:jc w:val="center"/>
                    <w:rPr>
                      <w:rFonts w:hint="default"/>
                      <w:lang w:val="en-US" w:eastAsia="zh-CN"/>
                    </w:rPr>
                  </w:pPr>
                  <w:r>
                    <w:rPr>
                      <w:rFonts w:hint="eastAsia"/>
                      <w:lang w:val="en-US" w:eastAsia="zh-CN"/>
                    </w:rPr>
                    <w:t>1000</w:t>
                  </w:r>
                </w:p>
              </w:tc>
              <w:tc>
                <w:tcPr>
                  <w:tcW w:w="773" w:type="pct"/>
                  <w:noWrap w:val="0"/>
                  <w:vAlign w:val="center"/>
                </w:tcPr>
                <w:p>
                  <w:pPr>
                    <w:bidi w:val="0"/>
                    <w:jc w:val="center"/>
                    <w:rPr>
                      <w:rFonts w:hint="default" w:eastAsia="宋体"/>
                      <w:lang w:val="en-US" w:eastAsia="zh-CN"/>
                    </w:rPr>
                  </w:pPr>
                  <w:r>
                    <w:t>4</w:t>
                  </w:r>
                  <w:r>
                    <w:rPr>
                      <w:rFonts w:hint="eastAsia"/>
                      <w:lang w:val="en-US" w:eastAsia="zh-CN"/>
                    </w:rPr>
                    <w:t>000</w:t>
                  </w:r>
                </w:p>
              </w:tc>
              <w:tc>
                <w:tcPr>
                  <w:tcW w:w="648" w:type="pct"/>
                  <w:noWrap w:val="0"/>
                  <w:vAlign w:val="center"/>
                </w:tcPr>
                <w:p>
                  <w:pPr>
                    <w:bidi w:val="0"/>
                    <w:jc w:val="center"/>
                    <w:rPr>
                      <w:rFonts w:hint="default" w:eastAsia="宋体"/>
                      <w:lang w:val="en-US" w:eastAsia="zh-CN"/>
                    </w:rPr>
                  </w:pPr>
                  <w:r>
                    <w:rPr>
                      <w:rFonts w:hint="eastAsia"/>
                      <w:lang w:val="en-US" w:eastAsia="zh-CN"/>
                    </w:rPr>
                    <w:t>25</w:t>
                  </w:r>
                </w:p>
              </w:tc>
              <w:tc>
                <w:tcPr>
                  <w:tcW w:w="648" w:type="pct"/>
                  <w:noWrap w:val="0"/>
                  <w:vAlign w:val="center"/>
                </w:tcPr>
                <w:p>
                  <w:pPr>
                    <w:bidi w:val="0"/>
                    <w:jc w:val="cente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pct"/>
                  <w:noWrap w:val="0"/>
                  <w:vAlign w:val="center"/>
                </w:tcPr>
                <w:p>
                  <w:pPr>
                    <w:bidi w:val="0"/>
                    <w:jc w:val="center"/>
                  </w:pPr>
                  <w:r>
                    <w:t>O</w:t>
                  </w:r>
                  <w:r>
                    <w:rPr>
                      <w:vertAlign w:val="subscript"/>
                    </w:rPr>
                    <w:t>3</w:t>
                  </w:r>
                </w:p>
              </w:tc>
              <w:tc>
                <w:tcPr>
                  <w:tcW w:w="1391" w:type="pct"/>
                  <w:noWrap w:val="0"/>
                  <w:vAlign w:val="center"/>
                </w:tcPr>
                <w:p>
                  <w:pPr>
                    <w:bidi w:val="0"/>
                    <w:jc w:val="center"/>
                  </w:pPr>
                  <w:r>
                    <w:t>日最大8小时平均值</w:t>
                  </w:r>
                </w:p>
              </w:tc>
              <w:tc>
                <w:tcPr>
                  <w:tcW w:w="854" w:type="pct"/>
                  <w:noWrap w:val="0"/>
                  <w:vAlign w:val="center"/>
                </w:tcPr>
                <w:p>
                  <w:pPr>
                    <w:bidi w:val="0"/>
                    <w:jc w:val="center"/>
                    <w:rPr>
                      <w:rFonts w:hint="default"/>
                      <w:lang w:val="en-US" w:eastAsia="zh-CN"/>
                    </w:rPr>
                  </w:pPr>
                  <w:r>
                    <w:rPr>
                      <w:rFonts w:hint="eastAsia"/>
                      <w:lang w:val="en-US" w:eastAsia="zh-CN"/>
                    </w:rPr>
                    <w:t>93</w:t>
                  </w:r>
                </w:p>
              </w:tc>
              <w:tc>
                <w:tcPr>
                  <w:tcW w:w="773" w:type="pct"/>
                  <w:noWrap w:val="0"/>
                  <w:vAlign w:val="center"/>
                </w:tcPr>
                <w:p>
                  <w:pPr>
                    <w:bidi w:val="0"/>
                    <w:jc w:val="center"/>
                  </w:pPr>
                  <w:r>
                    <w:t>160</w:t>
                  </w:r>
                </w:p>
              </w:tc>
              <w:tc>
                <w:tcPr>
                  <w:tcW w:w="648" w:type="pct"/>
                  <w:noWrap w:val="0"/>
                  <w:vAlign w:val="center"/>
                </w:tcPr>
                <w:p>
                  <w:pPr>
                    <w:bidi w:val="0"/>
                    <w:jc w:val="center"/>
                    <w:rPr>
                      <w:rFonts w:hint="default" w:eastAsia="宋体"/>
                      <w:lang w:val="en-US" w:eastAsia="zh-CN"/>
                    </w:rPr>
                  </w:pPr>
                  <w:r>
                    <w:rPr>
                      <w:rFonts w:hint="eastAsia"/>
                      <w:lang w:val="en-US" w:eastAsia="zh-CN"/>
                    </w:rPr>
                    <w:t>58.13</w:t>
                  </w:r>
                </w:p>
              </w:tc>
              <w:tc>
                <w:tcPr>
                  <w:tcW w:w="648" w:type="pct"/>
                  <w:noWrap w:val="0"/>
                  <w:vAlign w:val="center"/>
                </w:tcPr>
                <w:p>
                  <w:pPr>
                    <w:bidi w:val="0"/>
                    <w:jc w:val="center"/>
                  </w:pPr>
                  <w:r>
                    <w:t>达标</w:t>
                  </w:r>
                </w:p>
              </w:tc>
            </w:tr>
          </w:tbl>
          <w:p>
            <w:pPr>
              <w:bidi w:val="0"/>
              <w:spacing w:line="360" w:lineRule="auto"/>
              <w:ind w:firstLine="480" w:firstLineChars="200"/>
              <w:rPr>
                <w:rFonts w:hint="eastAsia" w:eastAsia="宋体"/>
                <w:sz w:val="24"/>
                <w:szCs w:val="24"/>
                <w:lang w:eastAsia="zh-CN"/>
              </w:rPr>
            </w:pPr>
            <w:r>
              <w:rPr>
                <w:sz w:val="24"/>
                <w:szCs w:val="24"/>
              </w:rPr>
              <w:t>由监测结果表明：</w:t>
            </w:r>
            <w:r>
              <w:rPr>
                <w:rFonts w:hint="default" w:ascii="Times New Roman" w:hAnsi="Times New Roman" w:eastAsia="宋体" w:cs="Times New Roman"/>
                <w:b w:val="0"/>
                <w:bCs/>
                <w:sz w:val="24"/>
                <w:szCs w:val="24"/>
                <w:lang w:bidi="ar"/>
              </w:rPr>
              <w:t>项目所在区域SO</w:t>
            </w:r>
            <w:r>
              <w:rPr>
                <w:rFonts w:hint="default" w:ascii="Times New Roman" w:hAnsi="Times New Roman" w:eastAsia="宋体" w:cs="Times New Roman"/>
                <w:b w:val="0"/>
                <w:bCs/>
                <w:sz w:val="24"/>
                <w:szCs w:val="24"/>
                <w:vertAlign w:val="subscript"/>
                <w:lang w:bidi="ar"/>
              </w:rPr>
              <w:t>2</w:t>
            </w:r>
            <w:r>
              <w:rPr>
                <w:rFonts w:hint="default" w:ascii="Times New Roman" w:hAnsi="Times New Roman" w:eastAsia="宋体" w:cs="Times New Roman"/>
                <w:b w:val="0"/>
                <w:bCs/>
                <w:sz w:val="24"/>
                <w:szCs w:val="24"/>
                <w:lang w:bidi="ar"/>
              </w:rPr>
              <w:t>、PM</w:t>
            </w:r>
            <w:r>
              <w:rPr>
                <w:rFonts w:hint="default" w:ascii="Times New Roman" w:hAnsi="Times New Roman" w:eastAsia="宋体" w:cs="Times New Roman"/>
                <w:b w:val="0"/>
                <w:bCs/>
                <w:sz w:val="24"/>
                <w:szCs w:val="24"/>
                <w:vertAlign w:val="subscript"/>
                <w:lang w:bidi="ar"/>
              </w:rPr>
              <w:t>2.5</w:t>
            </w:r>
            <w:r>
              <w:rPr>
                <w:rFonts w:hint="default" w:ascii="Times New Roman" w:hAnsi="Times New Roman" w:eastAsia="宋体" w:cs="Times New Roman"/>
                <w:b w:val="0"/>
                <w:bCs/>
                <w:sz w:val="24"/>
                <w:szCs w:val="24"/>
                <w:lang w:bidi="ar"/>
              </w:rPr>
              <w:t>、PM</w:t>
            </w:r>
            <w:r>
              <w:rPr>
                <w:rFonts w:hint="default" w:ascii="Times New Roman" w:hAnsi="Times New Roman" w:eastAsia="宋体" w:cs="Times New Roman"/>
                <w:b w:val="0"/>
                <w:bCs/>
                <w:sz w:val="24"/>
                <w:szCs w:val="24"/>
                <w:vertAlign w:val="subscript"/>
                <w:lang w:bidi="ar"/>
              </w:rPr>
              <w:t>10</w:t>
            </w:r>
            <w:r>
              <w:rPr>
                <w:rFonts w:hint="default" w:ascii="Times New Roman" w:hAnsi="Times New Roman" w:eastAsia="宋体" w:cs="Times New Roman"/>
                <w:b w:val="0"/>
                <w:bCs/>
                <w:sz w:val="24"/>
                <w:szCs w:val="24"/>
                <w:lang w:bidi="ar"/>
              </w:rPr>
              <w:t>、NO</w:t>
            </w:r>
            <w:r>
              <w:rPr>
                <w:rFonts w:hint="default" w:ascii="Times New Roman" w:hAnsi="Times New Roman" w:eastAsia="宋体" w:cs="Times New Roman"/>
                <w:b w:val="0"/>
                <w:bCs/>
                <w:sz w:val="24"/>
                <w:szCs w:val="24"/>
                <w:vertAlign w:val="subscript"/>
                <w:lang w:bidi="ar"/>
              </w:rPr>
              <w:t>2</w:t>
            </w:r>
            <w:r>
              <w:rPr>
                <w:rFonts w:hint="default" w:ascii="Times New Roman" w:hAnsi="Times New Roman" w:eastAsia="宋体" w:cs="Times New Roman"/>
                <w:b w:val="0"/>
                <w:bCs/>
                <w:sz w:val="24"/>
                <w:szCs w:val="24"/>
                <w:lang w:bidi="ar"/>
              </w:rPr>
              <w:t>年均浓度</w:t>
            </w:r>
            <w:r>
              <w:rPr>
                <w:rFonts w:hint="default" w:ascii="Times New Roman" w:hAnsi="Times New Roman" w:eastAsia="宋体" w:cs="Times New Roman"/>
                <w:b w:val="0"/>
                <w:bCs/>
                <w:sz w:val="24"/>
                <w:szCs w:val="24"/>
                <w:lang w:eastAsia="zh-CN" w:bidi="ar"/>
              </w:rPr>
              <w:t>、</w:t>
            </w:r>
            <w:r>
              <w:rPr>
                <w:rFonts w:hint="default" w:ascii="Times New Roman" w:hAnsi="Times New Roman" w:eastAsia="宋体" w:cs="Times New Roman"/>
                <w:b w:val="0"/>
                <w:bCs/>
                <w:sz w:val="24"/>
                <w:szCs w:val="24"/>
                <w:lang w:bidi="ar"/>
              </w:rPr>
              <w:t>O</w:t>
            </w:r>
            <w:r>
              <w:rPr>
                <w:rFonts w:hint="default" w:ascii="Times New Roman" w:hAnsi="Times New Roman" w:eastAsia="宋体" w:cs="Times New Roman"/>
                <w:b w:val="0"/>
                <w:bCs/>
                <w:sz w:val="24"/>
                <w:szCs w:val="24"/>
                <w:vertAlign w:val="subscript"/>
                <w:lang w:bidi="ar"/>
              </w:rPr>
              <w:t>3</w:t>
            </w:r>
            <w:r>
              <w:rPr>
                <w:rFonts w:hint="default" w:ascii="Times New Roman" w:hAnsi="Times New Roman" w:eastAsia="宋体" w:cs="Times New Roman"/>
                <w:b w:val="0"/>
                <w:bCs/>
                <w:sz w:val="24"/>
                <w:szCs w:val="24"/>
                <w:lang w:bidi="ar"/>
              </w:rPr>
              <w:t>日8小时平均浓度</w:t>
            </w:r>
            <w:r>
              <w:rPr>
                <w:rFonts w:hint="default" w:ascii="Times New Roman" w:hAnsi="Times New Roman" w:eastAsia="宋体" w:cs="Times New Roman"/>
                <w:b w:val="0"/>
                <w:bCs/>
                <w:sz w:val="24"/>
                <w:szCs w:val="24"/>
                <w:lang w:eastAsia="zh-CN" w:bidi="ar"/>
              </w:rPr>
              <w:t>、</w:t>
            </w:r>
            <w:r>
              <w:rPr>
                <w:rFonts w:hint="default" w:ascii="Times New Roman" w:hAnsi="Times New Roman" w:eastAsia="宋体" w:cs="Times New Roman"/>
                <w:b w:val="0"/>
                <w:bCs/>
                <w:sz w:val="24"/>
                <w:szCs w:val="24"/>
                <w:lang w:val="en-US" w:eastAsia="zh-CN" w:bidi="ar"/>
              </w:rPr>
              <w:t>CO日平均浓度</w:t>
            </w:r>
            <w:r>
              <w:rPr>
                <w:rFonts w:hint="default" w:ascii="Times New Roman" w:hAnsi="Times New Roman" w:eastAsia="宋体" w:cs="Times New Roman"/>
                <w:b w:val="0"/>
                <w:bCs/>
                <w:sz w:val="24"/>
                <w:szCs w:val="24"/>
                <w:lang w:bidi="ar"/>
              </w:rPr>
              <w:t>均满足《环境空气质量标准》（GB3095-2012）的二级标准要求</w:t>
            </w:r>
            <w:r>
              <w:rPr>
                <w:rFonts w:hint="default" w:ascii="Times New Roman" w:hAnsi="Times New Roman" w:eastAsia="宋体" w:cs="Times New Roman"/>
                <w:b w:val="0"/>
                <w:bCs/>
                <w:sz w:val="24"/>
                <w:szCs w:val="24"/>
                <w:lang w:eastAsia="zh-CN" w:bidi="ar"/>
              </w:rPr>
              <w:t>。</w:t>
            </w:r>
            <w:r>
              <w:rPr>
                <w:rFonts w:hint="default" w:ascii="Times New Roman" w:hAnsi="Times New Roman" w:eastAsia="宋体" w:cs="Times New Roman"/>
                <w:b w:val="0"/>
                <w:bCs/>
                <w:sz w:val="24"/>
                <w:szCs w:val="24"/>
                <w:lang w:bidi="ar"/>
              </w:rPr>
              <w:t>因此本项目所在区域为达标区域</w:t>
            </w:r>
            <w:r>
              <w:rPr>
                <w:rFonts w:hint="eastAsia" w:cs="Times New Roman"/>
                <w:b w:val="0"/>
                <w:bCs/>
                <w:sz w:val="24"/>
                <w:szCs w:val="24"/>
                <w:lang w:eastAsia="zh-CN" w:bidi="ar"/>
              </w:rPr>
              <w:t>。</w:t>
            </w:r>
          </w:p>
          <w:p>
            <w:pPr>
              <w:bidi w:val="0"/>
              <w:spacing w:line="360" w:lineRule="auto"/>
              <w:ind w:firstLine="480" w:firstLineChars="200"/>
              <w:rPr>
                <w:rFonts w:hint="eastAsia"/>
                <w:sz w:val="24"/>
                <w:szCs w:val="24"/>
                <w:lang w:val="en-US" w:eastAsia="zh-CN"/>
              </w:rPr>
            </w:pPr>
            <w:r>
              <w:rPr>
                <w:rFonts w:hint="default"/>
                <w:sz w:val="24"/>
                <w:szCs w:val="24"/>
                <w:lang w:val="en-US" w:eastAsia="zh-CN"/>
              </w:rPr>
              <w:t>（5）</w:t>
            </w:r>
            <w:r>
              <w:rPr>
                <w:rFonts w:hint="eastAsia"/>
                <w:sz w:val="24"/>
                <w:szCs w:val="24"/>
                <w:lang w:val="en-US" w:eastAsia="zh-CN"/>
              </w:rPr>
              <w:t>特征污染物</w:t>
            </w:r>
          </w:p>
          <w:p>
            <w:pPr>
              <w:bidi w:val="0"/>
              <w:spacing w:line="360" w:lineRule="auto"/>
              <w:ind w:firstLine="480" w:firstLineChars="200"/>
              <w:rPr>
                <w:sz w:val="24"/>
                <w:szCs w:val="24"/>
              </w:rPr>
            </w:pPr>
            <w:r>
              <w:rPr>
                <w:sz w:val="24"/>
                <w:szCs w:val="24"/>
              </w:rPr>
              <w:t>本项目涉及的特征污染物为</w:t>
            </w:r>
            <w:r>
              <w:rPr>
                <w:rFonts w:hint="default"/>
                <w:sz w:val="24"/>
                <w:szCs w:val="24"/>
              </w:rPr>
              <w:t>TSP</w:t>
            </w:r>
            <w:r>
              <w:rPr>
                <w:sz w:val="24"/>
                <w:szCs w:val="24"/>
              </w:rPr>
              <w:t>，根据《建设项目环境影响告表编制技术指南（污染影响类）》（试行）中“排放国家、地方环境空气质量标准中有标</w:t>
            </w:r>
            <w:r>
              <w:rPr>
                <w:rFonts w:hint="default"/>
                <w:sz w:val="24"/>
                <w:szCs w:val="24"/>
              </w:rPr>
              <w:t>30</w:t>
            </w:r>
            <w:r>
              <w:rPr>
                <w:sz w:val="24"/>
                <w:szCs w:val="24"/>
              </w:rPr>
              <w:t>准限值要求的特征污染物时，引用建设项目周边</w:t>
            </w:r>
            <w:r>
              <w:rPr>
                <w:rFonts w:hint="default"/>
                <w:sz w:val="24"/>
                <w:szCs w:val="24"/>
              </w:rPr>
              <w:t>5</w:t>
            </w:r>
            <w:r>
              <w:rPr>
                <w:sz w:val="24"/>
                <w:szCs w:val="24"/>
              </w:rPr>
              <w:t>千米范围内近</w:t>
            </w:r>
            <w:r>
              <w:rPr>
                <w:rFonts w:hint="default"/>
                <w:sz w:val="24"/>
                <w:szCs w:val="24"/>
              </w:rPr>
              <w:t>3</w:t>
            </w:r>
            <w:r>
              <w:rPr>
                <w:sz w:val="24"/>
                <w:szCs w:val="24"/>
              </w:rPr>
              <w:t>年的现有监测数</w:t>
            </w:r>
            <w:r>
              <w:rPr>
                <w:rFonts w:ascii="Times New Roman" w:hAnsi="Times New Roman" w:eastAsia="宋体" w:cs="Times New Roman"/>
                <w:sz w:val="24"/>
                <w:szCs w:val="24"/>
              </w:rPr>
              <w:t>据”的要求，本次环评引用新疆国泰民康职业环境检测评价有限责任公司对《奇台县汇丰农业节水有限公司废旧塑料回收再生颗粒、滴灌带项目 》</w:t>
            </w:r>
            <w:r>
              <w:rPr>
                <w:rFonts w:hint="default" w:ascii="Times New Roman" w:hAnsi="Times New Roman" w:eastAsia="宋体" w:cs="Times New Roman"/>
                <w:sz w:val="24"/>
                <w:szCs w:val="24"/>
              </w:rPr>
              <w:t>TSP</w:t>
            </w:r>
            <w:r>
              <w:rPr>
                <w:rFonts w:ascii="Times New Roman" w:hAnsi="Times New Roman" w:eastAsia="宋体" w:cs="Times New Roman"/>
                <w:sz w:val="24"/>
                <w:szCs w:val="24"/>
              </w:rPr>
              <w:t xml:space="preserve">现状进行监测的数据。监测情况如下： </w:t>
            </w:r>
          </w:p>
          <w:p>
            <w:pPr>
              <w:bidi w:val="0"/>
              <w:spacing w:line="360" w:lineRule="auto"/>
              <w:ind w:firstLine="480" w:firstLineChars="200"/>
              <w:rPr>
                <w:sz w:val="24"/>
                <w:szCs w:val="24"/>
              </w:rPr>
            </w:pPr>
            <w:r>
              <w:rPr>
                <w:rFonts w:hint="eastAsia"/>
                <w:sz w:val="24"/>
                <w:szCs w:val="24"/>
                <w:lang w:val="en-US" w:eastAsia="zh-CN"/>
              </w:rPr>
              <w:t>1</w:t>
            </w:r>
            <w:r>
              <w:rPr>
                <w:rFonts w:hint="default"/>
                <w:sz w:val="24"/>
                <w:szCs w:val="24"/>
                <w:lang w:val="en-US" w:eastAsia="zh-CN"/>
              </w:rPr>
              <w:t>）</w:t>
            </w:r>
            <w:r>
              <w:rPr>
                <w:sz w:val="24"/>
                <w:szCs w:val="24"/>
              </w:rPr>
              <w:t>监测点位：引用数据监测点位于项目区</w:t>
            </w:r>
            <w:r>
              <w:rPr>
                <w:rFonts w:hint="eastAsia"/>
                <w:sz w:val="24"/>
                <w:szCs w:val="24"/>
                <w:highlight w:val="none"/>
                <w:lang w:val="en-US" w:eastAsia="zh-CN"/>
              </w:rPr>
              <w:t>东</w:t>
            </w:r>
            <w:r>
              <w:rPr>
                <w:sz w:val="24"/>
                <w:szCs w:val="24"/>
                <w:highlight w:val="none"/>
              </w:rPr>
              <w:t>侧</w:t>
            </w:r>
            <w:r>
              <w:rPr>
                <w:rFonts w:hint="eastAsia"/>
                <w:sz w:val="24"/>
                <w:szCs w:val="24"/>
                <w:highlight w:val="none"/>
                <w:lang w:val="en-US" w:eastAsia="zh-CN"/>
              </w:rPr>
              <w:t>1.4</w:t>
            </w:r>
            <w:r>
              <w:rPr>
                <w:rFonts w:hint="default"/>
                <w:sz w:val="24"/>
                <w:szCs w:val="24"/>
                <w:highlight w:val="none"/>
              </w:rPr>
              <w:t>km</w:t>
            </w:r>
            <w:r>
              <w:rPr>
                <w:sz w:val="24"/>
                <w:szCs w:val="24"/>
              </w:rPr>
              <w:t xml:space="preserve">处； </w:t>
            </w:r>
          </w:p>
          <w:p>
            <w:pPr>
              <w:bidi w:val="0"/>
              <w:spacing w:line="360" w:lineRule="auto"/>
              <w:ind w:firstLine="480" w:firstLineChars="200"/>
              <w:rPr>
                <w:rFonts w:hint="default"/>
                <w:sz w:val="24"/>
                <w:szCs w:val="24"/>
              </w:rPr>
            </w:pPr>
            <w:r>
              <w:rPr>
                <w:rFonts w:hint="eastAsia"/>
                <w:sz w:val="24"/>
                <w:szCs w:val="24"/>
                <w:lang w:val="en-US" w:eastAsia="zh-CN"/>
              </w:rPr>
              <w:t>2</w:t>
            </w:r>
            <w:r>
              <w:rPr>
                <w:rFonts w:hint="default"/>
                <w:sz w:val="24"/>
                <w:szCs w:val="24"/>
                <w:lang w:val="en-US" w:eastAsia="zh-CN"/>
              </w:rPr>
              <w:t>）</w:t>
            </w:r>
            <w:r>
              <w:rPr>
                <w:sz w:val="24"/>
                <w:szCs w:val="24"/>
              </w:rPr>
              <w:t>监测项目：</w:t>
            </w:r>
            <w:r>
              <w:rPr>
                <w:rFonts w:hint="default"/>
                <w:sz w:val="24"/>
                <w:szCs w:val="24"/>
              </w:rPr>
              <w:t>TSP</w:t>
            </w:r>
            <w:r>
              <w:rPr>
                <w:sz w:val="24"/>
                <w:szCs w:val="24"/>
              </w:rPr>
              <w:t xml:space="preserve">； </w:t>
            </w:r>
          </w:p>
          <w:p>
            <w:pPr>
              <w:bidi w:val="0"/>
              <w:spacing w:line="360" w:lineRule="auto"/>
              <w:ind w:firstLine="480" w:firstLineChars="200"/>
              <w:rPr>
                <w:rFonts w:hint="default"/>
                <w:sz w:val="24"/>
                <w:szCs w:val="24"/>
              </w:rPr>
            </w:pPr>
            <w:r>
              <w:rPr>
                <w:rFonts w:hint="eastAsia"/>
                <w:sz w:val="24"/>
                <w:szCs w:val="24"/>
                <w:lang w:val="en-US" w:eastAsia="zh-CN"/>
              </w:rPr>
              <w:t>3</w:t>
            </w:r>
            <w:r>
              <w:rPr>
                <w:rFonts w:hint="default"/>
                <w:sz w:val="24"/>
                <w:szCs w:val="24"/>
                <w:lang w:val="en-US" w:eastAsia="zh-CN"/>
              </w:rPr>
              <w:t>）</w:t>
            </w:r>
            <w:r>
              <w:rPr>
                <w:sz w:val="24"/>
                <w:szCs w:val="24"/>
              </w:rPr>
              <w:t>监测时间：</w:t>
            </w:r>
            <w:r>
              <w:rPr>
                <w:rFonts w:hint="default"/>
                <w:sz w:val="24"/>
                <w:szCs w:val="24"/>
                <w:highlight w:val="none"/>
              </w:rPr>
              <w:t>2023</w:t>
            </w:r>
            <w:r>
              <w:rPr>
                <w:sz w:val="24"/>
                <w:szCs w:val="24"/>
                <w:highlight w:val="none"/>
              </w:rPr>
              <w:t>年</w:t>
            </w:r>
            <w:r>
              <w:rPr>
                <w:rFonts w:hint="eastAsia"/>
                <w:sz w:val="24"/>
                <w:szCs w:val="24"/>
                <w:highlight w:val="none"/>
                <w:lang w:val="en-US" w:eastAsia="zh-CN"/>
              </w:rPr>
              <w:t>1</w:t>
            </w:r>
            <w:r>
              <w:rPr>
                <w:sz w:val="24"/>
                <w:szCs w:val="24"/>
                <w:highlight w:val="none"/>
              </w:rPr>
              <w:t>月</w:t>
            </w:r>
            <w:r>
              <w:rPr>
                <w:rFonts w:hint="eastAsia"/>
                <w:sz w:val="24"/>
                <w:szCs w:val="24"/>
                <w:highlight w:val="none"/>
                <w:lang w:val="en-US" w:eastAsia="zh-CN"/>
              </w:rPr>
              <w:t>28</w:t>
            </w:r>
            <w:r>
              <w:rPr>
                <w:sz w:val="24"/>
                <w:szCs w:val="24"/>
                <w:highlight w:val="none"/>
              </w:rPr>
              <w:t>日</w:t>
            </w:r>
            <w:r>
              <w:rPr>
                <w:rFonts w:hint="default"/>
                <w:sz w:val="24"/>
                <w:szCs w:val="24"/>
                <w:highlight w:val="none"/>
              </w:rPr>
              <w:t>－</w:t>
            </w:r>
            <w:r>
              <w:rPr>
                <w:rFonts w:hint="eastAsia"/>
                <w:sz w:val="24"/>
                <w:szCs w:val="24"/>
                <w:highlight w:val="none"/>
                <w:lang w:val="en-US" w:eastAsia="zh-CN"/>
              </w:rPr>
              <w:t>2月4</w:t>
            </w:r>
            <w:r>
              <w:rPr>
                <w:sz w:val="24"/>
                <w:szCs w:val="24"/>
                <w:highlight w:val="none"/>
              </w:rPr>
              <w:t>日</w:t>
            </w:r>
            <w:r>
              <w:rPr>
                <w:sz w:val="24"/>
                <w:szCs w:val="24"/>
              </w:rPr>
              <w:t xml:space="preserve">； </w:t>
            </w:r>
          </w:p>
          <w:p>
            <w:pPr>
              <w:bidi w:val="0"/>
              <w:spacing w:line="360" w:lineRule="auto"/>
              <w:ind w:firstLine="480" w:firstLineChars="200"/>
              <w:rPr>
                <w:rFonts w:hint="default"/>
                <w:sz w:val="24"/>
                <w:szCs w:val="24"/>
              </w:rPr>
            </w:pPr>
            <w:r>
              <w:rPr>
                <w:rFonts w:hint="eastAsia"/>
                <w:sz w:val="24"/>
                <w:szCs w:val="24"/>
                <w:lang w:val="en-US" w:eastAsia="zh-CN"/>
              </w:rPr>
              <w:t>4</w:t>
            </w:r>
            <w:r>
              <w:rPr>
                <w:rFonts w:hint="default"/>
                <w:sz w:val="24"/>
                <w:szCs w:val="24"/>
                <w:lang w:val="en-US" w:eastAsia="zh-CN"/>
              </w:rPr>
              <w:t>）</w:t>
            </w:r>
            <w:r>
              <w:rPr>
                <w:sz w:val="24"/>
                <w:szCs w:val="24"/>
              </w:rPr>
              <w:t>分析方法：《环境空气 总悬浮颗粒物的测定重量法》（</w:t>
            </w:r>
            <w:r>
              <w:rPr>
                <w:rFonts w:hint="default"/>
                <w:sz w:val="24"/>
                <w:szCs w:val="24"/>
              </w:rPr>
              <w:t>HJ1263-2022</w:t>
            </w:r>
            <w:r>
              <w:rPr>
                <w:sz w:val="24"/>
                <w:szCs w:val="24"/>
              </w:rPr>
              <w:t xml:space="preserve">）； </w:t>
            </w:r>
          </w:p>
          <w:p>
            <w:pPr>
              <w:bidi w:val="0"/>
              <w:spacing w:line="360" w:lineRule="auto"/>
              <w:ind w:firstLine="480" w:firstLineChars="200"/>
              <w:rPr>
                <w:rFonts w:hint="default"/>
                <w:sz w:val="24"/>
                <w:szCs w:val="24"/>
              </w:rPr>
            </w:pPr>
            <w:r>
              <w:rPr>
                <w:rFonts w:hint="eastAsia"/>
                <w:sz w:val="24"/>
                <w:szCs w:val="24"/>
                <w:lang w:val="en-US" w:eastAsia="zh-CN"/>
              </w:rPr>
              <w:t>5</w:t>
            </w:r>
            <w:r>
              <w:rPr>
                <w:rFonts w:hint="default"/>
                <w:sz w:val="24"/>
                <w:szCs w:val="24"/>
                <w:lang w:val="en-US" w:eastAsia="zh-CN"/>
              </w:rPr>
              <w:t>）</w:t>
            </w:r>
            <w:r>
              <w:rPr>
                <w:sz w:val="24"/>
                <w:szCs w:val="24"/>
              </w:rPr>
              <w:t>评价标准：《环境空气质量标准》（</w:t>
            </w:r>
            <w:r>
              <w:rPr>
                <w:rFonts w:hint="default"/>
                <w:sz w:val="24"/>
                <w:szCs w:val="24"/>
              </w:rPr>
              <w:t>GB 3095-2012</w:t>
            </w:r>
            <w:r>
              <w:rPr>
                <w:sz w:val="24"/>
                <w:szCs w:val="24"/>
              </w:rPr>
              <w:t xml:space="preserve">）及修改单中的二级标准； </w:t>
            </w:r>
          </w:p>
          <w:p>
            <w:pPr>
              <w:bidi w:val="0"/>
              <w:spacing w:line="360" w:lineRule="auto"/>
              <w:ind w:firstLine="480" w:firstLineChars="200"/>
              <w:rPr>
                <w:rFonts w:hint="default"/>
              </w:rPr>
            </w:pPr>
            <w:r>
              <w:rPr>
                <w:rFonts w:hint="eastAsia"/>
                <w:sz w:val="24"/>
                <w:szCs w:val="24"/>
                <w:lang w:val="en-US" w:eastAsia="zh-CN"/>
              </w:rPr>
              <w:t>6</w:t>
            </w:r>
            <w:r>
              <w:rPr>
                <w:rFonts w:hint="default"/>
                <w:sz w:val="24"/>
                <w:szCs w:val="24"/>
                <w:lang w:val="en-US" w:eastAsia="zh-CN"/>
              </w:rPr>
              <w:t>）</w:t>
            </w:r>
            <w:r>
              <w:rPr>
                <w:sz w:val="24"/>
                <w:szCs w:val="24"/>
              </w:rPr>
              <w:t>监测结果分析及评价：环境空气质量现状监测统计及评价结果见表</w:t>
            </w:r>
            <w:r>
              <w:rPr>
                <w:rFonts w:hint="default"/>
                <w:sz w:val="24"/>
                <w:szCs w:val="24"/>
              </w:rPr>
              <w:t>3-2</w:t>
            </w:r>
            <w:r>
              <w:rPr>
                <w:sz w:val="24"/>
                <w:szCs w:val="24"/>
              </w:rPr>
              <w:t xml:space="preserve">。 </w:t>
            </w:r>
          </w:p>
          <w:p>
            <w:pPr>
              <w:bidi w:val="0"/>
              <w:jc w:val="center"/>
              <w:rPr>
                <w:b/>
                <w:bCs/>
              </w:rPr>
            </w:pPr>
            <w:r>
              <w:rPr>
                <w:b/>
                <w:bCs/>
              </w:rPr>
              <w:t>表</w:t>
            </w:r>
            <w:r>
              <w:rPr>
                <w:rFonts w:hint="default"/>
                <w:b/>
                <w:bCs/>
              </w:rPr>
              <w:t>3-2</w:t>
            </w:r>
            <w:r>
              <w:rPr>
                <w:b/>
                <w:bCs/>
              </w:rPr>
              <w:t xml:space="preserve"> </w:t>
            </w:r>
            <w:r>
              <w:rPr>
                <w:rFonts w:hint="eastAsia"/>
                <w:b/>
                <w:bCs/>
                <w:lang w:val="en-US" w:eastAsia="zh-CN"/>
              </w:rPr>
              <w:t xml:space="preserve"> </w:t>
            </w:r>
            <w:r>
              <w:rPr>
                <w:b/>
                <w:bCs/>
              </w:rPr>
              <w:t>环境现状评价一览表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93"/>
              <w:gridCol w:w="883"/>
              <w:gridCol w:w="1587"/>
              <w:gridCol w:w="1058"/>
              <w:gridCol w:w="673"/>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0" w:type="auto"/>
                  <w:noWrap w:val="0"/>
                  <w:vAlign w:val="center"/>
                </w:tcPr>
                <w:p>
                  <w:pPr>
                    <w:bidi w:val="0"/>
                    <w:spacing w:line="240" w:lineRule="auto"/>
                    <w:jc w:val="center"/>
                  </w:pPr>
                  <w:r>
                    <w:t>监测点位</w:t>
                  </w:r>
                </w:p>
              </w:tc>
              <w:tc>
                <w:tcPr>
                  <w:tcW w:w="793" w:type="dxa"/>
                  <w:noWrap w:val="0"/>
                  <w:vAlign w:val="center"/>
                </w:tcPr>
                <w:p>
                  <w:pPr>
                    <w:bidi w:val="0"/>
                    <w:spacing w:line="240" w:lineRule="auto"/>
                    <w:jc w:val="center"/>
                  </w:pPr>
                  <w:r>
                    <w:t>监测因子</w:t>
                  </w:r>
                </w:p>
              </w:tc>
              <w:tc>
                <w:tcPr>
                  <w:tcW w:w="883" w:type="dxa"/>
                  <w:noWrap w:val="0"/>
                  <w:vAlign w:val="center"/>
                </w:tcPr>
                <w:p>
                  <w:pPr>
                    <w:bidi w:val="0"/>
                    <w:spacing w:line="240" w:lineRule="auto"/>
                    <w:jc w:val="center"/>
                  </w:pPr>
                  <w:r>
                    <w:t>监测时间</w:t>
                  </w:r>
                </w:p>
              </w:tc>
              <w:tc>
                <w:tcPr>
                  <w:tcW w:w="0" w:type="auto"/>
                  <w:noWrap w:val="0"/>
                  <w:vAlign w:val="center"/>
                </w:tcPr>
                <w:p>
                  <w:pPr>
                    <w:bidi w:val="0"/>
                    <w:spacing w:line="240" w:lineRule="auto"/>
                    <w:jc w:val="center"/>
                  </w:pPr>
                  <w:r>
                    <w:t>监测结果 （</w:t>
                  </w:r>
                  <w:r>
                    <w:rPr>
                      <w:rFonts w:hint="default"/>
                    </w:rPr>
                    <w:t>mg/m</w:t>
                  </w:r>
                  <w:r>
                    <w:rPr>
                      <w:rFonts w:hint="default"/>
                      <w:vertAlign w:val="superscript"/>
                    </w:rPr>
                    <w:t>3</w:t>
                  </w:r>
                  <w:r>
                    <w:t>）</w:t>
                  </w:r>
                </w:p>
              </w:tc>
              <w:tc>
                <w:tcPr>
                  <w:tcW w:w="0" w:type="auto"/>
                  <w:noWrap w:val="0"/>
                  <w:vAlign w:val="center"/>
                </w:tcPr>
                <w:p>
                  <w:pPr>
                    <w:bidi w:val="0"/>
                    <w:spacing w:line="240" w:lineRule="auto"/>
                    <w:jc w:val="center"/>
                  </w:pPr>
                  <w:r>
                    <w:t>占标率（</w:t>
                  </w:r>
                  <w:r>
                    <w:rPr>
                      <w:rFonts w:hint="default"/>
                    </w:rPr>
                    <w:t>%</w:t>
                  </w:r>
                  <w:r>
                    <w:t>）</w:t>
                  </w:r>
                </w:p>
              </w:tc>
              <w:tc>
                <w:tcPr>
                  <w:tcW w:w="0" w:type="auto"/>
                  <w:noWrap w:val="0"/>
                  <w:vAlign w:val="center"/>
                </w:tcPr>
                <w:p>
                  <w:pPr>
                    <w:bidi w:val="0"/>
                    <w:spacing w:line="240" w:lineRule="auto"/>
                    <w:jc w:val="center"/>
                  </w:pPr>
                  <w:r>
                    <w:t>超标倍数</w:t>
                  </w:r>
                </w:p>
              </w:tc>
              <w:tc>
                <w:tcPr>
                  <w:tcW w:w="0" w:type="auto"/>
                  <w:noWrap w:val="0"/>
                  <w:vAlign w:val="center"/>
                </w:tcPr>
                <w:p>
                  <w:pPr>
                    <w:bidi w:val="0"/>
                    <w:spacing w:line="240" w:lineRule="auto"/>
                    <w:jc w:val="center"/>
                  </w:pPr>
                  <w:r>
                    <w:t>评价标准（</w:t>
                  </w:r>
                  <w:r>
                    <w:rPr>
                      <w:rFonts w:hint="default"/>
                    </w:rPr>
                    <w:t>mg/m</w:t>
                  </w:r>
                  <w:r>
                    <w:rPr>
                      <w:rFonts w:hint="default"/>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bidi w:val="0"/>
                    <w:spacing w:line="240" w:lineRule="auto"/>
                    <w:jc w:val="center"/>
                  </w:pPr>
                  <w:r>
                    <w:t>距项目区</w:t>
                  </w:r>
                  <w:r>
                    <w:rPr>
                      <w:rFonts w:hint="eastAsia"/>
                      <w:lang w:val="en-US" w:eastAsia="zh-CN"/>
                    </w:rPr>
                    <w:t>东</w:t>
                  </w:r>
                  <w:r>
                    <w:t>南</w:t>
                  </w:r>
                  <w:r>
                    <w:rPr>
                      <w:rFonts w:hint="eastAsia"/>
                      <w:lang w:val="en-US" w:eastAsia="zh-CN"/>
                    </w:rPr>
                    <w:t>侧1.4</w:t>
                  </w:r>
                  <w:r>
                    <w:rPr>
                      <w:rFonts w:hint="default"/>
                    </w:rPr>
                    <w:t>km</w:t>
                  </w:r>
                  <w:r>
                    <w:t>处</w:t>
                  </w:r>
                </w:p>
              </w:tc>
              <w:tc>
                <w:tcPr>
                  <w:tcW w:w="793" w:type="dxa"/>
                  <w:noWrap w:val="0"/>
                  <w:vAlign w:val="center"/>
                </w:tcPr>
                <w:p>
                  <w:pPr>
                    <w:bidi w:val="0"/>
                    <w:spacing w:line="240" w:lineRule="auto"/>
                    <w:jc w:val="center"/>
                  </w:pPr>
                  <w:r>
                    <w:rPr>
                      <w:rFonts w:hint="default"/>
                    </w:rPr>
                    <w:t>TSP</w:t>
                  </w:r>
                </w:p>
              </w:tc>
              <w:tc>
                <w:tcPr>
                  <w:tcW w:w="883" w:type="dxa"/>
                  <w:noWrap w:val="0"/>
                  <w:vAlign w:val="center"/>
                </w:tcPr>
                <w:p>
                  <w:pPr>
                    <w:bidi w:val="0"/>
                    <w:spacing w:line="240" w:lineRule="auto"/>
                    <w:jc w:val="center"/>
                  </w:pPr>
                  <w:r>
                    <w:rPr>
                      <w:rFonts w:hint="eastAsia"/>
                      <w:lang w:val="en-US" w:eastAsia="zh-CN"/>
                    </w:rPr>
                    <w:t>1</w:t>
                  </w:r>
                  <w:r>
                    <w:t>月</w:t>
                  </w:r>
                  <w:r>
                    <w:rPr>
                      <w:rFonts w:hint="eastAsia"/>
                      <w:lang w:val="en-US" w:eastAsia="zh-CN"/>
                    </w:rPr>
                    <w:t>28</w:t>
                  </w:r>
                  <w:r>
                    <w:t>日</w:t>
                  </w:r>
                  <w:r>
                    <w:rPr>
                      <w:rFonts w:hint="default"/>
                    </w:rPr>
                    <w:t>-</w:t>
                  </w:r>
                  <w:r>
                    <w:rPr>
                      <w:rFonts w:hint="eastAsia"/>
                      <w:lang w:val="en-US" w:eastAsia="zh-CN"/>
                    </w:rPr>
                    <w:t>2月4</w:t>
                  </w:r>
                  <w:r>
                    <w:t>日</w:t>
                  </w:r>
                </w:p>
              </w:tc>
              <w:tc>
                <w:tcPr>
                  <w:tcW w:w="0" w:type="auto"/>
                  <w:noWrap w:val="0"/>
                  <w:vAlign w:val="center"/>
                </w:tcPr>
                <w:p>
                  <w:pPr>
                    <w:bidi w:val="0"/>
                    <w:spacing w:line="240" w:lineRule="auto"/>
                    <w:jc w:val="center"/>
                    <w:rPr>
                      <w:rFonts w:hint="default" w:eastAsia="宋体"/>
                      <w:lang w:val="en-US" w:eastAsia="zh-CN"/>
                    </w:rPr>
                  </w:pPr>
                  <w:r>
                    <w:rPr>
                      <w:rFonts w:hint="default"/>
                    </w:rPr>
                    <w:t>0.1</w:t>
                  </w:r>
                  <w:r>
                    <w:rPr>
                      <w:rFonts w:hint="eastAsia"/>
                      <w:lang w:val="en-US" w:eastAsia="zh-CN"/>
                    </w:rPr>
                    <w:t>21</w:t>
                  </w:r>
                  <w:r>
                    <w:rPr>
                      <w:rFonts w:hint="default"/>
                    </w:rPr>
                    <w:t>-0.1</w:t>
                  </w:r>
                  <w:r>
                    <w:rPr>
                      <w:rFonts w:hint="eastAsia"/>
                      <w:lang w:val="en-US" w:eastAsia="zh-CN"/>
                    </w:rPr>
                    <w:t>85</w:t>
                  </w:r>
                </w:p>
              </w:tc>
              <w:tc>
                <w:tcPr>
                  <w:tcW w:w="0" w:type="auto"/>
                  <w:noWrap w:val="0"/>
                  <w:vAlign w:val="center"/>
                </w:tcPr>
                <w:p>
                  <w:pPr>
                    <w:bidi w:val="0"/>
                    <w:spacing w:line="240" w:lineRule="auto"/>
                    <w:jc w:val="center"/>
                    <w:rPr>
                      <w:rFonts w:hint="default" w:eastAsia="宋体"/>
                      <w:lang w:val="en-US" w:eastAsia="zh-CN"/>
                    </w:rPr>
                  </w:pPr>
                  <w:r>
                    <w:rPr>
                      <w:rFonts w:hint="default"/>
                    </w:rPr>
                    <w:t>4</w:t>
                  </w:r>
                  <w:r>
                    <w:rPr>
                      <w:rFonts w:hint="eastAsia"/>
                      <w:lang w:val="en-US" w:eastAsia="zh-CN"/>
                    </w:rPr>
                    <w:t>0</w:t>
                  </w:r>
                  <w:r>
                    <w:rPr>
                      <w:rFonts w:hint="default"/>
                    </w:rPr>
                    <w:t>-</w:t>
                  </w:r>
                  <w:r>
                    <w:rPr>
                      <w:rFonts w:hint="eastAsia"/>
                      <w:lang w:val="en-US" w:eastAsia="zh-CN"/>
                    </w:rPr>
                    <w:t>62</w:t>
                  </w:r>
                </w:p>
              </w:tc>
              <w:tc>
                <w:tcPr>
                  <w:tcW w:w="0" w:type="auto"/>
                  <w:noWrap w:val="0"/>
                  <w:vAlign w:val="center"/>
                </w:tcPr>
                <w:p>
                  <w:pPr>
                    <w:bidi w:val="0"/>
                    <w:spacing w:line="240" w:lineRule="auto"/>
                    <w:jc w:val="center"/>
                    <w:rPr>
                      <w:rFonts w:hint="default"/>
                    </w:rPr>
                  </w:pPr>
                  <w:r>
                    <w:rPr>
                      <w:rFonts w:hint="default"/>
                    </w:rPr>
                    <w:t>0</w:t>
                  </w:r>
                </w:p>
              </w:tc>
              <w:tc>
                <w:tcPr>
                  <w:tcW w:w="0" w:type="auto"/>
                  <w:noWrap w:val="0"/>
                  <w:vAlign w:val="center"/>
                </w:tcPr>
                <w:p>
                  <w:pPr>
                    <w:bidi w:val="0"/>
                    <w:spacing w:line="240" w:lineRule="auto"/>
                    <w:jc w:val="center"/>
                    <w:rPr>
                      <w:rFonts w:hint="default"/>
                    </w:rPr>
                  </w:pPr>
                  <w:r>
                    <w:rPr>
                      <w:rFonts w:hint="default"/>
                    </w:rPr>
                    <w:t>0.3</w:t>
                  </w:r>
                </w:p>
              </w:tc>
            </w:tr>
          </w:tbl>
          <w:p>
            <w:pPr>
              <w:bidi w:val="0"/>
              <w:spacing w:line="360" w:lineRule="auto"/>
              <w:ind w:firstLine="480" w:firstLineChars="200"/>
              <w:rPr>
                <w:rFonts w:hint="default" w:ascii="Times New Roman" w:hAnsi="Times New Roman" w:cs="Times New Roman"/>
                <w:sz w:val="24"/>
                <w:szCs w:val="24"/>
              </w:rPr>
            </w:pPr>
            <w:r>
              <w:rPr>
                <w:sz w:val="24"/>
                <w:szCs w:val="24"/>
              </w:rPr>
              <w:t>由监测结果可知，项目区所在地 TSP 监测浓度符合《环境空气质量标准》（</w:t>
            </w:r>
            <w:r>
              <w:rPr>
                <w:rFonts w:hint="default"/>
                <w:sz w:val="24"/>
                <w:szCs w:val="24"/>
              </w:rPr>
              <w:t>GB 3095-2012</w:t>
            </w:r>
            <w:r>
              <w:rPr>
                <w:sz w:val="24"/>
                <w:szCs w:val="24"/>
              </w:rPr>
              <w:t>）及修改单中二级标准，项目区所在地</w:t>
            </w:r>
            <w:r>
              <w:rPr>
                <w:rFonts w:hint="default"/>
                <w:sz w:val="24"/>
                <w:szCs w:val="24"/>
              </w:rPr>
              <w:t>TSP</w:t>
            </w:r>
            <w:r>
              <w:rPr>
                <w:sz w:val="24"/>
                <w:szCs w:val="24"/>
              </w:rPr>
              <w:t>环境空气质量达标。</w:t>
            </w:r>
          </w:p>
          <w:p>
            <w:pPr>
              <w:bidi w:val="0"/>
              <w:spacing w:line="360" w:lineRule="auto"/>
              <w:rPr>
                <w:rFonts w:hint="eastAsia"/>
                <w:b/>
                <w:bCs/>
                <w:sz w:val="24"/>
                <w:szCs w:val="24"/>
              </w:rPr>
            </w:pPr>
            <w:r>
              <w:rPr>
                <w:rFonts w:hint="eastAsia"/>
                <w:b/>
                <w:bCs/>
                <w:sz w:val="24"/>
                <w:szCs w:val="24"/>
              </w:rPr>
              <w:t>2</w:t>
            </w:r>
            <w:r>
              <w:rPr>
                <w:rFonts w:hint="eastAsia"/>
                <w:b/>
                <w:bCs/>
                <w:sz w:val="24"/>
                <w:szCs w:val="24"/>
                <w:lang w:val="en-US" w:eastAsia="zh-CN"/>
              </w:rPr>
              <w:t>.地表</w:t>
            </w:r>
            <w:r>
              <w:rPr>
                <w:rFonts w:hint="eastAsia"/>
                <w:b/>
                <w:bCs/>
                <w:sz w:val="24"/>
                <w:szCs w:val="24"/>
              </w:rPr>
              <w:t>水环境</w:t>
            </w:r>
          </w:p>
          <w:p>
            <w:pPr>
              <w:pStyle w:val="76"/>
              <w:spacing w:line="360" w:lineRule="auto"/>
              <w:rPr>
                <w:rFonts w:hint="default" w:ascii="Times New Roman" w:hAnsi="Times New Roman" w:cs="Times New Roman"/>
              </w:rPr>
            </w:pPr>
            <w:r>
              <w:rPr>
                <w:rFonts w:hint="default" w:ascii="Times New Roman" w:hAnsi="Times New Roman" w:cs="Times New Roman"/>
                <w:lang w:val="zh-CN"/>
              </w:rPr>
              <w:t>本项目运营期</w:t>
            </w:r>
            <w:r>
              <w:rPr>
                <w:rFonts w:hint="default" w:ascii="Times New Roman" w:hAnsi="Times New Roman" w:eastAsia="宋体" w:cs="Times New Roman"/>
                <w:color w:val="000000"/>
                <w:sz w:val="24"/>
                <w:szCs w:val="24"/>
              </w:rPr>
              <w:t>生活</w:t>
            </w:r>
            <w:r>
              <w:rPr>
                <w:rFonts w:hint="default" w:ascii="Times New Roman" w:hAnsi="Times New Roman" w:cs="Times New Roman"/>
                <w:color w:val="000000"/>
                <w:sz w:val="24"/>
                <w:szCs w:val="24"/>
                <w:lang w:eastAsia="zh-CN"/>
              </w:rPr>
              <w:t>废</w:t>
            </w:r>
            <w:r>
              <w:rPr>
                <w:rFonts w:hint="default" w:ascii="Times New Roman" w:hAnsi="Times New Roman" w:eastAsia="宋体" w:cs="Times New Roman"/>
                <w:color w:val="000000"/>
                <w:sz w:val="24"/>
                <w:szCs w:val="24"/>
              </w:rPr>
              <w:t>水</w:t>
            </w:r>
            <w:r>
              <w:rPr>
                <w:rFonts w:hint="eastAsia" w:ascii="Times New Roman" w:hAnsi="Times New Roman" w:eastAsia="宋体" w:cs="Times New Roman"/>
                <w:color w:val="000000"/>
                <w:sz w:val="24"/>
                <w:szCs w:val="24"/>
                <w:lang w:val="en-US" w:eastAsia="zh-CN"/>
              </w:rPr>
              <w:t>直排园区污水管网</w:t>
            </w:r>
            <w:r>
              <w:rPr>
                <w:rFonts w:hint="default" w:ascii="Times New Roman" w:hAnsi="Times New Roman" w:eastAsia="宋体" w:cs="Times New Roman"/>
                <w:color w:val="000000"/>
                <w:sz w:val="24"/>
                <w:szCs w:val="24"/>
              </w:rPr>
              <w:t>，最终</w:t>
            </w:r>
            <w:r>
              <w:rPr>
                <w:rFonts w:hint="eastAsia" w:ascii="Times New Roman" w:hAnsi="Times New Roman" w:eastAsia="宋体" w:cs="Times New Roman"/>
                <w:color w:val="000000"/>
                <w:sz w:val="24"/>
                <w:szCs w:val="24"/>
                <w:lang w:val="en-US" w:eastAsia="zh-CN"/>
              </w:rPr>
              <w:t>喇嘛湖梁工业园区污水处理厂</w:t>
            </w:r>
            <w:r>
              <w:rPr>
                <w:rFonts w:hint="default" w:ascii="Times New Roman" w:hAnsi="Times New Roman" w:eastAsia="宋体" w:cs="Times New Roman"/>
                <w:color w:val="000000"/>
                <w:sz w:val="24"/>
                <w:szCs w:val="24"/>
              </w:rPr>
              <w:t>统一处理</w:t>
            </w:r>
            <w:r>
              <w:rPr>
                <w:rFonts w:hint="default" w:ascii="Times New Roman" w:hAnsi="Times New Roman" w:cs="Times New Roman"/>
              </w:rPr>
              <w:t>。</w:t>
            </w:r>
            <w:r>
              <w:rPr>
                <w:rFonts w:hint="default" w:ascii="Times New Roman" w:hAnsi="Times New Roman" w:cs="Times New Roman"/>
                <w:lang w:val="zh-CN"/>
              </w:rPr>
              <w:t>根据《环境影响评价技术导则</w:t>
            </w:r>
            <w:r>
              <w:rPr>
                <w:rFonts w:hint="default" w:ascii="Times New Roman" w:hAnsi="Times New Roman" w:cs="Times New Roman"/>
              </w:rPr>
              <w:t xml:space="preserve"> </w:t>
            </w:r>
            <w:r>
              <w:rPr>
                <w:rFonts w:hint="default" w:ascii="Times New Roman" w:hAnsi="Times New Roman" w:cs="Times New Roman"/>
                <w:lang w:val="zh-CN"/>
              </w:rPr>
              <w:t>地</w:t>
            </w:r>
            <w:r>
              <w:rPr>
                <w:rFonts w:hint="default" w:ascii="Times New Roman" w:hAnsi="Times New Roman" w:cs="Times New Roman"/>
              </w:rPr>
              <w:t>表</w:t>
            </w:r>
            <w:r>
              <w:rPr>
                <w:rFonts w:hint="default" w:ascii="Times New Roman" w:hAnsi="Times New Roman" w:cs="Times New Roman"/>
                <w:lang w:val="zh-CN"/>
              </w:rPr>
              <w:t>水环境》（HJ2.3-2018）中表</w:t>
            </w:r>
            <w:r>
              <w:rPr>
                <w:rFonts w:hint="default" w:ascii="Times New Roman" w:hAnsi="Times New Roman" w:cs="Times New Roman"/>
              </w:rPr>
              <w:t>1进行等级判定</w:t>
            </w:r>
            <w:r>
              <w:rPr>
                <w:rFonts w:hint="default" w:ascii="Times New Roman" w:hAnsi="Times New Roman" w:cs="Times New Roman"/>
                <w:lang w:val="zh-CN"/>
              </w:rPr>
              <w:t>，本项目为间接排放，确定本项目地表水评价工作等级为三级B</w:t>
            </w:r>
            <w:r>
              <w:rPr>
                <w:rFonts w:hint="default" w:ascii="Times New Roman" w:hAnsi="Times New Roman" w:cs="Times New Roman"/>
              </w:rPr>
              <w:t>，因此本次评价不开展地表水质量现状调查。</w:t>
            </w:r>
          </w:p>
          <w:p>
            <w:pPr>
              <w:spacing w:line="360" w:lineRule="auto"/>
              <w:jc w:val="left"/>
              <w:rPr>
                <w:b/>
                <w:bCs/>
                <w:kern w:val="0"/>
                <w:sz w:val="24"/>
              </w:rPr>
            </w:pPr>
            <w:r>
              <w:rPr>
                <w:rFonts w:hint="eastAsia"/>
                <w:b/>
                <w:bCs/>
                <w:kern w:val="0"/>
                <w:sz w:val="24"/>
              </w:rPr>
              <w:t>3</w:t>
            </w:r>
            <w:r>
              <w:rPr>
                <w:rFonts w:hint="eastAsia"/>
                <w:b/>
                <w:bCs/>
                <w:kern w:val="0"/>
                <w:sz w:val="24"/>
                <w:lang w:val="en-US" w:eastAsia="zh-CN"/>
              </w:rPr>
              <w:t>.</w:t>
            </w:r>
            <w:r>
              <w:rPr>
                <w:rFonts w:hint="eastAsia"/>
                <w:b/>
                <w:bCs/>
                <w:kern w:val="0"/>
                <w:sz w:val="24"/>
              </w:rPr>
              <w:t>声环境</w:t>
            </w:r>
          </w:p>
          <w:p>
            <w:pPr>
              <w:adjustRightInd w:val="0"/>
              <w:snapToGrid w:val="0"/>
              <w:spacing w:line="360" w:lineRule="auto"/>
              <w:ind w:firstLine="480" w:firstLineChars="200"/>
              <w:rPr>
                <w:color w:val="000000"/>
                <w:kern w:val="0"/>
                <w:sz w:val="24"/>
              </w:rPr>
            </w:pPr>
            <w:r>
              <w:rPr>
                <w:rFonts w:hint="eastAsia"/>
                <w:color w:val="000000"/>
                <w:kern w:val="0"/>
                <w:sz w:val="24"/>
              </w:rPr>
              <w:t>根据《关于印发&lt;建设项目环境影响报告表&gt;内容、格式及编制技术指南的通知》（环办环评〔2020〕33号），本项目厂界50米范围内无声环境保护目标，故无需对环境敏感点进行声环境质量现状监测。</w:t>
            </w:r>
          </w:p>
          <w:p>
            <w:pPr>
              <w:spacing w:line="360" w:lineRule="auto"/>
              <w:jc w:val="left"/>
              <w:rPr>
                <w:b/>
                <w:bCs/>
                <w:kern w:val="0"/>
                <w:sz w:val="24"/>
              </w:rPr>
            </w:pPr>
            <w:r>
              <w:rPr>
                <w:rFonts w:hint="eastAsia"/>
                <w:b/>
                <w:bCs/>
                <w:kern w:val="0"/>
                <w:sz w:val="24"/>
              </w:rPr>
              <w:t>4</w:t>
            </w:r>
            <w:r>
              <w:rPr>
                <w:rFonts w:hint="eastAsia"/>
                <w:b/>
                <w:bCs/>
                <w:kern w:val="0"/>
                <w:sz w:val="24"/>
                <w:lang w:eastAsia="zh-CN"/>
              </w:rPr>
              <w:t>.</w:t>
            </w:r>
            <w:r>
              <w:rPr>
                <w:rFonts w:hint="eastAsia"/>
                <w:b/>
                <w:bCs/>
                <w:kern w:val="0"/>
                <w:sz w:val="24"/>
              </w:rPr>
              <w:t>生态环境</w:t>
            </w:r>
          </w:p>
          <w:p>
            <w:pPr>
              <w:adjustRightInd w:val="0"/>
              <w:snapToGrid w:val="0"/>
              <w:spacing w:line="360" w:lineRule="auto"/>
              <w:ind w:firstLine="480" w:firstLineChars="200"/>
              <w:jc w:val="left"/>
              <w:rPr>
                <w:color w:val="000000"/>
                <w:kern w:val="0"/>
                <w:sz w:val="24"/>
              </w:rPr>
            </w:pPr>
            <w:r>
              <w:rPr>
                <w:rFonts w:hint="eastAsia"/>
                <w:color w:val="000000"/>
                <w:kern w:val="0"/>
                <w:sz w:val="24"/>
              </w:rPr>
              <w:t>本</w:t>
            </w:r>
            <w:r>
              <w:rPr>
                <w:color w:val="000000"/>
                <w:kern w:val="0"/>
                <w:sz w:val="24"/>
              </w:rPr>
              <w:t>项目</w:t>
            </w:r>
            <w:r>
              <w:rPr>
                <w:rFonts w:hint="eastAsia"/>
                <w:sz w:val="24"/>
                <w:szCs w:val="22"/>
              </w:rPr>
              <w:t>位于</w:t>
            </w:r>
            <w:r>
              <w:rPr>
                <w:sz w:val="24"/>
                <w:u w:val="none"/>
              </w:rPr>
              <w:t>新疆维吾尔自治区</w:t>
            </w:r>
            <w:r>
              <w:rPr>
                <w:rFonts w:hint="eastAsia"/>
                <w:sz w:val="24"/>
                <w:u w:val="none"/>
                <w:lang w:val="en-US" w:eastAsia="zh-CN"/>
              </w:rPr>
              <w:t>奇台县喇嘛湖梁工业园安宁路与兴和路交汇处</w:t>
            </w:r>
            <w:r>
              <w:rPr>
                <w:color w:val="000000"/>
                <w:kern w:val="0"/>
                <w:sz w:val="24"/>
              </w:rPr>
              <w:t>，</w:t>
            </w:r>
            <w:r>
              <w:rPr>
                <w:bCs/>
                <w:color w:val="auto"/>
                <w:sz w:val="24"/>
                <w:highlight w:val="none"/>
              </w:rPr>
              <w:t>根据《建设项目环境影响报告表编制技术指南（污染影响类）》（试行）中规定，产业园区外建设项目新增用地且用地范围内含</w:t>
            </w:r>
            <w:r>
              <w:rPr>
                <w:rFonts w:hint="eastAsia"/>
                <w:bCs/>
                <w:color w:val="auto"/>
                <w:sz w:val="24"/>
                <w:highlight w:val="none"/>
                <w:lang w:val="en-US" w:eastAsia="zh-CN"/>
              </w:rPr>
              <w:t>无</w:t>
            </w:r>
            <w:r>
              <w:rPr>
                <w:bCs/>
                <w:color w:val="auto"/>
                <w:sz w:val="24"/>
                <w:highlight w:val="none"/>
              </w:rPr>
              <w:t>生态环境保护目标</w:t>
            </w:r>
            <w:r>
              <w:rPr>
                <w:rFonts w:hint="eastAsia"/>
                <w:bCs/>
                <w:color w:val="auto"/>
                <w:sz w:val="24"/>
                <w:highlight w:val="none"/>
                <w:lang w:eastAsia="zh-CN"/>
              </w:rPr>
              <w:t>，</w:t>
            </w:r>
            <w:r>
              <w:rPr>
                <w:rFonts w:hint="eastAsia"/>
                <w:bCs/>
                <w:color w:val="auto"/>
                <w:sz w:val="24"/>
                <w:highlight w:val="none"/>
                <w:lang w:val="en-US" w:eastAsia="zh-CN"/>
              </w:rPr>
              <w:t>且</w:t>
            </w:r>
            <w:r>
              <w:rPr>
                <w:bCs/>
                <w:color w:val="auto"/>
                <w:sz w:val="24"/>
                <w:highlight w:val="none"/>
              </w:rPr>
              <w:t>占地类型为</w:t>
            </w:r>
            <w:r>
              <w:rPr>
                <w:rFonts w:hint="eastAsia"/>
                <w:bCs/>
                <w:color w:val="auto"/>
                <w:sz w:val="24"/>
                <w:highlight w:val="none"/>
              </w:rPr>
              <w:t>工业</w:t>
            </w:r>
            <w:r>
              <w:rPr>
                <w:bCs/>
                <w:color w:val="auto"/>
                <w:sz w:val="24"/>
                <w:highlight w:val="none"/>
              </w:rPr>
              <w:t>用地，故本项目可不开展生态环境现状调查。</w:t>
            </w:r>
          </w:p>
          <w:p>
            <w:pPr>
              <w:spacing w:line="360" w:lineRule="auto"/>
              <w:jc w:val="left"/>
              <w:rPr>
                <w:b/>
                <w:bCs/>
                <w:kern w:val="0"/>
                <w:sz w:val="24"/>
              </w:rPr>
            </w:pPr>
            <w:r>
              <w:rPr>
                <w:rFonts w:hint="eastAsia"/>
                <w:b/>
                <w:bCs/>
                <w:kern w:val="0"/>
                <w:sz w:val="24"/>
              </w:rPr>
              <w:t>5</w:t>
            </w:r>
            <w:r>
              <w:rPr>
                <w:rFonts w:hint="eastAsia"/>
                <w:b/>
                <w:bCs/>
                <w:kern w:val="0"/>
                <w:sz w:val="24"/>
                <w:lang w:val="en-US" w:eastAsia="zh-CN"/>
              </w:rPr>
              <w:t>.</w:t>
            </w:r>
            <w:r>
              <w:rPr>
                <w:rFonts w:hint="eastAsia"/>
                <w:b/>
                <w:bCs/>
                <w:kern w:val="0"/>
                <w:sz w:val="24"/>
              </w:rPr>
              <w:t>电磁辐射</w:t>
            </w:r>
          </w:p>
          <w:p>
            <w:pPr>
              <w:adjustRightInd w:val="0"/>
              <w:snapToGrid w:val="0"/>
              <w:spacing w:line="360" w:lineRule="auto"/>
              <w:ind w:firstLine="480" w:firstLineChars="200"/>
              <w:rPr>
                <w:color w:val="000000"/>
                <w:kern w:val="0"/>
                <w:sz w:val="24"/>
              </w:rPr>
            </w:pPr>
            <w:r>
              <w:rPr>
                <w:color w:val="000000"/>
                <w:kern w:val="0"/>
                <w:sz w:val="24"/>
              </w:rPr>
              <w:t>本项目不属于新建或改建、扩建广播电台、差转台、电视塔台、卫星地球上 行站、雷达等电磁辐射类项目，无需对电磁辐射现状开展监测与评价。</w:t>
            </w:r>
          </w:p>
          <w:p>
            <w:pPr>
              <w:spacing w:line="360" w:lineRule="auto"/>
              <w:jc w:val="left"/>
              <w:rPr>
                <w:b/>
                <w:bCs/>
                <w:kern w:val="0"/>
                <w:sz w:val="24"/>
              </w:rPr>
            </w:pPr>
            <w:r>
              <w:rPr>
                <w:rFonts w:hint="eastAsia"/>
                <w:b/>
                <w:bCs/>
                <w:kern w:val="0"/>
                <w:sz w:val="24"/>
              </w:rPr>
              <w:t>6</w:t>
            </w:r>
            <w:r>
              <w:rPr>
                <w:rFonts w:hint="eastAsia"/>
                <w:b/>
                <w:bCs/>
                <w:kern w:val="0"/>
                <w:sz w:val="24"/>
                <w:lang w:val="en-US" w:eastAsia="zh-CN"/>
              </w:rPr>
              <w:t>.地下水、</w:t>
            </w:r>
            <w:r>
              <w:rPr>
                <w:rFonts w:hint="eastAsia"/>
                <w:b/>
                <w:bCs/>
                <w:kern w:val="0"/>
                <w:sz w:val="24"/>
              </w:rPr>
              <w:t>土壤环境</w:t>
            </w:r>
          </w:p>
          <w:p>
            <w:pPr>
              <w:adjustRightInd w:val="0"/>
              <w:snapToGrid w:val="0"/>
              <w:spacing w:line="360" w:lineRule="auto"/>
              <w:ind w:firstLine="480" w:firstLineChars="200"/>
              <w:rPr>
                <w:color w:val="auto"/>
                <w:sz w:val="24"/>
                <w:highlight w:val="none"/>
              </w:rPr>
            </w:pPr>
            <w:r>
              <w:rPr>
                <w:rFonts w:hint="eastAsia"/>
                <w:color w:val="auto"/>
                <w:sz w:val="24"/>
                <w:highlight w:val="none"/>
              </w:rPr>
              <w:t>根据《建设项目环境影响报告表编制技术指南（污染影响类）》（试行），报告表原则上不开展地下水环境和土壤环境质量现状评价。本项目厂界外500m范围内不涉及地下水集中式饮用水水源和热水、矿泉水、温泉等特殊地下水资源等地下水环境敏感目标。本项目可能对地下水和土壤产生影响的区域为生产车间</w:t>
            </w:r>
            <w:r>
              <w:rPr>
                <w:rFonts w:hint="eastAsia"/>
                <w:color w:val="auto"/>
                <w:sz w:val="24"/>
                <w:highlight w:val="none"/>
                <w:lang w:val="en-US" w:eastAsia="zh-CN"/>
              </w:rPr>
              <w:t>和危废暂存间</w:t>
            </w:r>
            <w:r>
              <w:rPr>
                <w:rFonts w:hint="eastAsia"/>
                <w:color w:val="auto"/>
                <w:sz w:val="24"/>
                <w:highlight w:val="none"/>
              </w:rPr>
              <w:t>，项目各区域均采取防渗</w:t>
            </w:r>
            <w:r>
              <w:rPr>
                <w:rFonts w:hint="eastAsia"/>
                <w:color w:val="auto"/>
                <w:sz w:val="24"/>
                <w:highlight w:val="none"/>
                <w:lang w:val="en-US" w:eastAsia="zh-CN"/>
              </w:rPr>
              <w:t>等措施</w:t>
            </w:r>
            <w:r>
              <w:rPr>
                <w:rFonts w:hint="eastAsia"/>
                <w:color w:val="auto"/>
                <w:sz w:val="24"/>
                <w:highlight w:val="none"/>
              </w:rPr>
              <w:t>，项目日常运行不存在对土壤、地下水的影响途径，故本报告不开展进行地下水和土壤现状环境质量评价。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00" w:type="dxa"/>
            <w:vAlign w:val="center"/>
          </w:tcPr>
          <w:p>
            <w:pPr>
              <w:adjustRightInd w:val="0"/>
              <w:snapToGrid w:val="0"/>
              <w:jc w:val="center"/>
              <w:rPr>
                <w:color w:val="auto"/>
                <w:kern w:val="0"/>
                <w:sz w:val="24"/>
                <w:highlight w:val="none"/>
              </w:rPr>
            </w:pPr>
            <w:r>
              <w:rPr>
                <w:color w:val="auto"/>
                <w:kern w:val="0"/>
                <w:sz w:val="24"/>
                <w:highlight w:val="none"/>
              </w:rPr>
              <w:t>环境</w:t>
            </w:r>
          </w:p>
          <w:p>
            <w:pPr>
              <w:adjustRightInd w:val="0"/>
              <w:snapToGrid w:val="0"/>
              <w:jc w:val="center"/>
              <w:rPr>
                <w:color w:val="auto"/>
                <w:kern w:val="0"/>
                <w:sz w:val="24"/>
                <w:highlight w:val="none"/>
              </w:rPr>
            </w:pPr>
            <w:r>
              <w:rPr>
                <w:color w:val="auto"/>
                <w:kern w:val="0"/>
                <w:sz w:val="24"/>
                <w:highlight w:val="none"/>
              </w:rPr>
              <w:t>保护</w:t>
            </w:r>
          </w:p>
          <w:p>
            <w:pPr>
              <w:adjustRightInd w:val="0"/>
              <w:snapToGrid w:val="0"/>
              <w:jc w:val="center"/>
              <w:rPr>
                <w:color w:val="auto"/>
                <w:kern w:val="0"/>
                <w:sz w:val="24"/>
                <w:highlight w:val="none"/>
              </w:rPr>
            </w:pPr>
            <w:r>
              <w:rPr>
                <w:color w:val="auto"/>
                <w:kern w:val="0"/>
                <w:sz w:val="24"/>
                <w:highlight w:val="none"/>
              </w:rPr>
              <w:t>目标</w:t>
            </w:r>
          </w:p>
        </w:tc>
        <w:tc>
          <w:tcPr>
            <w:tcW w:w="8190" w:type="dxa"/>
            <w:vAlign w:val="center"/>
          </w:tcPr>
          <w:p>
            <w:pPr>
              <w:spacing w:line="360" w:lineRule="auto"/>
              <w:jc w:val="left"/>
              <w:rPr>
                <w:b/>
                <w:bCs/>
                <w:kern w:val="0"/>
                <w:sz w:val="24"/>
              </w:rPr>
            </w:pPr>
            <w:r>
              <w:rPr>
                <w:rFonts w:hint="eastAsia"/>
                <w:b/>
                <w:bCs/>
                <w:kern w:val="0"/>
                <w:sz w:val="24"/>
              </w:rPr>
              <w:t>1</w:t>
            </w:r>
            <w:r>
              <w:rPr>
                <w:rFonts w:hint="eastAsia"/>
                <w:b/>
                <w:bCs/>
                <w:kern w:val="0"/>
                <w:sz w:val="24"/>
                <w:lang w:val="en-US" w:eastAsia="zh-CN"/>
              </w:rPr>
              <w:t>.</w:t>
            </w:r>
            <w:r>
              <w:rPr>
                <w:rFonts w:hint="eastAsia"/>
                <w:b/>
                <w:bCs/>
                <w:kern w:val="0"/>
                <w:sz w:val="24"/>
              </w:rPr>
              <w:t>大气环境</w:t>
            </w:r>
          </w:p>
          <w:p>
            <w:pPr>
              <w:adjustRightInd w:val="0"/>
              <w:snapToGrid w:val="0"/>
              <w:spacing w:line="360" w:lineRule="auto"/>
              <w:ind w:firstLine="480" w:firstLineChars="200"/>
              <w:rPr>
                <w:color w:val="000000"/>
                <w:kern w:val="0"/>
                <w:sz w:val="24"/>
              </w:rPr>
            </w:pPr>
            <w:r>
              <w:rPr>
                <w:color w:val="000000"/>
                <w:kern w:val="0"/>
                <w:sz w:val="24"/>
              </w:rPr>
              <w:t>本项目厂界外</w:t>
            </w:r>
            <w:r>
              <w:rPr>
                <w:color w:val="000000"/>
                <w:kern w:val="0"/>
                <w:sz w:val="24"/>
                <w:highlight w:val="none"/>
              </w:rPr>
              <w:t>500</w:t>
            </w:r>
            <w:r>
              <w:rPr>
                <w:color w:val="000000"/>
                <w:kern w:val="0"/>
                <w:sz w:val="24"/>
              </w:rPr>
              <w:t>米范围内无自然保护区、风景名胜区、居住区、文化区</w:t>
            </w:r>
            <w:r>
              <w:rPr>
                <w:rFonts w:hint="eastAsia"/>
                <w:color w:val="000000"/>
                <w:kern w:val="0"/>
                <w:sz w:val="24"/>
              </w:rPr>
              <w:t>和农村地区人群较集中的区域</w:t>
            </w:r>
            <w:r>
              <w:rPr>
                <w:color w:val="000000"/>
                <w:kern w:val="0"/>
                <w:sz w:val="24"/>
              </w:rPr>
              <w:t>等保护目标。</w:t>
            </w:r>
          </w:p>
          <w:p>
            <w:pPr>
              <w:spacing w:line="360" w:lineRule="auto"/>
              <w:jc w:val="left"/>
              <w:rPr>
                <w:b/>
                <w:bCs/>
                <w:kern w:val="0"/>
                <w:sz w:val="24"/>
              </w:rPr>
            </w:pPr>
            <w:r>
              <w:rPr>
                <w:rFonts w:hint="eastAsia"/>
                <w:b/>
                <w:bCs/>
                <w:kern w:val="0"/>
                <w:sz w:val="24"/>
              </w:rPr>
              <w:t>2</w:t>
            </w:r>
            <w:r>
              <w:rPr>
                <w:rFonts w:hint="eastAsia"/>
                <w:b/>
                <w:bCs/>
                <w:kern w:val="0"/>
                <w:sz w:val="24"/>
                <w:lang w:val="en-US" w:eastAsia="zh-CN"/>
              </w:rPr>
              <w:t>.</w:t>
            </w:r>
            <w:r>
              <w:rPr>
                <w:rFonts w:hint="eastAsia"/>
                <w:b/>
                <w:bCs/>
                <w:kern w:val="0"/>
                <w:sz w:val="24"/>
              </w:rPr>
              <w:t>声环境</w:t>
            </w:r>
          </w:p>
          <w:p>
            <w:pPr>
              <w:adjustRightInd w:val="0"/>
              <w:snapToGrid w:val="0"/>
              <w:spacing w:line="360" w:lineRule="auto"/>
              <w:ind w:firstLine="480" w:firstLineChars="200"/>
              <w:rPr>
                <w:color w:val="000000"/>
                <w:kern w:val="0"/>
                <w:sz w:val="24"/>
              </w:rPr>
            </w:pPr>
            <w:r>
              <w:rPr>
                <w:rFonts w:hint="eastAsia"/>
                <w:color w:val="000000"/>
                <w:kern w:val="0"/>
                <w:sz w:val="24"/>
              </w:rPr>
              <w:t>本</w:t>
            </w:r>
            <w:r>
              <w:rPr>
                <w:color w:val="000000"/>
                <w:kern w:val="0"/>
                <w:sz w:val="24"/>
              </w:rPr>
              <w:t>项目厂界50米范围内</w:t>
            </w:r>
            <w:r>
              <w:rPr>
                <w:rFonts w:hint="eastAsia"/>
                <w:color w:val="000000"/>
                <w:kern w:val="0"/>
                <w:sz w:val="24"/>
              </w:rPr>
              <w:t>无</w:t>
            </w:r>
            <w:r>
              <w:rPr>
                <w:color w:val="000000"/>
                <w:kern w:val="0"/>
                <w:sz w:val="24"/>
              </w:rPr>
              <w:t>声环境</w:t>
            </w:r>
            <w:r>
              <w:rPr>
                <w:rFonts w:hint="eastAsia"/>
                <w:color w:val="000000"/>
                <w:kern w:val="0"/>
                <w:sz w:val="24"/>
              </w:rPr>
              <w:t>保护目标</w:t>
            </w:r>
            <w:r>
              <w:rPr>
                <w:color w:val="000000"/>
                <w:kern w:val="0"/>
                <w:sz w:val="24"/>
              </w:rPr>
              <w:t>。</w:t>
            </w:r>
          </w:p>
          <w:p>
            <w:pPr>
              <w:spacing w:line="360" w:lineRule="auto"/>
              <w:jc w:val="left"/>
              <w:rPr>
                <w:b/>
                <w:bCs/>
                <w:kern w:val="0"/>
                <w:sz w:val="24"/>
              </w:rPr>
            </w:pPr>
            <w:r>
              <w:rPr>
                <w:rFonts w:hint="eastAsia"/>
                <w:b/>
                <w:bCs/>
                <w:kern w:val="0"/>
                <w:sz w:val="24"/>
              </w:rPr>
              <w:t>3</w:t>
            </w:r>
            <w:r>
              <w:rPr>
                <w:rFonts w:hint="eastAsia"/>
                <w:b/>
                <w:bCs/>
                <w:kern w:val="0"/>
                <w:sz w:val="24"/>
                <w:lang w:val="en-US" w:eastAsia="zh-CN"/>
              </w:rPr>
              <w:t>.</w:t>
            </w:r>
            <w:r>
              <w:rPr>
                <w:rFonts w:hint="eastAsia"/>
                <w:b/>
                <w:bCs/>
                <w:kern w:val="0"/>
                <w:sz w:val="24"/>
              </w:rPr>
              <w:t>地下水环境</w:t>
            </w:r>
          </w:p>
          <w:p>
            <w:pPr>
              <w:adjustRightInd w:val="0"/>
              <w:snapToGrid w:val="0"/>
              <w:spacing w:line="360" w:lineRule="auto"/>
              <w:ind w:firstLine="480" w:firstLineChars="200"/>
              <w:rPr>
                <w:color w:val="000000"/>
                <w:kern w:val="0"/>
                <w:sz w:val="24"/>
              </w:rPr>
            </w:pPr>
            <w:r>
              <w:rPr>
                <w:rFonts w:hint="eastAsia"/>
                <w:color w:val="000000"/>
                <w:kern w:val="0"/>
                <w:sz w:val="24"/>
              </w:rPr>
              <w:t>本</w:t>
            </w:r>
            <w:r>
              <w:rPr>
                <w:color w:val="000000"/>
                <w:kern w:val="0"/>
                <w:sz w:val="24"/>
              </w:rPr>
              <w:t>项目厂界外</w:t>
            </w:r>
            <w:r>
              <w:rPr>
                <w:color w:val="000000"/>
                <w:kern w:val="0"/>
                <w:sz w:val="24"/>
                <w:highlight w:val="none"/>
              </w:rPr>
              <w:t>500</w:t>
            </w:r>
            <w:r>
              <w:rPr>
                <w:color w:val="000000"/>
                <w:kern w:val="0"/>
                <w:sz w:val="24"/>
              </w:rPr>
              <w:t>米范围内</w:t>
            </w:r>
            <w:r>
              <w:rPr>
                <w:rFonts w:hint="eastAsia"/>
                <w:color w:val="000000"/>
                <w:kern w:val="0"/>
                <w:sz w:val="24"/>
              </w:rPr>
              <w:t>无</w:t>
            </w:r>
            <w:r>
              <w:rPr>
                <w:color w:val="000000"/>
                <w:kern w:val="0"/>
                <w:sz w:val="24"/>
              </w:rPr>
              <w:t>地下水集中式饮用水水源和热水、矿泉水、温泉等特殊地下水资源。</w:t>
            </w:r>
          </w:p>
          <w:p>
            <w:pPr>
              <w:spacing w:line="360" w:lineRule="auto"/>
              <w:jc w:val="left"/>
              <w:rPr>
                <w:b/>
                <w:bCs/>
                <w:kern w:val="0"/>
                <w:sz w:val="24"/>
              </w:rPr>
            </w:pPr>
            <w:r>
              <w:rPr>
                <w:rFonts w:hint="eastAsia"/>
                <w:b/>
                <w:bCs/>
                <w:kern w:val="0"/>
                <w:sz w:val="24"/>
              </w:rPr>
              <w:t>4</w:t>
            </w:r>
            <w:r>
              <w:rPr>
                <w:rFonts w:hint="eastAsia"/>
                <w:b/>
                <w:bCs/>
                <w:kern w:val="0"/>
                <w:sz w:val="24"/>
                <w:lang w:val="en-US" w:eastAsia="zh-CN"/>
              </w:rPr>
              <w:t>.</w:t>
            </w:r>
            <w:r>
              <w:rPr>
                <w:rFonts w:hint="eastAsia"/>
                <w:b/>
                <w:bCs/>
                <w:kern w:val="0"/>
                <w:sz w:val="24"/>
              </w:rPr>
              <w:t>生态环境</w:t>
            </w:r>
          </w:p>
          <w:p>
            <w:pPr>
              <w:adjustRightInd w:val="0"/>
              <w:snapToGrid w:val="0"/>
              <w:spacing w:line="360" w:lineRule="auto"/>
              <w:ind w:firstLine="480" w:firstLineChars="200"/>
              <w:rPr>
                <w:color w:val="auto"/>
                <w:kern w:val="0"/>
                <w:highlight w:val="none"/>
              </w:rPr>
            </w:pPr>
            <w:r>
              <w:rPr>
                <w:rFonts w:hint="eastAsia"/>
                <w:color w:val="000000"/>
                <w:kern w:val="0"/>
                <w:sz w:val="24"/>
              </w:rPr>
              <w:t>本</w:t>
            </w:r>
            <w:r>
              <w:rPr>
                <w:color w:val="000000"/>
                <w:kern w:val="0"/>
                <w:sz w:val="24"/>
              </w:rPr>
              <w:t>项目为工业项目，</w:t>
            </w:r>
            <w:r>
              <w:rPr>
                <w:rFonts w:hint="eastAsia"/>
                <w:color w:val="000000"/>
                <w:kern w:val="0"/>
                <w:sz w:val="24"/>
              </w:rPr>
              <w:t>本</w:t>
            </w:r>
            <w:r>
              <w:rPr>
                <w:color w:val="000000"/>
                <w:kern w:val="0"/>
                <w:sz w:val="24"/>
              </w:rPr>
              <w:t>项目</w:t>
            </w:r>
            <w:r>
              <w:rPr>
                <w:rFonts w:hint="eastAsia"/>
                <w:color w:val="000000"/>
                <w:kern w:val="0"/>
                <w:sz w:val="24"/>
              </w:rPr>
              <w:t>位于</w:t>
            </w:r>
            <w:r>
              <w:rPr>
                <w:sz w:val="24"/>
                <w:u w:val="none"/>
              </w:rPr>
              <w:t>新疆维吾尔自治区</w:t>
            </w:r>
            <w:r>
              <w:rPr>
                <w:rFonts w:hint="eastAsia"/>
                <w:sz w:val="24"/>
                <w:u w:val="none"/>
                <w:lang w:val="en-US" w:eastAsia="zh-CN"/>
              </w:rPr>
              <w:t>奇台县喇嘛湖梁工业园安宁路与兴和路交汇处</w:t>
            </w:r>
            <w:r>
              <w:rPr>
                <w:rFonts w:hint="eastAsia"/>
                <w:color w:val="000000"/>
                <w:kern w:val="0"/>
                <w:sz w:val="24"/>
              </w:rPr>
              <w:t>，项目区域内无</w:t>
            </w:r>
            <w:r>
              <w:rPr>
                <w:color w:val="000000"/>
                <w:kern w:val="0"/>
                <w:sz w:val="24"/>
              </w:rPr>
              <w:t>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color w:val="auto"/>
                <w:kern w:val="0"/>
                <w:sz w:val="24"/>
                <w:highlight w:val="none"/>
              </w:rPr>
            </w:pPr>
            <w:r>
              <w:rPr>
                <w:rFonts w:hint="eastAsia"/>
                <w:color w:val="auto"/>
                <w:kern w:val="0"/>
                <w:sz w:val="24"/>
                <w:highlight w:val="none"/>
              </w:rPr>
              <w:t>污染</w:t>
            </w:r>
          </w:p>
          <w:p>
            <w:pPr>
              <w:adjustRightInd w:val="0"/>
              <w:snapToGrid w:val="0"/>
              <w:jc w:val="center"/>
              <w:rPr>
                <w:color w:val="auto"/>
                <w:kern w:val="0"/>
                <w:sz w:val="24"/>
                <w:highlight w:val="none"/>
              </w:rPr>
            </w:pPr>
            <w:r>
              <w:rPr>
                <w:rFonts w:hint="eastAsia"/>
                <w:color w:val="auto"/>
                <w:kern w:val="0"/>
                <w:sz w:val="24"/>
                <w:highlight w:val="none"/>
              </w:rPr>
              <w:t>物排</w:t>
            </w:r>
          </w:p>
          <w:p>
            <w:pPr>
              <w:adjustRightInd w:val="0"/>
              <w:snapToGrid w:val="0"/>
              <w:jc w:val="center"/>
              <w:rPr>
                <w:color w:val="auto"/>
                <w:kern w:val="0"/>
                <w:sz w:val="24"/>
                <w:highlight w:val="none"/>
              </w:rPr>
            </w:pPr>
            <w:r>
              <w:rPr>
                <w:rFonts w:hint="eastAsia"/>
                <w:color w:val="auto"/>
                <w:kern w:val="0"/>
                <w:sz w:val="24"/>
                <w:highlight w:val="none"/>
              </w:rPr>
              <w:t>放控</w:t>
            </w:r>
          </w:p>
          <w:p>
            <w:pPr>
              <w:adjustRightInd w:val="0"/>
              <w:snapToGrid w:val="0"/>
              <w:jc w:val="center"/>
              <w:rPr>
                <w:color w:val="auto"/>
                <w:kern w:val="0"/>
                <w:sz w:val="24"/>
                <w:highlight w:val="none"/>
              </w:rPr>
            </w:pPr>
            <w:r>
              <w:rPr>
                <w:rFonts w:hint="eastAsia"/>
                <w:color w:val="auto"/>
                <w:kern w:val="0"/>
                <w:sz w:val="24"/>
                <w:highlight w:val="none"/>
              </w:rPr>
              <w:t>制标</w:t>
            </w:r>
          </w:p>
          <w:p>
            <w:pPr>
              <w:adjustRightInd w:val="0"/>
              <w:snapToGrid w:val="0"/>
              <w:jc w:val="center"/>
              <w:rPr>
                <w:rFonts w:ascii="宋体" w:hAnsi="宋体" w:cs="宋体"/>
                <w:color w:val="auto"/>
                <w:kern w:val="0"/>
                <w:szCs w:val="21"/>
                <w:highlight w:val="none"/>
              </w:rPr>
            </w:pPr>
            <w:r>
              <w:rPr>
                <w:rFonts w:hint="eastAsia"/>
                <w:color w:val="auto"/>
                <w:kern w:val="0"/>
                <w:sz w:val="24"/>
                <w:highlight w:val="none"/>
              </w:rPr>
              <w:t>准</w:t>
            </w:r>
          </w:p>
        </w:tc>
        <w:tc>
          <w:tcPr>
            <w:tcW w:w="8190" w:type="dxa"/>
            <w:vAlign w:val="center"/>
          </w:tcPr>
          <w:p>
            <w:pPr>
              <w:spacing w:line="360" w:lineRule="auto"/>
              <w:jc w:val="left"/>
              <w:rPr>
                <w:b/>
                <w:bCs/>
                <w:kern w:val="0"/>
                <w:sz w:val="24"/>
              </w:rPr>
            </w:pPr>
            <w:r>
              <w:rPr>
                <w:b/>
                <w:bCs/>
                <w:kern w:val="0"/>
                <w:sz w:val="24"/>
              </w:rPr>
              <w:t>1</w:t>
            </w:r>
            <w:r>
              <w:rPr>
                <w:rFonts w:hint="eastAsia"/>
                <w:b/>
                <w:bCs/>
                <w:kern w:val="0"/>
                <w:sz w:val="24"/>
                <w:lang w:val="en-US" w:eastAsia="zh-CN"/>
              </w:rPr>
              <w:t>.</w:t>
            </w:r>
            <w:r>
              <w:rPr>
                <w:b/>
                <w:bCs/>
                <w:kern w:val="0"/>
                <w:sz w:val="24"/>
              </w:rPr>
              <w:t>大气污染物排放标准</w:t>
            </w:r>
          </w:p>
          <w:p>
            <w:pPr>
              <w:adjustRightInd w:val="0"/>
              <w:snapToGrid w:val="0"/>
              <w:spacing w:line="360" w:lineRule="auto"/>
              <w:ind w:firstLine="480" w:firstLineChars="200"/>
              <w:rPr>
                <w:color w:val="000000"/>
                <w:kern w:val="0"/>
                <w:sz w:val="24"/>
              </w:rPr>
            </w:pPr>
            <w:r>
              <w:rPr>
                <w:rFonts w:hint="eastAsia"/>
                <w:color w:val="000000"/>
                <w:kern w:val="0"/>
                <w:sz w:val="24"/>
              </w:rPr>
              <w:t>（1）</w:t>
            </w:r>
            <w:r>
              <w:rPr>
                <w:color w:val="000000"/>
                <w:kern w:val="0"/>
                <w:sz w:val="24"/>
              </w:rPr>
              <w:t>有组织</w:t>
            </w:r>
            <w:r>
              <w:rPr>
                <w:rFonts w:hint="eastAsia"/>
                <w:color w:val="000000"/>
                <w:kern w:val="0"/>
                <w:sz w:val="24"/>
              </w:rPr>
              <w:t>废气</w:t>
            </w:r>
          </w:p>
          <w:p>
            <w:pPr>
              <w:adjustRightInd w:val="0"/>
              <w:snapToGrid w:val="0"/>
              <w:spacing w:line="360" w:lineRule="auto"/>
              <w:ind w:firstLine="480" w:firstLineChars="200"/>
              <w:rPr>
                <w:color w:val="000000"/>
                <w:kern w:val="0"/>
                <w:sz w:val="24"/>
              </w:rPr>
            </w:pPr>
            <w:r>
              <w:rPr>
                <w:rFonts w:hint="eastAsia"/>
                <w:color w:val="000000"/>
                <w:kern w:val="0"/>
                <w:sz w:val="24"/>
                <w:lang w:val="en-US" w:eastAsia="zh-CN"/>
              </w:rPr>
              <w:t>项目运营期产生的</w:t>
            </w:r>
            <w:r>
              <w:rPr>
                <w:rFonts w:hint="eastAsia"/>
                <w:color w:val="000000"/>
                <w:kern w:val="0"/>
                <w:sz w:val="24"/>
              </w:rPr>
              <w:t>粉尘</w:t>
            </w:r>
            <w:r>
              <w:rPr>
                <w:color w:val="000000"/>
                <w:kern w:val="0"/>
                <w:sz w:val="24"/>
              </w:rPr>
              <w:t>排放执行《大气污染物综合排放标准》（GB16297-1996）</w:t>
            </w:r>
            <w:r>
              <w:rPr>
                <w:rFonts w:hint="eastAsia"/>
                <w:color w:val="000000"/>
                <w:kern w:val="0"/>
                <w:sz w:val="24"/>
              </w:rPr>
              <w:t>表2</w:t>
            </w:r>
            <w:r>
              <w:rPr>
                <w:rFonts w:hint="eastAsia"/>
                <w:color w:val="000000"/>
                <w:kern w:val="0"/>
                <w:sz w:val="24"/>
                <w:lang w:val="en-US" w:eastAsia="zh-CN"/>
              </w:rPr>
              <w:t>新污染源颗粒物</w:t>
            </w:r>
            <w:r>
              <w:rPr>
                <w:rFonts w:hint="eastAsia"/>
                <w:color w:val="000000"/>
                <w:kern w:val="0"/>
                <w:sz w:val="24"/>
              </w:rPr>
              <w:t>二级</w:t>
            </w:r>
            <w:r>
              <w:rPr>
                <w:rFonts w:hint="eastAsia"/>
                <w:color w:val="000000"/>
                <w:kern w:val="0"/>
                <w:sz w:val="24"/>
                <w:lang w:val="en-US" w:eastAsia="zh-CN"/>
              </w:rPr>
              <w:t>有组织</w:t>
            </w:r>
            <w:r>
              <w:rPr>
                <w:rFonts w:hint="eastAsia"/>
                <w:color w:val="000000"/>
                <w:kern w:val="0"/>
                <w:sz w:val="24"/>
              </w:rPr>
              <w:t>排放标准</w:t>
            </w:r>
            <w:r>
              <w:rPr>
                <w:rFonts w:hint="eastAsia"/>
                <w:color w:val="000000"/>
                <w:kern w:val="0"/>
                <w:sz w:val="24"/>
                <w:lang w:eastAsia="zh-CN"/>
              </w:rPr>
              <w:t>，</w:t>
            </w:r>
            <w:r>
              <w:rPr>
                <w:rFonts w:hint="eastAsia"/>
                <w:color w:val="000000"/>
                <w:kern w:val="0"/>
                <w:sz w:val="24"/>
                <w:lang w:val="en-US" w:eastAsia="zh-CN"/>
              </w:rPr>
              <w:t>详见表3-3；</w:t>
            </w:r>
            <w:r>
              <w:rPr>
                <w:rFonts w:hint="eastAsia"/>
                <w:color w:val="000000"/>
                <w:kern w:val="0"/>
                <w:sz w:val="24"/>
              </w:rPr>
              <w:t>食堂油烟执行《饮食业油烟排放标准（试行）》（GB18483-2001）相应标准限值</w:t>
            </w:r>
            <w:r>
              <w:rPr>
                <w:rFonts w:hint="eastAsia"/>
                <w:color w:val="000000"/>
                <w:kern w:val="0"/>
                <w:sz w:val="24"/>
                <w:lang w:eastAsia="zh-CN"/>
              </w:rPr>
              <w:t>，</w:t>
            </w:r>
            <w:r>
              <w:rPr>
                <w:rFonts w:hint="eastAsia"/>
                <w:color w:val="000000"/>
                <w:kern w:val="0"/>
                <w:sz w:val="24"/>
                <w:lang w:val="en-US" w:eastAsia="zh-CN"/>
              </w:rPr>
              <w:t>详见表3-4</w:t>
            </w:r>
            <w:r>
              <w:rPr>
                <w:rFonts w:hint="eastAsia"/>
                <w:color w:val="000000"/>
                <w:kern w:val="0"/>
                <w:sz w:val="24"/>
              </w:rPr>
              <w:t>。</w:t>
            </w:r>
          </w:p>
          <w:p>
            <w:pPr>
              <w:pStyle w:val="29"/>
              <w:spacing w:after="0" w:line="520" w:lineRule="exact"/>
              <w:ind w:left="0" w:leftChars="0" w:firstLine="0" w:firstLineChars="0"/>
              <w:jc w:val="center"/>
              <w:rPr>
                <w:rFonts w:ascii="Times New Roman" w:hAnsi="Times New Roman"/>
                <w:b/>
                <w:bCs/>
                <w:color w:val="000000"/>
                <w:sz w:val="21"/>
                <w:szCs w:val="21"/>
              </w:rPr>
            </w:pPr>
            <w:r>
              <w:rPr>
                <w:rFonts w:hint="eastAsia" w:ascii="Times New Roman" w:hAnsi="Times New Roman"/>
                <w:b/>
                <w:bCs/>
                <w:color w:val="000000"/>
                <w:sz w:val="21"/>
                <w:szCs w:val="21"/>
              </w:rPr>
              <w:t>表</w:t>
            </w:r>
            <w:r>
              <w:rPr>
                <w:rFonts w:hint="eastAsia" w:ascii="Times New Roman" w:hAnsi="Times New Roman"/>
                <w:b/>
                <w:bCs/>
                <w:color w:val="000000"/>
                <w:sz w:val="21"/>
                <w:szCs w:val="21"/>
                <w:lang w:val="en-US" w:eastAsia="zh-CN"/>
              </w:rPr>
              <w:t>3-3</w:t>
            </w:r>
            <w:r>
              <w:rPr>
                <w:rFonts w:hint="eastAsia" w:ascii="Times New Roman" w:hAnsi="Times New Roman"/>
                <w:b/>
                <w:bCs/>
                <w:color w:val="000000"/>
                <w:sz w:val="21"/>
                <w:szCs w:val="21"/>
              </w:rPr>
              <w:t xml:space="preserve">   有组织粉尘污染物排放标准</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1"/>
              <w:gridCol w:w="618"/>
              <w:gridCol w:w="981"/>
              <w:gridCol w:w="1182"/>
              <w:gridCol w:w="1398"/>
              <w:gridCol w:w="3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277" w:type="pct"/>
                  <w:vMerge w:val="restart"/>
                  <w:noWrap w:val="0"/>
                  <w:vAlign w:val="center"/>
                </w:tcPr>
                <w:p>
                  <w:pPr>
                    <w:jc w:val="center"/>
                    <w:rPr>
                      <w:b/>
                      <w:bCs/>
                      <w:szCs w:val="21"/>
                    </w:rPr>
                  </w:pPr>
                  <w:r>
                    <w:rPr>
                      <w:b/>
                      <w:bCs/>
                      <w:szCs w:val="21"/>
                    </w:rPr>
                    <w:t>序号</w:t>
                  </w:r>
                </w:p>
              </w:tc>
              <w:tc>
                <w:tcPr>
                  <w:tcW w:w="388" w:type="pct"/>
                  <w:vMerge w:val="restart"/>
                  <w:noWrap w:val="0"/>
                  <w:vAlign w:val="center"/>
                </w:tcPr>
                <w:p>
                  <w:pPr>
                    <w:jc w:val="center"/>
                    <w:rPr>
                      <w:b/>
                      <w:bCs/>
                      <w:szCs w:val="21"/>
                    </w:rPr>
                  </w:pPr>
                  <w:r>
                    <w:rPr>
                      <w:b/>
                      <w:bCs/>
                      <w:szCs w:val="21"/>
                    </w:rPr>
                    <w:t>控制</w:t>
                  </w:r>
                </w:p>
                <w:p>
                  <w:pPr>
                    <w:jc w:val="center"/>
                    <w:rPr>
                      <w:b/>
                      <w:bCs/>
                      <w:szCs w:val="21"/>
                    </w:rPr>
                  </w:pPr>
                  <w:r>
                    <w:rPr>
                      <w:b/>
                      <w:bCs/>
                      <w:szCs w:val="21"/>
                    </w:rPr>
                    <w:t>项目</w:t>
                  </w:r>
                </w:p>
              </w:tc>
              <w:tc>
                <w:tcPr>
                  <w:tcW w:w="2236" w:type="pct"/>
                  <w:gridSpan w:val="3"/>
                  <w:noWrap w:val="0"/>
                  <w:vAlign w:val="center"/>
                </w:tcPr>
                <w:p>
                  <w:pPr>
                    <w:jc w:val="center"/>
                    <w:rPr>
                      <w:rFonts w:hint="eastAsia"/>
                      <w:b/>
                      <w:bCs/>
                      <w:szCs w:val="21"/>
                    </w:rPr>
                  </w:pPr>
                  <w:r>
                    <w:rPr>
                      <w:rFonts w:hint="eastAsia"/>
                      <w:b/>
                      <w:bCs/>
                      <w:szCs w:val="21"/>
                    </w:rPr>
                    <w:t>标准值</w:t>
                  </w:r>
                </w:p>
              </w:tc>
              <w:tc>
                <w:tcPr>
                  <w:tcW w:w="2097" w:type="pct"/>
                  <w:vMerge w:val="restart"/>
                  <w:noWrap w:val="0"/>
                  <w:vAlign w:val="center"/>
                </w:tcPr>
                <w:p>
                  <w:pPr>
                    <w:jc w:val="center"/>
                    <w:rPr>
                      <w:b/>
                      <w:bCs/>
                      <w:szCs w:val="21"/>
                    </w:rPr>
                  </w:pPr>
                  <w:r>
                    <w:rPr>
                      <w:rFonts w:hint="eastAsia"/>
                      <w:b/>
                      <w:bCs/>
                      <w:szCs w:val="21"/>
                    </w:rPr>
                    <w:t>标准来源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77" w:type="pct"/>
                  <w:vMerge w:val="continue"/>
                  <w:tcBorders>
                    <w:top w:val="nil"/>
                  </w:tcBorders>
                  <w:noWrap w:val="0"/>
                  <w:vAlign w:val="center"/>
                </w:tcPr>
                <w:p>
                  <w:pPr>
                    <w:jc w:val="center"/>
                    <w:rPr>
                      <w:b/>
                      <w:bCs/>
                      <w:szCs w:val="21"/>
                    </w:rPr>
                  </w:pPr>
                </w:p>
              </w:tc>
              <w:tc>
                <w:tcPr>
                  <w:tcW w:w="388" w:type="pct"/>
                  <w:vMerge w:val="continue"/>
                  <w:tcBorders>
                    <w:top w:val="nil"/>
                  </w:tcBorders>
                  <w:noWrap w:val="0"/>
                  <w:vAlign w:val="center"/>
                </w:tcPr>
                <w:p>
                  <w:pPr>
                    <w:jc w:val="center"/>
                    <w:rPr>
                      <w:b/>
                      <w:bCs/>
                      <w:szCs w:val="21"/>
                    </w:rPr>
                  </w:pPr>
                </w:p>
              </w:tc>
              <w:tc>
                <w:tcPr>
                  <w:tcW w:w="616" w:type="pct"/>
                  <w:noWrap w:val="0"/>
                  <w:vAlign w:val="center"/>
                </w:tcPr>
                <w:p>
                  <w:pPr>
                    <w:jc w:val="center"/>
                    <w:rPr>
                      <w:b/>
                      <w:bCs/>
                      <w:szCs w:val="21"/>
                    </w:rPr>
                  </w:pPr>
                  <w:r>
                    <w:rPr>
                      <w:b/>
                      <w:bCs/>
                      <w:szCs w:val="21"/>
                    </w:rPr>
                    <w:t>排气筒高度（m）</w:t>
                  </w:r>
                </w:p>
              </w:tc>
              <w:tc>
                <w:tcPr>
                  <w:tcW w:w="742" w:type="pct"/>
                  <w:noWrap w:val="0"/>
                  <w:vAlign w:val="center"/>
                </w:tcPr>
                <w:p>
                  <w:pPr>
                    <w:jc w:val="center"/>
                    <w:rPr>
                      <w:b/>
                      <w:bCs/>
                      <w:szCs w:val="21"/>
                    </w:rPr>
                  </w:pPr>
                  <w:r>
                    <w:rPr>
                      <w:b/>
                      <w:bCs/>
                      <w:szCs w:val="21"/>
                    </w:rPr>
                    <w:t>二级排放速率</w:t>
                  </w:r>
                  <w:r>
                    <w:rPr>
                      <w:rFonts w:hint="eastAsia"/>
                      <w:b/>
                      <w:bCs/>
                      <w:szCs w:val="21"/>
                    </w:rPr>
                    <w:t>（kg/h）</w:t>
                  </w:r>
                </w:p>
              </w:tc>
              <w:tc>
                <w:tcPr>
                  <w:tcW w:w="878" w:type="pct"/>
                  <w:tcBorders>
                    <w:top w:val="nil"/>
                  </w:tcBorders>
                  <w:noWrap w:val="0"/>
                  <w:vAlign w:val="center"/>
                </w:tcPr>
                <w:p>
                  <w:pPr>
                    <w:jc w:val="center"/>
                    <w:rPr>
                      <w:b/>
                      <w:bCs/>
                      <w:szCs w:val="21"/>
                    </w:rPr>
                  </w:pPr>
                  <w:r>
                    <w:rPr>
                      <w:rFonts w:hint="eastAsia"/>
                      <w:b/>
                      <w:bCs/>
                      <w:szCs w:val="21"/>
                    </w:rPr>
                    <w:t>排放浓度（mg/m</w:t>
                  </w:r>
                  <w:r>
                    <w:rPr>
                      <w:rFonts w:hint="eastAsia"/>
                      <w:b/>
                      <w:bCs/>
                      <w:szCs w:val="21"/>
                      <w:vertAlign w:val="superscript"/>
                    </w:rPr>
                    <w:t>3</w:t>
                  </w:r>
                  <w:r>
                    <w:rPr>
                      <w:rFonts w:hint="eastAsia"/>
                      <w:b/>
                      <w:bCs/>
                      <w:szCs w:val="21"/>
                    </w:rPr>
                    <w:t>）</w:t>
                  </w:r>
                </w:p>
              </w:tc>
              <w:tc>
                <w:tcPr>
                  <w:tcW w:w="2097" w:type="pct"/>
                  <w:vMerge w:val="continue"/>
                  <w:tcBorders>
                    <w:top w:val="nil"/>
                  </w:tcBorders>
                  <w:noWrap w:val="0"/>
                  <w:vAlign w:val="center"/>
                </w:tcPr>
                <w:p>
                  <w:pPr>
                    <w:jc w:val="center"/>
                    <w:rPr>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77" w:type="pct"/>
                  <w:noWrap w:val="0"/>
                  <w:vAlign w:val="center"/>
                </w:tcPr>
                <w:p>
                  <w:pPr>
                    <w:jc w:val="center"/>
                    <w:rPr>
                      <w:szCs w:val="21"/>
                    </w:rPr>
                  </w:pPr>
                  <w:r>
                    <w:rPr>
                      <w:szCs w:val="21"/>
                    </w:rPr>
                    <w:t>1</w:t>
                  </w:r>
                </w:p>
              </w:tc>
              <w:tc>
                <w:tcPr>
                  <w:tcW w:w="388" w:type="pct"/>
                  <w:noWrap w:val="0"/>
                  <w:vAlign w:val="center"/>
                </w:tcPr>
                <w:p>
                  <w:pPr>
                    <w:jc w:val="center"/>
                    <w:rPr>
                      <w:rFonts w:hint="eastAsia"/>
                      <w:szCs w:val="21"/>
                    </w:rPr>
                  </w:pPr>
                  <w:r>
                    <w:rPr>
                      <w:rFonts w:hint="eastAsia"/>
                      <w:szCs w:val="21"/>
                    </w:rPr>
                    <w:t>颗粒物</w:t>
                  </w:r>
                </w:p>
              </w:tc>
              <w:tc>
                <w:tcPr>
                  <w:tcW w:w="616" w:type="pct"/>
                  <w:noWrap w:val="0"/>
                  <w:vAlign w:val="center"/>
                </w:tcPr>
                <w:p>
                  <w:pPr>
                    <w:jc w:val="center"/>
                    <w:rPr>
                      <w:szCs w:val="21"/>
                    </w:rPr>
                  </w:pPr>
                  <w:r>
                    <w:rPr>
                      <w:rFonts w:hint="eastAsia"/>
                      <w:szCs w:val="21"/>
                    </w:rPr>
                    <w:t>15</w:t>
                  </w:r>
                </w:p>
              </w:tc>
              <w:tc>
                <w:tcPr>
                  <w:tcW w:w="742" w:type="pct"/>
                  <w:noWrap w:val="0"/>
                  <w:vAlign w:val="center"/>
                </w:tcPr>
                <w:p>
                  <w:pPr>
                    <w:jc w:val="center"/>
                    <w:rPr>
                      <w:szCs w:val="21"/>
                    </w:rPr>
                  </w:pPr>
                  <w:r>
                    <w:rPr>
                      <w:rFonts w:hint="eastAsia"/>
                      <w:szCs w:val="21"/>
                    </w:rPr>
                    <w:t>3.5</w:t>
                  </w:r>
                </w:p>
              </w:tc>
              <w:tc>
                <w:tcPr>
                  <w:tcW w:w="878" w:type="pct"/>
                  <w:noWrap w:val="0"/>
                  <w:vAlign w:val="center"/>
                </w:tcPr>
                <w:p>
                  <w:pPr>
                    <w:jc w:val="center"/>
                    <w:rPr>
                      <w:szCs w:val="21"/>
                    </w:rPr>
                  </w:pPr>
                  <w:r>
                    <w:rPr>
                      <w:rFonts w:hint="eastAsia"/>
                      <w:szCs w:val="21"/>
                    </w:rPr>
                    <w:t>120</w:t>
                  </w:r>
                </w:p>
              </w:tc>
              <w:tc>
                <w:tcPr>
                  <w:tcW w:w="2097" w:type="pct"/>
                  <w:noWrap w:val="0"/>
                  <w:vAlign w:val="center"/>
                </w:tcPr>
                <w:p>
                  <w:pPr>
                    <w:jc w:val="center"/>
                    <w:rPr>
                      <w:szCs w:val="21"/>
                    </w:rPr>
                  </w:pPr>
                  <w:r>
                    <w:rPr>
                      <w:szCs w:val="21"/>
                    </w:rPr>
                    <w:t>《大气污染物综合排放标准》（GB16297-1996）表2二级排放标准</w:t>
                  </w:r>
                </w:p>
              </w:tc>
            </w:tr>
          </w:tbl>
          <w:p>
            <w:pPr>
              <w:pStyle w:val="45"/>
              <w:spacing w:before="0" w:after="0" w:line="520" w:lineRule="exact"/>
            </w:pPr>
            <w:r>
              <w:t>表</w:t>
            </w:r>
            <w:r>
              <w:rPr>
                <w:rFonts w:hint="eastAsia"/>
                <w:lang w:val="en-US" w:eastAsia="zh-CN"/>
              </w:rPr>
              <w:t>3-4</w:t>
            </w:r>
            <w:r>
              <w:t xml:space="preserve">  饮食业油烟排放标准（试行）</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41"/>
              <w:gridCol w:w="1377"/>
              <w:gridCol w:w="1378"/>
              <w:gridCol w:w="1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75" w:type="pct"/>
                  <w:noWrap w:val="0"/>
                  <w:vAlign w:val="center"/>
                </w:tcPr>
                <w:p>
                  <w:pPr>
                    <w:jc w:val="center"/>
                    <w:rPr>
                      <w:b/>
                      <w:bCs/>
                      <w:szCs w:val="21"/>
                    </w:rPr>
                  </w:pPr>
                  <w:r>
                    <w:rPr>
                      <w:b/>
                      <w:bCs/>
                      <w:szCs w:val="21"/>
                    </w:rPr>
                    <w:t>规模</w:t>
                  </w:r>
                </w:p>
              </w:tc>
              <w:tc>
                <w:tcPr>
                  <w:tcW w:w="865" w:type="pct"/>
                  <w:noWrap w:val="0"/>
                  <w:vAlign w:val="center"/>
                </w:tcPr>
                <w:p>
                  <w:pPr>
                    <w:jc w:val="center"/>
                    <w:rPr>
                      <w:b/>
                      <w:bCs/>
                      <w:szCs w:val="21"/>
                    </w:rPr>
                  </w:pPr>
                  <w:r>
                    <w:rPr>
                      <w:b/>
                      <w:bCs/>
                      <w:szCs w:val="21"/>
                    </w:rPr>
                    <w:t>小型</w:t>
                  </w:r>
                </w:p>
              </w:tc>
              <w:tc>
                <w:tcPr>
                  <w:tcW w:w="865" w:type="pct"/>
                  <w:noWrap w:val="0"/>
                  <w:vAlign w:val="center"/>
                </w:tcPr>
                <w:p>
                  <w:pPr>
                    <w:jc w:val="center"/>
                    <w:rPr>
                      <w:b/>
                      <w:bCs/>
                      <w:szCs w:val="21"/>
                    </w:rPr>
                  </w:pPr>
                  <w:r>
                    <w:rPr>
                      <w:b/>
                      <w:bCs/>
                      <w:szCs w:val="21"/>
                    </w:rPr>
                    <w:t>中型</w:t>
                  </w:r>
                </w:p>
              </w:tc>
              <w:tc>
                <w:tcPr>
                  <w:tcW w:w="793" w:type="pct"/>
                  <w:noWrap w:val="0"/>
                  <w:vAlign w:val="center"/>
                </w:tcPr>
                <w:p>
                  <w:pPr>
                    <w:jc w:val="center"/>
                    <w:rPr>
                      <w:b/>
                      <w:bCs/>
                      <w:szCs w:val="21"/>
                    </w:rPr>
                  </w:pPr>
                  <w:r>
                    <w:rPr>
                      <w:b/>
                      <w:bCs/>
                      <w:szCs w:val="21"/>
                    </w:rPr>
                    <w:t>大型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75" w:type="pct"/>
                  <w:noWrap w:val="0"/>
                  <w:vAlign w:val="center"/>
                </w:tcPr>
                <w:p>
                  <w:pPr>
                    <w:jc w:val="center"/>
                    <w:rPr>
                      <w:szCs w:val="21"/>
                    </w:rPr>
                  </w:pPr>
                  <w:r>
                    <w:rPr>
                      <w:szCs w:val="21"/>
                    </w:rPr>
                    <w:t>基准灶头数</w:t>
                  </w:r>
                </w:p>
              </w:tc>
              <w:tc>
                <w:tcPr>
                  <w:tcW w:w="865" w:type="pct"/>
                  <w:noWrap w:val="0"/>
                  <w:vAlign w:val="center"/>
                </w:tcPr>
                <w:p>
                  <w:pPr>
                    <w:jc w:val="center"/>
                    <w:rPr>
                      <w:szCs w:val="21"/>
                    </w:rPr>
                  </w:pPr>
                  <w:r>
                    <w:rPr>
                      <w:szCs w:val="21"/>
                    </w:rPr>
                    <w:t>≥1，＜3</w:t>
                  </w:r>
                </w:p>
              </w:tc>
              <w:tc>
                <w:tcPr>
                  <w:tcW w:w="865" w:type="pct"/>
                  <w:noWrap w:val="0"/>
                  <w:vAlign w:val="center"/>
                </w:tcPr>
                <w:p>
                  <w:pPr>
                    <w:jc w:val="center"/>
                    <w:rPr>
                      <w:szCs w:val="21"/>
                    </w:rPr>
                  </w:pPr>
                  <w:r>
                    <w:rPr>
                      <w:szCs w:val="21"/>
                    </w:rPr>
                    <w:t>≥3，＜6</w:t>
                  </w:r>
                </w:p>
              </w:tc>
              <w:tc>
                <w:tcPr>
                  <w:tcW w:w="793" w:type="pct"/>
                  <w:noWrap w:val="0"/>
                  <w:vAlign w:val="center"/>
                </w:tcPr>
                <w:p>
                  <w:pPr>
                    <w:jc w:val="center"/>
                    <w:rPr>
                      <w:szCs w:val="21"/>
                    </w:rPr>
                  </w:pPr>
                  <w:r>
                    <w:rPr>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75" w:type="pct"/>
                  <w:noWrap w:val="0"/>
                  <w:vAlign w:val="center"/>
                </w:tcPr>
                <w:p>
                  <w:pPr>
                    <w:jc w:val="center"/>
                    <w:rPr>
                      <w:szCs w:val="21"/>
                    </w:rPr>
                  </w:pPr>
                  <w:r>
                    <w:rPr>
                      <w:szCs w:val="21"/>
                    </w:rPr>
                    <w:t>最高允许排放浓度</w:t>
                  </w:r>
                  <w:r>
                    <w:rPr>
                      <w:rFonts w:hint="eastAsia"/>
                      <w:szCs w:val="21"/>
                    </w:rPr>
                    <w:t>（mg/m</w:t>
                  </w:r>
                  <w:r>
                    <w:rPr>
                      <w:rFonts w:hint="eastAsia"/>
                      <w:szCs w:val="21"/>
                      <w:vertAlign w:val="superscript"/>
                    </w:rPr>
                    <w:t>3</w:t>
                  </w:r>
                  <w:r>
                    <w:rPr>
                      <w:rFonts w:hint="eastAsia"/>
                      <w:szCs w:val="21"/>
                    </w:rPr>
                    <w:t>）</w:t>
                  </w:r>
                </w:p>
              </w:tc>
              <w:tc>
                <w:tcPr>
                  <w:tcW w:w="2524" w:type="pct"/>
                  <w:gridSpan w:val="3"/>
                  <w:noWrap w:val="0"/>
                  <w:vAlign w:val="center"/>
                </w:tcPr>
                <w:p>
                  <w:pPr>
                    <w:jc w:val="center"/>
                    <w:rPr>
                      <w:szCs w:val="21"/>
                    </w:rPr>
                  </w:pPr>
                  <w:r>
                    <w:rPr>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75" w:type="pct"/>
                  <w:noWrap w:val="0"/>
                  <w:vAlign w:val="center"/>
                </w:tcPr>
                <w:p>
                  <w:pPr>
                    <w:jc w:val="center"/>
                    <w:rPr>
                      <w:rFonts w:hint="eastAsia"/>
                      <w:szCs w:val="21"/>
                    </w:rPr>
                  </w:pPr>
                  <w:r>
                    <w:rPr>
                      <w:szCs w:val="21"/>
                    </w:rPr>
                    <w:t>净化设施最低去除效率</w:t>
                  </w:r>
                  <w:r>
                    <w:rPr>
                      <w:rFonts w:hint="eastAsia"/>
                      <w:szCs w:val="21"/>
                    </w:rPr>
                    <w:t>（</w:t>
                  </w:r>
                  <w:r>
                    <w:rPr>
                      <w:szCs w:val="21"/>
                    </w:rPr>
                    <w:t>%</w:t>
                  </w:r>
                  <w:r>
                    <w:rPr>
                      <w:rFonts w:hint="eastAsia"/>
                      <w:szCs w:val="21"/>
                    </w:rPr>
                    <w:t>）</w:t>
                  </w:r>
                </w:p>
              </w:tc>
              <w:tc>
                <w:tcPr>
                  <w:tcW w:w="865" w:type="pct"/>
                  <w:noWrap w:val="0"/>
                  <w:vAlign w:val="center"/>
                </w:tcPr>
                <w:p>
                  <w:pPr>
                    <w:jc w:val="center"/>
                    <w:rPr>
                      <w:szCs w:val="21"/>
                    </w:rPr>
                  </w:pPr>
                  <w:r>
                    <w:rPr>
                      <w:szCs w:val="21"/>
                    </w:rPr>
                    <w:t>60</w:t>
                  </w:r>
                </w:p>
              </w:tc>
              <w:tc>
                <w:tcPr>
                  <w:tcW w:w="865" w:type="pct"/>
                  <w:noWrap w:val="0"/>
                  <w:vAlign w:val="center"/>
                </w:tcPr>
                <w:p>
                  <w:pPr>
                    <w:jc w:val="center"/>
                    <w:rPr>
                      <w:szCs w:val="21"/>
                    </w:rPr>
                  </w:pPr>
                  <w:r>
                    <w:rPr>
                      <w:szCs w:val="21"/>
                    </w:rPr>
                    <w:t>75</w:t>
                  </w:r>
                </w:p>
              </w:tc>
              <w:tc>
                <w:tcPr>
                  <w:tcW w:w="793" w:type="pct"/>
                  <w:noWrap w:val="0"/>
                  <w:vAlign w:val="center"/>
                </w:tcPr>
                <w:p>
                  <w:pPr>
                    <w:jc w:val="center"/>
                    <w:rPr>
                      <w:szCs w:val="21"/>
                    </w:rPr>
                  </w:pPr>
                  <w:r>
                    <w:rPr>
                      <w:szCs w:val="21"/>
                    </w:rPr>
                    <w:t>85</w:t>
                  </w:r>
                </w:p>
              </w:tc>
            </w:tr>
          </w:tbl>
          <w:p>
            <w:pPr>
              <w:adjustRightInd w:val="0"/>
              <w:snapToGrid w:val="0"/>
              <w:spacing w:line="520" w:lineRule="exact"/>
              <w:ind w:firstLine="480" w:firstLineChars="200"/>
              <w:rPr>
                <w:color w:val="000000"/>
                <w:kern w:val="0"/>
                <w:sz w:val="24"/>
              </w:rPr>
            </w:pPr>
            <w:r>
              <w:rPr>
                <w:rFonts w:hint="eastAsia"/>
                <w:color w:val="000000"/>
                <w:kern w:val="0"/>
                <w:sz w:val="24"/>
              </w:rPr>
              <w:t>（2）无组织废气</w:t>
            </w:r>
          </w:p>
          <w:p>
            <w:pPr>
              <w:adjustRightInd w:val="0"/>
              <w:snapToGrid w:val="0"/>
              <w:spacing w:line="520" w:lineRule="exact"/>
              <w:ind w:firstLine="480" w:firstLineChars="200"/>
              <w:rPr>
                <w:color w:val="000000"/>
                <w:kern w:val="0"/>
                <w:sz w:val="24"/>
              </w:rPr>
            </w:pPr>
            <w:r>
              <w:rPr>
                <w:color w:val="000000"/>
                <w:kern w:val="0"/>
                <w:sz w:val="24"/>
              </w:rPr>
              <w:t>无组织粉尘排放执行《大气污染物综合排放标准》（GB16297-1996）表2无组织排放</w:t>
            </w:r>
            <w:r>
              <w:rPr>
                <w:rFonts w:hint="eastAsia"/>
                <w:color w:val="000000"/>
                <w:kern w:val="0"/>
                <w:sz w:val="24"/>
              </w:rPr>
              <w:t>监控</w:t>
            </w:r>
            <w:r>
              <w:rPr>
                <w:color w:val="000000"/>
                <w:kern w:val="0"/>
                <w:sz w:val="24"/>
              </w:rPr>
              <w:t>浓度限值</w:t>
            </w:r>
            <w:r>
              <w:rPr>
                <w:color w:val="000000"/>
                <w:kern w:val="0"/>
                <w:sz w:val="24"/>
                <w:highlight w:val="none"/>
              </w:rPr>
              <w:t>。</w:t>
            </w:r>
          </w:p>
          <w:p>
            <w:pPr>
              <w:pStyle w:val="45"/>
              <w:spacing w:before="0" w:after="0" w:line="520" w:lineRule="exact"/>
            </w:pPr>
            <w:r>
              <w:t>表</w:t>
            </w:r>
            <w:r>
              <w:rPr>
                <w:rFonts w:hint="eastAsia"/>
                <w:lang w:val="en-US" w:eastAsia="zh-CN"/>
              </w:rPr>
              <w:t>3-5</w:t>
            </w:r>
            <w:r>
              <w:t xml:space="preserve">   </w:t>
            </w:r>
            <w:r>
              <w:rPr>
                <w:rFonts w:hint="eastAsia"/>
              </w:rPr>
              <w:t>无组织粉尘污染物排放标准</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0"/>
              <w:gridCol w:w="1743"/>
              <w:gridCol w:w="1557"/>
              <w:gridCol w:w="1813"/>
              <w:gridCol w:w="2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358" w:type="pct"/>
                  <w:noWrap w:val="0"/>
                  <w:vAlign w:val="center"/>
                </w:tcPr>
                <w:p>
                  <w:pPr>
                    <w:jc w:val="center"/>
                    <w:rPr>
                      <w:b/>
                      <w:bCs/>
                      <w:szCs w:val="21"/>
                    </w:rPr>
                  </w:pPr>
                  <w:r>
                    <w:rPr>
                      <w:b/>
                      <w:bCs/>
                      <w:szCs w:val="21"/>
                    </w:rPr>
                    <w:t>序号</w:t>
                  </w:r>
                </w:p>
              </w:tc>
              <w:tc>
                <w:tcPr>
                  <w:tcW w:w="1094" w:type="pct"/>
                  <w:noWrap w:val="0"/>
                  <w:vAlign w:val="center"/>
                </w:tcPr>
                <w:p>
                  <w:pPr>
                    <w:jc w:val="center"/>
                    <w:rPr>
                      <w:b/>
                      <w:bCs/>
                      <w:szCs w:val="21"/>
                    </w:rPr>
                  </w:pPr>
                  <w:r>
                    <w:rPr>
                      <w:b/>
                      <w:bCs/>
                      <w:szCs w:val="21"/>
                    </w:rPr>
                    <w:t>控制项目</w:t>
                  </w:r>
                </w:p>
              </w:tc>
              <w:tc>
                <w:tcPr>
                  <w:tcW w:w="977" w:type="pct"/>
                  <w:noWrap w:val="0"/>
                  <w:vAlign w:val="center"/>
                </w:tcPr>
                <w:p>
                  <w:pPr>
                    <w:jc w:val="center"/>
                    <w:rPr>
                      <w:b/>
                      <w:bCs/>
                      <w:szCs w:val="21"/>
                    </w:rPr>
                  </w:pPr>
                  <w:r>
                    <w:rPr>
                      <w:rFonts w:hint="eastAsia"/>
                      <w:b/>
                      <w:bCs/>
                      <w:szCs w:val="21"/>
                    </w:rPr>
                    <w:t>标准值</w:t>
                  </w:r>
                </w:p>
              </w:tc>
              <w:tc>
                <w:tcPr>
                  <w:tcW w:w="1138" w:type="pct"/>
                  <w:noWrap w:val="0"/>
                  <w:vAlign w:val="center"/>
                </w:tcPr>
                <w:p>
                  <w:pPr>
                    <w:jc w:val="center"/>
                    <w:rPr>
                      <w:rFonts w:hint="eastAsia"/>
                      <w:b/>
                      <w:bCs/>
                      <w:szCs w:val="21"/>
                    </w:rPr>
                  </w:pPr>
                  <w:r>
                    <w:rPr>
                      <w:rFonts w:hint="eastAsia"/>
                      <w:b/>
                      <w:bCs/>
                      <w:szCs w:val="21"/>
                    </w:rPr>
                    <w:t>单位</w:t>
                  </w:r>
                </w:p>
              </w:tc>
              <w:tc>
                <w:tcPr>
                  <w:tcW w:w="1430" w:type="pct"/>
                  <w:noWrap w:val="0"/>
                  <w:vAlign w:val="center"/>
                </w:tcPr>
                <w:p>
                  <w:pPr>
                    <w:jc w:val="center"/>
                    <w:rPr>
                      <w:b/>
                      <w:bCs/>
                      <w:szCs w:val="21"/>
                    </w:rPr>
                  </w:pPr>
                  <w:r>
                    <w:rPr>
                      <w:rFonts w:hint="eastAsia"/>
                      <w:b/>
                      <w:bCs/>
                      <w:szCs w:val="21"/>
                    </w:rPr>
                    <w:t>标准来源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8" w:type="pct"/>
                  <w:noWrap w:val="0"/>
                  <w:vAlign w:val="center"/>
                </w:tcPr>
                <w:p>
                  <w:pPr>
                    <w:jc w:val="center"/>
                    <w:rPr>
                      <w:szCs w:val="21"/>
                    </w:rPr>
                  </w:pPr>
                  <w:r>
                    <w:rPr>
                      <w:szCs w:val="21"/>
                    </w:rPr>
                    <w:t>1</w:t>
                  </w:r>
                </w:p>
              </w:tc>
              <w:tc>
                <w:tcPr>
                  <w:tcW w:w="1094" w:type="pct"/>
                  <w:noWrap w:val="0"/>
                  <w:vAlign w:val="center"/>
                </w:tcPr>
                <w:p>
                  <w:pPr>
                    <w:jc w:val="center"/>
                    <w:rPr>
                      <w:rFonts w:hint="eastAsia"/>
                      <w:szCs w:val="21"/>
                    </w:rPr>
                  </w:pPr>
                  <w:r>
                    <w:rPr>
                      <w:rFonts w:hint="eastAsia"/>
                      <w:szCs w:val="21"/>
                    </w:rPr>
                    <w:t>颗粒物</w:t>
                  </w:r>
                </w:p>
              </w:tc>
              <w:tc>
                <w:tcPr>
                  <w:tcW w:w="977" w:type="pct"/>
                  <w:noWrap w:val="0"/>
                  <w:vAlign w:val="center"/>
                </w:tcPr>
                <w:p>
                  <w:pPr>
                    <w:jc w:val="center"/>
                    <w:rPr>
                      <w:szCs w:val="21"/>
                    </w:rPr>
                  </w:pPr>
                  <w:r>
                    <w:rPr>
                      <w:rFonts w:hint="eastAsia"/>
                      <w:szCs w:val="21"/>
                    </w:rPr>
                    <w:t>1.0</w:t>
                  </w:r>
                </w:p>
              </w:tc>
              <w:tc>
                <w:tcPr>
                  <w:tcW w:w="1138" w:type="pct"/>
                  <w:noWrap w:val="0"/>
                  <w:vAlign w:val="center"/>
                </w:tcPr>
                <w:p>
                  <w:pPr>
                    <w:jc w:val="center"/>
                    <w:rPr>
                      <w:szCs w:val="21"/>
                    </w:rPr>
                  </w:pPr>
                  <w:r>
                    <w:rPr>
                      <w:rFonts w:hint="eastAsia"/>
                      <w:szCs w:val="21"/>
                    </w:rPr>
                    <w:t>mg/m</w:t>
                  </w:r>
                  <w:r>
                    <w:rPr>
                      <w:rFonts w:hint="eastAsia"/>
                      <w:szCs w:val="21"/>
                      <w:vertAlign w:val="superscript"/>
                    </w:rPr>
                    <w:t>3</w:t>
                  </w:r>
                </w:p>
              </w:tc>
              <w:tc>
                <w:tcPr>
                  <w:tcW w:w="1430" w:type="pct"/>
                  <w:noWrap w:val="0"/>
                  <w:vAlign w:val="center"/>
                </w:tcPr>
                <w:p>
                  <w:pPr>
                    <w:jc w:val="center"/>
                    <w:rPr>
                      <w:szCs w:val="21"/>
                    </w:rPr>
                  </w:pPr>
                  <w:r>
                    <w:rPr>
                      <w:szCs w:val="21"/>
                    </w:rPr>
                    <w:t>《大气污染物综合排放标准》（GB16297-1996）表2二级排放标准</w:t>
                  </w:r>
                </w:p>
              </w:tc>
            </w:tr>
          </w:tbl>
          <w:p>
            <w:pPr>
              <w:spacing w:line="360" w:lineRule="auto"/>
              <w:jc w:val="left"/>
              <w:rPr>
                <w:b/>
                <w:bCs/>
                <w:kern w:val="0"/>
                <w:sz w:val="24"/>
              </w:rPr>
            </w:pPr>
            <w:r>
              <w:rPr>
                <w:rFonts w:hint="eastAsia"/>
                <w:b/>
                <w:bCs/>
                <w:kern w:val="0"/>
                <w:sz w:val="24"/>
              </w:rPr>
              <w:t>2</w:t>
            </w:r>
            <w:r>
              <w:rPr>
                <w:rFonts w:hint="eastAsia"/>
                <w:b/>
                <w:bCs/>
                <w:kern w:val="0"/>
                <w:sz w:val="24"/>
                <w:lang w:val="en-US" w:eastAsia="zh-CN"/>
              </w:rPr>
              <w:t>.</w:t>
            </w:r>
            <w:r>
              <w:rPr>
                <w:rFonts w:hint="eastAsia"/>
                <w:b/>
                <w:bCs/>
                <w:kern w:val="0"/>
                <w:sz w:val="24"/>
              </w:rPr>
              <w:t>水</w:t>
            </w:r>
            <w:r>
              <w:rPr>
                <w:b/>
                <w:bCs/>
                <w:kern w:val="0"/>
                <w:sz w:val="24"/>
              </w:rPr>
              <w:t>污染物排放标准</w:t>
            </w:r>
          </w:p>
          <w:p>
            <w:pPr>
              <w:adjustRightInd w:val="0"/>
              <w:snapToGrid w:val="0"/>
              <w:spacing w:line="360" w:lineRule="auto"/>
              <w:ind w:firstLine="480" w:firstLineChars="200"/>
              <w:rPr>
                <w:color w:val="000000"/>
                <w:kern w:val="0"/>
                <w:sz w:val="24"/>
              </w:rPr>
            </w:pPr>
            <w:r>
              <w:rPr>
                <w:rFonts w:hint="eastAsia"/>
                <w:color w:val="000000"/>
                <w:kern w:val="0"/>
                <w:sz w:val="24"/>
              </w:rPr>
              <w:t>本项目生产用水</w:t>
            </w:r>
            <w:r>
              <w:rPr>
                <w:rFonts w:hint="eastAsia"/>
                <w:color w:val="000000"/>
                <w:kern w:val="0"/>
                <w:sz w:val="24"/>
                <w:lang w:val="en-US" w:eastAsia="zh-CN"/>
              </w:rPr>
              <w:t>循环使用不外排</w:t>
            </w:r>
            <w:r>
              <w:rPr>
                <w:rFonts w:hint="eastAsia"/>
                <w:color w:val="000000"/>
                <w:kern w:val="0"/>
                <w:sz w:val="24"/>
              </w:rPr>
              <w:t>；生活污水执行</w:t>
            </w:r>
            <w:r>
              <w:rPr>
                <w:rFonts w:hint="eastAsia"/>
                <w:color w:val="000000"/>
                <w:kern w:val="0"/>
                <w:sz w:val="24"/>
                <w:lang w:val="en-US" w:eastAsia="zh-CN"/>
              </w:rPr>
              <w:t>《污水排入城镇下水道水质标准》（</w:t>
            </w:r>
            <w:r>
              <w:rPr>
                <w:rFonts w:hint="eastAsia"/>
                <w:sz w:val="24"/>
                <w:szCs w:val="32"/>
                <w:lang w:val="en-US" w:eastAsia="zh-CN"/>
              </w:rPr>
              <w:t>GB/T31962-2015</w:t>
            </w:r>
            <w:r>
              <w:rPr>
                <w:rFonts w:hint="eastAsia"/>
                <w:color w:val="000000"/>
                <w:kern w:val="0"/>
                <w:sz w:val="24"/>
                <w:lang w:val="en-US" w:eastAsia="zh-CN"/>
              </w:rPr>
              <w:t>）B级标准限值</w:t>
            </w:r>
            <w:r>
              <w:rPr>
                <w:rFonts w:hint="eastAsia"/>
                <w:color w:val="000000"/>
                <w:kern w:val="0"/>
                <w:sz w:val="24"/>
              </w:rPr>
              <w:t>。</w:t>
            </w:r>
          </w:p>
          <w:p>
            <w:pPr>
              <w:pStyle w:val="45"/>
              <w:spacing w:before="0" w:after="0" w:line="240" w:lineRule="auto"/>
              <w:rPr>
                <w:rFonts w:hint="default" w:eastAsia="宋体"/>
                <w:lang w:val="en-US" w:eastAsia="zh-CN"/>
              </w:rPr>
            </w:pPr>
            <w:r>
              <w:rPr>
                <w:rFonts w:hint="eastAsia"/>
              </w:rPr>
              <w:t>表</w:t>
            </w:r>
            <w:r>
              <w:rPr>
                <w:rFonts w:hint="eastAsia"/>
                <w:lang w:val="en-US" w:eastAsia="zh-CN"/>
              </w:rPr>
              <w:t>3-6</w:t>
            </w:r>
            <w:r>
              <w:rPr>
                <w:rFonts w:hint="eastAsia"/>
              </w:rPr>
              <w:t xml:space="preserve">  </w:t>
            </w:r>
            <w:r>
              <w:t xml:space="preserve"> </w:t>
            </w:r>
            <w:r>
              <w:rPr>
                <w:rFonts w:hint="eastAsia"/>
              </w:rPr>
              <w:t>水污染物排放限值标准</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261"/>
              <w:gridCol w:w="304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noWrap w:val="0"/>
                  <w:vAlign w:val="center"/>
                </w:tcPr>
                <w:p>
                  <w:pPr>
                    <w:jc w:val="center"/>
                    <w:rPr>
                      <w:b/>
                      <w:bCs/>
                      <w:szCs w:val="21"/>
                    </w:rPr>
                  </w:pPr>
                  <w:r>
                    <w:rPr>
                      <w:b/>
                      <w:bCs/>
                      <w:szCs w:val="21"/>
                    </w:rPr>
                    <w:t>废水类别</w:t>
                  </w:r>
                </w:p>
              </w:tc>
              <w:tc>
                <w:tcPr>
                  <w:tcW w:w="792" w:type="pct"/>
                  <w:noWrap w:val="0"/>
                  <w:vAlign w:val="center"/>
                </w:tcPr>
                <w:p>
                  <w:pPr>
                    <w:jc w:val="center"/>
                    <w:rPr>
                      <w:b/>
                      <w:bCs/>
                      <w:szCs w:val="21"/>
                    </w:rPr>
                  </w:pPr>
                  <w:r>
                    <w:rPr>
                      <w:b/>
                      <w:bCs/>
                      <w:szCs w:val="21"/>
                    </w:rPr>
                    <w:t>污染物</w:t>
                  </w:r>
                </w:p>
              </w:tc>
              <w:tc>
                <w:tcPr>
                  <w:tcW w:w="1912" w:type="pct"/>
                  <w:noWrap w:val="0"/>
                  <w:vAlign w:val="center"/>
                </w:tcPr>
                <w:p>
                  <w:pPr>
                    <w:jc w:val="center"/>
                    <w:rPr>
                      <w:b/>
                      <w:bCs/>
                      <w:szCs w:val="21"/>
                    </w:rPr>
                  </w:pPr>
                  <w:r>
                    <w:rPr>
                      <w:b/>
                      <w:bCs/>
                      <w:szCs w:val="21"/>
                    </w:rPr>
                    <w:t>标准</w:t>
                  </w:r>
                </w:p>
              </w:tc>
              <w:tc>
                <w:tcPr>
                  <w:tcW w:w="1250" w:type="pct"/>
                  <w:noWrap w:val="0"/>
                  <w:vAlign w:val="center"/>
                </w:tcPr>
                <w:p>
                  <w:pPr>
                    <w:jc w:val="center"/>
                    <w:rPr>
                      <w:b/>
                      <w:bCs/>
                      <w:szCs w:val="21"/>
                    </w:rPr>
                  </w:pPr>
                  <w:r>
                    <w:rPr>
                      <w:b/>
                      <w:bCs/>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restart"/>
                  <w:noWrap w:val="0"/>
                  <w:vAlign w:val="center"/>
                </w:tcPr>
                <w:p>
                  <w:pPr>
                    <w:jc w:val="center"/>
                    <w:rPr>
                      <w:szCs w:val="21"/>
                    </w:rPr>
                  </w:pPr>
                  <w:r>
                    <w:rPr>
                      <w:szCs w:val="21"/>
                    </w:rPr>
                    <w:t>生活污水</w:t>
                  </w:r>
                </w:p>
              </w:tc>
              <w:tc>
                <w:tcPr>
                  <w:tcW w:w="792" w:type="pct"/>
                  <w:noWrap w:val="0"/>
                  <w:vAlign w:val="center"/>
                </w:tcPr>
                <w:p>
                  <w:pPr>
                    <w:jc w:val="center"/>
                    <w:rPr>
                      <w:szCs w:val="21"/>
                    </w:rPr>
                  </w:pPr>
                  <w:r>
                    <w:t>CODcr</w:t>
                  </w:r>
                </w:p>
              </w:tc>
              <w:tc>
                <w:tcPr>
                  <w:tcW w:w="1912" w:type="pct"/>
                  <w:vMerge w:val="restart"/>
                  <w:noWrap w:val="0"/>
                  <w:vAlign w:val="center"/>
                </w:tcPr>
                <w:p>
                  <w:pPr>
                    <w:jc w:val="center"/>
                    <w:rPr>
                      <w:rFonts w:hint="eastAsia" w:eastAsia="宋体"/>
                      <w:szCs w:val="21"/>
                      <w:lang w:val="en-US" w:eastAsia="zh-CN"/>
                    </w:rPr>
                  </w:pPr>
                  <w:r>
                    <w:rPr>
                      <w:rFonts w:hint="eastAsia"/>
                      <w:lang w:val="en-US" w:eastAsia="zh-CN"/>
                    </w:rPr>
                    <w:t>《污水排入城市下水道水质标准》（GB/T31962-2015）B级标准限值</w:t>
                  </w:r>
                </w:p>
              </w:tc>
              <w:tc>
                <w:tcPr>
                  <w:tcW w:w="1250" w:type="pct"/>
                  <w:noWrap w:val="0"/>
                  <w:vAlign w:val="center"/>
                </w:tcPr>
                <w:p>
                  <w:pPr>
                    <w:pStyle w:val="58"/>
                    <w:spacing w:before="24" w:after="24"/>
                    <w:ind w:left="0" w:leftChars="0" w:firstLine="0" w:firstLineChars="0"/>
                    <w:jc w:val="center"/>
                    <w:rPr>
                      <w:rFonts w:ascii="Times New Roman"/>
                    </w:rPr>
                  </w:pPr>
                  <w:r>
                    <w:rPr>
                      <w:rFonts w:ascii="Times New Roma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noWrap w:val="0"/>
                  <w:vAlign w:val="center"/>
                </w:tcPr>
                <w:p>
                  <w:pPr>
                    <w:jc w:val="center"/>
                    <w:rPr>
                      <w:szCs w:val="21"/>
                    </w:rPr>
                  </w:pPr>
                </w:p>
              </w:tc>
              <w:tc>
                <w:tcPr>
                  <w:tcW w:w="792" w:type="pct"/>
                  <w:noWrap w:val="0"/>
                  <w:vAlign w:val="center"/>
                </w:tcPr>
                <w:p>
                  <w:pPr>
                    <w:pStyle w:val="58"/>
                    <w:spacing w:before="24" w:after="24"/>
                    <w:ind w:left="0" w:leftChars="0" w:firstLine="0" w:firstLineChars="0"/>
                    <w:jc w:val="center"/>
                    <w:rPr>
                      <w:rFonts w:ascii="Times New Roman"/>
                      <w:kern w:val="2"/>
                      <w:szCs w:val="21"/>
                    </w:rPr>
                  </w:pPr>
                  <w:r>
                    <w:rPr>
                      <w:rFonts w:ascii="Times New Roman"/>
                    </w:rPr>
                    <w:t>BOD</w:t>
                  </w:r>
                  <w:r>
                    <w:rPr>
                      <w:rFonts w:ascii="Times New Roman"/>
                      <w:vertAlign w:val="subscript"/>
                    </w:rPr>
                    <w:t>5</w:t>
                  </w:r>
                </w:p>
              </w:tc>
              <w:tc>
                <w:tcPr>
                  <w:tcW w:w="1912" w:type="pct"/>
                  <w:vMerge w:val="continue"/>
                  <w:noWrap w:val="0"/>
                  <w:vAlign w:val="center"/>
                </w:tcPr>
                <w:p>
                  <w:pPr>
                    <w:jc w:val="center"/>
                    <w:rPr>
                      <w:szCs w:val="21"/>
                    </w:rPr>
                  </w:pPr>
                </w:p>
              </w:tc>
              <w:tc>
                <w:tcPr>
                  <w:tcW w:w="1250" w:type="pct"/>
                  <w:noWrap w:val="0"/>
                  <w:vAlign w:val="center"/>
                </w:tcPr>
                <w:p>
                  <w:pPr>
                    <w:pStyle w:val="58"/>
                    <w:spacing w:before="24" w:after="24"/>
                    <w:ind w:left="0" w:leftChars="0" w:firstLine="0" w:firstLineChars="0"/>
                    <w:jc w:val="center"/>
                    <w:rPr>
                      <w:rFonts w:ascii="Times New Roman"/>
                    </w:rPr>
                  </w:pPr>
                  <w:r>
                    <w:rPr>
                      <w:rFonts w:ascii="Times New Roman"/>
                    </w:rPr>
                    <w:t>3</w:t>
                  </w:r>
                  <w:r>
                    <w:rPr>
                      <w:rFonts w:hint="eastAsia"/>
                      <w:lang w:val="en-US" w:eastAsia="zh-CN"/>
                    </w:rPr>
                    <w:t>5</w:t>
                  </w:r>
                  <w:r>
                    <w:rPr>
                      <w:rFonts w:asci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noWrap w:val="0"/>
                  <w:vAlign w:val="center"/>
                </w:tcPr>
                <w:p>
                  <w:pPr>
                    <w:jc w:val="center"/>
                    <w:rPr>
                      <w:szCs w:val="21"/>
                    </w:rPr>
                  </w:pPr>
                </w:p>
              </w:tc>
              <w:tc>
                <w:tcPr>
                  <w:tcW w:w="792" w:type="pct"/>
                  <w:noWrap w:val="0"/>
                  <w:vAlign w:val="center"/>
                </w:tcPr>
                <w:p>
                  <w:pPr>
                    <w:pStyle w:val="58"/>
                    <w:spacing w:before="24" w:after="24"/>
                    <w:ind w:left="0" w:leftChars="0" w:firstLine="0" w:firstLineChars="0"/>
                    <w:jc w:val="center"/>
                    <w:rPr>
                      <w:rFonts w:ascii="Times New Roman"/>
                      <w:kern w:val="2"/>
                      <w:szCs w:val="21"/>
                    </w:rPr>
                  </w:pPr>
                  <w:r>
                    <w:rPr>
                      <w:rFonts w:ascii="Times New Roman"/>
                    </w:rPr>
                    <w:t>NH</w:t>
                  </w:r>
                  <w:r>
                    <w:rPr>
                      <w:rFonts w:ascii="Times New Roman"/>
                      <w:vertAlign w:val="subscript"/>
                    </w:rPr>
                    <w:t>3</w:t>
                  </w:r>
                  <w:r>
                    <w:rPr>
                      <w:rFonts w:ascii="Times New Roman"/>
                    </w:rPr>
                    <w:t>N</w:t>
                  </w:r>
                </w:p>
              </w:tc>
              <w:tc>
                <w:tcPr>
                  <w:tcW w:w="1912" w:type="pct"/>
                  <w:vMerge w:val="continue"/>
                  <w:noWrap w:val="0"/>
                  <w:vAlign w:val="center"/>
                </w:tcPr>
                <w:p>
                  <w:pPr>
                    <w:jc w:val="center"/>
                    <w:rPr>
                      <w:szCs w:val="21"/>
                    </w:rPr>
                  </w:pPr>
                </w:p>
              </w:tc>
              <w:tc>
                <w:tcPr>
                  <w:tcW w:w="1250" w:type="pct"/>
                  <w:noWrap w:val="0"/>
                  <w:vAlign w:val="center"/>
                </w:tcPr>
                <w:p>
                  <w:pPr>
                    <w:pStyle w:val="58"/>
                    <w:spacing w:before="24" w:after="24"/>
                    <w:ind w:left="0" w:leftChars="0" w:firstLine="0" w:firstLineChars="0"/>
                    <w:jc w:val="center"/>
                    <w:rPr>
                      <w:rFonts w:hint="default" w:ascii="Times New Roman" w:eastAsia="宋体"/>
                      <w:lang w:val="en-US" w:eastAsia="zh-CN"/>
                    </w:rPr>
                  </w:pPr>
                  <w:r>
                    <w:rPr>
                      <w:rFonts w:hint="eastAsia" w:ascii="Times New Roman"/>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pct"/>
                  <w:vMerge w:val="continue"/>
                  <w:noWrap w:val="0"/>
                  <w:vAlign w:val="center"/>
                </w:tcPr>
                <w:p>
                  <w:pPr>
                    <w:jc w:val="center"/>
                    <w:rPr>
                      <w:szCs w:val="21"/>
                    </w:rPr>
                  </w:pPr>
                </w:p>
              </w:tc>
              <w:tc>
                <w:tcPr>
                  <w:tcW w:w="792" w:type="pct"/>
                  <w:noWrap w:val="0"/>
                  <w:vAlign w:val="center"/>
                </w:tcPr>
                <w:p>
                  <w:pPr>
                    <w:pStyle w:val="58"/>
                    <w:spacing w:before="24" w:after="24"/>
                    <w:ind w:left="0" w:leftChars="0" w:firstLine="0" w:firstLineChars="0"/>
                    <w:jc w:val="center"/>
                    <w:rPr>
                      <w:rFonts w:ascii="Times New Roman"/>
                      <w:kern w:val="2"/>
                      <w:szCs w:val="21"/>
                    </w:rPr>
                  </w:pPr>
                  <w:r>
                    <w:rPr>
                      <w:rFonts w:ascii="Times New Roman"/>
                    </w:rPr>
                    <w:t>SS</w:t>
                  </w:r>
                </w:p>
              </w:tc>
              <w:tc>
                <w:tcPr>
                  <w:tcW w:w="1912" w:type="pct"/>
                  <w:vMerge w:val="continue"/>
                  <w:noWrap w:val="0"/>
                  <w:vAlign w:val="center"/>
                </w:tcPr>
                <w:p>
                  <w:pPr>
                    <w:jc w:val="center"/>
                    <w:rPr>
                      <w:szCs w:val="21"/>
                    </w:rPr>
                  </w:pPr>
                </w:p>
              </w:tc>
              <w:tc>
                <w:tcPr>
                  <w:tcW w:w="1250" w:type="pct"/>
                  <w:noWrap w:val="0"/>
                  <w:vAlign w:val="center"/>
                </w:tcPr>
                <w:p>
                  <w:pPr>
                    <w:pStyle w:val="58"/>
                    <w:spacing w:before="24" w:after="24"/>
                    <w:ind w:left="0" w:leftChars="0" w:firstLine="0" w:firstLineChars="0"/>
                    <w:jc w:val="center"/>
                    <w:rPr>
                      <w:rFonts w:ascii="Times New Roman"/>
                    </w:rPr>
                  </w:pPr>
                  <w:r>
                    <w:rPr>
                      <w:rFonts w:ascii="Times New Roman"/>
                    </w:rPr>
                    <w:t>400</w:t>
                  </w:r>
                </w:p>
              </w:tc>
            </w:tr>
          </w:tbl>
          <w:p>
            <w:pPr>
              <w:spacing w:line="520" w:lineRule="exact"/>
              <w:jc w:val="left"/>
              <w:rPr>
                <w:b/>
                <w:bCs/>
                <w:kern w:val="0"/>
                <w:sz w:val="24"/>
              </w:rPr>
            </w:pPr>
            <w:r>
              <w:rPr>
                <w:rFonts w:hint="eastAsia"/>
                <w:b/>
                <w:bCs/>
                <w:kern w:val="0"/>
                <w:sz w:val="24"/>
              </w:rPr>
              <w:t>3</w:t>
            </w:r>
            <w:r>
              <w:rPr>
                <w:rFonts w:hint="eastAsia"/>
                <w:b/>
                <w:bCs/>
                <w:kern w:val="0"/>
                <w:sz w:val="24"/>
                <w:lang w:val="en-US" w:eastAsia="zh-CN"/>
              </w:rPr>
              <w:t>.</w:t>
            </w:r>
            <w:r>
              <w:rPr>
                <w:rFonts w:hint="eastAsia"/>
                <w:b/>
                <w:bCs/>
                <w:kern w:val="0"/>
                <w:sz w:val="24"/>
              </w:rPr>
              <w:t>噪声</w:t>
            </w:r>
            <w:r>
              <w:rPr>
                <w:b/>
                <w:bCs/>
                <w:kern w:val="0"/>
                <w:sz w:val="24"/>
              </w:rPr>
              <w:t>物排放标准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21"/>
                <w:szCs w:val="21"/>
                <w:lang w:val="en-US" w:eastAsia="zh-CN"/>
              </w:rPr>
            </w:pPr>
            <w:r>
              <w:rPr>
                <w:b/>
                <w:bCs/>
              </w:rPr>
              <w:t>表</w:t>
            </w:r>
            <w:r>
              <w:rPr>
                <w:rFonts w:hint="eastAsia"/>
                <w:b/>
                <w:bCs/>
                <w:lang w:val="en-US" w:eastAsia="zh-CN"/>
              </w:rPr>
              <w:t>3-7</w:t>
            </w:r>
            <w:r>
              <w:t xml:space="preserve">  </w:t>
            </w:r>
            <w:r>
              <w:rPr>
                <w:rFonts w:hint="eastAsia"/>
                <w:b/>
                <w:bCs/>
                <w:sz w:val="21"/>
                <w:szCs w:val="21"/>
                <w:lang w:val="en-US" w:eastAsia="zh-CN"/>
              </w:rPr>
              <w:t>噪声排放限值标准</w:t>
            </w:r>
          </w:p>
          <w:tbl>
            <w:tblPr>
              <w:tblStyle w:val="3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0"/>
              <w:gridCol w:w="5271"/>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6" w:type="pct"/>
                  <w:tcBorders>
                    <w:top w:val="single" w:color="auto" w:sz="12" w:space="0"/>
                    <w:bottom w:val="single" w:color="auto" w:sz="12" w:space="0"/>
                    <w:right w:val="single" w:color="auto" w:sz="4" w:space="0"/>
                  </w:tcBorders>
                  <w:noWrap w:val="0"/>
                  <w:vAlign w:val="center"/>
                </w:tcPr>
                <w:p>
                  <w:pPr>
                    <w:pStyle w:val="39"/>
                    <w:keepNext w:val="0"/>
                    <w:keepLines w:val="0"/>
                    <w:pageBreakBefore w:val="0"/>
                    <w:widowControl w:val="0"/>
                    <w:numPr>
                      <w:ilvl w:val="0"/>
                      <w:numId w:val="0"/>
                    </w:numPr>
                    <w:suppressLineNumbers w:val="0"/>
                    <w:kinsoku/>
                    <w:overflowPunct/>
                    <w:topLinePunct w:val="0"/>
                    <w:autoSpaceDE/>
                    <w:autoSpaceDN w:val="0"/>
                    <w:bidi w:val="0"/>
                    <w:adjustRightInd/>
                    <w:snapToGrid/>
                    <w:spacing w:before="0" w:beforeAutospacing="0" w:after="0" w:afterAutospacing="0" w:line="240" w:lineRule="auto"/>
                    <w:ind w:right="0" w:right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时期</w:t>
                  </w:r>
                </w:p>
              </w:tc>
              <w:tc>
                <w:tcPr>
                  <w:tcW w:w="3305" w:type="pct"/>
                  <w:tcBorders>
                    <w:top w:val="single" w:color="auto" w:sz="12" w:space="0"/>
                    <w:left w:val="single" w:color="auto" w:sz="4" w:space="0"/>
                    <w:bottom w:val="single" w:color="auto" w:sz="12" w:space="0"/>
                    <w:right w:val="single" w:color="auto" w:sz="4" w:space="0"/>
                  </w:tcBorders>
                  <w:noWrap w:val="0"/>
                  <w:vAlign w:val="center"/>
                </w:tcPr>
                <w:p>
                  <w:pPr>
                    <w:pStyle w:val="39"/>
                    <w:keepNext w:val="0"/>
                    <w:keepLines w:val="0"/>
                    <w:pageBreakBefore w:val="0"/>
                    <w:widowControl w:val="0"/>
                    <w:numPr>
                      <w:ilvl w:val="0"/>
                      <w:numId w:val="0"/>
                    </w:numPr>
                    <w:suppressLineNumbers w:val="0"/>
                    <w:kinsoku/>
                    <w:overflowPunct/>
                    <w:topLinePunct w:val="0"/>
                    <w:autoSpaceDE/>
                    <w:autoSpaceDN w:val="0"/>
                    <w:bidi w:val="0"/>
                    <w:adjustRightInd/>
                    <w:snapToGrid/>
                    <w:spacing w:before="0" w:beforeAutospacing="0" w:after="0" w:afterAutospacing="0" w:line="240" w:lineRule="auto"/>
                    <w:ind w:right="0" w:right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标准</w:t>
                  </w:r>
                </w:p>
              </w:tc>
              <w:tc>
                <w:tcPr>
                  <w:tcW w:w="1098" w:type="pct"/>
                  <w:tcBorders>
                    <w:top w:val="single" w:color="auto" w:sz="12" w:space="0"/>
                    <w:left w:val="single" w:color="auto" w:sz="4" w:space="0"/>
                    <w:bottom w:val="single" w:color="auto" w:sz="12" w:space="0"/>
                  </w:tcBorders>
                  <w:noWrap w:val="0"/>
                  <w:vAlign w:val="center"/>
                </w:tcPr>
                <w:p>
                  <w:pPr>
                    <w:pStyle w:val="39"/>
                    <w:keepNext w:val="0"/>
                    <w:keepLines w:val="0"/>
                    <w:pageBreakBefore w:val="0"/>
                    <w:widowControl w:val="0"/>
                    <w:numPr>
                      <w:ilvl w:val="0"/>
                      <w:numId w:val="0"/>
                    </w:numPr>
                    <w:suppressLineNumbers w:val="0"/>
                    <w:kinsoku/>
                    <w:overflowPunct/>
                    <w:topLinePunct w:val="0"/>
                    <w:autoSpaceDE/>
                    <w:autoSpaceDN w:val="0"/>
                    <w:bidi w:val="0"/>
                    <w:adjustRightInd/>
                    <w:snapToGrid/>
                    <w:spacing w:before="0" w:beforeAutospacing="0" w:after="0" w:afterAutospacing="0" w:line="240" w:lineRule="auto"/>
                    <w:ind w:right="0" w:right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6" w:type="pct"/>
                  <w:tcBorders>
                    <w:top w:val="single" w:color="auto" w:sz="12" w:space="0"/>
                    <w:bottom w:val="single" w:color="auto" w:sz="4" w:space="0"/>
                    <w:right w:val="single" w:color="auto" w:sz="4" w:space="0"/>
                  </w:tcBorders>
                  <w:noWrap w:val="0"/>
                  <w:vAlign w:val="center"/>
                </w:tcPr>
                <w:p>
                  <w:pPr>
                    <w:pStyle w:val="39"/>
                    <w:keepNext w:val="0"/>
                    <w:keepLines w:val="0"/>
                    <w:pageBreakBefore w:val="0"/>
                    <w:widowControl w:val="0"/>
                    <w:numPr>
                      <w:ilvl w:val="0"/>
                      <w:numId w:val="0"/>
                    </w:numPr>
                    <w:suppressLineNumbers w:val="0"/>
                    <w:kinsoku/>
                    <w:overflowPunct/>
                    <w:topLinePunct w:val="0"/>
                    <w:autoSpaceDE/>
                    <w:autoSpaceDN w:val="0"/>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施工期</w:t>
                  </w:r>
                </w:p>
              </w:tc>
              <w:tc>
                <w:tcPr>
                  <w:tcW w:w="3305" w:type="pct"/>
                  <w:tcBorders>
                    <w:top w:val="single" w:color="auto" w:sz="12" w:space="0"/>
                    <w:left w:val="single" w:color="auto" w:sz="4" w:space="0"/>
                    <w:bottom w:val="single" w:color="auto" w:sz="4" w:space="0"/>
                    <w:right w:val="single" w:color="auto" w:sz="4" w:space="0"/>
                  </w:tcBorders>
                  <w:noWrap w:val="0"/>
                  <w:vAlign w:val="center"/>
                </w:tcPr>
                <w:p>
                  <w:pPr>
                    <w:pStyle w:val="39"/>
                    <w:keepNext w:val="0"/>
                    <w:keepLines w:val="0"/>
                    <w:pageBreakBefore w:val="0"/>
                    <w:widowControl w:val="0"/>
                    <w:numPr>
                      <w:ilvl w:val="0"/>
                      <w:numId w:val="0"/>
                    </w:numPr>
                    <w:suppressLineNumbers w:val="0"/>
                    <w:kinsoku/>
                    <w:wordWrap w:val="0"/>
                    <w:overflowPunct/>
                    <w:topLinePunct w:val="0"/>
                    <w:autoSpaceDE/>
                    <w:autoSpaceDN w:val="0"/>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color w:val="000000"/>
                      <w:sz w:val="21"/>
                      <w:szCs w:val="21"/>
                      <w:highlight w:val="none"/>
                    </w:rPr>
                    <w:t>《建筑施工厂界环境噪声排放标准》（GB12523-2011）中排放限值标准</w:t>
                  </w:r>
                </w:p>
              </w:tc>
              <w:tc>
                <w:tcPr>
                  <w:tcW w:w="1098" w:type="pct"/>
                  <w:tcBorders>
                    <w:top w:val="single" w:color="auto" w:sz="12" w:space="0"/>
                    <w:left w:val="single" w:color="auto" w:sz="4" w:space="0"/>
                    <w:bottom w:val="single" w:color="auto" w:sz="4" w:space="0"/>
                  </w:tcBorders>
                  <w:noWrap w:val="0"/>
                  <w:vAlign w:val="center"/>
                </w:tcPr>
                <w:p>
                  <w:pPr>
                    <w:pStyle w:val="39"/>
                    <w:keepNext w:val="0"/>
                    <w:keepLines w:val="0"/>
                    <w:pageBreakBefore w:val="0"/>
                    <w:widowControl w:val="0"/>
                    <w:numPr>
                      <w:ilvl w:val="0"/>
                      <w:numId w:val="0"/>
                    </w:numPr>
                    <w:suppressLineNumbers w:val="0"/>
                    <w:kinsoku/>
                    <w:overflowPunct/>
                    <w:topLinePunct w:val="0"/>
                    <w:autoSpaceDE/>
                    <w:autoSpaceDN w:val="0"/>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昼间70dB（A）、夜间55dB（A）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596" w:type="pct"/>
                  <w:tcBorders>
                    <w:top w:val="single" w:color="auto" w:sz="4" w:space="0"/>
                    <w:bottom w:val="single" w:color="auto" w:sz="12" w:space="0"/>
                    <w:right w:val="single" w:color="auto" w:sz="4" w:space="0"/>
                  </w:tcBorders>
                  <w:noWrap w:val="0"/>
                  <w:vAlign w:val="center"/>
                </w:tcPr>
                <w:p>
                  <w:pPr>
                    <w:pStyle w:val="39"/>
                    <w:keepNext w:val="0"/>
                    <w:keepLines w:val="0"/>
                    <w:pageBreakBefore w:val="0"/>
                    <w:widowControl w:val="0"/>
                    <w:numPr>
                      <w:ilvl w:val="0"/>
                      <w:numId w:val="0"/>
                    </w:numPr>
                    <w:suppressLineNumbers w:val="0"/>
                    <w:kinsoku/>
                    <w:overflowPunct/>
                    <w:topLinePunct w:val="0"/>
                    <w:autoSpaceDE/>
                    <w:autoSpaceDN w:val="0"/>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运营期</w:t>
                  </w:r>
                </w:p>
              </w:tc>
              <w:tc>
                <w:tcPr>
                  <w:tcW w:w="3305" w:type="pct"/>
                  <w:tcBorders>
                    <w:top w:val="single" w:color="auto" w:sz="4" w:space="0"/>
                    <w:left w:val="single" w:color="auto" w:sz="4" w:space="0"/>
                    <w:bottom w:val="single" w:color="auto" w:sz="12" w:space="0"/>
                    <w:right w:val="single" w:color="auto" w:sz="4" w:space="0"/>
                  </w:tcBorders>
                  <w:noWrap w:val="0"/>
                  <w:vAlign w:val="center"/>
                </w:tcPr>
                <w:p>
                  <w:pPr>
                    <w:pStyle w:val="39"/>
                    <w:keepNext w:val="0"/>
                    <w:keepLines w:val="0"/>
                    <w:pageBreakBefore w:val="0"/>
                    <w:widowControl w:val="0"/>
                    <w:numPr>
                      <w:ilvl w:val="0"/>
                      <w:numId w:val="0"/>
                    </w:numPr>
                    <w:suppressLineNumbers w:val="0"/>
                    <w:kinsoku/>
                    <w:wordWrap w:val="0"/>
                    <w:overflowPunct/>
                    <w:topLinePunct w:val="0"/>
                    <w:autoSpaceDE/>
                    <w:autoSpaceDN w:val="0"/>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color w:val="000000"/>
                      <w:kern w:val="0"/>
                      <w:sz w:val="21"/>
                      <w:szCs w:val="21"/>
                    </w:rPr>
                    <w:t>《工业企业厂界环境噪声</w:t>
                  </w:r>
                  <w:r>
                    <w:rPr>
                      <w:rFonts w:hint="default" w:ascii="Times New Roman" w:hAnsi="Times New Roman" w:eastAsia="宋体" w:cs="Times New Roman"/>
                      <w:b w:val="0"/>
                      <w:bCs/>
                      <w:color w:val="000000"/>
                      <w:sz w:val="21"/>
                      <w:szCs w:val="21"/>
                      <w:highlight w:val="none"/>
                    </w:rPr>
                    <w:t>排放标准》（GB12348-2008）</w:t>
                  </w:r>
                  <w:r>
                    <w:rPr>
                      <w:rFonts w:hint="default" w:ascii="Times New Roman" w:hAnsi="Times New Roman" w:eastAsia="宋体" w:cs="Times New Roman"/>
                      <w:b w:val="0"/>
                      <w:bCs/>
                      <w:color w:val="000000"/>
                      <w:sz w:val="21"/>
                      <w:szCs w:val="21"/>
                      <w:highlight w:val="none"/>
                      <w:lang w:val="en-US" w:eastAsia="zh-CN"/>
                    </w:rPr>
                    <w:t>中3</w:t>
                  </w:r>
                  <w:r>
                    <w:rPr>
                      <w:rFonts w:hint="default" w:ascii="Times New Roman" w:hAnsi="Times New Roman" w:eastAsia="宋体" w:cs="Times New Roman"/>
                      <w:b w:val="0"/>
                      <w:bCs/>
                      <w:color w:val="000000"/>
                      <w:sz w:val="21"/>
                      <w:szCs w:val="21"/>
                      <w:highlight w:val="none"/>
                    </w:rPr>
                    <w:t>类标准</w:t>
                  </w:r>
                </w:p>
              </w:tc>
              <w:tc>
                <w:tcPr>
                  <w:tcW w:w="1098" w:type="pct"/>
                  <w:tcBorders>
                    <w:top w:val="single" w:color="auto" w:sz="4" w:space="0"/>
                    <w:left w:val="single" w:color="auto" w:sz="4" w:space="0"/>
                    <w:bottom w:val="single" w:color="auto" w:sz="12" w:space="0"/>
                  </w:tcBorders>
                  <w:noWrap w:val="0"/>
                  <w:vAlign w:val="center"/>
                </w:tcPr>
                <w:p>
                  <w:pPr>
                    <w:pStyle w:val="39"/>
                    <w:keepNext w:val="0"/>
                    <w:keepLines w:val="0"/>
                    <w:pageBreakBefore w:val="0"/>
                    <w:widowControl w:val="0"/>
                    <w:numPr>
                      <w:ilvl w:val="0"/>
                      <w:numId w:val="0"/>
                    </w:numPr>
                    <w:suppressLineNumbers w:val="0"/>
                    <w:kinsoku/>
                    <w:overflowPunct/>
                    <w:topLinePunct w:val="0"/>
                    <w:autoSpaceDE/>
                    <w:autoSpaceDN w:val="0"/>
                    <w:bidi w:val="0"/>
                    <w:adjustRightInd/>
                    <w:snapToGrid/>
                    <w:spacing w:before="0" w:beforeAutospacing="0" w:after="0" w:afterAutospacing="0" w:line="240" w:lineRule="auto"/>
                    <w:ind w:right="0" w:rightChars="0"/>
                    <w:jc w:val="center"/>
                    <w:textAlignment w:val="auto"/>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昼间65dB（A）、夜间55dB（A）</w:t>
                  </w:r>
                </w:p>
              </w:tc>
            </w:tr>
          </w:tbl>
          <w:p>
            <w:pPr>
              <w:spacing w:line="520" w:lineRule="exact"/>
              <w:jc w:val="left"/>
              <w:rPr>
                <w:b/>
                <w:bCs/>
                <w:kern w:val="0"/>
                <w:sz w:val="24"/>
              </w:rPr>
            </w:pPr>
            <w:r>
              <w:rPr>
                <w:rFonts w:hint="eastAsia"/>
                <w:b/>
                <w:bCs/>
                <w:kern w:val="0"/>
                <w:sz w:val="24"/>
              </w:rPr>
              <w:t>4</w:t>
            </w:r>
            <w:r>
              <w:rPr>
                <w:rFonts w:hint="eastAsia"/>
                <w:b/>
                <w:bCs/>
                <w:kern w:val="0"/>
                <w:sz w:val="24"/>
                <w:lang w:val="en-US" w:eastAsia="zh-CN"/>
              </w:rPr>
              <w:t>.</w:t>
            </w:r>
            <w:r>
              <w:rPr>
                <w:rFonts w:hint="eastAsia"/>
                <w:b/>
                <w:bCs/>
                <w:kern w:val="0"/>
                <w:sz w:val="24"/>
              </w:rPr>
              <w:t>固体废物控制标准</w:t>
            </w:r>
          </w:p>
          <w:p>
            <w:pPr>
              <w:keepNext w:val="0"/>
              <w:keepLines w:val="0"/>
              <w:widowControl/>
              <w:suppressLineNumbers w:val="0"/>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一般工业固体废物执行《一般工业固体废物贮存和填埋污染控制标准》 </w:t>
            </w:r>
          </w:p>
          <w:p>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（GB18599-2020）有关要求；危险废物执行《危险废物贮存污染控制标准》 </w:t>
            </w:r>
          </w:p>
          <w:p>
            <w:pPr>
              <w:keepNext w:val="0"/>
              <w:keepLines w:val="0"/>
              <w:widowControl/>
              <w:suppressLineNumbers w:val="0"/>
              <w:spacing w:line="360" w:lineRule="auto"/>
              <w:jc w:val="left"/>
              <w:rPr>
                <w:color w:val="auto"/>
                <w:highlight w:val="none"/>
              </w:rPr>
            </w:pPr>
            <w:r>
              <w:rPr>
                <w:rFonts w:hint="default" w:ascii="Times New Roman" w:hAnsi="Times New Roman" w:eastAsia="宋体" w:cs="Times New Roman"/>
                <w:color w:val="000000"/>
                <w:kern w:val="0"/>
                <w:sz w:val="24"/>
                <w:szCs w:val="24"/>
                <w:lang w:val="en-US" w:eastAsia="zh-CN" w:bidi="ar"/>
              </w:rPr>
              <w:t>（GB18597-2023）有关要求。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color w:val="auto"/>
                <w:kern w:val="0"/>
                <w:sz w:val="24"/>
                <w:highlight w:val="none"/>
              </w:rPr>
            </w:pPr>
            <w:r>
              <w:rPr>
                <w:color w:val="auto"/>
                <w:kern w:val="0"/>
                <w:sz w:val="24"/>
                <w:highlight w:val="none"/>
              </w:rPr>
              <w:t>总量</w:t>
            </w:r>
          </w:p>
          <w:p>
            <w:pPr>
              <w:adjustRightInd w:val="0"/>
              <w:snapToGrid w:val="0"/>
              <w:jc w:val="center"/>
              <w:rPr>
                <w:color w:val="auto"/>
                <w:kern w:val="0"/>
                <w:sz w:val="24"/>
                <w:highlight w:val="none"/>
              </w:rPr>
            </w:pPr>
            <w:r>
              <w:rPr>
                <w:color w:val="auto"/>
                <w:kern w:val="0"/>
                <w:sz w:val="24"/>
                <w:highlight w:val="none"/>
              </w:rPr>
              <w:t>控制</w:t>
            </w:r>
          </w:p>
          <w:p>
            <w:pPr>
              <w:adjustRightInd w:val="0"/>
              <w:snapToGrid w:val="0"/>
              <w:jc w:val="center"/>
              <w:rPr>
                <w:color w:val="auto"/>
                <w:kern w:val="0"/>
                <w:sz w:val="24"/>
                <w:highlight w:val="none"/>
              </w:rPr>
            </w:pPr>
            <w:r>
              <w:rPr>
                <w:color w:val="auto"/>
                <w:kern w:val="0"/>
                <w:sz w:val="24"/>
                <w:highlight w:val="none"/>
              </w:rPr>
              <w:t>指标</w:t>
            </w:r>
          </w:p>
        </w:tc>
        <w:tc>
          <w:tcPr>
            <w:tcW w:w="8190" w:type="dxa"/>
            <w:vAlign w:val="center"/>
          </w:tcPr>
          <w:p>
            <w:pPr>
              <w:adjustRightInd w:val="0"/>
              <w:snapToGrid w:val="0"/>
              <w:spacing w:line="520" w:lineRule="exact"/>
              <w:ind w:firstLine="480" w:firstLineChars="200"/>
              <w:rPr>
                <w:rFonts w:hint="eastAsia" w:eastAsia="宋体" w:cs="Times New Roman"/>
                <w:b w:val="0"/>
                <w:bCs w:val="0"/>
                <w:color w:val="auto"/>
                <w:sz w:val="24"/>
                <w:szCs w:val="32"/>
                <w:highlight w:val="none"/>
                <w:lang w:val="en-US" w:eastAsia="zh-CN"/>
              </w:rPr>
            </w:pPr>
            <w:r>
              <w:rPr>
                <w:rFonts w:hint="default" w:ascii="Times New Roman" w:hAnsi="Times New Roman" w:eastAsia="宋体" w:cs="Times New Roman"/>
                <w:b w:val="0"/>
                <w:bCs w:val="0"/>
                <w:color w:val="auto"/>
                <w:sz w:val="24"/>
                <w:szCs w:val="32"/>
                <w:highlight w:val="none"/>
              </w:rPr>
              <w:t>根据国家总量控制相关要求，结合本项目厂址区域环境质量现状、外排污染物特征，</w:t>
            </w:r>
            <w:r>
              <w:rPr>
                <w:rFonts w:hint="eastAsia" w:eastAsia="宋体" w:cs="Times New Roman"/>
                <w:b w:val="0"/>
                <w:bCs w:val="0"/>
                <w:color w:val="auto"/>
                <w:sz w:val="24"/>
                <w:szCs w:val="32"/>
                <w:highlight w:val="none"/>
                <w:lang w:val="en-US" w:eastAsia="zh-CN"/>
              </w:rPr>
              <w:t>经计算本项目营运期</w:t>
            </w:r>
            <w:r>
              <w:rPr>
                <w:rFonts w:hint="eastAsia" w:ascii="Times New Roman" w:hAnsi="Times New Roman" w:eastAsia="宋体" w:cs="Times New Roman"/>
                <w:b w:val="0"/>
                <w:bCs w:val="0"/>
                <w:color w:val="auto"/>
                <w:sz w:val="24"/>
                <w:szCs w:val="32"/>
                <w:highlight w:val="none"/>
                <w:lang w:val="en-US" w:eastAsia="zh-CN"/>
              </w:rPr>
              <w:t>颗粒物排放量为</w:t>
            </w:r>
            <w:r>
              <w:rPr>
                <w:rFonts w:hint="eastAsia" w:cs="Times New Roman"/>
                <w:b w:val="0"/>
                <w:bCs w:val="0"/>
                <w:color w:val="auto"/>
                <w:sz w:val="24"/>
                <w:szCs w:val="32"/>
                <w:highlight w:val="none"/>
                <w:lang w:val="en-US" w:eastAsia="zh-CN"/>
              </w:rPr>
              <w:t>0.58</w:t>
            </w:r>
            <w:r>
              <w:rPr>
                <w:rFonts w:hint="eastAsia" w:ascii="Times New Roman" w:hAnsi="Times New Roman" w:eastAsia="宋体" w:cs="Times New Roman"/>
                <w:b w:val="0"/>
                <w:bCs w:val="0"/>
                <w:color w:val="auto"/>
                <w:sz w:val="24"/>
                <w:szCs w:val="32"/>
                <w:highlight w:val="none"/>
                <w:lang w:val="en-US" w:eastAsia="zh-CN"/>
              </w:rPr>
              <w:t>t/a</w:t>
            </w:r>
            <w:r>
              <w:rPr>
                <w:rFonts w:hint="default" w:ascii="Times New Roman" w:hAnsi="Times New Roman" w:eastAsia="宋体" w:cs="Times New Roman"/>
                <w:b w:val="0"/>
                <w:bCs w:val="0"/>
                <w:color w:val="auto"/>
                <w:sz w:val="24"/>
                <w:szCs w:val="32"/>
                <w:highlight w:val="none"/>
              </w:rPr>
              <w:t>，本项目</w:t>
            </w:r>
            <w:r>
              <w:rPr>
                <w:rFonts w:hint="eastAsia" w:eastAsia="宋体" w:cs="Times New Roman"/>
                <w:b w:val="0"/>
                <w:bCs w:val="0"/>
                <w:color w:val="auto"/>
                <w:sz w:val="24"/>
                <w:szCs w:val="32"/>
                <w:highlight w:val="none"/>
                <w:lang w:val="en-US" w:eastAsia="zh-CN"/>
              </w:rPr>
              <w:t>需申请总量控制指标，</w:t>
            </w:r>
            <w:r>
              <w:rPr>
                <w:rFonts w:hint="default" w:ascii="Times New Roman" w:hAnsi="Times New Roman" w:eastAsia="宋体" w:cs="Times New Roman"/>
                <w:b w:val="0"/>
                <w:bCs w:val="0"/>
                <w:color w:val="auto"/>
                <w:sz w:val="24"/>
                <w:szCs w:val="32"/>
                <w:highlight w:val="none"/>
              </w:rPr>
              <w:t>总量控制指标为</w:t>
            </w:r>
            <w:r>
              <w:rPr>
                <w:rFonts w:hint="eastAsia" w:ascii="Times New Roman" w:hAnsi="Times New Roman" w:eastAsia="宋体" w:cs="Times New Roman"/>
                <w:b w:val="0"/>
                <w:bCs w:val="0"/>
                <w:color w:val="auto"/>
                <w:sz w:val="24"/>
                <w:szCs w:val="32"/>
                <w:highlight w:val="none"/>
                <w:lang w:val="en-US" w:eastAsia="zh-CN"/>
              </w:rPr>
              <w:t>颗粒物</w:t>
            </w:r>
            <w:r>
              <w:rPr>
                <w:rFonts w:hint="eastAsia" w:cs="Times New Roman"/>
                <w:b w:val="0"/>
                <w:bCs w:val="0"/>
                <w:color w:val="auto"/>
                <w:sz w:val="24"/>
                <w:szCs w:val="32"/>
                <w:highlight w:val="none"/>
                <w:lang w:val="en-US" w:eastAsia="zh-CN"/>
              </w:rPr>
              <w:t>0.58</w:t>
            </w:r>
            <w:r>
              <w:rPr>
                <w:rFonts w:hint="eastAsia" w:ascii="Times New Roman" w:hAnsi="Times New Roman" w:eastAsia="宋体" w:cs="Times New Roman"/>
                <w:b w:val="0"/>
                <w:bCs w:val="0"/>
                <w:color w:val="auto"/>
                <w:sz w:val="24"/>
                <w:szCs w:val="32"/>
                <w:highlight w:val="none"/>
                <w:lang w:val="en-US" w:eastAsia="zh-CN"/>
              </w:rPr>
              <w:t>t/a</w:t>
            </w:r>
            <w:r>
              <w:rPr>
                <w:rFonts w:hint="eastAsia" w:eastAsia="宋体" w:cs="Times New Roman"/>
                <w:b w:val="0"/>
                <w:bCs w:val="0"/>
                <w:color w:val="auto"/>
                <w:sz w:val="24"/>
                <w:szCs w:val="32"/>
                <w:highlight w:val="none"/>
                <w:lang w:val="en-US" w:eastAsia="zh-CN"/>
              </w:rPr>
              <w:t>。</w:t>
            </w:r>
          </w:p>
          <w:p>
            <w:pPr>
              <w:adjustRightInd w:val="0"/>
              <w:snapToGrid w:val="0"/>
              <w:spacing w:line="520" w:lineRule="exact"/>
              <w:ind w:firstLine="480" w:firstLineChars="200"/>
              <w:rPr>
                <w:rFonts w:hint="eastAsia" w:eastAsia="宋体" w:cs="Times New Roman"/>
                <w:b w:val="0"/>
                <w:bCs w:val="0"/>
                <w:color w:val="auto"/>
                <w:sz w:val="24"/>
                <w:szCs w:val="32"/>
                <w:highlight w:val="none"/>
                <w:lang w:val="en-US" w:eastAsia="zh-CN"/>
              </w:rPr>
            </w:pPr>
          </w:p>
          <w:p>
            <w:pPr>
              <w:adjustRightInd w:val="0"/>
              <w:snapToGrid w:val="0"/>
              <w:spacing w:line="520" w:lineRule="exact"/>
              <w:ind w:firstLine="480" w:firstLineChars="200"/>
              <w:rPr>
                <w:rFonts w:hint="eastAsia" w:eastAsia="宋体" w:cs="Times New Roman"/>
                <w:b w:val="0"/>
                <w:bCs w:val="0"/>
                <w:color w:val="auto"/>
                <w:sz w:val="24"/>
                <w:szCs w:val="32"/>
                <w:highlight w:val="none"/>
                <w:lang w:val="en-US" w:eastAsia="zh-CN"/>
              </w:rPr>
            </w:pPr>
          </w:p>
          <w:p>
            <w:pPr>
              <w:adjustRightInd w:val="0"/>
              <w:snapToGrid w:val="0"/>
              <w:spacing w:line="520" w:lineRule="exact"/>
              <w:ind w:firstLine="480" w:firstLineChars="200"/>
              <w:rPr>
                <w:rFonts w:hint="eastAsia" w:eastAsia="宋体" w:cs="Times New Roman"/>
                <w:b w:val="0"/>
                <w:bCs w:val="0"/>
                <w:color w:val="auto"/>
                <w:sz w:val="24"/>
                <w:szCs w:val="32"/>
                <w:highlight w:val="none"/>
                <w:lang w:val="en-US" w:eastAsia="zh-CN"/>
              </w:rPr>
            </w:pPr>
          </w:p>
          <w:p>
            <w:pPr>
              <w:adjustRightInd w:val="0"/>
              <w:snapToGrid w:val="0"/>
              <w:spacing w:line="520" w:lineRule="exact"/>
              <w:ind w:firstLine="480" w:firstLineChars="200"/>
              <w:rPr>
                <w:rFonts w:hint="eastAsia" w:eastAsia="宋体" w:cs="Times New Roman"/>
                <w:b w:val="0"/>
                <w:bCs w:val="0"/>
                <w:color w:val="auto"/>
                <w:sz w:val="24"/>
                <w:szCs w:val="32"/>
                <w:highlight w:val="none"/>
                <w:lang w:val="en-US" w:eastAsia="zh-CN"/>
              </w:rPr>
            </w:pPr>
          </w:p>
          <w:p>
            <w:pPr>
              <w:adjustRightInd w:val="0"/>
              <w:snapToGrid w:val="0"/>
              <w:spacing w:line="520" w:lineRule="exact"/>
              <w:ind w:firstLine="480" w:firstLineChars="200"/>
              <w:rPr>
                <w:rFonts w:hint="eastAsia" w:eastAsia="宋体" w:cs="Times New Roman"/>
                <w:b w:val="0"/>
                <w:bCs w:val="0"/>
                <w:color w:val="auto"/>
                <w:sz w:val="24"/>
                <w:szCs w:val="32"/>
                <w:highlight w:val="none"/>
                <w:lang w:val="en-US" w:eastAsia="zh-CN"/>
              </w:rPr>
            </w:pPr>
          </w:p>
          <w:p>
            <w:pPr>
              <w:adjustRightInd w:val="0"/>
              <w:snapToGrid w:val="0"/>
              <w:spacing w:line="520" w:lineRule="exact"/>
              <w:ind w:firstLine="480" w:firstLineChars="200"/>
              <w:rPr>
                <w:rFonts w:hint="eastAsia" w:eastAsia="宋体" w:cs="Times New Roman"/>
                <w:b w:val="0"/>
                <w:bCs w:val="0"/>
                <w:color w:val="auto"/>
                <w:sz w:val="24"/>
                <w:szCs w:val="32"/>
                <w:highlight w:val="none"/>
                <w:lang w:val="en-US" w:eastAsia="zh-CN"/>
              </w:rPr>
            </w:pPr>
          </w:p>
          <w:p>
            <w:pPr>
              <w:adjustRightInd w:val="0"/>
              <w:snapToGrid w:val="0"/>
              <w:spacing w:line="520" w:lineRule="exact"/>
              <w:ind w:firstLine="480" w:firstLineChars="200"/>
              <w:rPr>
                <w:rFonts w:hint="default" w:eastAsia="宋体" w:cs="Times New Roman"/>
                <w:b w:val="0"/>
                <w:bCs w:val="0"/>
                <w:color w:val="auto"/>
                <w:sz w:val="24"/>
                <w:szCs w:val="32"/>
                <w:highlight w:val="none"/>
                <w:lang w:val="en-US" w:eastAsia="zh-CN"/>
              </w:rPr>
            </w:pPr>
          </w:p>
        </w:tc>
      </w:tr>
    </w:tbl>
    <w:p>
      <w:pPr>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p>
    <w:p>
      <w:pPr>
        <w:pStyle w:val="26"/>
        <w:jc w:val="center"/>
        <w:outlineLvl w:val="0"/>
        <w:rPr>
          <w:rFonts w:ascii="Times New Roman" w:hAnsi="Times New Roman" w:eastAsia="黑体"/>
          <w:snapToGrid w:val="0"/>
          <w:color w:val="auto"/>
          <w:szCs w:val="24"/>
          <w:highlight w:val="none"/>
        </w:rPr>
      </w:pPr>
      <w:r>
        <w:rPr>
          <w:rFonts w:hint="eastAsia" w:ascii="黑体" w:hAnsi="黑体" w:eastAsia="黑体"/>
          <w:snapToGrid w:val="0"/>
          <w:color w:val="auto"/>
          <w:sz w:val="30"/>
          <w:szCs w:val="30"/>
          <w:highlight w:val="none"/>
        </w:rPr>
        <w:t>四、主要环境影响和保护措施</w:t>
      </w:r>
    </w:p>
    <w:tbl>
      <w:tblPr>
        <w:tblStyle w:val="30"/>
        <w:tblW w:w="84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79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31" w:type="dxa"/>
            <w:tcMar>
              <w:left w:w="28" w:type="dxa"/>
              <w:right w:w="28" w:type="dxa"/>
            </w:tcMar>
            <w:vAlign w:val="center"/>
          </w:tcPr>
          <w:p>
            <w:pPr>
              <w:pStyle w:val="26"/>
              <w:adjustRightInd w:val="0"/>
              <w:snapToGrid w:val="0"/>
              <w:spacing w:before="0" w:beforeAutospacing="0" w:after="0" w:afterAutospacing="0"/>
              <w:jc w:val="center"/>
              <w:rPr>
                <w:rFonts w:ascii="Times New Roman" w:hAnsi="Times New Roman"/>
                <w:bCs/>
                <w:color w:val="auto"/>
                <w:kern w:val="2"/>
                <w:szCs w:val="24"/>
                <w:highlight w:val="none"/>
              </w:rPr>
            </w:pPr>
            <w:r>
              <w:rPr>
                <w:rFonts w:ascii="Times New Roman" w:hAnsi="Times New Roman"/>
                <w:color w:val="auto"/>
                <w:kern w:val="2"/>
                <w:szCs w:val="24"/>
                <w:highlight w:val="none"/>
              </w:rPr>
              <w:t>施工期环境保护措施</w:t>
            </w:r>
          </w:p>
        </w:tc>
        <w:tc>
          <w:tcPr>
            <w:tcW w:w="7911" w:type="dxa"/>
            <w:vAlign w:val="center"/>
          </w:tcPr>
          <w:p>
            <w:pPr>
              <w:adjustRightInd w:val="0"/>
              <w:snapToGrid w:val="0"/>
              <w:spacing w:line="360" w:lineRule="auto"/>
              <w:rPr>
                <w:b/>
                <w:bCs/>
                <w:color w:val="auto"/>
                <w:sz w:val="24"/>
                <w:highlight w:val="none"/>
              </w:rPr>
            </w:pPr>
            <w:r>
              <w:rPr>
                <w:b/>
                <w:bCs/>
                <w:color w:val="auto"/>
                <w:sz w:val="24"/>
                <w:highlight w:val="none"/>
              </w:rPr>
              <w:t>1 废气污染物</w:t>
            </w:r>
            <w:r>
              <w:rPr>
                <w:b/>
                <w:bCs/>
                <w:color w:val="auto"/>
                <w:sz w:val="24"/>
                <w:szCs w:val="32"/>
                <w:highlight w:val="none"/>
              </w:rPr>
              <w:t>防治措施</w:t>
            </w:r>
          </w:p>
          <w:p>
            <w:pPr>
              <w:pStyle w:val="49"/>
              <w:spacing w:line="360" w:lineRule="auto"/>
              <w:ind w:firstLine="480"/>
              <w:rPr>
                <w:rFonts w:cs="Times New Roman"/>
                <w:color w:val="auto"/>
                <w:highlight w:val="none"/>
              </w:rPr>
            </w:pPr>
            <w:r>
              <w:rPr>
                <w:rFonts w:ascii="宋体" w:hAnsi="宋体" w:eastAsia="宋体" w:cs="宋体"/>
                <w:b w:val="0"/>
                <w:bCs w:val="0"/>
                <w:color w:val="000000"/>
                <w:sz w:val="24"/>
                <w:szCs w:val="24"/>
              </w:rPr>
              <w:t>大气污染源主要包括施工机械设备及运输车辆尾气、运输道路扬尘和施工扬尘。为了减少施工期粉尘对周边环境的影响，本次环评要求施工期对施工场地适当洒水，增强湿度，则可有效减少扬尘量；施工单位应采用尾气排放符合国家规定标准的车辆和施工机械，确保其在运行时尾气达标排放，减少对环境空气的污染。建设单位应严格采取相应的控制措施，切实做好施工期扬尘和废气的防控措施</w:t>
            </w:r>
            <w:r>
              <w:rPr>
                <w:rFonts w:hint="eastAsia" w:cs="Times New Roman"/>
                <w:color w:val="auto"/>
                <w:highlight w:val="none"/>
              </w:rPr>
              <w:t>。</w:t>
            </w:r>
          </w:p>
          <w:p>
            <w:pPr>
              <w:adjustRightInd w:val="0"/>
              <w:snapToGrid w:val="0"/>
              <w:spacing w:line="360" w:lineRule="auto"/>
              <w:rPr>
                <w:b/>
                <w:bCs/>
                <w:color w:val="auto"/>
                <w:sz w:val="24"/>
                <w:highlight w:val="none"/>
              </w:rPr>
            </w:pPr>
            <w:r>
              <w:rPr>
                <w:b/>
                <w:bCs/>
                <w:color w:val="auto"/>
                <w:sz w:val="24"/>
                <w:highlight w:val="none"/>
              </w:rPr>
              <w:t>2 废水污染物</w:t>
            </w:r>
            <w:r>
              <w:rPr>
                <w:b/>
                <w:bCs/>
                <w:color w:val="auto"/>
                <w:sz w:val="24"/>
                <w:szCs w:val="32"/>
                <w:highlight w:val="none"/>
              </w:rPr>
              <w:t>防治措施</w:t>
            </w:r>
          </w:p>
          <w:p>
            <w:pPr>
              <w:adjustRightInd w:val="0"/>
              <w:snapToGrid w:val="0"/>
              <w:spacing w:line="360" w:lineRule="auto"/>
              <w:ind w:firstLine="480" w:firstLineChars="200"/>
              <w:rPr>
                <w:rFonts w:hint="default" w:ascii="Times New Roman" w:hAnsi="Times New Roman" w:cs="Times New Roman"/>
                <w:color w:val="auto"/>
                <w:spacing w:val="0"/>
                <w:kern w:val="0"/>
                <w:sz w:val="24"/>
                <w:highlight w:val="none"/>
                <w:lang w:val="en-US" w:eastAsia="zh-CN"/>
              </w:rPr>
            </w:pPr>
            <w:r>
              <w:rPr>
                <w:rFonts w:hint="eastAsia" w:ascii="宋体" w:hAnsi="宋体" w:eastAsia="宋体" w:cs="宋体"/>
                <w:color w:val="auto"/>
                <w:spacing w:val="0"/>
                <w:sz w:val="24"/>
              </w:rPr>
              <w:t>项目不设施工营地，施工人员</w:t>
            </w:r>
            <w:r>
              <w:rPr>
                <w:rFonts w:hint="eastAsia" w:ascii="宋体" w:hAnsi="宋体" w:eastAsia="宋体" w:cs="宋体"/>
                <w:color w:val="auto"/>
                <w:spacing w:val="0"/>
                <w:sz w:val="24"/>
                <w:lang w:val="en-US" w:eastAsia="zh-CN"/>
              </w:rPr>
              <w:t>不在厂区食宿</w:t>
            </w:r>
            <w:r>
              <w:rPr>
                <w:rFonts w:hint="eastAsia" w:ascii="宋体" w:hAnsi="宋体" w:eastAsia="宋体" w:cs="宋体"/>
                <w:color w:val="auto"/>
                <w:spacing w:val="0"/>
                <w:sz w:val="24"/>
              </w:rPr>
              <w:t>，施工人员产生的生活污水排入</w:t>
            </w:r>
            <w:r>
              <w:rPr>
                <w:rFonts w:hint="eastAsia" w:ascii="宋体" w:hAnsi="宋体" w:eastAsia="宋体" w:cs="宋体"/>
                <w:color w:val="auto"/>
                <w:spacing w:val="0"/>
                <w:sz w:val="24"/>
                <w:lang w:val="en-US" w:eastAsia="zh-CN"/>
              </w:rPr>
              <w:t>园区现有排</w:t>
            </w:r>
            <w:r>
              <w:rPr>
                <w:rFonts w:hint="eastAsia" w:ascii="宋体" w:hAnsi="宋体" w:eastAsia="宋体" w:cs="宋体"/>
                <w:color w:val="auto"/>
                <w:spacing w:val="0"/>
                <w:sz w:val="24"/>
              </w:rPr>
              <w:t>水管网</w:t>
            </w:r>
            <w:r>
              <w:rPr>
                <w:rFonts w:hint="eastAsia" w:ascii="宋体" w:hAnsi="宋体" w:eastAsia="宋体" w:cs="宋体"/>
                <w:bCs/>
                <w:color w:val="auto"/>
                <w:spacing w:val="0"/>
                <w:sz w:val="24"/>
              </w:rPr>
              <w:t>。</w:t>
            </w:r>
            <w:r>
              <w:rPr>
                <w:rFonts w:hint="default" w:ascii="Times New Roman" w:hAnsi="Times New Roman" w:cs="Times New Roman"/>
                <w:color w:val="auto"/>
                <w:spacing w:val="0"/>
                <w:kern w:val="0"/>
                <w:sz w:val="24"/>
                <w:highlight w:val="none"/>
                <w:lang w:eastAsia="zh-CN"/>
              </w:rPr>
              <w:t>因此，</w:t>
            </w:r>
            <w:r>
              <w:rPr>
                <w:rFonts w:hint="eastAsia" w:ascii="Times New Roman" w:hAnsi="Times New Roman" w:cs="Times New Roman"/>
                <w:color w:val="auto"/>
                <w:spacing w:val="0"/>
                <w:kern w:val="0"/>
                <w:sz w:val="24"/>
                <w:highlight w:val="none"/>
                <w:lang w:val="en-US" w:eastAsia="zh-CN"/>
              </w:rPr>
              <w:t>施工人员</w:t>
            </w:r>
            <w:r>
              <w:rPr>
                <w:rFonts w:hint="default" w:ascii="Times New Roman" w:hAnsi="Times New Roman" w:cs="Times New Roman"/>
                <w:color w:val="auto"/>
                <w:spacing w:val="0"/>
                <w:kern w:val="0"/>
                <w:sz w:val="24"/>
                <w:highlight w:val="none"/>
                <w:lang w:eastAsia="zh-CN"/>
              </w:rPr>
              <w:t>生活污水对周围环境造成影响小</w:t>
            </w:r>
            <w:r>
              <w:rPr>
                <w:rFonts w:hint="eastAsia" w:cs="Times New Roman"/>
                <w:color w:val="auto"/>
                <w:spacing w:val="0"/>
                <w:kern w:val="0"/>
                <w:sz w:val="24"/>
                <w:highlight w:val="none"/>
                <w:lang w:eastAsia="zh-CN"/>
              </w:rPr>
              <w:t>。</w:t>
            </w:r>
          </w:p>
          <w:p>
            <w:pPr>
              <w:adjustRightInd w:val="0"/>
              <w:snapToGrid w:val="0"/>
              <w:spacing w:line="360" w:lineRule="auto"/>
              <w:rPr>
                <w:b/>
                <w:bCs/>
                <w:color w:val="auto"/>
                <w:sz w:val="24"/>
                <w:highlight w:val="none"/>
              </w:rPr>
            </w:pPr>
            <w:r>
              <w:rPr>
                <w:b/>
                <w:bCs/>
                <w:color w:val="auto"/>
                <w:sz w:val="24"/>
                <w:highlight w:val="none"/>
              </w:rPr>
              <w:t>3 噪声</w:t>
            </w:r>
            <w:r>
              <w:rPr>
                <w:b/>
                <w:bCs/>
                <w:color w:val="auto"/>
                <w:sz w:val="24"/>
                <w:szCs w:val="32"/>
                <w:highlight w:val="none"/>
              </w:rPr>
              <w:t>防治措施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color w:val="auto"/>
                <w:spacing w:val="0"/>
                <w:kern w:val="0"/>
                <w:sz w:val="24"/>
                <w:highlight w:val="none"/>
                <w:lang w:eastAsia="zh-CN"/>
              </w:rPr>
            </w:pPr>
            <w:r>
              <w:rPr>
                <w:rFonts w:hint="default" w:ascii="Times New Roman" w:hAnsi="Times New Roman" w:eastAsia="宋体" w:cs="Times New Roman"/>
                <w:color w:val="auto"/>
                <w:spacing w:val="0"/>
                <w:kern w:val="0"/>
                <w:sz w:val="24"/>
                <w:highlight w:val="none"/>
                <w:lang w:val="en-US" w:eastAsia="zh-CN"/>
              </w:rPr>
              <w:t>项目</w:t>
            </w:r>
            <w:r>
              <w:rPr>
                <w:rFonts w:hint="default" w:ascii="Times New Roman" w:hAnsi="Times New Roman" w:eastAsia="宋体" w:cs="Times New Roman"/>
                <w:color w:val="auto"/>
                <w:spacing w:val="0"/>
                <w:kern w:val="0"/>
                <w:sz w:val="24"/>
                <w:highlight w:val="none"/>
                <w:lang w:eastAsia="zh-CN"/>
              </w:rPr>
              <w:t>施工均在地面作业，为了尽可能降低施工噪声的影响，建议建设单位应采取以下对策与措施：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color w:val="auto"/>
                <w:spacing w:val="0"/>
                <w:kern w:val="0"/>
                <w:sz w:val="24"/>
                <w:highlight w:val="none"/>
                <w:lang w:eastAsia="zh-CN"/>
              </w:rPr>
            </w:pPr>
            <w:r>
              <w:rPr>
                <w:rFonts w:hint="default" w:ascii="Times New Roman" w:hAnsi="Times New Roman" w:eastAsia="宋体" w:cs="Times New Roman"/>
                <w:color w:val="auto"/>
                <w:spacing w:val="0"/>
                <w:kern w:val="0"/>
                <w:sz w:val="24"/>
                <w:highlight w:val="none"/>
                <w:lang w:eastAsia="zh-CN"/>
              </w:rPr>
              <w:t>（1）尽量使用低噪声的施工设备；对各施工环节中噪声较为突出且又难以对声源进行降噪的设备装置，应采取临时围障措施，以达到降噪效果。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color w:val="auto"/>
                <w:spacing w:val="0"/>
                <w:kern w:val="0"/>
                <w:sz w:val="24"/>
                <w:highlight w:val="none"/>
                <w:lang w:eastAsia="zh-CN"/>
              </w:rPr>
            </w:pPr>
            <w:r>
              <w:rPr>
                <w:rFonts w:hint="default" w:ascii="Times New Roman" w:hAnsi="Times New Roman" w:eastAsia="宋体" w:cs="Times New Roman"/>
                <w:color w:val="auto"/>
                <w:spacing w:val="0"/>
                <w:kern w:val="0"/>
                <w:sz w:val="24"/>
                <w:highlight w:val="none"/>
                <w:lang w:eastAsia="zh-CN"/>
              </w:rPr>
              <w:t>（2）在夜间（22:00~06:00）时段不得进行高噪声施工作业。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color w:val="auto"/>
                <w:spacing w:val="0"/>
                <w:kern w:val="0"/>
                <w:sz w:val="24"/>
                <w:highlight w:val="none"/>
                <w:lang w:eastAsia="zh-CN"/>
              </w:rPr>
            </w:pPr>
            <w:r>
              <w:rPr>
                <w:rFonts w:hint="default" w:ascii="Times New Roman" w:hAnsi="Times New Roman" w:eastAsia="宋体" w:cs="Times New Roman"/>
                <w:color w:val="auto"/>
                <w:spacing w:val="0"/>
                <w:kern w:val="0"/>
                <w:sz w:val="24"/>
                <w:highlight w:val="none"/>
                <w:lang w:eastAsia="zh-CN"/>
              </w:rPr>
              <w:t>（3）运输车辆途经民宅时降低车速，尽量减少鸣笛，降低运输噪声。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Cs/>
                <w:spacing w:val="0"/>
                <w:szCs w:val="21"/>
                <w:lang w:val="en-US" w:eastAsia="zh-CN"/>
              </w:rPr>
            </w:pPr>
            <w:r>
              <w:rPr>
                <w:rFonts w:hint="default" w:ascii="Times New Roman" w:hAnsi="Times New Roman" w:eastAsia="宋体" w:cs="Times New Roman"/>
                <w:color w:val="auto"/>
                <w:spacing w:val="0"/>
                <w:kern w:val="0"/>
                <w:sz w:val="24"/>
                <w:highlight w:val="none"/>
                <w:lang w:eastAsia="zh-CN"/>
              </w:rPr>
              <w:t>经采取以上措施后，将会有效抑制施工噪声对周边的影响，基本能达到《建筑施工场界环境噪声排放标准》（GB12523-2011），即：昼间≤70dB、夜间≤55dB。本项目在夜间时段没有安排施工，因此，夜间不会对周边产生影响。</w:t>
            </w:r>
          </w:p>
          <w:p>
            <w:pPr>
              <w:adjustRightInd w:val="0"/>
              <w:snapToGrid w:val="0"/>
              <w:spacing w:line="360" w:lineRule="auto"/>
              <w:rPr>
                <w:b/>
                <w:bCs/>
                <w:color w:val="auto"/>
                <w:sz w:val="24"/>
                <w:highlight w:val="none"/>
              </w:rPr>
            </w:pPr>
            <w:r>
              <w:rPr>
                <w:b/>
                <w:bCs/>
                <w:color w:val="auto"/>
                <w:sz w:val="24"/>
                <w:highlight w:val="none"/>
              </w:rPr>
              <w:t>4 固体废弃物</w:t>
            </w:r>
            <w:r>
              <w:rPr>
                <w:b/>
                <w:bCs/>
                <w:color w:val="auto"/>
                <w:sz w:val="24"/>
                <w:szCs w:val="32"/>
                <w:highlight w:val="none"/>
              </w:rPr>
              <w:t>防治措施</w:t>
            </w:r>
          </w:p>
          <w:p>
            <w:pPr>
              <w:adjustRightInd w:val="0"/>
              <w:snapToGrid w:val="0"/>
              <w:spacing w:line="360" w:lineRule="auto"/>
              <w:ind w:firstLine="480" w:firstLineChars="200"/>
              <w:rPr>
                <w:color w:val="auto"/>
                <w:sz w:val="24"/>
                <w:highlight w:val="none"/>
              </w:rPr>
            </w:pPr>
            <w:r>
              <w:rPr>
                <w:color w:val="auto"/>
                <w:sz w:val="24"/>
                <w:highlight w:val="none"/>
              </w:rPr>
              <w:t>施工过程中主要产生的固体废物为安装设备产生的废包装物</w:t>
            </w:r>
            <w:r>
              <w:rPr>
                <w:rFonts w:hint="eastAsia"/>
                <w:color w:val="auto"/>
                <w:sz w:val="24"/>
                <w:highlight w:val="none"/>
                <w:lang w:eastAsia="zh-CN"/>
              </w:rPr>
              <w:t>、</w:t>
            </w:r>
            <w:r>
              <w:rPr>
                <w:rFonts w:hint="eastAsia"/>
                <w:color w:val="auto"/>
                <w:sz w:val="24"/>
                <w:highlight w:val="none"/>
                <w:lang w:val="en-US" w:eastAsia="zh-CN"/>
              </w:rPr>
              <w:t>建筑垃圾</w:t>
            </w:r>
            <w:r>
              <w:rPr>
                <w:color w:val="auto"/>
                <w:sz w:val="24"/>
                <w:highlight w:val="none"/>
              </w:rPr>
              <w:t>和施工人员产生的生活垃圾。</w:t>
            </w:r>
          </w:p>
          <w:p>
            <w:pPr>
              <w:adjustRightInd w:val="0"/>
              <w:snapToGrid w:val="0"/>
              <w:spacing w:line="360" w:lineRule="auto"/>
              <w:ind w:firstLine="480" w:firstLineChars="200"/>
              <w:rPr>
                <w:bCs/>
                <w:color w:val="auto"/>
                <w:spacing w:val="-10"/>
                <w:sz w:val="24"/>
                <w:highlight w:val="none"/>
              </w:rPr>
            </w:pPr>
            <w:r>
              <w:rPr>
                <w:color w:val="auto"/>
                <w:sz w:val="24"/>
                <w:szCs w:val="32"/>
                <w:highlight w:val="none"/>
              </w:rPr>
              <w:t>本项目产生的废包装物</w:t>
            </w:r>
            <w:r>
              <w:rPr>
                <w:color w:val="auto"/>
                <w:sz w:val="24"/>
                <w:highlight w:val="none"/>
              </w:rPr>
              <w:t>定期清理，回收利用，</w:t>
            </w:r>
            <w:r>
              <w:rPr>
                <w:rFonts w:hint="eastAsia"/>
                <w:color w:val="auto"/>
                <w:sz w:val="24"/>
                <w:highlight w:val="none"/>
                <w:lang w:val="en-US" w:eastAsia="zh-CN"/>
              </w:rPr>
              <w:t>建筑垃圾</w:t>
            </w:r>
            <w:r>
              <w:rPr>
                <w:color w:val="auto"/>
                <w:sz w:val="24"/>
                <w:szCs w:val="32"/>
                <w:highlight w:val="none"/>
              </w:rPr>
              <w:t>定期由环卫部门统一清运</w:t>
            </w:r>
            <w:r>
              <w:rPr>
                <w:rFonts w:hint="eastAsia"/>
                <w:color w:val="auto"/>
                <w:sz w:val="24"/>
                <w:szCs w:val="32"/>
                <w:highlight w:val="none"/>
                <w:lang w:eastAsia="zh-CN"/>
              </w:rPr>
              <w:t>，</w:t>
            </w:r>
            <w:r>
              <w:rPr>
                <w:color w:val="auto"/>
                <w:sz w:val="24"/>
                <w:szCs w:val="32"/>
                <w:highlight w:val="none"/>
              </w:rPr>
              <w:t>施工区设立垃圾收集箱，生活垃圾定期由环卫部门统一清运，垃圾拉运到指定垃圾填埋场进行集中处理。施工区作业结束后，应及</w:t>
            </w:r>
            <w:r>
              <w:rPr>
                <w:color w:val="auto"/>
                <w:sz w:val="24"/>
                <w:highlight w:val="none"/>
              </w:rPr>
              <w:t>时、全面地进行清场作业，做到施工区内不遗留</w:t>
            </w:r>
            <w:r>
              <w:rPr>
                <w:rFonts w:hint="eastAsia"/>
                <w:color w:val="auto"/>
                <w:sz w:val="24"/>
                <w:highlight w:val="none"/>
                <w:lang w:val="en-US" w:eastAsia="zh-CN"/>
              </w:rPr>
              <w:t>各类</w:t>
            </w:r>
            <w:r>
              <w:rPr>
                <w:color w:val="auto"/>
                <w:sz w:val="24"/>
                <w:highlight w:val="none"/>
              </w:rPr>
              <w:t>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dxa"/>
            <w:tcMar>
              <w:left w:w="28" w:type="dxa"/>
              <w:right w:w="28" w:type="dxa"/>
            </w:tcMar>
            <w:vAlign w:val="center"/>
          </w:tcPr>
          <w:p>
            <w:pPr>
              <w:pStyle w:val="26"/>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运营</w:t>
            </w:r>
          </w:p>
          <w:p>
            <w:pPr>
              <w:pStyle w:val="26"/>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期环</w:t>
            </w:r>
          </w:p>
          <w:p>
            <w:pPr>
              <w:pStyle w:val="26"/>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境影</w:t>
            </w:r>
          </w:p>
          <w:p>
            <w:pPr>
              <w:pStyle w:val="26"/>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响和</w:t>
            </w:r>
          </w:p>
          <w:p>
            <w:pPr>
              <w:pStyle w:val="26"/>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保护</w:t>
            </w:r>
          </w:p>
          <w:p>
            <w:pPr>
              <w:pStyle w:val="26"/>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措施</w:t>
            </w:r>
          </w:p>
        </w:tc>
        <w:tc>
          <w:tcPr>
            <w:tcW w:w="7911" w:type="dxa"/>
            <w:vAlign w:val="center"/>
          </w:tcPr>
          <w:p>
            <w:pPr>
              <w:adjustRightInd w:val="0"/>
              <w:snapToGrid w:val="0"/>
              <w:spacing w:line="360" w:lineRule="auto"/>
              <w:rPr>
                <w:b/>
                <w:bCs/>
                <w:color w:val="auto"/>
                <w:sz w:val="24"/>
                <w:highlight w:val="none"/>
              </w:rPr>
            </w:pPr>
            <w:r>
              <w:rPr>
                <w:b/>
                <w:bCs/>
                <w:color w:val="auto"/>
                <w:sz w:val="24"/>
                <w:highlight w:val="none"/>
              </w:rPr>
              <w:t>1 废气环境影响和保护措施</w:t>
            </w:r>
          </w:p>
          <w:p>
            <w:pPr>
              <w:adjustRightInd w:val="0"/>
              <w:snapToGrid w:val="0"/>
              <w:spacing w:line="360" w:lineRule="auto"/>
              <w:rPr>
                <w:b/>
                <w:bCs/>
                <w:color w:val="auto"/>
                <w:sz w:val="24"/>
                <w:highlight w:val="none"/>
              </w:rPr>
            </w:pPr>
            <w:r>
              <w:rPr>
                <w:b/>
                <w:bCs/>
                <w:color w:val="auto"/>
                <w:sz w:val="24"/>
                <w:highlight w:val="none"/>
              </w:rPr>
              <w:t>1.1 废气产生、处置及排放情况</w:t>
            </w:r>
          </w:p>
          <w:p>
            <w:pPr>
              <w:pStyle w:val="49"/>
              <w:spacing w:line="360" w:lineRule="auto"/>
              <w:ind w:firstLine="480"/>
              <w:rPr>
                <w:rFonts w:cs="Times New Roman"/>
                <w:color w:val="auto"/>
                <w:highlight w:val="none"/>
              </w:rPr>
            </w:pPr>
            <w:r>
              <w:rPr>
                <w:rFonts w:cs="Times New Roman"/>
                <w:color w:val="auto"/>
                <w:highlight w:val="none"/>
              </w:rPr>
              <w:t>（1）</w:t>
            </w:r>
            <w:r>
              <w:rPr>
                <w:rFonts w:hint="eastAsia" w:cs="Times New Roman"/>
                <w:color w:val="auto"/>
                <w:highlight w:val="none"/>
                <w:lang w:val="en-US" w:eastAsia="zh-CN"/>
              </w:rPr>
              <w:t>有组织颗粒物</w:t>
            </w:r>
          </w:p>
          <w:p>
            <w:pPr>
              <w:adjustRightInd w:val="0"/>
              <w:snapToGrid w:val="0"/>
              <w:spacing w:line="360" w:lineRule="auto"/>
              <w:ind w:firstLine="480" w:firstLineChars="200"/>
              <w:rPr>
                <w:color w:val="000000"/>
                <w:kern w:val="0"/>
                <w:sz w:val="24"/>
              </w:rPr>
            </w:pPr>
            <w:r>
              <w:rPr>
                <w:color w:val="000000"/>
                <w:kern w:val="0"/>
                <w:sz w:val="24"/>
              </w:rPr>
              <w:t>本项目运营期生产过程中</w:t>
            </w:r>
            <w:r>
              <w:rPr>
                <w:rFonts w:hint="eastAsia"/>
                <w:color w:val="000000"/>
                <w:kern w:val="0"/>
                <w:sz w:val="24"/>
                <w:lang w:val="en-US" w:eastAsia="zh-CN"/>
              </w:rPr>
              <w:t>进</w:t>
            </w:r>
            <w:r>
              <w:rPr>
                <w:rFonts w:hint="eastAsia"/>
                <w:color w:val="000000"/>
                <w:kern w:val="0"/>
                <w:sz w:val="24"/>
              </w:rPr>
              <w:t>料</w:t>
            </w:r>
            <w:r>
              <w:rPr>
                <w:color w:val="000000"/>
                <w:kern w:val="0"/>
                <w:sz w:val="24"/>
              </w:rPr>
              <w:t>、筛分</w:t>
            </w:r>
            <w:r>
              <w:rPr>
                <w:rFonts w:hint="eastAsia"/>
                <w:color w:val="000000"/>
                <w:kern w:val="0"/>
                <w:sz w:val="24"/>
                <w:lang w:eastAsia="zh-CN"/>
              </w:rPr>
              <w:t>、</w:t>
            </w:r>
            <w:r>
              <w:rPr>
                <w:color w:val="000000"/>
                <w:kern w:val="0"/>
                <w:sz w:val="24"/>
              </w:rPr>
              <w:t>粉碎</w:t>
            </w:r>
            <w:r>
              <w:rPr>
                <w:rFonts w:hint="eastAsia"/>
                <w:color w:val="000000"/>
                <w:kern w:val="0"/>
                <w:sz w:val="24"/>
                <w:lang w:eastAsia="zh-CN"/>
              </w:rPr>
              <w:t>、</w:t>
            </w:r>
            <w:r>
              <w:rPr>
                <w:rFonts w:hint="eastAsia"/>
                <w:color w:val="000000"/>
                <w:kern w:val="0"/>
                <w:sz w:val="24"/>
                <w:lang w:val="en-US" w:eastAsia="zh-CN"/>
              </w:rPr>
              <w:t>包装</w:t>
            </w:r>
            <w:r>
              <w:rPr>
                <w:color w:val="000000"/>
                <w:kern w:val="0"/>
                <w:sz w:val="24"/>
              </w:rPr>
              <w:t>工序会产生</w:t>
            </w:r>
            <w:r>
              <w:rPr>
                <w:rFonts w:hint="eastAsia"/>
                <w:color w:val="000000"/>
                <w:kern w:val="0"/>
                <w:sz w:val="24"/>
              </w:rPr>
              <w:t>一定量的</w:t>
            </w:r>
            <w:r>
              <w:rPr>
                <w:color w:val="000000"/>
                <w:kern w:val="0"/>
                <w:sz w:val="24"/>
              </w:rPr>
              <w:t>粉尘</w:t>
            </w:r>
            <w:r>
              <w:rPr>
                <w:rFonts w:hint="eastAsia"/>
                <w:color w:val="000000"/>
                <w:kern w:val="0"/>
                <w:sz w:val="24"/>
              </w:rPr>
              <w:t>（</w:t>
            </w:r>
            <w:r>
              <w:rPr>
                <w:color w:val="000000"/>
                <w:kern w:val="0"/>
                <w:sz w:val="24"/>
              </w:rPr>
              <w:t>原料</w:t>
            </w:r>
            <w:r>
              <w:rPr>
                <w:rFonts w:hint="eastAsia"/>
                <w:color w:val="000000"/>
                <w:kern w:val="0"/>
                <w:sz w:val="24"/>
              </w:rPr>
              <w:t>均</w:t>
            </w:r>
            <w:r>
              <w:rPr>
                <w:color w:val="000000"/>
                <w:kern w:val="0"/>
                <w:sz w:val="24"/>
              </w:rPr>
              <w:t>无机化合物粉状颗粒，固态原料粒径在20-60μm之间</w:t>
            </w:r>
            <w:r>
              <w:rPr>
                <w:rFonts w:hint="eastAsia"/>
                <w:color w:val="000000"/>
                <w:kern w:val="0"/>
                <w:sz w:val="24"/>
              </w:rPr>
              <w:t>）</w:t>
            </w:r>
            <w:r>
              <w:rPr>
                <w:color w:val="000000"/>
                <w:kern w:val="0"/>
                <w:sz w:val="24"/>
              </w:rPr>
              <w:t>。在</w:t>
            </w:r>
            <w:r>
              <w:rPr>
                <w:rFonts w:hint="eastAsia"/>
                <w:color w:val="000000"/>
                <w:kern w:val="0"/>
                <w:sz w:val="24"/>
              </w:rPr>
              <w:t>生产</w:t>
            </w:r>
            <w:r>
              <w:rPr>
                <w:color w:val="000000"/>
                <w:kern w:val="0"/>
                <w:sz w:val="24"/>
              </w:rPr>
              <w:t>过程中的物料间相互碰撞运动，会使得部分粉状颗粒逃逸至大气中，该部分颗粒物形成粉尘废气。但由于项目的粉尘比空气密度大，容易沉降，故漂浮到空气中的形成粉尘的量较小。</w:t>
            </w:r>
          </w:p>
          <w:p>
            <w:pPr>
              <w:pStyle w:val="29"/>
              <w:spacing w:line="360" w:lineRule="auto"/>
              <w:ind w:left="0" w:leftChars="0" w:firstLine="480" w:firstLineChars="200"/>
              <w:rPr>
                <w:rFonts w:hint="default" w:eastAsia="宋体"/>
                <w:lang w:val="en-US" w:eastAsia="zh-CN"/>
              </w:rPr>
            </w:pPr>
            <w:r>
              <w:rPr>
                <w:rFonts w:hint="eastAsia"/>
                <w:color w:val="000000"/>
                <w:kern w:val="0"/>
                <w:sz w:val="24"/>
                <w:lang w:val="en-US" w:eastAsia="zh-CN"/>
              </w:rPr>
              <w:t>1）进料工序颗粒物</w:t>
            </w:r>
          </w:p>
          <w:p>
            <w:pPr>
              <w:widowControl/>
              <w:spacing w:line="360" w:lineRule="auto"/>
              <w:ind w:firstLine="480" w:firstLineChars="200"/>
              <w:rPr>
                <w:rFonts w:hint="default" w:ascii="Times New Roman" w:hAnsi="Times New Roman" w:eastAsia="宋体" w:cs="Times New Roman"/>
                <w:b w:val="0"/>
                <w:bCs w:val="0"/>
                <w:color w:val="000000"/>
                <w:sz w:val="24"/>
                <w:szCs w:val="24"/>
                <w:lang w:val="en-US"/>
              </w:rPr>
            </w:pPr>
            <w:r>
              <w:rPr>
                <w:rFonts w:hint="default" w:ascii="Times New Roman" w:hAnsi="Times New Roman" w:eastAsia="宋体" w:cs="Times New Roman"/>
                <w:b w:val="0"/>
                <w:bCs w:val="0"/>
                <w:color w:val="000000"/>
                <w:sz w:val="24"/>
                <w:szCs w:val="24"/>
              </w:rPr>
              <w:t>本项目</w:t>
            </w:r>
            <w:r>
              <w:rPr>
                <w:rFonts w:hint="eastAsia" w:ascii="Times New Roman" w:hAnsi="Times New Roman" w:eastAsia="宋体" w:cs="Times New Roman"/>
                <w:b w:val="0"/>
                <w:bCs w:val="0"/>
                <w:color w:val="000000"/>
                <w:sz w:val="24"/>
                <w:szCs w:val="24"/>
                <w:lang w:val="en-US" w:eastAsia="zh-CN"/>
              </w:rPr>
              <w:t>将</w:t>
            </w:r>
            <w:r>
              <w:rPr>
                <w:rFonts w:hint="eastAsia" w:cs="Times New Roman"/>
                <w:b w:val="0"/>
                <w:bCs w:val="0"/>
                <w:color w:val="000000"/>
                <w:sz w:val="24"/>
                <w:szCs w:val="24"/>
                <w:lang w:val="en-US" w:eastAsia="zh-CN"/>
              </w:rPr>
              <w:t>外购</w:t>
            </w:r>
            <w:r>
              <w:rPr>
                <w:rFonts w:hint="eastAsia" w:ascii="Times New Roman" w:hAnsi="Times New Roman" w:eastAsia="宋体" w:cs="Times New Roman"/>
                <w:b w:val="0"/>
                <w:bCs w:val="0"/>
                <w:color w:val="000000"/>
                <w:sz w:val="24"/>
                <w:szCs w:val="24"/>
                <w:lang w:val="en-US" w:eastAsia="zh-CN"/>
              </w:rPr>
              <w:t>原料运输至筛分工序进料处，进料时会</w:t>
            </w:r>
            <w:r>
              <w:rPr>
                <w:rFonts w:hint="eastAsia" w:cs="Times New Roman"/>
                <w:b w:val="0"/>
                <w:bCs w:val="0"/>
                <w:color w:val="000000"/>
                <w:sz w:val="24"/>
                <w:szCs w:val="24"/>
                <w:lang w:val="en-US" w:eastAsia="zh-CN"/>
              </w:rPr>
              <w:t>有</w:t>
            </w:r>
            <w:r>
              <w:rPr>
                <w:color w:val="000000"/>
                <w:kern w:val="0"/>
                <w:sz w:val="24"/>
              </w:rPr>
              <w:t>部分</w:t>
            </w:r>
            <w:r>
              <w:rPr>
                <w:rFonts w:hint="eastAsia"/>
                <w:color w:val="000000"/>
                <w:kern w:val="0"/>
                <w:sz w:val="24"/>
                <w:lang w:val="en-US" w:eastAsia="zh-CN"/>
              </w:rPr>
              <w:t>原料</w:t>
            </w:r>
            <w:r>
              <w:rPr>
                <w:color w:val="000000"/>
                <w:kern w:val="0"/>
                <w:sz w:val="24"/>
              </w:rPr>
              <w:t>逸</w:t>
            </w:r>
            <w:r>
              <w:rPr>
                <w:rFonts w:hint="eastAsia"/>
                <w:color w:val="000000"/>
                <w:kern w:val="0"/>
                <w:sz w:val="24"/>
                <w:lang w:val="en-US" w:eastAsia="zh-CN"/>
              </w:rPr>
              <w:t>散</w:t>
            </w:r>
            <w:r>
              <w:rPr>
                <w:color w:val="000000"/>
                <w:kern w:val="0"/>
                <w:sz w:val="24"/>
              </w:rPr>
              <w:t>至大气中</w:t>
            </w:r>
            <w:r>
              <w:rPr>
                <w:rFonts w:hint="eastAsia"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val="en-US" w:eastAsia="zh-CN"/>
              </w:rPr>
              <w:t>本项目腐植酸钾有机肥产量为30000t/a、腐植酸复混有机肥产量为20000t/a，颗粒物的产生量参</w:t>
            </w:r>
            <w:r>
              <w:rPr>
                <w:rFonts w:hint="eastAsia" w:cs="Times New Roman"/>
                <w:b w:val="0"/>
                <w:bCs w:val="0"/>
                <w:color w:val="000000"/>
                <w:sz w:val="24"/>
                <w:szCs w:val="24"/>
                <w:lang w:val="en-US" w:eastAsia="zh-CN"/>
              </w:rPr>
              <w:t>考</w:t>
            </w:r>
            <w:r>
              <w:rPr>
                <w:rFonts w:hint="eastAsia" w:ascii="Times New Roman" w:hAnsi="Times New Roman" w:eastAsia="宋体" w:cs="Times New Roman"/>
                <w:b w:val="0"/>
                <w:bCs w:val="0"/>
                <w:color w:val="000000"/>
                <w:sz w:val="24"/>
                <w:szCs w:val="24"/>
              </w:rPr>
              <w:t>《</w:t>
            </w:r>
            <w:r>
              <w:rPr>
                <w:rFonts w:hint="eastAsia" w:cs="Times New Roman"/>
                <w:b w:val="0"/>
                <w:bCs w:val="0"/>
                <w:color w:val="000000"/>
                <w:sz w:val="24"/>
                <w:szCs w:val="24"/>
                <w:lang w:val="en-US" w:eastAsia="zh-CN"/>
              </w:rPr>
              <w:t>有机肥料及微生物肥料制造行业系数手册</w:t>
            </w:r>
            <w:r>
              <w:rPr>
                <w:rFonts w:hint="eastAsia" w:ascii="Times New Roman" w:hAnsi="Times New Roman" w:eastAsia="宋体" w:cs="Times New Roman"/>
                <w:b w:val="0"/>
                <w:bCs w:val="0"/>
                <w:color w:val="000000"/>
                <w:sz w:val="24"/>
                <w:szCs w:val="24"/>
              </w:rPr>
              <w:t>》中</w:t>
            </w:r>
            <w:r>
              <w:rPr>
                <w:rFonts w:hint="eastAsia" w:cs="Times New Roman"/>
                <w:b w:val="0"/>
                <w:bCs w:val="0"/>
                <w:color w:val="000000"/>
                <w:sz w:val="24"/>
                <w:szCs w:val="24"/>
                <w:lang w:val="en-US" w:eastAsia="zh-CN"/>
              </w:rPr>
              <w:t>的</w:t>
            </w:r>
            <w:r>
              <w:rPr>
                <w:rFonts w:hint="eastAsia" w:ascii="Times New Roman" w:hAnsi="Times New Roman" w:eastAsia="宋体" w:cs="Times New Roman"/>
                <w:b w:val="0"/>
                <w:bCs w:val="0"/>
                <w:color w:val="000000"/>
                <w:sz w:val="24"/>
                <w:szCs w:val="24"/>
              </w:rPr>
              <w:t>产污系数</w:t>
            </w:r>
            <w:r>
              <w:rPr>
                <w:rFonts w:hint="eastAsia" w:ascii="Times New Roman" w:hAnsi="Times New Roman" w:eastAsia="宋体" w:cs="Times New Roman"/>
                <w:b w:val="0"/>
                <w:bCs w:val="0"/>
                <w:color w:val="000000"/>
                <w:sz w:val="24"/>
                <w:szCs w:val="24"/>
                <w:lang w:eastAsia="zh-CN"/>
              </w:rPr>
              <w:t>，</w:t>
            </w:r>
            <w:r>
              <w:rPr>
                <w:rFonts w:hint="eastAsia" w:ascii="Times New Roman" w:hAnsi="Times New Roman" w:eastAsia="宋体" w:cs="Times New Roman"/>
                <w:b w:val="0"/>
                <w:bCs w:val="0"/>
                <w:color w:val="000000"/>
                <w:sz w:val="24"/>
                <w:szCs w:val="24"/>
                <w:lang w:val="en-US" w:eastAsia="zh-CN"/>
              </w:rPr>
              <w:t>产污系数为0.</w:t>
            </w:r>
            <w:r>
              <w:rPr>
                <w:rFonts w:hint="eastAsia" w:cs="Times New Roman"/>
                <w:b w:val="0"/>
                <w:bCs w:val="0"/>
                <w:color w:val="000000"/>
                <w:sz w:val="24"/>
                <w:szCs w:val="24"/>
                <w:lang w:val="en-US" w:eastAsia="zh-CN"/>
              </w:rPr>
              <w:t>37</w:t>
            </w:r>
            <w:r>
              <w:rPr>
                <w:rFonts w:hint="default" w:ascii="Times New Roman" w:hAnsi="Times New Roman" w:eastAsia="宋体" w:cs="Times New Roman"/>
                <w:b w:val="0"/>
                <w:bCs w:val="0"/>
                <w:color w:val="000000"/>
                <w:sz w:val="24"/>
                <w:szCs w:val="24"/>
              </w:rPr>
              <w:t>kg/t-</w:t>
            </w:r>
            <w:r>
              <w:rPr>
                <w:rFonts w:hint="eastAsia" w:ascii="Times New Roman" w:hAnsi="Times New Roman" w:eastAsia="宋体" w:cs="Times New Roman"/>
                <w:b w:val="0"/>
                <w:bCs w:val="0"/>
                <w:color w:val="000000"/>
                <w:sz w:val="24"/>
                <w:szCs w:val="24"/>
                <w:lang w:val="en-US" w:eastAsia="zh-CN"/>
              </w:rPr>
              <w:t>产品，则进料工序颗粒物的产生量为</w:t>
            </w:r>
            <w:r>
              <w:rPr>
                <w:rFonts w:hint="eastAsia" w:cs="Times New Roman"/>
                <w:b w:val="0"/>
                <w:bCs w:val="0"/>
                <w:color w:val="000000"/>
                <w:sz w:val="24"/>
                <w:szCs w:val="24"/>
                <w:lang w:val="en-US" w:eastAsia="zh-CN"/>
              </w:rPr>
              <w:t>18.5</w:t>
            </w:r>
            <w:r>
              <w:rPr>
                <w:rFonts w:hint="eastAsia" w:ascii="Times New Roman" w:hAnsi="Times New Roman" w:eastAsia="宋体" w:cs="Times New Roman"/>
                <w:b w:val="0"/>
                <w:bCs w:val="0"/>
                <w:color w:val="000000"/>
                <w:sz w:val="24"/>
                <w:szCs w:val="24"/>
                <w:lang w:val="en-US" w:eastAsia="zh-CN"/>
              </w:rPr>
              <w:t>t/a</w:t>
            </w:r>
            <w:r>
              <w:rPr>
                <w:rFonts w:hint="eastAsia" w:cs="Times New Roman"/>
                <w:b w:val="0"/>
                <w:bCs w:val="0"/>
                <w:color w:val="000000"/>
                <w:sz w:val="24"/>
                <w:szCs w:val="24"/>
                <w:lang w:val="en-US" w:eastAsia="zh-CN"/>
              </w:rPr>
              <w:t>。本次评价要求在投料口上方设置集气罩（收集效率90%），收集的颗粒物经1套布袋除尘器（处理效率99%）处理后，通过1根15m高的排气筒排放（DA001），输送皮带进行全封闭，进料工序颗粒物的收集量为16.65t/a。排放量为0.17</w:t>
            </w:r>
            <w:r>
              <w:rPr>
                <w:rFonts w:hint="eastAsia" w:cs="Times New Roman"/>
                <w:sz w:val="24"/>
                <w:lang w:val="en-US" w:eastAsia="zh-CN"/>
              </w:rPr>
              <w:t>t/a。</w:t>
            </w:r>
          </w:p>
          <w:p>
            <w:pPr>
              <w:pStyle w:val="5"/>
              <w:numPr>
                <w:ilvl w:val="0"/>
                <w:numId w:val="0"/>
              </w:numPr>
              <w:spacing w:line="360" w:lineRule="auto"/>
              <w:ind w:left="0" w:leftChars="0" w:firstLine="480" w:firstLineChars="200"/>
              <w:rPr>
                <w:rFonts w:hint="eastAsia" w:cs="Times New Roman"/>
                <w:b w:val="0"/>
                <w:bCs w:val="0"/>
                <w:sz w:val="24"/>
                <w:szCs w:val="24"/>
                <w:lang w:val="en-US" w:eastAsia="zh-CN"/>
              </w:rPr>
            </w:pPr>
            <w:r>
              <w:rPr>
                <w:rFonts w:hint="eastAsia" w:cs="Times New Roman"/>
                <w:b w:val="0"/>
                <w:bCs w:val="0"/>
                <w:kern w:val="2"/>
                <w:sz w:val="24"/>
                <w:szCs w:val="24"/>
                <w:lang w:val="en-US" w:eastAsia="zh-CN" w:bidi="ar-SA"/>
              </w:rPr>
              <w:t>2</w:t>
            </w:r>
            <w:r>
              <w:rPr>
                <w:rFonts w:hint="eastAsia" w:ascii="Times New Roman" w:hAnsi="Times New Roman" w:eastAsia="宋体" w:cs="Times New Roman"/>
                <w:b w:val="0"/>
                <w:bCs w:val="0"/>
                <w:kern w:val="2"/>
                <w:sz w:val="24"/>
                <w:szCs w:val="24"/>
                <w:lang w:val="en-US" w:eastAsia="zh-CN" w:bidi="ar-SA"/>
              </w:rPr>
              <w:t>）</w:t>
            </w:r>
            <w:r>
              <w:rPr>
                <w:rFonts w:hint="eastAsia" w:cs="Times New Roman"/>
                <w:b w:val="0"/>
                <w:bCs w:val="0"/>
                <w:sz w:val="24"/>
                <w:szCs w:val="24"/>
                <w:lang w:val="en-US" w:eastAsia="zh-CN"/>
              </w:rPr>
              <w:t>筛分颗粒物</w:t>
            </w:r>
          </w:p>
          <w:p>
            <w:pPr>
              <w:widowControl/>
              <w:spacing w:line="360" w:lineRule="auto"/>
              <w:ind w:firstLine="480" w:firstLineChars="200"/>
              <w:rPr>
                <w:rFonts w:hint="eastAsia" w:cs="Times New Roman"/>
                <w:sz w:val="24"/>
                <w:highlight w:val="none"/>
                <w:lang w:val="en-US" w:eastAsia="zh-CN"/>
              </w:rPr>
            </w:pPr>
            <w:r>
              <w:rPr>
                <w:rFonts w:hint="default" w:ascii="Times New Roman" w:hAnsi="Times New Roman" w:cs="Times New Roman"/>
                <w:sz w:val="24"/>
                <w:szCs w:val="24"/>
                <w:lang w:val="en-US" w:eastAsia="zh-CN"/>
              </w:rPr>
              <w:t>本项目</w:t>
            </w:r>
            <w:r>
              <w:rPr>
                <w:rFonts w:hint="eastAsia" w:cs="Times New Roman"/>
                <w:sz w:val="24"/>
                <w:szCs w:val="24"/>
                <w:lang w:val="en-US" w:eastAsia="zh-CN"/>
              </w:rPr>
              <w:t>筛分工序</w:t>
            </w:r>
            <w:r>
              <w:rPr>
                <w:rFonts w:hint="default" w:ascii="Times New Roman" w:hAnsi="Times New Roman" w:eastAsia="宋体" w:cs="Times New Roman"/>
                <w:b w:val="0"/>
                <w:bCs w:val="0"/>
                <w:color w:val="000000"/>
                <w:sz w:val="24"/>
                <w:szCs w:val="24"/>
              </w:rPr>
              <w:t>选用国内先进的全封闭设备</w:t>
            </w:r>
            <w:r>
              <w:rPr>
                <w:rFonts w:hint="eastAsia" w:cs="Times New Roman"/>
                <w:b w:val="0"/>
                <w:bCs w:val="0"/>
                <w:color w:val="000000"/>
                <w:sz w:val="24"/>
                <w:szCs w:val="24"/>
                <w:lang w:eastAsia="zh-CN"/>
              </w:rPr>
              <w:t>，</w:t>
            </w:r>
            <w:r>
              <w:rPr>
                <w:rFonts w:hint="eastAsia" w:cs="Times New Roman"/>
                <w:b w:val="0"/>
                <w:bCs w:val="0"/>
                <w:color w:val="000000"/>
                <w:sz w:val="24"/>
                <w:szCs w:val="24"/>
                <w:lang w:val="en-US" w:eastAsia="zh-CN"/>
              </w:rPr>
              <w:t>并设置引风管，收集颗粒物经布袋除尘器处理后由1根15m高的排气筒排放（DA001），项目</w:t>
            </w:r>
            <w:r>
              <w:rPr>
                <w:rFonts w:hint="eastAsia" w:cs="Times New Roman"/>
                <w:sz w:val="24"/>
                <w:lang w:val="en-US" w:eastAsia="zh-CN"/>
              </w:rPr>
              <w:t>腐植酸钾有机肥产量为30000t/a、腐植酸复混有机肥产量为20000t/a</w:t>
            </w:r>
            <w:r>
              <w:rPr>
                <w:rFonts w:hint="default" w:ascii="Times New Roman" w:hAnsi="Times New Roman" w:eastAsia="宋体" w:cs="Times New Roman"/>
                <w:sz w:val="24"/>
                <w:szCs w:val="24"/>
                <w:lang w:val="en-US" w:eastAsia="zh-CN"/>
              </w:rPr>
              <w:t>，</w:t>
            </w:r>
            <w:r>
              <w:rPr>
                <w:rFonts w:hint="eastAsia" w:cs="Times New Roman"/>
                <w:sz w:val="24"/>
                <w:lang w:val="en-US" w:eastAsia="zh-CN"/>
              </w:rPr>
              <w:t>颗粒物的产生量参照</w:t>
            </w:r>
            <w:r>
              <w:rPr>
                <w:rFonts w:hint="eastAsia" w:ascii="Times New Roman" w:hAnsi="Times New Roman" w:eastAsia="宋体" w:cs="Times New Roman"/>
                <w:b w:val="0"/>
                <w:bCs w:val="0"/>
                <w:color w:val="000000"/>
                <w:sz w:val="24"/>
                <w:szCs w:val="24"/>
              </w:rPr>
              <w:t>《</w:t>
            </w:r>
            <w:r>
              <w:rPr>
                <w:rFonts w:hint="eastAsia" w:cs="Times New Roman"/>
                <w:b w:val="0"/>
                <w:bCs w:val="0"/>
                <w:color w:val="000000"/>
                <w:sz w:val="24"/>
                <w:szCs w:val="24"/>
                <w:lang w:val="en-US" w:eastAsia="zh-CN"/>
              </w:rPr>
              <w:t>有机肥料及微生物肥料制造行业系数手册</w:t>
            </w:r>
            <w:r>
              <w:rPr>
                <w:rFonts w:hint="eastAsia" w:ascii="Times New Roman" w:hAnsi="Times New Roman" w:eastAsia="宋体" w:cs="Times New Roman"/>
                <w:b w:val="0"/>
                <w:bCs w:val="0"/>
                <w:color w:val="000000"/>
                <w:sz w:val="24"/>
                <w:szCs w:val="24"/>
              </w:rPr>
              <w:t>》中</w:t>
            </w:r>
            <w:r>
              <w:rPr>
                <w:rFonts w:hint="eastAsia" w:cs="Times New Roman"/>
                <w:b w:val="0"/>
                <w:bCs w:val="0"/>
                <w:color w:val="000000"/>
                <w:sz w:val="24"/>
                <w:szCs w:val="24"/>
                <w:lang w:val="en-US" w:eastAsia="zh-CN"/>
              </w:rPr>
              <w:t>的</w:t>
            </w:r>
            <w:r>
              <w:rPr>
                <w:rFonts w:hint="eastAsia" w:ascii="Times New Roman" w:hAnsi="Times New Roman" w:eastAsia="宋体" w:cs="Times New Roman"/>
                <w:b w:val="0"/>
                <w:bCs w:val="0"/>
                <w:color w:val="000000"/>
                <w:sz w:val="24"/>
                <w:szCs w:val="24"/>
              </w:rPr>
              <w:t>产污系数</w:t>
            </w:r>
            <w:r>
              <w:rPr>
                <w:rFonts w:hint="eastAsia" w:ascii="Times New Roman" w:hAnsi="Times New Roman" w:eastAsia="宋体" w:cs="Times New Roman"/>
                <w:b w:val="0"/>
                <w:bCs w:val="0"/>
                <w:color w:val="000000"/>
                <w:sz w:val="24"/>
                <w:szCs w:val="24"/>
                <w:lang w:eastAsia="zh-CN"/>
              </w:rPr>
              <w:t>，</w:t>
            </w:r>
            <w:r>
              <w:rPr>
                <w:rFonts w:hint="eastAsia" w:ascii="Times New Roman" w:hAnsi="Times New Roman" w:eastAsia="宋体" w:cs="Times New Roman"/>
                <w:b w:val="0"/>
                <w:bCs w:val="0"/>
                <w:color w:val="000000"/>
                <w:sz w:val="24"/>
                <w:szCs w:val="24"/>
                <w:lang w:val="en-US" w:eastAsia="zh-CN"/>
              </w:rPr>
              <w:t>产污系数为0.</w:t>
            </w:r>
            <w:r>
              <w:rPr>
                <w:rFonts w:hint="eastAsia" w:cs="Times New Roman"/>
                <w:b w:val="0"/>
                <w:bCs w:val="0"/>
                <w:color w:val="000000"/>
                <w:sz w:val="24"/>
                <w:szCs w:val="24"/>
                <w:lang w:val="en-US" w:eastAsia="zh-CN"/>
              </w:rPr>
              <w:t>37</w:t>
            </w:r>
            <w:r>
              <w:rPr>
                <w:rFonts w:hint="default" w:ascii="Times New Roman" w:hAnsi="Times New Roman" w:eastAsia="宋体" w:cs="Times New Roman"/>
                <w:b w:val="0"/>
                <w:bCs w:val="0"/>
                <w:color w:val="000000"/>
                <w:sz w:val="24"/>
                <w:szCs w:val="24"/>
              </w:rPr>
              <w:t>kg/t-</w:t>
            </w:r>
            <w:r>
              <w:rPr>
                <w:rFonts w:hint="eastAsia" w:ascii="Times New Roman" w:hAnsi="Times New Roman" w:eastAsia="宋体" w:cs="Times New Roman"/>
                <w:b w:val="0"/>
                <w:bCs w:val="0"/>
                <w:color w:val="000000"/>
                <w:sz w:val="24"/>
                <w:szCs w:val="24"/>
                <w:lang w:val="en-US" w:eastAsia="zh-CN"/>
              </w:rPr>
              <w:t>产品，则</w:t>
            </w:r>
            <w:r>
              <w:rPr>
                <w:rFonts w:hint="eastAsia" w:cs="Times New Roman"/>
                <w:b w:val="0"/>
                <w:bCs w:val="0"/>
                <w:color w:val="000000"/>
                <w:sz w:val="24"/>
                <w:szCs w:val="24"/>
                <w:lang w:val="en-US" w:eastAsia="zh-CN"/>
              </w:rPr>
              <w:t>筛分</w:t>
            </w:r>
            <w:r>
              <w:rPr>
                <w:rFonts w:hint="eastAsia" w:ascii="Times New Roman" w:hAnsi="Times New Roman" w:eastAsia="宋体" w:cs="Times New Roman"/>
                <w:b w:val="0"/>
                <w:bCs w:val="0"/>
                <w:color w:val="000000"/>
                <w:sz w:val="24"/>
                <w:szCs w:val="24"/>
                <w:lang w:val="en-US" w:eastAsia="zh-CN"/>
              </w:rPr>
              <w:t>工序颗粒物的产生量为</w:t>
            </w:r>
            <w:r>
              <w:rPr>
                <w:rFonts w:hint="eastAsia" w:cs="Times New Roman"/>
                <w:b w:val="0"/>
                <w:bCs w:val="0"/>
                <w:color w:val="000000"/>
                <w:sz w:val="24"/>
                <w:szCs w:val="24"/>
                <w:lang w:val="en-US" w:eastAsia="zh-CN"/>
              </w:rPr>
              <w:t>18.5</w:t>
            </w:r>
            <w:r>
              <w:rPr>
                <w:rFonts w:hint="eastAsia" w:ascii="Times New Roman" w:hAnsi="Times New Roman" w:eastAsia="宋体" w:cs="Times New Roman"/>
                <w:b w:val="0"/>
                <w:bCs w:val="0"/>
                <w:color w:val="000000"/>
                <w:sz w:val="24"/>
                <w:szCs w:val="24"/>
                <w:lang w:val="en-US" w:eastAsia="zh-CN"/>
              </w:rPr>
              <w:t>t/a</w:t>
            </w:r>
            <w:r>
              <w:rPr>
                <w:rFonts w:hint="eastAsia" w:cs="Times New Roman"/>
                <w:b w:val="0"/>
                <w:bCs w:val="0"/>
                <w:color w:val="000000"/>
                <w:sz w:val="24"/>
                <w:szCs w:val="24"/>
                <w:lang w:val="en-US" w:eastAsia="zh-CN"/>
              </w:rPr>
              <w:t>。</w:t>
            </w:r>
            <w:r>
              <w:rPr>
                <w:rFonts w:hint="eastAsia" w:cs="Times New Roman"/>
                <w:sz w:val="24"/>
                <w:highlight w:val="none"/>
                <w:lang w:val="en-US" w:eastAsia="zh-CN"/>
              </w:rPr>
              <w:t>本项目筛分工序使用的设备为国内先进设备，且设备运行过程中的形成负压密闭环境，因此筛分工序颗粒物的收集效率以95%计，布袋除尘器的处理效率以99%计，筛分工序颗粒物的收集量为17.58t/a，排放量为0.18</w:t>
            </w:r>
            <w:r>
              <w:rPr>
                <w:rFonts w:hint="eastAsia" w:cs="Times New Roman"/>
                <w:sz w:val="24"/>
                <w:lang w:val="en-US" w:eastAsia="zh-CN"/>
              </w:rPr>
              <w:t>t/a。</w:t>
            </w:r>
          </w:p>
          <w:p>
            <w:pPr>
              <w:widowControl/>
              <w:numPr>
                <w:ilvl w:val="0"/>
                <w:numId w:val="0"/>
              </w:numPr>
              <w:spacing w:line="360" w:lineRule="auto"/>
              <w:ind w:left="0" w:leftChars="0" w:firstLine="480" w:firstLineChars="200"/>
              <w:rPr>
                <w:rFonts w:hint="eastAsia" w:ascii="Times New Roman" w:hAnsi="Times New Roman" w:eastAsia="宋体" w:cs="Times New Roman"/>
                <w:b w:val="0"/>
                <w:bCs w:val="0"/>
                <w:sz w:val="24"/>
                <w:szCs w:val="24"/>
                <w:lang w:val="en-US" w:eastAsia="zh-CN"/>
              </w:rPr>
            </w:pPr>
            <w:r>
              <w:rPr>
                <w:rFonts w:hint="eastAsia" w:cs="Times New Roman"/>
                <w:b w:val="0"/>
                <w:bCs w:val="0"/>
                <w:kern w:val="2"/>
                <w:sz w:val="24"/>
                <w:szCs w:val="24"/>
                <w:lang w:val="en-US" w:eastAsia="zh-CN" w:bidi="ar-SA"/>
              </w:rPr>
              <w:t>3</w:t>
            </w:r>
            <w:r>
              <w:rPr>
                <w:rFonts w:hint="eastAsia" w:ascii="Times New Roman" w:hAnsi="Times New Roman" w:eastAsia="宋体" w:cs="Times New Roman"/>
                <w:b w:val="0"/>
                <w:bCs w:val="0"/>
                <w:kern w:val="2"/>
                <w:sz w:val="24"/>
                <w:szCs w:val="24"/>
                <w:lang w:val="en-US" w:eastAsia="zh-CN" w:bidi="ar-SA"/>
              </w:rPr>
              <w:t>）</w:t>
            </w:r>
            <w:r>
              <w:rPr>
                <w:rFonts w:hint="eastAsia" w:cs="Times New Roman"/>
                <w:b w:val="0"/>
                <w:bCs w:val="0"/>
                <w:sz w:val="24"/>
                <w:szCs w:val="24"/>
                <w:lang w:val="en-US" w:eastAsia="zh-CN"/>
              </w:rPr>
              <w:t>粉碎（雷蒙磨）颗粒物</w:t>
            </w:r>
          </w:p>
          <w:p>
            <w:pPr>
              <w:widowControl/>
              <w:spacing w:line="360" w:lineRule="auto"/>
              <w:ind w:firstLine="480" w:firstLineChars="200"/>
              <w:rPr>
                <w:rFonts w:hint="default" w:cs="Times New Roman"/>
                <w:sz w:val="24"/>
                <w:lang w:val="en-US" w:eastAsia="zh-CN"/>
              </w:rPr>
            </w:pPr>
            <w:r>
              <w:rPr>
                <w:rFonts w:hint="eastAsia" w:cs="Times New Roman"/>
                <w:sz w:val="24"/>
                <w:lang w:val="en-US" w:eastAsia="zh-CN"/>
              </w:rPr>
              <w:t>本项目腐植酸钾有机肥产量为30000t/a、腐植酸复混有机肥产量为20000t/a</w:t>
            </w:r>
            <w:r>
              <w:rPr>
                <w:rFonts w:hint="default" w:ascii="Times New Roman" w:hAnsi="Times New Roman" w:eastAsia="宋体" w:cs="Times New Roman"/>
                <w:sz w:val="24"/>
                <w:szCs w:val="24"/>
                <w:lang w:val="en-US" w:eastAsia="zh-CN"/>
              </w:rPr>
              <w:t>，</w:t>
            </w:r>
            <w:r>
              <w:rPr>
                <w:rFonts w:hint="eastAsia" w:cs="Times New Roman"/>
                <w:sz w:val="24"/>
                <w:lang w:val="en-US" w:eastAsia="zh-CN"/>
              </w:rPr>
              <w:t>粉碎工序会产生颗粒物，颗粒物的产生量参考</w:t>
            </w:r>
            <w:r>
              <w:rPr>
                <w:rFonts w:hint="eastAsia" w:ascii="Times New Roman" w:hAnsi="Times New Roman" w:eastAsia="宋体" w:cs="Times New Roman"/>
                <w:b w:val="0"/>
                <w:bCs w:val="0"/>
                <w:color w:val="000000"/>
                <w:sz w:val="24"/>
                <w:szCs w:val="24"/>
              </w:rPr>
              <w:t>《</w:t>
            </w:r>
            <w:r>
              <w:rPr>
                <w:rFonts w:hint="eastAsia" w:cs="Times New Roman"/>
                <w:b w:val="0"/>
                <w:bCs w:val="0"/>
                <w:color w:val="000000"/>
                <w:sz w:val="24"/>
                <w:szCs w:val="24"/>
                <w:lang w:val="en-US" w:eastAsia="zh-CN"/>
              </w:rPr>
              <w:t>有机肥料及微生物肥料制造行业系数手册</w:t>
            </w:r>
            <w:r>
              <w:rPr>
                <w:rFonts w:hint="eastAsia" w:ascii="Times New Roman" w:hAnsi="Times New Roman" w:eastAsia="宋体" w:cs="Times New Roman"/>
                <w:b w:val="0"/>
                <w:bCs w:val="0"/>
                <w:color w:val="000000"/>
                <w:sz w:val="24"/>
                <w:szCs w:val="24"/>
              </w:rPr>
              <w:t>》中</w:t>
            </w:r>
            <w:r>
              <w:rPr>
                <w:rFonts w:hint="eastAsia" w:cs="Times New Roman"/>
                <w:b w:val="0"/>
                <w:bCs w:val="0"/>
                <w:color w:val="000000"/>
                <w:sz w:val="24"/>
                <w:szCs w:val="24"/>
                <w:lang w:val="en-US" w:eastAsia="zh-CN"/>
              </w:rPr>
              <w:t>的</w:t>
            </w:r>
            <w:r>
              <w:rPr>
                <w:rFonts w:hint="eastAsia" w:ascii="Times New Roman" w:hAnsi="Times New Roman" w:eastAsia="宋体" w:cs="Times New Roman"/>
                <w:b w:val="0"/>
                <w:bCs w:val="0"/>
                <w:color w:val="000000"/>
                <w:sz w:val="24"/>
                <w:szCs w:val="24"/>
              </w:rPr>
              <w:t>产污系数</w:t>
            </w:r>
            <w:r>
              <w:rPr>
                <w:rFonts w:hint="eastAsia" w:ascii="Times New Roman" w:hAnsi="Times New Roman" w:eastAsia="宋体" w:cs="Times New Roman"/>
                <w:b w:val="0"/>
                <w:bCs w:val="0"/>
                <w:color w:val="000000"/>
                <w:sz w:val="24"/>
                <w:szCs w:val="24"/>
                <w:lang w:eastAsia="zh-CN"/>
              </w:rPr>
              <w:t>，</w:t>
            </w:r>
            <w:r>
              <w:rPr>
                <w:rFonts w:hint="eastAsia" w:ascii="Times New Roman" w:hAnsi="Times New Roman" w:eastAsia="宋体" w:cs="Times New Roman"/>
                <w:b w:val="0"/>
                <w:bCs w:val="0"/>
                <w:color w:val="000000"/>
                <w:sz w:val="24"/>
                <w:szCs w:val="24"/>
                <w:lang w:val="en-US" w:eastAsia="zh-CN"/>
              </w:rPr>
              <w:t>产污系数为0.</w:t>
            </w:r>
            <w:r>
              <w:rPr>
                <w:rFonts w:hint="eastAsia" w:cs="Times New Roman"/>
                <w:b w:val="0"/>
                <w:bCs w:val="0"/>
                <w:color w:val="000000"/>
                <w:sz w:val="24"/>
                <w:szCs w:val="24"/>
                <w:lang w:val="en-US" w:eastAsia="zh-CN"/>
              </w:rPr>
              <w:t>37</w:t>
            </w:r>
            <w:r>
              <w:rPr>
                <w:rFonts w:hint="default" w:ascii="Times New Roman" w:hAnsi="Times New Roman" w:eastAsia="宋体" w:cs="Times New Roman"/>
                <w:b w:val="0"/>
                <w:bCs w:val="0"/>
                <w:color w:val="000000"/>
                <w:sz w:val="24"/>
                <w:szCs w:val="24"/>
              </w:rPr>
              <w:t>kg/t-</w:t>
            </w:r>
            <w:r>
              <w:rPr>
                <w:rFonts w:hint="eastAsia" w:ascii="Times New Roman" w:hAnsi="Times New Roman" w:eastAsia="宋体" w:cs="Times New Roman"/>
                <w:b w:val="0"/>
                <w:bCs w:val="0"/>
                <w:color w:val="000000"/>
                <w:sz w:val="24"/>
                <w:szCs w:val="24"/>
                <w:lang w:val="en-US" w:eastAsia="zh-CN"/>
              </w:rPr>
              <w:t>产品，</w:t>
            </w:r>
            <w:r>
              <w:rPr>
                <w:rFonts w:hint="eastAsia" w:cs="Times New Roman"/>
                <w:b w:val="0"/>
                <w:bCs w:val="0"/>
                <w:color w:val="000000"/>
                <w:sz w:val="24"/>
                <w:szCs w:val="24"/>
                <w:lang w:val="en-US" w:eastAsia="zh-CN"/>
              </w:rPr>
              <w:t>则粉碎工序颗粒物的产生量为18.5t/a。</w:t>
            </w:r>
          </w:p>
          <w:p>
            <w:pPr>
              <w:widowControl/>
              <w:spacing w:line="360" w:lineRule="auto"/>
              <w:ind w:firstLine="480" w:firstLineChars="200"/>
              <w:rPr>
                <w:rFonts w:hint="default" w:cs="Times New Roman"/>
                <w:sz w:val="24"/>
                <w:lang w:val="en-US" w:eastAsia="zh-CN"/>
              </w:rPr>
            </w:pPr>
            <w:r>
              <w:rPr>
                <w:rFonts w:hint="eastAsia" w:cs="Times New Roman"/>
                <w:sz w:val="24"/>
                <w:lang w:val="en-US" w:eastAsia="zh-CN"/>
              </w:rPr>
              <w:t>雷蒙磨布置在封闭式车间内，颗粒物通过密闭的收集管道经粉碎机（雷蒙磨）自带的布袋除尘器处理，</w:t>
            </w:r>
            <w:r>
              <w:rPr>
                <w:rFonts w:hint="eastAsia" w:cs="Times New Roman"/>
                <w:sz w:val="24"/>
                <w:highlight w:val="none"/>
                <w:lang w:val="en-US" w:eastAsia="zh-CN"/>
              </w:rPr>
              <w:t>且设备运行过程中的形成负压密闭环境，</w:t>
            </w:r>
            <w:r>
              <w:rPr>
                <w:rFonts w:hint="eastAsia" w:cs="Times New Roman"/>
                <w:sz w:val="24"/>
                <w:lang w:val="en-US" w:eastAsia="zh-CN"/>
              </w:rPr>
              <w:t>颗粒物收集效率以95</w:t>
            </w:r>
            <w:r>
              <w:rPr>
                <w:rFonts w:hint="default" w:cs="Times New Roman"/>
                <w:sz w:val="24"/>
                <w:lang w:val="en-US" w:eastAsia="zh-CN"/>
              </w:rPr>
              <w:t>%</w:t>
            </w:r>
            <w:r>
              <w:rPr>
                <w:rFonts w:hint="eastAsia" w:cs="Times New Roman"/>
                <w:sz w:val="24"/>
                <w:lang w:val="en-US" w:eastAsia="zh-CN"/>
              </w:rPr>
              <w:t>计，除尘效率以</w:t>
            </w:r>
            <w:r>
              <w:rPr>
                <w:rFonts w:hint="default" w:cs="Times New Roman"/>
                <w:sz w:val="24"/>
                <w:lang w:val="en-US" w:eastAsia="zh-CN"/>
              </w:rPr>
              <w:t>99%</w:t>
            </w:r>
            <w:r>
              <w:rPr>
                <w:rFonts w:hint="eastAsia" w:cs="Times New Roman"/>
                <w:sz w:val="24"/>
                <w:lang w:val="en-US" w:eastAsia="zh-CN"/>
              </w:rPr>
              <w:t>计，则项目粉碎工序颗粒物的收集量为17.58t/a，排放量为0.18t/a.</w:t>
            </w:r>
          </w:p>
          <w:p>
            <w:pPr>
              <w:widowControl/>
              <w:spacing w:line="360" w:lineRule="auto"/>
              <w:ind w:firstLine="480" w:firstLineChars="200"/>
              <w:rPr>
                <w:rFonts w:hint="default" w:ascii="Times New Roman" w:hAnsi="Times New Roman" w:eastAsia="宋体" w:cs="Times New Roman"/>
                <w:b w:val="0"/>
                <w:bCs w:val="0"/>
                <w:color w:val="000000"/>
                <w:sz w:val="24"/>
                <w:szCs w:val="24"/>
                <w:lang w:val="en-US"/>
              </w:rPr>
            </w:pPr>
            <w:r>
              <w:rPr>
                <w:rFonts w:hint="eastAsia" w:cs="Times New Roman"/>
                <w:sz w:val="24"/>
                <w:lang w:val="en-US" w:eastAsia="zh-CN"/>
              </w:rPr>
              <w:t>项目进料工序、筛分工序、粉碎工序位于同一个生产车间内，共用一套布袋除尘设备，进料工序、筛分工序、粉碎工序颗粒物的排放量合计为0.52t/a。</w:t>
            </w:r>
            <w:r>
              <w:rPr>
                <w:rFonts w:hint="eastAsia"/>
                <w:b w:val="0"/>
                <w:bCs w:val="0"/>
                <w:sz w:val="24"/>
                <w:szCs w:val="32"/>
                <w:lang w:val="en-US" w:eastAsia="zh-CN"/>
              </w:rPr>
              <w:t>本项目每天1班，每班工作8小时，年生产时间300天，风机风量为10000m</w:t>
            </w:r>
            <w:r>
              <w:rPr>
                <w:rFonts w:hint="eastAsia"/>
                <w:b w:val="0"/>
                <w:bCs w:val="0"/>
                <w:sz w:val="24"/>
                <w:szCs w:val="32"/>
                <w:vertAlign w:val="superscript"/>
                <w:lang w:val="en-US" w:eastAsia="zh-CN"/>
              </w:rPr>
              <w:t>3</w:t>
            </w:r>
            <w:r>
              <w:rPr>
                <w:rFonts w:hint="eastAsia"/>
                <w:b w:val="0"/>
                <w:bCs w:val="0"/>
                <w:sz w:val="24"/>
                <w:szCs w:val="32"/>
                <w:lang w:val="en-US" w:eastAsia="zh-CN"/>
              </w:rPr>
              <w:t>/h，则排放速率为0.22kg/h，排放浓度为22mg/m</w:t>
            </w:r>
            <w:r>
              <w:rPr>
                <w:rFonts w:hint="eastAsia"/>
                <w:b w:val="0"/>
                <w:bCs w:val="0"/>
                <w:sz w:val="24"/>
                <w:szCs w:val="32"/>
                <w:vertAlign w:val="superscript"/>
                <w:lang w:val="en-US" w:eastAsia="zh-CN"/>
              </w:rPr>
              <w:t>3</w:t>
            </w:r>
            <w:r>
              <w:rPr>
                <w:rFonts w:hint="eastAsia"/>
                <w:b w:val="0"/>
                <w:bCs w:val="0"/>
                <w:sz w:val="24"/>
                <w:szCs w:val="32"/>
                <w:lang w:val="en-US" w:eastAsia="zh-CN"/>
              </w:rPr>
              <w:t>。最终由15m高的排气筒（DA001）排放，</w:t>
            </w:r>
            <w:r>
              <w:rPr>
                <w:rFonts w:hint="default" w:ascii="Times New Roman" w:hAnsi="Times New Roman" w:eastAsia="宋体" w:cs="Times New Roman"/>
                <w:b w:val="0"/>
                <w:bCs w:val="0"/>
                <w:color w:val="000000"/>
                <w:kern w:val="2"/>
                <w:sz w:val="24"/>
                <w:szCs w:val="24"/>
                <w:lang w:val="en-US" w:eastAsia="zh-CN" w:bidi="ar-SA"/>
              </w:rPr>
              <w:t>满足《大气污染物综合排放标准》（GB16297-1996）二级（15m排气筒）颗粒物排放浓度120mg/m</w:t>
            </w:r>
            <w:r>
              <w:rPr>
                <w:rFonts w:hint="default" w:ascii="Times New Roman" w:hAnsi="Times New Roman" w:eastAsia="宋体" w:cs="Times New Roman"/>
                <w:b w:val="0"/>
                <w:bCs w:val="0"/>
                <w:color w:val="000000"/>
                <w:kern w:val="2"/>
                <w:sz w:val="24"/>
                <w:szCs w:val="24"/>
                <w:vertAlign w:val="superscript"/>
                <w:lang w:val="en-US" w:eastAsia="zh-CN" w:bidi="ar-SA"/>
              </w:rPr>
              <w:t>3</w:t>
            </w:r>
            <w:r>
              <w:rPr>
                <w:rFonts w:hint="default" w:ascii="Times New Roman" w:hAnsi="Times New Roman" w:eastAsia="宋体" w:cs="Times New Roman"/>
                <w:b w:val="0"/>
                <w:bCs w:val="0"/>
                <w:color w:val="000000"/>
                <w:kern w:val="2"/>
                <w:sz w:val="24"/>
                <w:szCs w:val="24"/>
                <w:lang w:val="en-US" w:eastAsia="zh-CN" w:bidi="ar-SA"/>
              </w:rPr>
              <w:t>、排放速率3.5kg/h的限值要求。对周围环境影响不大。</w:t>
            </w:r>
          </w:p>
          <w:p>
            <w:pPr>
              <w:bidi w:val="0"/>
              <w:spacing w:line="360" w:lineRule="auto"/>
              <w:ind w:firstLine="480" w:firstLineChars="200"/>
              <w:rPr>
                <w:rFonts w:hint="eastAsia"/>
                <w:sz w:val="24"/>
                <w:szCs w:val="32"/>
                <w:lang w:val="en-US" w:eastAsia="zh-CN"/>
              </w:rPr>
            </w:pPr>
            <w:r>
              <w:rPr>
                <w:rFonts w:hint="eastAsia"/>
                <w:sz w:val="24"/>
                <w:szCs w:val="32"/>
                <w:lang w:val="en-US" w:eastAsia="zh-CN"/>
              </w:rPr>
              <w:t>4）包装颗粒物</w:t>
            </w:r>
          </w:p>
          <w:p>
            <w:pPr>
              <w:widowControl/>
              <w:spacing w:line="360" w:lineRule="auto"/>
              <w:ind w:firstLine="480" w:firstLineChars="200"/>
              <w:rPr>
                <w:rFonts w:hint="eastAsia"/>
                <w:sz w:val="24"/>
                <w:szCs w:val="32"/>
                <w:lang w:val="en-US" w:eastAsia="zh-CN"/>
              </w:rPr>
            </w:pPr>
            <w:r>
              <w:rPr>
                <w:rFonts w:hint="eastAsia"/>
                <w:sz w:val="24"/>
                <w:szCs w:val="32"/>
                <w:lang w:val="en-US" w:eastAsia="zh-CN"/>
              </w:rPr>
              <w:t>项目成品腐植酸钾有机肥、腐植酸复混有机肥包装过程由于物料落差会产生一定量颗粒物，参考《逸散性工业粉尘控制技术》混合肥料厂混合厂房内逸散损失（由原料搬运、混合和袋装引起的）排放因子为0.1kg/t，项目腐植酸钾有机肥产量为30000t/a、腐植酸复混有机肥产量为20000t/a</w:t>
            </w:r>
            <w:r>
              <w:rPr>
                <w:rFonts w:hint="default"/>
                <w:sz w:val="24"/>
                <w:szCs w:val="32"/>
                <w:lang w:val="en-US" w:eastAsia="zh-CN"/>
              </w:rPr>
              <w:t>，</w:t>
            </w:r>
            <w:r>
              <w:rPr>
                <w:rFonts w:hint="eastAsia"/>
                <w:sz w:val="24"/>
                <w:szCs w:val="32"/>
                <w:lang w:val="en-US" w:eastAsia="zh-CN"/>
              </w:rPr>
              <w:t>因此包装工序颗粒物的产生量为5t/a。包装工序使用的机械设备在封闭式车间内，颗粒物通过密闭收集管道经包装设备自带的布袋除尘器处理，</w:t>
            </w:r>
            <w:r>
              <w:rPr>
                <w:rFonts w:hint="eastAsia" w:cs="Times New Roman"/>
                <w:sz w:val="24"/>
                <w:highlight w:val="none"/>
                <w:lang w:val="en-US" w:eastAsia="zh-CN"/>
              </w:rPr>
              <w:t>且设备运行过程中的形成负压密闭环境，</w:t>
            </w:r>
            <w:r>
              <w:rPr>
                <w:rFonts w:hint="eastAsia" w:cs="Times New Roman"/>
                <w:sz w:val="24"/>
                <w:lang w:val="en-US" w:eastAsia="zh-CN"/>
              </w:rPr>
              <w:t>颗粒物收集效率以95</w:t>
            </w:r>
            <w:r>
              <w:rPr>
                <w:rFonts w:hint="default" w:cs="Times New Roman"/>
                <w:sz w:val="24"/>
                <w:lang w:val="en-US" w:eastAsia="zh-CN"/>
              </w:rPr>
              <w:t>%</w:t>
            </w:r>
            <w:r>
              <w:rPr>
                <w:rFonts w:hint="eastAsia" w:cs="Times New Roman"/>
                <w:sz w:val="24"/>
                <w:lang w:val="en-US" w:eastAsia="zh-CN"/>
              </w:rPr>
              <w:t>计，</w:t>
            </w:r>
            <w:r>
              <w:rPr>
                <w:rFonts w:hint="eastAsia"/>
                <w:sz w:val="24"/>
                <w:szCs w:val="32"/>
                <w:lang w:val="en-US" w:eastAsia="zh-CN"/>
              </w:rPr>
              <w:t>除尘效率以99%计，包装工序颗粒物的收集量为4.75t/a，排放量为0.05t/a，排放浓度为2</w:t>
            </w:r>
            <w:r>
              <w:rPr>
                <w:rFonts w:hint="default" w:ascii="Times New Roman" w:hAnsi="Times New Roman" w:eastAsia="宋体" w:cs="Times New Roman"/>
                <w:b w:val="0"/>
                <w:bCs w:val="0"/>
                <w:color w:val="000000"/>
                <w:kern w:val="2"/>
                <w:sz w:val="24"/>
                <w:szCs w:val="24"/>
                <w:lang w:val="en-US" w:eastAsia="zh-CN" w:bidi="ar-SA"/>
              </w:rPr>
              <w:t>mg/m</w:t>
            </w:r>
            <w:r>
              <w:rPr>
                <w:rFonts w:hint="default" w:ascii="Times New Roman" w:hAnsi="Times New Roman" w:eastAsia="宋体" w:cs="Times New Roman"/>
                <w:b w:val="0"/>
                <w:bCs w:val="0"/>
                <w:color w:val="000000"/>
                <w:kern w:val="2"/>
                <w:sz w:val="24"/>
                <w:szCs w:val="24"/>
                <w:vertAlign w:val="superscript"/>
                <w:lang w:val="en-US" w:eastAsia="zh-CN" w:bidi="ar-SA"/>
              </w:rPr>
              <w:t>3</w:t>
            </w:r>
            <w:r>
              <w:rPr>
                <w:rFonts w:hint="eastAsia"/>
                <w:sz w:val="24"/>
                <w:szCs w:val="32"/>
                <w:lang w:val="en-US" w:eastAsia="zh-CN"/>
              </w:rPr>
              <w:t>，</w:t>
            </w:r>
            <w:r>
              <w:rPr>
                <w:rFonts w:hint="default" w:ascii="Times New Roman" w:hAnsi="Times New Roman" w:eastAsia="宋体" w:cs="Times New Roman"/>
                <w:b w:val="0"/>
                <w:bCs w:val="0"/>
                <w:color w:val="000000"/>
                <w:kern w:val="2"/>
                <w:sz w:val="24"/>
                <w:szCs w:val="24"/>
                <w:lang w:val="en-US" w:eastAsia="zh-CN" w:bidi="ar-SA"/>
              </w:rPr>
              <w:t>满足《大气污染物综合排放标准》（GB16297-1996）二级（15m排气筒）颗粒物排放浓度120mg/m</w:t>
            </w:r>
            <w:r>
              <w:rPr>
                <w:rFonts w:hint="default" w:ascii="Times New Roman" w:hAnsi="Times New Roman" w:eastAsia="宋体" w:cs="Times New Roman"/>
                <w:b w:val="0"/>
                <w:bCs w:val="0"/>
                <w:color w:val="000000"/>
                <w:kern w:val="2"/>
                <w:sz w:val="24"/>
                <w:szCs w:val="24"/>
                <w:vertAlign w:val="superscript"/>
                <w:lang w:val="en-US" w:eastAsia="zh-CN" w:bidi="ar-SA"/>
              </w:rPr>
              <w:t>3</w:t>
            </w:r>
            <w:r>
              <w:rPr>
                <w:rFonts w:hint="default" w:ascii="Times New Roman" w:hAnsi="Times New Roman" w:eastAsia="宋体" w:cs="Times New Roman"/>
                <w:b w:val="0"/>
                <w:bCs w:val="0"/>
                <w:color w:val="000000"/>
                <w:kern w:val="2"/>
                <w:sz w:val="24"/>
                <w:szCs w:val="24"/>
                <w:lang w:val="en-US" w:eastAsia="zh-CN" w:bidi="ar-SA"/>
              </w:rPr>
              <w:t>、排放速率3.5kg/h的限值要求</w:t>
            </w:r>
            <w:r>
              <w:rPr>
                <w:rFonts w:hint="eastAsia" w:cs="Times New Roman"/>
                <w:b w:val="0"/>
                <w:bCs w:val="0"/>
                <w:color w:val="000000"/>
                <w:kern w:val="2"/>
                <w:sz w:val="24"/>
                <w:szCs w:val="24"/>
                <w:lang w:val="en-US" w:eastAsia="zh-CN" w:bidi="ar-SA"/>
              </w:rPr>
              <w:t>，</w:t>
            </w:r>
            <w:r>
              <w:rPr>
                <w:rFonts w:hint="default" w:ascii="Times New Roman" w:hAnsi="Times New Roman" w:eastAsia="宋体" w:cs="Times New Roman"/>
                <w:b w:val="0"/>
                <w:bCs w:val="0"/>
                <w:color w:val="000000"/>
                <w:kern w:val="2"/>
                <w:sz w:val="24"/>
                <w:szCs w:val="24"/>
                <w:lang w:val="en-US" w:eastAsia="zh-CN" w:bidi="ar-SA"/>
              </w:rPr>
              <w:t>对周围环境影响不大。</w:t>
            </w:r>
            <w:r>
              <w:rPr>
                <w:rFonts w:hint="eastAsia"/>
                <w:sz w:val="24"/>
                <w:szCs w:val="32"/>
                <w:lang w:val="en-US" w:eastAsia="zh-CN"/>
              </w:rPr>
              <w:t>布袋除尘设备收集的颗粒物由人工定期清理后回用于生产。</w:t>
            </w:r>
          </w:p>
          <w:p>
            <w:pPr>
              <w:numPr>
                <w:ilvl w:val="0"/>
                <w:numId w:val="7"/>
              </w:numPr>
              <w:adjustRightInd w:val="0"/>
              <w:snapToGrid w:val="0"/>
              <w:spacing w:line="360" w:lineRule="auto"/>
              <w:ind w:firstLine="480" w:firstLineChars="200"/>
              <w:rPr>
                <w:rFonts w:hint="eastAsia"/>
                <w:sz w:val="24"/>
                <w:szCs w:val="32"/>
                <w:lang w:val="en-US" w:eastAsia="zh-CN"/>
              </w:rPr>
            </w:pPr>
            <w:r>
              <w:rPr>
                <w:rFonts w:hint="eastAsia"/>
                <w:sz w:val="24"/>
                <w:szCs w:val="32"/>
                <w:lang w:val="en-US" w:eastAsia="zh-CN"/>
              </w:rPr>
              <w:t>食堂油烟</w:t>
            </w:r>
          </w:p>
          <w:p>
            <w:pPr>
              <w:numPr>
                <w:ilvl w:val="0"/>
                <w:numId w:val="0"/>
              </w:numPr>
              <w:adjustRightInd w:val="0"/>
              <w:snapToGrid w:val="0"/>
              <w:spacing w:line="360" w:lineRule="auto"/>
              <w:ind w:firstLine="480" w:firstLineChars="200"/>
              <w:rPr>
                <w:rFonts w:hint="default"/>
                <w:sz w:val="24"/>
                <w:szCs w:val="32"/>
                <w:lang w:val="en-US" w:eastAsia="zh-CN"/>
              </w:rPr>
            </w:pPr>
            <w:r>
              <w:rPr>
                <w:rFonts w:hint="default" w:ascii="Times New Roman" w:hAnsi="Times New Roman" w:cs="Times New Roman"/>
                <w:color w:val="000000"/>
                <w:kern w:val="0"/>
                <w:sz w:val="24"/>
              </w:rPr>
              <w:t>本项目食堂产生的废气主要为油烟废气。根据</w:t>
            </w:r>
            <w:r>
              <w:rPr>
                <w:rFonts w:hint="default" w:ascii="Times New Roman" w:hAnsi="Times New Roman" w:eastAsia="宋体" w:cs="Times New Roman"/>
                <w:sz w:val="24"/>
                <w:szCs w:val="24"/>
                <w:highlight w:val="none"/>
                <w:lang w:val="en-US" w:eastAsia="zh-CN"/>
              </w:rPr>
              <w:t>《中国居民膳食指南（2016年）》</w:t>
            </w:r>
            <w:r>
              <w:rPr>
                <w:rFonts w:hint="default" w:ascii="Times New Roman" w:hAnsi="Times New Roman" w:cs="Times New Roman"/>
                <w:color w:val="000000"/>
                <w:kern w:val="0"/>
                <w:sz w:val="24"/>
              </w:rPr>
              <w:t>，食堂食用油使用量按30g/人•d计，本项目劳动定员</w:t>
            </w:r>
            <w:r>
              <w:rPr>
                <w:rFonts w:hint="default" w:ascii="Times New Roman" w:hAnsi="Times New Roman" w:cs="Times New Roman"/>
                <w:color w:val="000000"/>
                <w:kern w:val="0"/>
                <w:sz w:val="24"/>
                <w:lang w:val="en-US" w:eastAsia="zh-CN"/>
              </w:rPr>
              <w:t>50人</w:t>
            </w:r>
            <w:r>
              <w:rPr>
                <w:rFonts w:hint="default" w:ascii="Times New Roman" w:hAnsi="Times New Roman" w:cs="Times New Roman"/>
                <w:color w:val="000000"/>
                <w:kern w:val="0"/>
                <w:sz w:val="24"/>
              </w:rPr>
              <w:t>，全年生产</w:t>
            </w:r>
            <w:r>
              <w:rPr>
                <w:rFonts w:hint="default" w:ascii="Times New Roman" w:hAnsi="Times New Roman" w:cs="Times New Roman"/>
                <w:color w:val="000000"/>
                <w:kern w:val="0"/>
                <w:sz w:val="24"/>
                <w:lang w:val="en-US" w:eastAsia="zh-CN"/>
              </w:rPr>
              <w:t>300</w:t>
            </w:r>
            <w:r>
              <w:rPr>
                <w:rFonts w:hint="default" w:ascii="Times New Roman" w:hAnsi="Times New Roman" w:cs="Times New Roman"/>
                <w:color w:val="000000"/>
                <w:kern w:val="0"/>
                <w:sz w:val="24"/>
              </w:rPr>
              <w:t>d，则食用油使用量为0.</w:t>
            </w:r>
            <w:r>
              <w:rPr>
                <w:rFonts w:hint="default" w:ascii="Times New Roman" w:hAnsi="Times New Roman" w:cs="Times New Roman"/>
                <w:color w:val="000000"/>
                <w:kern w:val="0"/>
                <w:sz w:val="24"/>
                <w:lang w:val="en-US" w:eastAsia="zh-CN"/>
              </w:rPr>
              <w:t>45</w:t>
            </w:r>
            <w:r>
              <w:rPr>
                <w:rFonts w:hint="default" w:ascii="Times New Roman" w:hAnsi="Times New Roman" w:cs="Times New Roman"/>
                <w:color w:val="000000"/>
                <w:kern w:val="0"/>
                <w:sz w:val="24"/>
              </w:rPr>
              <w:t>t/a，一般油烟挥发量占耗油量的2</w:t>
            </w:r>
            <w:r>
              <w:rPr>
                <w:rFonts w:hint="eastAsia" w:ascii="Times New Roman" w:hAnsi="Times New Roman" w:cs="Times New Roman"/>
                <w:color w:val="000000"/>
                <w:kern w:val="0"/>
                <w:sz w:val="24"/>
                <w:lang w:val="en-US" w:eastAsia="zh-CN"/>
              </w:rPr>
              <w:t>-</w:t>
            </w:r>
            <w:r>
              <w:rPr>
                <w:rFonts w:hint="default" w:ascii="Times New Roman" w:hAnsi="Times New Roman" w:cs="Times New Roman"/>
                <w:color w:val="000000"/>
                <w:kern w:val="0"/>
                <w:sz w:val="24"/>
              </w:rPr>
              <w:t>4%，本项目油烟挥发量按3%计，则食堂油烟产生量为</w:t>
            </w:r>
            <w:r>
              <w:rPr>
                <w:rFonts w:hint="eastAsia" w:ascii="Times New Roman" w:hAnsi="Times New Roman" w:cs="Times New Roman"/>
                <w:color w:val="000000"/>
                <w:kern w:val="0"/>
                <w:sz w:val="24"/>
                <w:lang w:val="en-US" w:eastAsia="zh-CN"/>
              </w:rPr>
              <w:t>13.5</w:t>
            </w:r>
            <w:r>
              <w:rPr>
                <w:rFonts w:hint="default" w:ascii="Times New Roman" w:hAnsi="Times New Roman" w:cs="Times New Roman"/>
                <w:color w:val="000000"/>
                <w:kern w:val="0"/>
                <w:sz w:val="24"/>
              </w:rPr>
              <w:t>kg/a。项目油烟采用油烟净化器进行处理，处理效率应达到</w:t>
            </w:r>
            <w:r>
              <w:rPr>
                <w:rFonts w:hint="eastAsia" w:ascii="Times New Roman" w:hAnsi="Times New Roman" w:cs="Times New Roman"/>
                <w:color w:val="000000"/>
                <w:kern w:val="0"/>
                <w:sz w:val="24"/>
                <w:lang w:val="en-US" w:eastAsia="zh-CN"/>
              </w:rPr>
              <w:t>85</w:t>
            </w:r>
            <w:r>
              <w:rPr>
                <w:rFonts w:hint="default" w:ascii="Times New Roman" w:hAnsi="Times New Roman" w:cs="Times New Roman"/>
                <w:color w:val="000000"/>
                <w:kern w:val="0"/>
                <w:sz w:val="24"/>
              </w:rPr>
              <w:t>%以上，油烟机风量为1000m</w:t>
            </w:r>
            <w:r>
              <w:rPr>
                <w:rFonts w:hint="default" w:ascii="Times New Roman" w:hAnsi="Times New Roman" w:cs="Times New Roman"/>
                <w:color w:val="000000"/>
                <w:kern w:val="0"/>
                <w:sz w:val="24"/>
                <w:vertAlign w:val="superscript"/>
              </w:rPr>
              <w:t>3</w:t>
            </w:r>
            <w:r>
              <w:rPr>
                <w:rFonts w:hint="default" w:ascii="Times New Roman" w:hAnsi="Times New Roman" w:cs="Times New Roman"/>
                <w:color w:val="000000"/>
                <w:kern w:val="0"/>
                <w:sz w:val="24"/>
              </w:rPr>
              <w:t>/h，食堂炉灶按6小时/天计算，油烟净化器年工作时间</w:t>
            </w:r>
            <w:r>
              <w:rPr>
                <w:rFonts w:hint="eastAsia" w:ascii="Times New Roman" w:hAnsi="Times New Roman" w:cs="Times New Roman"/>
                <w:color w:val="000000"/>
                <w:kern w:val="0"/>
                <w:sz w:val="24"/>
                <w:lang w:val="en-US" w:eastAsia="zh-CN"/>
              </w:rPr>
              <w:t>1800</w:t>
            </w:r>
            <w:r>
              <w:rPr>
                <w:rFonts w:hint="default" w:ascii="Times New Roman" w:hAnsi="Times New Roman" w:cs="Times New Roman"/>
                <w:color w:val="000000"/>
                <w:kern w:val="0"/>
                <w:sz w:val="24"/>
              </w:rPr>
              <w:t>h，则烟量排放为</w:t>
            </w:r>
            <w:r>
              <w:rPr>
                <w:rFonts w:hint="eastAsia" w:ascii="Times New Roman" w:hAnsi="Times New Roman" w:cs="Times New Roman"/>
                <w:color w:val="000000"/>
                <w:kern w:val="0"/>
                <w:sz w:val="24"/>
                <w:lang w:val="en-US" w:eastAsia="zh-CN"/>
              </w:rPr>
              <w:t>2.03</w:t>
            </w:r>
            <w:r>
              <w:rPr>
                <w:rFonts w:hint="default" w:ascii="Times New Roman" w:hAnsi="Times New Roman" w:cs="Times New Roman"/>
                <w:color w:val="000000"/>
                <w:kern w:val="0"/>
                <w:sz w:val="24"/>
              </w:rPr>
              <w:t>kg/a，油烟排放浓度为</w:t>
            </w:r>
            <w:r>
              <w:rPr>
                <w:rFonts w:hint="eastAsia"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rPr>
              <w:t>mg/m</w:t>
            </w:r>
            <w:r>
              <w:rPr>
                <w:rFonts w:hint="default" w:ascii="Times New Roman" w:hAnsi="Times New Roman" w:cs="Times New Roman"/>
                <w:color w:val="000000"/>
                <w:kern w:val="0"/>
                <w:sz w:val="24"/>
                <w:vertAlign w:val="superscript"/>
              </w:rPr>
              <w:t>3</w:t>
            </w:r>
            <w:r>
              <w:rPr>
                <w:rFonts w:hint="default" w:ascii="Times New Roman" w:hAnsi="Times New Roman" w:cs="Times New Roman"/>
                <w:color w:val="000000"/>
                <w:kern w:val="0"/>
                <w:sz w:val="24"/>
              </w:rPr>
              <w:t>，处理后的油烟经专用排烟管道排放，达到《饮食业油烟排放标准（试行）》（GB18483-2001）中的规定（2.0mg/m</w:t>
            </w:r>
            <w:r>
              <w:rPr>
                <w:rFonts w:hint="default" w:ascii="Times New Roman" w:hAnsi="Times New Roman" w:cs="Times New Roman"/>
                <w:color w:val="000000"/>
                <w:kern w:val="0"/>
                <w:sz w:val="24"/>
                <w:vertAlign w:val="superscript"/>
              </w:rPr>
              <w:t>3</w:t>
            </w:r>
            <w:r>
              <w:rPr>
                <w:rFonts w:hint="default" w:ascii="Times New Roman" w:hAnsi="Times New Roman" w:cs="Times New Roman"/>
                <w:color w:val="000000"/>
                <w:kern w:val="0"/>
                <w:sz w:val="24"/>
              </w:rPr>
              <w:t>）</w:t>
            </w:r>
            <w:r>
              <w:rPr>
                <w:color w:val="000000"/>
                <w:kern w:val="0"/>
                <w:sz w:val="24"/>
              </w:rPr>
              <w:t>。</w:t>
            </w:r>
          </w:p>
          <w:p>
            <w:pPr>
              <w:numPr>
                <w:ilvl w:val="0"/>
                <w:numId w:val="8"/>
              </w:numPr>
              <w:bidi w:val="0"/>
              <w:spacing w:line="360" w:lineRule="auto"/>
              <w:ind w:firstLine="480" w:firstLineChars="200"/>
              <w:rPr>
                <w:rFonts w:hint="default"/>
                <w:sz w:val="24"/>
                <w:szCs w:val="32"/>
                <w:lang w:val="en-US" w:eastAsia="zh-CN"/>
              </w:rPr>
            </w:pPr>
            <w:r>
              <w:rPr>
                <w:rFonts w:hint="default"/>
                <w:sz w:val="24"/>
                <w:szCs w:val="32"/>
                <w:lang w:val="en-US" w:eastAsia="zh-CN"/>
              </w:rPr>
              <w:t>无组织废气</w:t>
            </w:r>
          </w:p>
          <w:p>
            <w:pPr>
              <w:pStyle w:val="2"/>
              <w:numPr>
                <w:ilvl w:val="0"/>
                <w:numId w:val="9"/>
              </w:numPr>
              <w:ind w:left="397" w:firstLine="0"/>
              <w:rPr>
                <w:rFonts w:hint="eastAsia"/>
                <w:sz w:val="24"/>
                <w:szCs w:val="32"/>
                <w:lang w:val="en-US" w:eastAsia="zh-CN"/>
              </w:rPr>
            </w:pPr>
            <w:r>
              <w:rPr>
                <w:rFonts w:hint="eastAsia"/>
                <w:sz w:val="24"/>
                <w:szCs w:val="32"/>
                <w:lang w:val="en-US" w:eastAsia="zh-CN"/>
              </w:rPr>
              <w:t>原料堆存、卸料扬尘</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rPr>
            </w:pPr>
            <w:r>
              <w:rPr>
                <w:rFonts w:ascii="Times New Roman" w:hAnsi="Times New Roman" w:eastAsia="宋体" w:cs="Times New Roman"/>
                <w:b w:val="0"/>
                <w:bCs w:val="0"/>
                <w:color w:val="000000"/>
                <w:kern w:val="0"/>
                <w:sz w:val="24"/>
                <w:szCs w:val="24"/>
                <w:lang w:val="en-US" w:eastAsia="zh-CN" w:bidi="ar"/>
              </w:rPr>
              <w:t>根据《排放源统计调查产排污核算方法和系数手册》中《工业源固体物料堆存颗粒物核算系数手册》：</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rPr>
            </w:pPr>
            <w:r>
              <w:rPr>
                <w:rFonts w:ascii="Times New Roman" w:hAnsi="Times New Roman" w:eastAsia="宋体" w:cs="Times New Roman"/>
                <w:b w:val="0"/>
                <w:bCs w:val="0"/>
                <w:color w:val="000000"/>
                <w:kern w:val="0"/>
                <w:sz w:val="24"/>
                <w:szCs w:val="24"/>
                <w:lang w:val="en-US" w:eastAsia="zh-CN" w:bidi="ar"/>
              </w:rPr>
              <w:t>①颗粒物产生量核算</w:t>
            </w:r>
          </w:p>
          <w:p>
            <w:pPr>
              <w:keepNext w:val="0"/>
              <w:keepLines w:val="0"/>
              <w:widowControl/>
              <w:numPr>
                <w:ilvl w:val="0"/>
                <w:numId w:val="0"/>
              </w:numPr>
              <w:suppressLineNumbers w:val="0"/>
              <w:adjustRightInd w:val="0"/>
              <w:snapToGrid w:val="0"/>
              <w:spacing w:line="360" w:lineRule="auto"/>
              <w:ind w:firstLine="480" w:firstLineChars="200"/>
              <w:jc w:val="left"/>
              <w:rPr>
                <w:rFonts w:ascii="Times New Roman" w:hAnsi="Times New Roman" w:eastAsia="宋体" w:cs="Times New Roman"/>
                <w:b w:val="0"/>
                <w:bCs w:val="0"/>
                <w:color w:val="000000"/>
                <w:kern w:val="0"/>
                <w:sz w:val="24"/>
                <w:szCs w:val="24"/>
                <w:lang w:val="en-US" w:eastAsia="zh-CN" w:bidi="ar"/>
              </w:rPr>
            </w:pPr>
            <w:r>
              <w:rPr>
                <w:rFonts w:ascii="Times New Roman" w:hAnsi="Times New Roman" w:eastAsia="宋体" w:cs="Times New Roman"/>
                <w:b w:val="0"/>
                <w:bCs w:val="0"/>
                <w:color w:val="000000"/>
                <w:kern w:val="0"/>
                <w:sz w:val="24"/>
                <w:szCs w:val="24"/>
                <w:lang w:val="en-US" w:eastAsia="zh-CN" w:bidi="ar"/>
              </w:rPr>
              <w:t>工业企业固体物料堆存颗粒物包括装卸场尘和风蚀扬尘，颗粒物产生量核算公式如下：</w:t>
            </w:r>
          </w:p>
          <w:p>
            <w:pPr>
              <w:keepNext w:val="0"/>
              <w:keepLines w:val="0"/>
              <w:widowControl/>
              <w:numPr>
                <w:ilvl w:val="0"/>
                <w:numId w:val="0"/>
              </w:numPr>
              <w:suppressLineNumbers w:val="0"/>
              <w:adjustRightInd w:val="0"/>
              <w:snapToGrid w:val="0"/>
              <w:spacing w:line="360" w:lineRule="auto"/>
              <w:ind w:firstLine="420" w:firstLineChars="200"/>
              <w:jc w:val="center"/>
              <w:rPr>
                <w:color w:val="000000"/>
                <w:kern w:val="0"/>
                <w:sz w:val="24"/>
                <w:lang w:bidi="ar"/>
              </w:rPr>
            </w:pPr>
            <w:r>
              <w:drawing>
                <wp:inline distT="0" distB="0" distL="114300" distR="114300">
                  <wp:extent cx="4519295" cy="389255"/>
                  <wp:effectExtent l="0" t="0" r="6985" b="698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3"/>
                          <a:stretch>
                            <a:fillRect/>
                          </a:stretch>
                        </pic:blipFill>
                        <pic:spPr>
                          <a:xfrm>
                            <a:off x="0" y="0"/>
                            <a:ext cx="4519295" cy="389255"/>
                          </a:xfrm>
                          <a:prstGeom prst="rect">
                            <a:avLst/>
                          </a:prstGeom>
                          <a:noFill/>
                          <a:ln>
                            <a:noFill/>
                          </a:ln>
                        </pic:spPr>
                      </pic:pic>
                    </a:graphicData>
                  </a:graphic>
                </wp:inline>
              </w:drawing>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rPr>
            </w:pPr>
            <w:r>
              <w:rPr>
                <w:rFonts w:ascii="Times New Roman" w:hAnsi="Times New Roman" w:eastAsia="宋体" w:cs="Times New Roman"/>
                <w:b w:val="0"/>
                <w:bCs w:val="0"/>
                <w:color w:val="000000"/>
                <w:kern w:val="0"/>
                <w:sz w:val="24"/>
                <w:szCs w:val="24"/>
                <w:lang w:val="en-US" w:eastAsia="zh-CN" w:bidi="ar"/>
              </w:rPr>
              <w:t>式中：P——颗粒物产生量（单位：吨）；</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rPr>
            </w:pPr>
            <w:r>
              <w:rPr>
                <w:rFonts w:hint="default" w:ascii="Times New Roman" w:hAnsi="Times New Roman" w:eastAsia="宋体" w:cs="Times New Roman"/>
                <w:b w:val="0"/>
                <w:bCs w:val="0"/>
                <w:color w:val="000000"/>
                <w:kern w:val="0"/>
                <w:sz w:val="24"/>
                <w:szCs w:val="24"/>
                <w:lang w:val="en-US" w:eastAsia="zh-CN" w:bidi="ar"/>
              </w:rPr>
              <w:t>ZCy</w:t>
            </w:r>
            <w:r>
              <w:rPr>
                <w:rFonts w:ascii="Times New Roman" w:hAnsi="Times New Roman" w:eastAsia="宋体" w:cs="Times New Roman"/>
                <w:b w:val="0"/>
                <w:bCs w:val="0"/>
                <w:color w:val="000000"/>
                <w:kern w:val="0"/>
                <w:sz w:val="24"/>
                <w:szCs w:val="24"/>
                <w:lang w:val="en-US" w:eastAsia="zh-CN" w:bidi="ar"/>
              </w:rPr>
              <w:t>——装卸扬尘产生量（单位：吨）；</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rPr>
            </w:pPr>
            <w:r>
              <w:rPr>
                <w:rFonts w:hint="default" w:ascii="Times New Roman" w:hAnsi="Times New Roman" w:eastAsia="宋体" w:cs="Times New Roman"/>
                <w:b w:val="0"/>
                <w:bCs w:val="0"/>
                <w:color w:val="000000"/>
                <w:kern w:val="0"/>
                <w:sz w:val="24"/>
                <w:szCs w:val="24"/>
                <w:lang w:val="en-US" w:eastAsia="zh-CN" w:bidi="ar"/>
              </w:rPr>
              <w:t>FCy</w:t>
            </w:r>
            <w:r>
              <w:rPr>
                <w:rFonts w:ascii="Times New Roman" w:hAnsi="Times New Roman" w:eastAsia="宋体" w:cs="Times New Roman"/>
                <w:b w:val="0"/>
                <w:bCs w:val="0"/>
                <w:color w:val="000000"/>
                <w:kern w:val="0"/>
                <w:sz w:val="24"/>
                <w:szCs w:val="24"/>
                <w:lang w:val="en-US" w:eastAsia="zh-CN" w:bidi="ar"/>
              </w:rPr>
              <w:t>——风蚀扬尘产生量（单位：吨）；</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rPr>
            </w:pPr>
            <w:r>
              <w:rPr>
                <w:rFonts w:hint="default" w:ascii="Times New Roman" w:hAnsi="Times New Roman" w:eastAsia="宋体" w:cs="Times New Roman"/>
                <w:b w:val="0"/>
                <w:bCs w:val="0"/>
                <w:color w:val="000000"/>
                <w:kern w:val="0"/>
                <w:sz w:val="24"/>
                <w:szCs w:val="24"/>
                <w:lang w:val="en-US" w:eastAsia="zh-CN" w:bidi="ar"/>
              </w:rPr>
              <w:t>Nc</w:t>
            </w:r>
            <w:r>
              <w:rPr>
                <w:rFonts w:ascii="Times New Roman" w:hAnsi="Times New Roman" w:eastAsia="宋体" w:cs="Times New Roman"/>
                <w:b w:val="0"/>
                <w:bCs w:val="0"/>
                <w:color w:val="000000"/>
                <w:kern w:val="0"/>
                <w:sz w:val="24"/>
                <w:szCs w:val="24"/>
                <w:lang w:val="en-US" w:eastAsia="zh-CN" w:bidi="ar"/>
              </w:rPr>
              <w:t>——年物料运载车次（单位：车）；</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rPr>
            </w:pPr>
            <w:r>
              <w:rPr>
                <w:rFonts w:hint="default" w:ascii="Times New Roman" w:hAnsi="Times New Roman" w:eastAsia="宋体" w:cs="Times New Roman"/>
                <w:b w:val="0"/>
                <w:bCs w:val="0"/>
                <w:color w:val="000000"/>
                <w:kern w:val="0"/>
                <w:sz w:val="24"/>
                <w:szCs w:val="24"/>
                <w:lang w:val="en-US" w:eastAsia="zh-CN" w:bidi="ar"/>
              </w:rPr>
              <w:t>D</w:t>
            </w:r>
            <w:r>
              <w:rPr>
                <w:rFonts w:ascii="Times New Roman" w:hAnsi="Times New Roman" w:eastAsia="宋体" w:cs="Times New Roman"/>
                <w:b w:val="0"/>
                <w:bCs w:val="0"/>
                <w:color w:val="000000"/>
                <w:kern w:val="0"/>
                <w:sz w:val="24"/>
                <w:szCs w:val="24"/>
                <w:lang w:val="en-US" w:eastAsia="zh-CN" w:bidi="ar"/>
              </w:rPr>
              <w:t>——指单车平均运载量（单位：吨</w:t>
            </w:r>
            <w:r>
              <w:rPr>
                <w:rFonts w:hint="default" w:ascii="Times New Roman" w:hAnsi="Times New Roman" w:eastAsia="宋体" w:cs="Times New Roman"/>
                <w:b w:val="0"/>
                <w:bCs w:val="0"/>
                <w:color w:val="000000"/>
                <w:kern w:val="0"/>
                <w:sz w:val="24"/>
                <w:szCs w:val="24"/>
                <w:lang w:val="en-US" w:eastAsia="zh-CN" w:bidi="ar"/>
              </w:rPr>
              <w:t>/</w:t>
            </w:r>
            <w:r>
              <w:rPr>
                <w:rFonts w:ascii="Times New Roman" w:hAnsi="Times New Roman" w:eastAsia="宋体" w:cs="Times New Roman"/>
                <w:b w:val="0"/>
                <w:bCs w:val="0"/>
                <w:color w:val="000000"/>
                <w:kern w:val="0"/>
                <w:sz w:val="24"/>
                <w:szCs w:val="24"/>
                <w:lang w:val="en-US" w:eastAsia="zh-CN" w:bidi="ar"/>
              </w:rPr>
              <w:t>车）；</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lang w:bidi="ar"/>
              </w:rPr>
            </w:pPr>
            <w:r>
              <w:rPr>
                <w:rFonts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a/b</w:t>
            </w:r>
            <w:r>
              <w:rPr>
                <w:rFonts w:ascii="Times New Roman" w:hAnsi="Times New Roman" w:eastAsia="宋体" w:cs="Times New Roman"/>
                <w:b w:val="0"/>
                <w:bCs w:val="0"/>
                <w:color w:val="000000"/>
                <w:kern w:val="0"/>
                <w:sz w:val="24"/>
                <w:szCs w:val="24"/>
                <w:lang w:val="en-US" w:eastAsia="zh-CN" w:bidi="ar"/>
              </w:rPr>
              <w:t>）——装卸扬尘概化系数（单位：千克</w:t>
            </w:r>
            <w:r>
              <w:rPr>
                <w:rFonts w:hint="default" w:ascii="Times New Roman" w:hAnsi="Times New Roman" w:eastAsia="宋体" w:cs="Times New Roman"/>
                <w:b w:val="0"/>
                <w:bCs w:val="0"/>
                <w:color w:val="000000"/>
                <w:kern w:val="0"/>
                <w:sz w:val="24"/>
                <w:szCs w:val="24"/>
                <w:lang w:val="en-US" w:eastAsia="zh-CN" w:bidi="ar"/>
              </w:rPr>
              <w:t>/</w:t>
            </w:r>
            <w:r>
              <w:rPr>
                <w:rFonts w:ascii="Times New Roman" w:hAnsi="Times New Roman" w:eastAsia="宋体" w:cs="Times New Roman"/>
                <w:b w:val="0"/>
                <w:bCs w:val="0"/>
                <w:color w:val="000000"/>
                <w:kern w:val="0"/>
                <w:sz w:val="24"/>
                <w:szCs w:val="24"/>
                <w:lang w:val="en-US" w:eastAsia="zh-CN" w:bidi="ar"/>
              </w:rPr>
              <w:t>吨），</w:t>
            </w:r>
            <w:r>
              <w:rPr>
                <w:rFonts w:hint="default" w:ascii="Times New Roman" w:hAnsi="Times New Roman" w:eastAsia="宋体" w:cs="Times New Roman"/>
                <w:b w:val="0"/>
                <w:bCs w:val="0"/>
                <w:color w:val="000000"/>
                <w:kern w:val="0"/>
                <w:sz w:val="24"/>
                <w:szCs w:val="24"/>
                <w:lang w:val="en-US" w:eastAsia="zh-CN" w:bidi="ar"/>
              </w:rPr>
              <w:t>a</w:t>
            </w:r>
            <w:r>
              <w:rPr>
                <w:rFonts w:ascii="Times New Roman" w:hAnsi="Times New Roman" w:eastAsia="宋体" w:cs="Times New Roman"/>
                <w:b w:val="0"/>
                <w:bCs w:val="0"/>
                <w:color w:val="000000"/>
                <w:kern w:val="0"/>
                <w:sz w:val="24"/>
                <w:szCs w:val="24"/>
                <w:lang w:val="en-US" w:eastAsia="zh-CN" w:bidi="ar"/>
              </w:rPr>
              <w:t>指各省风速概化系数，b指物料含水率概化系数；</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lang w:bidi="ar"/>
              </w:rPr>
            </w:pPr>
            <w:r>
              <w:rPr>
                <w:rFonts w:hint="default" w:ascii="Times New Roman" w:hAnsi="Times New Roman" w:eastAsia="宋体" w:cs="Times New Roman"/>
                <w:b w:val="0"/>
                <w:bCs w:val="0"/>
                <w:color w:val="000000"/>
                <w:kern w:val="0"/>
                <w:sz w:val="24"/>
                <w:szCs w:val="24"/>
                <w:lang w:val="en-US" w:eastAsia="zh-CN" w:bidi="ar"/>
              </w:rPr>
              <w:t>Ef</w:t>
            </w:r>
            <w:r>
              <w:rPr>
                <w:rFonts w:ascii="Times New Roman" w:hAnsi="Times New Roman" w:eastAsia="宋体" w:cs="Times New Roman"/>
                <w:b w:val="0"/>
                <w:bCs w:val="0"/>
                <w:color w:val="000000"/>
                <w:kern w:val="0"/>
                <w:sz w:val="24"/>
                <w:szCs w:val="24"/>
                <w:lang w:val="en-US" w:eastAsia="zh-CN" w:bidi="ar"/>
              </w:rPr>
              <w:t>——堆场风蚀扬尘概化系数，见附录</w:t>
            </w:r>
            <w:r>
              <w:rPr>
                <w:rFonts w:hint="default" w:ascii="Times New Roman" w:hAnsi="Times New Roman" w:eastAsia="宋体" w:cs="Times New Roman"/>
                <w:b w:val="0"/>
                <w:bCs w:val="0"/>
                <w:color w:val="000000"/>
                <w:kern w:val="0"/>
                <w:sz w:val="24"/>
                <w:szCs w:val="24"/>
                <w:lang w:val="en-US" w:eastAsia="zh-CN" w:bidi="ar"/>
              </w:rPr>
              <w:t>3</w:t>
            </w:r>
            <w:r>
              <w:rPr>
                <w:rFonts w:ascii="Times New Roman" w:hAnsi="Times New Roman" w:eastAsia="宋体" w:cs="Times New Roman"/>
                <w:b w:val="0"/>
                <w:bCs w:val="0"/>
                <w:color w:val="000000"/>
                <w:kern w:val="0"/>
                <w:sz w:val="24"/>
                <w:szCs w:val="24"/>
                <w:lang w:val="en-US" w:eastAsia="zh-CN" w:bidi="ar"/>
              </w:rPr>
              <w:t>（单位：千克</w:t>
            </w:r>
            <w:r>
              <w:rPr>
                <w:rFonts w:hint="default" w:ascii="Times New Roman" w:hAnsi="Times New Roman" w:eastAsia="宋体" w:cs="Times New Roman"/>
                <w:b w:val="0"/>
                <w:bCs w:val="0"/>
                <w:color w:val="000000"/>
                <w:kern w:val="0"/>
                <w:sz w:val="24"/>
                <w:szCs w:val="24"/>
                <w:lang w:val="en-US" w:eastAsia="zh-CN" w:bidi="ar"/>
              </w:rPr>
              <w:t>/</w:t>
            </w:r>
            <w:r>
              <w:rPr>
                <w:rFonts w:ascii="Times New Roman" w:hAnsi="Times New Roman" w:eastAsia="宋体" w:cs="Times New Roman"/>
                <w:b w:val="0"/>
                <w:bCs w:val="0"/>
                <w:color w:val="000000"/>
                <w:kern w:val="0"/>
                <w:sz w:val="24"/>
                <w:szCs w:val="24"/>
                <w:lang w:val="en-US" w:eastAsia="zh-CN" w:bidi="ar"/>
              </w:rPr>
              <w:t>平方米）；</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lang w:bidi="ar"/>
              </w:rPr>
            </w:pPr>
            <w:r>
              <w:rPr>
                <w:rFonts w:hint="default" w:ascii="Times New Roman" w:hAnsi="Times New Roman" w:eastAsia="宋体" w:cs="Times New Roman"/>
                <w:b w:val="0"/>
                <w:bCs w:val="0"/>
                <w:color w:val="000000"/>
                <w:kern w:val="0"/>
                <w:sz w:val="24"/>
                <w:szCs w:val="24"/>
                <w:lang w:val="en-US" w:eastAsia="zh-CN" w:bidi="ar"/>
              </w:rPr>
              <w:t>S</w:t>
            </w:r>
            <w:r>
              <w:rPr>
                <w:rFonts w:ascii="Times New Roman" w:hAnsi="Times New Roman" w:eastAsia="宋体" w:cs="Times New Roman"/>
                <w:b w:val="0"/>
                <w:bCs w:val="0"/>
                <w:color w:val="000000"/>
                <w:kern w:val="0"/>
                <w:sz w:val="24"/>
                <w:szCs w:val="24"/>
                <w:lang w:val="en-US" w:eastAsia="zh-CN" w:bidi="ar"/>
              </w:rPr>
              <w:t>——堆场占地面积（单位：平方米）</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lang w:bidi="ar"/>
              </w:rPr>
            </w:pPr>
            <w:r>
              <w:rPr>
                <w:rFonts w:ascii="Times New Roman" w:hAnsi="Times New Roman" w:eastAsia="宋体" w:cs="Times New Roman"/>
                <w:b w:val="0"/>
                <w:bCs w:val="0"/>
                <w:color w:val="000000"/>
                <w:kern w:val="0"/>
                <w:sz w:val="24"/>
                <w:szCs w:val="24"/>
                <w:lang w:val="en-US" w:eastAsia="zh-CN" w:bidi="ar"/>
              </w:rPr>
              <w:t>每年需要装卸</w:t>
            </w:r>
            <w:r>
              <w:rPr>
                <w:rFonts w:hint="eastAsia" w:cs="Times New Roman"/>
                <w:b w:val="0"/>
                <w:bCs w:val="0"/>
                <w:color w:val="000000"/>
                <w:kern w:val="0"/>
                <w:sz w:val="24"/>
                <w:szCs w:val="24"/>
                <w:lang w:val="en-US" w:eastAsia="zh-CN" w:bidi="ar"/>
              </w:rPr>
              <w:t>腐植酸颗粒30000</w:t>
            </w:r>
            <w:r>
              <w:rPr>
                <w:rFonts w:ascii="Times New Roman" w:hAnsi="Times New Roman" w:eastAsia="宋体" w:cs="Times New Roman"/>
                <w:b w:val="0"/>
                <w:bCs w:val="0"/>
                <w:color w:val="000000"/>
                <w:kern w:val="0"/>
                <w:sz w:val="24"/>
                <w:szCs w:val="24"/>
                <w:lang w:val="en-US" w:eastAsia="zh-CN" w:bidi="ar"/>
              </w:rPr>
              <w:t>吨，用载重</w:t>
            </w:r>
            <w:r>
              <w:rPr>
                <w:rFonts w:hint="default" w:ascii="Times New Roman" w:hAnsi="Times New Roman" w:eastAsia="宋体" w:cs="Times New Roman"/>
                <w:b w:val="0"/>
                <w:bCs w:val="0"/>
                <w:color w:val="000000"/>
                <w:kern w:val="0"/>
                <w:sz w:val="24"/>
                <w:szCs w:val="24"/>
                <w:lang w:val="en-US" w:eastAsia="zh-CN" w:bidi="ar"/>
              </w:rPr>
              <w:t>10t/</w:t>
            </w:r>
            <w:r>
              <w:rPr>
                <w:rFonts w:ascii="Times New Roman" w:hAnsi="Times New Roman" w:eastAsia="宋体" w:cs="Times New Roman"/>
                <w:b w:val="0"/>
                <w:bCs w:val="0"/>
                <w:color w:val="000000"/>
                <w:kern w:val="0"/>
                <w:sz w:val="24"/>
                <w:szCs w:val="24"/>
                <w:lang w:val="en-US" w:eastAsia="zh-CN" w:bidi="ar"/>
              </w:rPr>
              <w:t>车计，物料运载车次为</w:t>
            </w:r>
            <w:r>
              <w:rPr>
                <w:rFonts w:hint="eastAsia" w:cs="Times New Roman"/>
                <w:b w:val="0"/>
                <w:bCs w:val="0"/>
                <w:color w:val="000000"/>
                <w:kern w:val="0"/>
                <w:sz w:val="24"/>
                <w:szCs w:val="24"/>
                <w:lang w:val="en-US" w:eastAsia="zh-CN" w:bidi="ar"/>
              </w:rPr>
              <w:t>3000</w:t>
            </w:r>
            <w:r>
              <w:rPr>
                <w:rFonts w:ascii="Times New Roman" w:hAnsi="Times New Roman" w:eastAsia="宋体" w:cs="Times New Roman"/>
                <w:b w:val="0"/>
                <w:bCs w:val="0"/>
                <w:color w:val="000000"/>
                <w:kern w:val="0"/>
                <w:sz w:val="24"/>
                <w:szCs w:val="24"/>
                <w:lang w:val="en-US" w:eastAsia="zh-CN" w:bidi="ar"/>
              </w:rPr>
              <w:t>次。根据附表</w:t>
            </w:r>
            <w:r>
              <w:rPr>
                <w:rFonts w:hint="default" w:ascii="Times New Roman" w:hAnsi="Times New Roman" w:eastAsia="宋体" w:cs="Times New Roman"/>
                <w:b w:val="0"/>
                <w:bCs w:val="0"/>
                <w:color w:val="000000"/>
                <w:kern w:val="0"/>
                <w:sz w:val="24"/>
                <w:szCs w:val="24"/>
                <w:lang w:val="en-US" w:eastAsia="zh-CN" w:bidi="ar"/>
              </w:rPr>
              <w:t>1</w:t>
            </w:r>
            <w:r>
              <w:rPr>
                <w:rFonts w:ascii="Times New Roman" w:hAnsi="Times New Roman" w:eastAsia="宋体" w:cs="Times New Roman"/>
                <w:b w:val="0"/>
                <w:bCs w:val="0"/>
                <w:color w:val="000000"/>
                <w:kern w:val="0"/>
                <w:sz w:val="24"/>
                <w:szCs w:val="24"/>
                <w:lang w:val="en-US" w:eastAsia="zh-CN" w:bidi="ar"/>
              </w:rPr>
              <w:t>，本项目位于新疆，故</w:t>
            </w:r>
            <w:r>
              <w:rPr>
                <w:rFonts w:hint="default" w:ascii="Times New Roman" w:hAnsi="Times New Roman" w:eastAsia="宋体" w:cs="Times New Roman"/>
                <w:b w:val="0"/>
                <w:bCs w:val="0"/>
                <w:color w:val="000000"/>
                <w:kern w:val="0"/>
                <w:sz w:val="24"/>
                <w:szCs w:val="24"/>
                <w:lang w:val="en-US" w:eastAsia="zh-CN" w:bidi="ar"/>
              </w:rPr>
              <w:t>a</w:t>
            </w:r>
            <w:r>
              <w:rPr>
                <w:rFonts w:ascii="Times New Roman" w:hAnsi="Times New Roman" w:eastAsia="宋体" w:cs="Times New Roman"/>
                <w:b w:val="0"/>
                <w:bCs w:val="0"/>
                <w:color w:val="000000"/>
                <w:kern w:val="0"/>
                <w:sz w:val="24"/>
                <w:szCs w:val="24"/>
                <w:lang w:val="en-US" w:eastAsia="zh-CN" w:bidi="ar"/>
              </w:rPr>
              <w:t>取</w:t>
            </w:r>
            <w:r>
              <w:rPr>
                <w:rFonts w:hint="default" w:ascii="Times New Roman" w:hAnsi="Times New Roman" w:eastAsia="宋体" w:cs="Times New Roman"/>
                <w:b w:val="0"/>
                <w:bCs w:val="0"/>
                <w:color w:val="000000"/>
                <w:kern w:val="0"/>
                <w:sz w:val="24"/>
                <w:szCs w:val="24"/>
                <w:lang w:val="en-US" w:eastAsia="zh-CN" w:bidi="ar"/>
              </w:rPr>
              <w:t>0.0011</w:t>
            </w:r>
            <w:r>
              <w:rPr>
                <w:rFonts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b</w:t>
            </w:r>
            <w:r>
              <w:rPr>
                <w:rFonts w:ascii="Times New Roman" w:hAnsi="Times New Roman" w:eastAsia="宋体" w:cs="Times New Roman"/>
                <w:b w:val="0"/>
                <w:bCs w:val="0"/>
                <w:color w:val="000000"/>
                <w:kern w:val="0"/>
                <w:sz w:val="24"/>
                <w:szCs w:val="24"/>
                <w:lang w:val="en-US" w:eastAsia="zh-CN" w:bidi="ar"/>
              </w:rPr>
              <w:t>取</w:t>
            </w:r>
            <w:r>
              <w:rPr>
                <w:rFonts w:hint="default" w:ascii="Times New Roman" w:hAnsi="Times New Roman" w:eastAsia="宋体" w:cs="Times New Roman"/>
                <w:b w:val="0"/>
                <w:bCs w:val="0"/>
                <w:color w:val="000000"/>
                <w:kern w:val="0"/>
                <w:sz w:val="24"/>
                <w:szCs w:val="24"/>
                <w:lang w:val="en-US" w:eastAsia="zh-CN" w:bidi="ar"/>
              </w:rPr>
              <w:t>0.0054</w:t>
            </w:r>
            <w:r>
              <w:rPr>
                <w:rFonts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Ef</w:t>
            </w:r>
            <w:r>
              <w:rPr>
                <w:rFonts w:ascii="Times New Roman" w:hAnsi="Times New Roman" w:eastAsia="宋体" w:cs="Times New Roman"/>
                <w:b w:val="0"/>
                <w:bCs w:val="0"/>
                <w:color w:val="000000"/>
                <w:kern w:val="0"/>
                <w:sz w:val="24"/>
                <w:szCs w:val="24"/>
                <w:lang w:val="en-US" w:eastAsia="zh-CN" w:bidi="ar"/>
              </w:rPr>
              <w:t>取</w:t>
            </w:r>
            <w:r>
              <w:rPr>
                <w:rFonts w:hint="default" w:ascii="Times New Roman" w:hAnsi="Times New Roman" w:eastAsia="宋体" w:cs="Times New Roman"/>
                <w:b w:val="0"/>
                <w:bCs w:val="0"/>
                <w:color w:val="000000"/>
                <w:kern w:val="0"/>
                <w:sz w:val="24"/>
                <w:szCs w:val="24"/>
                <w:lang w:val="en-US" w:eastAsia="zh-CN" w:bidi="ar"/>
              </w:rPr>
              <w:t>31.1418</w:t>
            </w:r>
            <w:r>
              <w:rPr>
                <w:rFonts w:ascii="Times New Roman" w:hAnsi="Times New Roman" w:eastAsia="宋体" w:cs="Times New Roman"/>
                <w:b w:val="0"/>
                <w:bCs w:val="0"/>
                <w:color w:val="000000"/>
                <w:kern w:val="0"/>
                <w:sz w:val="24"/>
                <w:szCs w:val="24"/>
                <w:lang w:val="en-US" w:eastAsia="zh-CN" w:bidi="ar"/>
              </w:rPr>
              <w:t>，</w:t>
            </w:r>
          </w:p>
          <w:p>
            <w:pPr>
              <w:keepNext w:val="0"/>
              <w:keepLines w:val="0"/>
              <w:widowControl/>
              <w:suppressLineNumbers w:val="0"/>
              <w:jc w:val="left"/>
            </w:pPr>
            <w:r>
              <w:rPr>
                <w:rFonts w:ascii="宋体" w:hAnsi="宋体" w:eastAsia="宋体" w:cs="宋体"/>
                <w:b w:val="0"/>
                <w:bCs w:val="0"/>
                <w:color w:val="000000"/>
                <w:kern w:val="0"/>
                <w:sz w:val="24"/>
                <w:szCs w:val="24"/>
                <w:lang w:val="en-US" w:eastAsia="zh-CN" w:bidi="ar"/>
              </w:rPr>
              <w:t>堆场占地面积</w:t>
            </w:r>
            <w:r>
              <w:rPr>
                <w:rFonts w:hint="eastAsia" w:ascii="宋体" w:hAnsi="宋体" w:eastAsia="宋体" w:cs="宋体"/>
                <w:b w:val="0"/>
                <w:bCs w:val="0"/>
                <w:color w:val="000000"/>
                <w:kern w:val="0"/>
                <w:sz w:val="24"/>
                <w:szCs w:val="24"/>
                <w:lang w:val="en-US" w:eastAsia="zh-CN" w:bidi="ar"/>
              </w:rPr>
              <w:t>约</w:t>
            </w:r>
            <w:r>
              <w:rPr>
                <w:rFonts w:ascii="宋体" w:hAnsi="宋体" w:eastAsia="宋体" w:cs="宋体"/>
                <w:b w:val="0"/>
                <w:bCs w:val="0"/>
                <w:color w:val="000000"/>
                <w:kern w:val="0"/>
                <w:sz w:val="24"/>
                <w:szCs w:val="24"/>
                <w:lang w:val="en-US" w:eastAsia="zh-CN" w:bidi="ar"/>
              </w:rPr>
              <w:t>为</w:t>
            </w:r>
            <w:r>
              <w:rPr>
                <w:rFonts w:hint="default" w:ascii="TimesNewRomanPSMT" w:hAnsi="TimesNewRomanPSMT" w:eastAsia="TimesNewRomanPSMT" w:cs="TimesNewRomanPSMT"/>
                <w:b w:val="0"/>
                <w:bCs w:val="0"/>
                <w:color w:val="000000"/>
                <w:kern w:val="0"/>
                <w:sz w:val="24"/>
                <w:szCs w:val="24"/>
                <w:lang w:val="en-US" w:eastAsia="zh-CN" w:bidi="ar"/>
              </w:rPr>
              <w:t>1000m</w:t>
            </w:r>
            <w:r>
              <w:rPr>
                <w:rFonts w:ascii="Times New Roman" w:hAnsi="Times New Roman" w:eastAsia="宋体" w:cs="Times New Roman"/>
                <w:b w:val="0"/>
                <w:bCs w:val="0"/>
                <w:color w:val="000000"/>
                <w:kern w:val="0"/>
                <w:sz w:val="24"/>
                <w:szCs w:val="24"/>
                <w:vertAlign w:val="superscript"/>
                <w:lang w:val="en-US" w:eastAsia="zh-CN" w:bidi="ar"/>
              </w:rPr>
              <w:t>2</w:t>
            </w:r>
            <w:r>
              <w:rPr>
                <w:rFonts w:ascii="宋体" w:hAnsi="宋体" w:eastAsia="宋体" w:cs="宋体"/>
                <w:b w:val="0"/>
                <w:bCs w:val="0"/>
                <w:color w:val="000000"/>
                <w:kern w:val="0"/>
                <w:sz w:val="24"/>
                <w:szCs w:val="24"/>
                <w:lang w:val="en-US" w:eastAsia="zh-CN" w:bidi="ar"/>
              </w:rPr>
              <w:t>。故本项目产生的粉尘量为</w:t>
            </w:r>
            <w:r>
              <w:rPr>
                <w:rFonts w:hint="eastAsia" w:ascii="TimesNewRomanPSMT" w:hAnsi="TimesNewRomanPSMT" w:eastAsia="TimesNewRomanPSMT" w:cs="TimesNewRomanPSMT"/>
                <w:b w:val="0"/>
                <w:bCs w:val="0"/>
                <w:color w:val="000000"/>
                <w:kern w:val="0"/>
                <w:sz w:val="24"/>
                <w:szCs w:val="24"/>
                <w:lang w:val="en-US" w:eastAsia="zh-CN" w:bidi="ar"/>
              </w:rPr>
              <w:t>68.28</w:t>
            </w:r>
            <w:r>
              <w:rPr>
                <w:rFonts w:hint="default" w:ascii="TimesNewRomanPSMT" w:hAnsi="TimesNewRomanPSMT" w:eastAsia="TimesNewRomanPSMT" w:cs="TimesNewRomanPSMT"/>
                <w:b w:val="0"/>
                <w:bCs w:val="0"/>
                <w:color w:val="000000"/>
                <w:kern w:val="0"/>
                <w:sz w:val="24"/>
                <w:szCs w:val="24"/>
                <w:lang w:val="en-US" w:eastAsia="zh-CN" w:bidi="ar"/>
              </w:rPr>
              <w:t>t/a</w:t>
            </w:r>
            <w:r>
              <w:rPr>
                <w:rFonts w:ascii="宋体" w:hAnsi="宋体" w:eastAsia="宋体" w:cs="宋体"/>
                <w:b w:val="0"/>
                <w:bCs w:val="0"/>
                <w:color w:val="000000"/>
                <w:kern w:val="0"/>
                <w:sz w:val="24"/>
                <w:szCs w:val="24"/>
                <w:lang w:val="en-US" w:eastAsia="zh-CN" w:bidi="ar"/>
              </w:rPr>
              <w:t>；</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lang w:bidi="ar"/>
              </w:rPr>
            </w:pPr>
            <w:r>
              <w:rPr>
                <w:rFonts w:ascii="宋体" w:hAnsi="宋体" w:eastAsia="宋体" w:cs="宋体"/>
                <w:b w:val="0"/>
                <w:bCs w:val="0"/>
                <w:color w:val="000000"/>
                <w:kern w:val="0"/>
                <w:sz w:val="24"/>
                <w:szCs w:val="24"/>
                <w:lang w:val="en-US" w:eastAsia="zh-CN" w:bidi="ar"/>
              </w:rPr>
              <w:t>②</w:t>
            </w:r>
            <w:r>
              <w:rPr>
                <w:rFonts w:ascii="Times New Roman" w:hAnsi="Times New Roman" w:eastAsia="宋体" w:cs="Times New Roman"/>
                <w:b w:val="0"/>
                <w:bCs w:val="0"/>
                <w:color w:val="000000"/>
                <w:kern w:val="0"/>
                <w:sz w:val="24"/>
                <w:szCs w:val="24"/>
                <w:lang w:val="en-US" w:eastAsia="zh-CN" w:bidi="ar"/>
              </w:rPr>
              <w:t>颗粒物排放量核算</w:t>
            </w:r>
          </w:p>
          <w:p>
            <w:pPr>
              <w:keepNext w:val="0"/>
              <w:keepLines w:val="0"/>
              <w:widowControl/>
              <w:numPr>
                <w:ilvl w:val="0"/>
                <w:numId w:val="0"/>
              </w:numPr>
              <w:suppressLineNumbers w:val="0"/>
              <w:adjustRightInd w:val="0"/>
              <w:snapToGrid w:val="0"/>
              <w:spacing w:line="360" w:lineRule="auto"/>
              <w:ind w:firstLine="480" w:firstLineChars="200"/>
              <w:jc w:val="left"/>
              <w:rPr>
                <w:rFonts w:ascii="Times New Roman" w:hAnsi="Times New Roman" w:eastAsia="宋体" w:cs="Times New Roman"/>
                <w:b w:val="0"/>
                <w:bCs w:val="0"/>
                <w:color w:val="000000"/>
                <w:kern w:val="0"/>
                <w:sz w:val="24"/>
                <w:szCs w:val="24"/>
                <w:lang w:val="en-US" w:eastAsia="zh-CN" w:bidi="ar"/>
              </w:rPr>
            </w:pPr>
            <w:r>
              <w:rPr>
                <w:rFonts w:ascii="Times New Roman" w:hAnsi="Times New Roman" w:eastAsia="宋体" w:cs="Times New Roman"/>
                <w:b w:val="0"/>
                <w:bCs w:val="0"/>
                <w:color w:val="000000"/>
                <w:kern w:val="0"/>
                <w:sz w:val="24"/>
                <w:szCs w:val="24"/>
                <w:lang w:val="en-US" w:eastAsia="zh-CN" w:bidi="ar"/>
              </w:rPr>
              <w:t>工业企业固体物料堆场颗粒物排放量核算公式如下：</w:t>
            </w:r>
          </w:p>
          <w:p>
            <w:pPr>
              <w:keepNext w:val="0"/>
              <w:keepLines w:val="0"/>
              <w:widowControl/>
              <w:numPr>
                <w:ilvl w:val="0"/>
                <w:numId w:val="0"/>
              </w:numPr>
              <w:suppressLineNumbers w:val="0"/>
              <w:adjustRightInd w:val="0"/>
              <w:snapToGrid w:val="0"/>
              <w:spacing w:line="360" w:lineRule="auto"/>
              <w:ind w:firstLine="420" w:firstLineChars="200"/>
              <w:jc w:val="center"/>
              <w:rPr>
                <w:color w:val="000000"/>
                <w:kern w:val="0"/>
                <w:sz w:val="24"/>
                <w:lang w:bidi="ar"/>
              </w:rPr>
            </w:pPr>
            <w:r>
              <w:drawing>
                <wp:inline distT="0" distB="0" distL="114300" distR="114300">
                  <wp:extent cx="2738120" cy="373380"/>
                  <wp:effectExtent l="0" t="0" r="5080" b="762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4"/>
                          <a:stretch>
                            <a:fillRect/>
                          </a:stretch>
                        </pic:blipFill>
                        <pic:spPr>
                          <a:xfrm>
                            <a:off x="0" y="0"/>
                            <a:ext cx="2738120" cy="373380"/>
                          </a:xfrm>
                          <a:prstGeom prst="rect">
                            <a:avLst/>
                          </a:prstGeom>
                          <a:noFill/>
                          <a:ln>
                            <a:noFill/>
                          </a:ln>
                        </pic:spPr>
                      </pic:pic>
                    </a:graphicData>
                  </a:graphic>
                </wp:inline>
              </w:drawing>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lang w:bidi="ar"/>
              </w:rPr>
            </w:pPr>
            <w:r>
              <w:rPr>
                <w:rFonts w:ascii="Times New Roman" w:hAnsi="Times New Roman" w:eastAsia="宋体" w:cs="Times New Roman"/>
                <w:b w:val="0"/>
                <w:bCs w:val="0"/>
                <w:color w:val="000000"/>
                <w:kern w:val="0"/>
                <w:sz w:val="24"/>
                <w:szCs w:val="24"/>
                <w:lang w:val="en-US" w:eastAsia="zh-CN" w:bidi="ar"/>
              </w:rPr>
              <w:t>其中：</w:t>
            </w:r>
            <w:r>
              <w:rPr>
                <w:rFonts w:hint="default" w:ascii="Times New Roman" w:hAnsi="Times New Roman" w:eastAsia="宋体" w:cs="Times New Roman"/>
                <w:b w:val="0"/>
                <w:bCs w:val="0"/>
                <w:color w:val="000000"/>
                <w:kern w:val="0"/>
                <w:sz w:val="24"/>
                <w:szCs w:val="24"/>
                <w:lang w:val="en-US" w:eastAsia="zh-CN" w:bidi="ar"/>
              </w:rPr>
              <w:t>P</w:t>
            </w:r>
            <w:r>
              <w:rPr>
                <w:rFonts w:ascii="Times New Roman" w:hAnsi="Times New Roman" w:eastAsia="宋体" w:cs="Times New Roman"/>
                <w:b w:val="0"/>
                <w:bCs w:val="0"/>
                <w:color w:val="000000"/>
                <w:kern w:val="0"/>
                <w:sz w:val="24"/>
                <w:szCs w:val="24"/>
                <w:lang w:val="en-US" w:eastAsia="zh-CN" w:bidi="ar"/>
              </w:rPr>
              <w:t>——颗粒物产生量（单位：吨）；</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lang w:bidi="ar"/>
              </w:rPr>
            </w:pPr>
            <w:r>
              <w:rPr>
                <w:rFonts w:hint="default" w:ascii="Times New Roman" w:hAnsi="Times New Roman" w:eastAsia="宋体" w:cs="Times New Roman"/>
                <w:b w:val="0"/>
                <w:bCs w:val="0"/>
                <w:color w:val="000000"/>
                <w:kern w:val="0"/>
                <w:sz w:val="24"/>
                <w:szCs w:val="24"/>
                <w:lang w:val="en-US" w:eastAsia="zh-CN" w:bidi="ar"/>
              </w:rPr>
              <w:t>Uc</w:t>
            </w:r>
            <w:r>
              <w:rPr>
                <w:rFonts w:ascii="Times New Roman" w:hAnsi="Times New Roman" w:eastAsia="宋体" w:cs="Times New Roman"/>
                <w:b w:val="0"/>
                <w:bCs w:val="0"/>
                <w:color w:val="000000"/>
                <w:kern w:val="0"/>
                <w:sz w:val="24"/>
                <w:szCs w:val="24"/>
                <w:lang w:val="en-US" w:eastAsia="zh-CN" w:bidi="ar"/>
              </w:rPr>
              <w:t>——指颗粒物排放量（单位：吨）；</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lang w:bidi="ar"/>
              </w:rPr>
            </w:pPr>
            <w:r>
              <w:rPr>
                <w:rFonts w:hint="default" w:ascii="Times New Roman" w:hAnsi="Times New Roman" w:eastAsia="宋体" w:cs="Times New Roman"/>
                <w:b w:val="0"/>
                <w:bCs w:val="0"/>
                <w:color w:val="000000"/>
                <w:kern w:val="0"/>
                <w:sz w:val="24"/>
                <w:szCs w:val="24"/>
                <w:lang w:val="en-US" w:eastAsia="zh-CN" w:bidi="ar"/>
              </w:rPr>
              <w:t>Cm</w:t>
            </w:r>
            <w:r>
              <w:rPr>
                <w:rFonts w:ascii="Times New Roman" w:hAnsi="Times New Roman" w:eastAsia="宋体" w:cs="Times New Roman"/>
                <w:b w:val="0"/>
                <w:bCs w:val="0"/>
                <w:color w:val="000000"/>
                <w:kern w:val="0"/>
                <w:sz w:val="24"/>
                <w:szCs w:val="24"/>
                <w:lang w:val="en-US" w:eastAsia="zh-CN" w:bidi="ar"/>
              </w:rPr>
              <w:t>——指颗粒物控制措施控制效率（单位：</w:t>
            </w:r>
            <w:r>
              <w:rPr>
                <w:rFonts w:hint="default" w:ascii="Times New Roman" w:hAnsi="Times New Roman" w:eastAsia="宋体" w:cs="Times New Roman"/>
                <w:b w:val="0"/>
                <w:bCs w:val="0"/>
                <w:color w:val="000000"/>
                <w:kern w:val="0"/>
                <w:sz w:val="24"/>
                <w:szCs w:val="24"/>
                <w:lang w:val="en-US" w:eastAsia="zh-CN" w:bidi="ar"/>
              </w:rPr>
              <w:t>%</w:t>
            </w:r>
            <w:r>
              <w:rPr>
                <w:rFonts w:ascii="Times New Roman" w:hAnsi="Times New Roman" w:eastAsia="宋体" w:cs="Times New Roman"/>
                <w:b w:val="0"/>
                <w:bCs w:val="0"/>
                <w:color w:val="000000"/>
                <w:kern w:val="0"/>
                <w:sz w:val="24"/>
                <w:szCs w:val="24"/>
                <w:lang w:val="en-US" w:eastAsia="zh-CN" w:bidi="ar"/>
              </w:rPr>
              <w:t>），见附录</w:t>
            </w:r>
            <w:r>
              <w:rPr>
                <w:rFonts w:hint="default" w:ascii="Times New Roman" w:hAnsi="Times New Roman" w:eastAsia="宋体" w:cs="Times New Roman"/>
                <w:b w:val="0"/>
                <w:bCs w:val="0"/>
                <w:color w:val="000000"/>
                <w:kern w:val="0"/>
                <w:sz w:val="24"/>
                <w:szCs w:val="24"/>
                <w:lang w:val="en-US" w:eastAsia="zh-CN" w:bidi="ar"/>
              </w:rPr>
              <w:t>4</w:t>
            </w:r>
            <w:r>
              <w:rPr>
                <w:rFonts w:ascii="Times New Roman" w:hAnsi="Times New Roman" w:eastAsia="宋体" w:cs="Times New Roman"/>
                <w:b w:val="0"/>
                <w:bCs w:val="0"/>
                <w:color w:val="000000"/>
                <w:kern w:val="0"/>
                <w:sz w:val="24"/>
                <w:szCs w:val="24"/>
                <w:lang w:val="en-US" w:eastAsia="zh-CN" w:bidi="ar"/>
              </w:rPr>
              <w:t>；</w:t>
            </w:r>
          </w:p>
          <w:p>
            <w:pPr>
              <w:keepNext w:val="0"/>
              <w:keepLines w:val="0"/>
              <w:widowControl/>
              <w:numPr>
                <w:ilvl w:val="0"/>
                <w:numId w:val="0"/>
              </w:numPr>
              <w:suppressLineNumbers w:val="0"/>
              <w:adjustRightInd w:val="0"/>
              <w:snapToGrid w:val="0"/>
              <w:spacing w:line="360" w:lineRule="auto"/>
              <w:ind w:firstLine="480" w:firstLineChars="200"/>
              <w:jc w:val="left"/>
              <w:rPr>
                <w:color w:val="000000"/>
                <w:kern w:val="0"/>
                <w:sz w:val="24"/>
                <w:lang w:bidi="ar"/>
              </w:rPr>
            </w:pPr>
            <w:r>
              <w:rPr>
                <w:rFonts w:hint="default" w:ascii="Times New Roman" w:hAnsi="Times New Roman" w:eastAsia="宋体" w:cs="Times New Roman"/>
                <w:b w:val="0"/>
                <w:bCs w:val="0"/>
                <w:color w:val="000000"/>
                <w:kern w:val="0"/>
                <w:sz w:val="24"/>
                <w:szCs w:val="24"/>
                <w:lang w:val="en-US" w:eastAsia="zh-CN" w:bidi="ar"/>
              </w:rPr>
              <w:t>Tm</w:t>
            </w:r>
            <w:r>
              <w:rPr>
                <w:rFonts w:ascii="Times New Roman" w:hAnsi="Times New Roman" w:eastAsia="宋体" w:cs="Times New Roman"/>
                <w:b w:val="0"/>
                <w:bCs w:val="0"/>
                <w:color w:val="000000"/>
                <w:kern w:val="0"/>
                <w:sz w:val="24"/>
                <w:szCs w:val="24"/>
                <w:lang w:val="en-US" w:eastAsia="zh-CN" w:bidi="ar"/>
              </w:rPr>
              <w:t>——指堆场类型控制效率（单位：</w:t>
            </w:r>
            <w:r>
              <w:rPr>
                <w:rFonts w:hint="default" w:ascii="Times New Roman" w:hAnsi="Times New Roman" w:eastAsia="宋体" w:cs="Times New Roman"/>
                <w:b w:val="0"/>
                <w:bCs w:val="0"/>
                <w:color w:val="000000"/>
                <w:kern w:val="0"/>
                <w:sz w:val="24"/>
                <w:szCs w:val="24"/>
                <w:lang w:val="en-US" w:eastAsia="zh-CN" w:bidi="ar"/>
              </w:rPr>
              <w:t>%</w:t>
            </w:r>
            <w:r>
              <w:rPr>
                <w:rFonts w:ascii="Times New Roman" w:hAnsi="Times New Roman" w:eastAsia="宋体" w:cs="Times New Roman"/>
                <w:b w:val="0"/>
                <w:bCs w:val="0"/>
                <w:color w:val="000000"/>
                <w:kern w:val="0"/>
                <w:sz w:val="24"/>
                <w:szCs w:val="24"/>
                <w:lang w:val="en-US" w:eastAsia="zh-CN" w:bidi="ar"/>
              </w:rPr>
              <w:t>），见附录</w:t>
            </w:r>
            <w:r>
              <w:rPr>
                <w:rFonts w:hint="default" w:ascii="Times New Roman" w:hAnsi="Times New Roman" w:eastAsia="宋体" w:cs="Times New Roman"/>
                <w:b w:val="0"/>
                <w:bCs w:val="0"/>
                <w:color w:val="000000"/>
                <w:kern w:val="0"/>
                <w:sz w:val="24"/>
                <w:szCs w:val="24"/>
                <w:lang w:val="en-US" w:eastAsia="zh-CN" w:bidi="ar"/>
              </w:rPr>
              <w:t>5</w:t>
            </w:r>
            <w:r>
              <w:rPr>
                <w:rFonts w:ascii="Times New Roman" w:hAnsi="Times New Roman" w:eastAsia="宋体" w:cs="Times New Roman"/>
                <w:b w:val="0"/>
                <w:bCs w:val="0"/>
                <w:color w:val="000000"/>
                <w:kern w:val="0"/>
                <w:sz w:val="24"/>
                <w:szCs w:val="24"/>
                <w:lang w:val="en-US" w:eastAsia="zh-CN" w:bidi="ar"/>
              </w:rPr>
              <w:t>；</w:t>
            </w:r>
          </w:p>
          <w:p>
            <w:pPr>
              <w:widowControl/>
              <w:numPr>
                <w:ilvl w:val="0"/>
                <w:numId w:val="0"/>
              </w:numPr>
              <w:adjustRightInd w:val="0"/>
              <w:snapToGrid w:val="0"/>
              <w:spacing w:line="360" w:lineRule="auto"/>
              <w:ind w:firstLine="480" w:firstLineChars="200"/>
              <w:jc w:val="left"/>
              <w:rPr>
                <w:rFonts w:ascii="Times New Roman" w:hAnsi="Times New Roman" w:eastAsia="宋体" w:cs="Times New Roman"/>
                <w:b w:val="0"/>
                <w:bCs w:val="0"/>
                <w:color w:val="000000"/>
                <w:kern w:val="0"/>
                <w:sz w:val="24"/>
                <w:szCs w:val="24"/>
                <w:lang w:val="en-US" w:eastAsia="zh-CN" w:bidi="ar"/>
              </w:rPr>
            </w:pPr>
            <w:r>
              <w:rPr>
                <w:rFonts w:ascii="Times New Roman" w:hAnsi="Times New Roman" w:eastAsia="宋体" w:cs="Times New Roman"/>
                <w:b w:val="0"/>
                <w:bCs w:val="0"/>
                <w:color w:val="000000"/>
                <w:kern w:val="0"/>
                <w:sz w:val="24"/>
                <w:szCs w:val="24"/>
                <w:lang w:val="en-US" w:eastAsia="zh-CN" w:bidi="ar"/>
              </w:rPr>
              <w:t>根据《工业源固体物料堆存颗粒物核算系数手册》中附录</w:t>
            </w:r>
            <w:r>
              <w:rPr>
                <w:rFonts w:hint="default" w:ascii="Times New Roman" w:hAnsi="Times New Roman" w:eastAsia="宋体" w:cs="Times New Roman"/>
                <w:b w:val="0"/>
                <w:bCs w:val="0"/>
                <w:color w:val="000000"/>
                <w:kern w:val="0"/>
                <w:sz w:val="24"/>
                <w:szCs w:val="24"/>
                <w:lang w:val="en-US" w:eastAsia="zh-CN" w:bidi="ar"/>
              </w:rPr>
              <w:t>5</w:t>
            </w:r>
            <w:r>
              <w:rPr>
                <w:rFonts w:ascii="Times New Roman" w:hAnsi="Times New Roman" w:eastAsia="宋体" w:cs="Times New Roman"/>
                <w:b w:val="0"/>
                <w:bCs w:val="0"/>
                <w:color w:val="000000"/>
                <w:kern w:val="0"/>
                <w:sz w:val="24"/>
                <w:szCs w:val="24"/>
                <w:lang w:val="en-US" w:eastAsia="zh-CN" w:bidi="ar"/>
              </w:rPr>
              <w:t>堆场类型控制效率，本项目堆场类型属于密闭式（控制效率</w:t>
            </w:r>
            <w:r>
              <w:rPr>
                <w:rFonts w:hint="default" w:ascii="Times New Roman" w:hAnsi="Times New Roman" w:eastAsia="宋体" w:cs="Times New Roman"/>
                <w:b w:val="0"/>
                <w:bCs w:val="0"/>
                <w:color w:val="000000"/>
                <w:kern w:val="0"/>
                <w:sz w:val="24"/>
                <w:szCs w:val="24"/>
                <w:lang w:val="en-US" w:eastAsia="zh-CN" w:bidi="ar"/>
              </w:rPr>
              <w:t>99%</w:t>
            </w:r>
            <w:r>
              <w:rPr>
                <w:rFonts w:ascii="Times New Roman" w:hAnsi="Times New Roman" w:eastAsia="宋体" w:cs="Times New Roman"/>
                <w:b w:val="0"/>
                <w:bCs w:val="0"/>
                <w:color w:val="000000"/>
                <w:kern w:val="0"/>
                <w:sz w:val="24"/>
                <w:szCs w:val="24"/>
                <w:lang w:val="en-US" w:eastAsia="zh-CN" w:bidi="ar"/>
              </w:rPr>
              <w:t>），故原料堆场堆存及装卸粉尘排放量为</w:t>
            </w:r>
            <w:r>
              <w:rPr>
                <w:rFonts w:hint="default" w:ascii="Times New Roman" w:hAnsi="Times New Roman" w:eastAsia="宋体" w:cs="Times New Roman"/>
                <w:b w:val="0"/>
                <w:bCs w:val="0"/>
                <w:color w:val="000000"/>
                <w:kern w:val="0"/>
                <w:sz w:val="24"/>
                <w:szCs w:val="24"/>
                <w:lang w:val="en-US" w:eastAsia="zh-CN" w:bidi="ar"/>
              </w:rPr>
              <w:t>0.</w:t>
            </w:r>
            <w:r>
              <w:rPr>
                <w:rFonts w:hint="eastAsia" w:cs="Times New Roman"/>
                <w:b w:val="0"/>
                <w:bCs w:val="0"/>
                <w:color w:val="000000"/>
                <w:kern w:val="0"/>
                <w:sz w:val="24"/>
                <w:szCs w:val="24"/>
                <w:lang w:val="en-US" w:eastAsia="zh-CN" w:bidi="ar"/>
              </w:rPr>
              <w:t>683</w:t>
            </w:r>
            <w:r>
              <w:rPr>
                <w:rFonts w:hint="default" w:ascii="Times New Roman" w:hAnsi="Times New Roman" w:eastAsia="宋体" w:cs="Times New Roman"/>
                <w:b w:val="0"/>
                <w:bCs w:val="0"/>
                <w:color w:val="000000"/>
                <w:kern w:val="0"/>
                <w:sz w:val="24"/>
                <w:szCs w:val="24"/>
                <w:lang w:val="en-US" w:eastAsia="zh-CN" w:bidi="ar"/>
              </w:rPr>
              <w:t>t/a</w:t>
            </w:r>
            <w:r>
              <w:rPr>
                <w:rFonts w:ascii="Times New Roman" w:hAnsi="Times New Roman" w:eastAsia="宋体" w:cs="Times New Roman"/>
                <w:b w:val="0"/>
                <w:bCs w:val="0"/>
                <w:color w:val="000000"/>
                <w:kern w:val="0"/>
                <w:sz w:val="24"/>
                <w:szCs w:val="24"/>
                <w:lang w:val="en-US" w:eastAsia="zh-CN" w:bidi="ar"/>
              </w:rPr>
              <w:t>，均以无组织形式排放</w:t>
            </w:r>
            <w:r>
              <w:rPr>
                <w:rFonts w:hint="eastAsia" w:cs="Times New Roman"/>
                <w:b w:val="0"/>
                <w:bCs w:val="0"/>
                <w:color w:val="000000"/>
                <w:kern w:val="0"/>
                <w:sz w:val="24"/>
                <w:szCs w:val="24"/>
                <w:lang w:val="en-US" w:eastAsia="zh-CN" w:bidi="ar"/>
              </w:rPr>
              <w:t>，本项目扬尘控制措施为洒水，</w:t>
            </w:r>
            <w:r>
              <w:rPr>
                <w:rFonts w:ascii="Times New Roman" w:hAnsi="Times New Roman" w:eastAsia="宋体" w:cs="Times New Roman"/>
                <w:b w:val="0"/>
                <w:bCs w:val="0"/>
                <w:color w:val="000000"/>
                <w:kern w:val="0"/>
                <w:sz w:val="24"/>
                <w:szCs w:val="24"/>
                <w:lang w:val="en-US" w:eastAsia="zh-CN" w:bidi="ar"/>
              </w:rPr>
              <w:t>根据《排放源统计调查产排污核算方法和系数手册》中《固体物料堆存颗粒物产排污核算系数手册》附录</w:t>
            </w:r>
            <w:r>
              <w:rPr>
                <w:rFonts w:hint="default" w:ascii="Times New Roman" w:hAnsi="Times New Roman" w:eastAsia="宋体" w:cs="Times New Roman"/>
                <w:b w:val="0"/>
                <w:bCs w:val="0"/>
                <w:color w:val="000000"/>
                <w:kern w:val="0"/>
                <w:sz w:val="24"/>
                <w:szCs w:val="24"/>
                <w:lang w:val="en-US" w:eastAsia="zh-CN" w:bidi="ar"/>
              </w:rPr>
              <w:t>4</w:t>
            </w:r>
            <w:r>
              <w:rPr>
                <w:rFonts w:ascii="Times New Roman" w:hAnsi="Times New Roman" w:eastAsia="宋体" w:cs="Times New Roman"/>
                <w:b w:val="0"/>
                <w:bCs w:val="0"/>
                <w:color w:val="000000"/>
                <w:kern w:val="0"/>
                <w:sz w:val="24"/>
                <w:szCs w:val="24"/>
                <w:lang w:val="en-US" w:eastAsia="zh-CN" w:bidi="ar"/>
              </w:rPr>
              <w:t>，洒水控制效率</w:t>
            </w:r>
            <w:r>
              <w:rPr>
                <w:rFonts w:hint="default" w:ascii="Times New Roman" w:hAnsi="Times New Roman" w:eastAsia="宋体" w:cs="Times New Roman"/>
                <w:b w:val="0"/>
                <w:bCs w:val="0"/>
                <w:color w:val="000000"/>
                <w:kern w:val="0"/>
                <w:sz w:val="24"/>
                <w:szCs w:val="24"/>
                <w:lang w:val="en-US" w:eastAsia="zh-CN" w:bidi="ar"/>
              </w:rPr>
              <w:t>74%</w:t>
            </w:r>
            <w:r>
              <w:rPr>
                <w:rFonts w:ascii="Times New Roman" w:hAnsi="Times New Roman" w:eastAsia="宋体" w:cs="Times New Roman"/>
                <w:b w:val="0"/>
                <w:bCs w:val="0"/>
                <w:color w:val="000000"/>
                <w:kern w:val="0"/>
                <w:sz w:val="24"/>
                <w:szCs w:val="24"/>
                <w:lang w:val="en-US" w:eastAsia="zh-CN" w:bidi="ar"/>
              </w:rPr>
              <w:t>，经洒水处理后，本项</w:t>
            </w:r>
            <w:r>
              <w:rPr>
                <w:rFonts w:hint="eastAsia" w:cs="Times New Roman"/>
                <w:b w:val="0"/>
                <w:bCs w:val="0"/>
                <w:color w:val="000000"/>
                <w:kern w:val="0"/>
                <w:sz w:val="24"/>
                <w:szCs w:val="24"/>
                <w:lang w:val="en-US" w:eastAsia="zh-CN" w:bidi="ar"/>
              </w:rPr>
              <w:t>目物料</w:t>
            </w:r>
            <w:r>
              <w:rPr>
                <w:rFonts w:ascii="Times New Roman" w:hAnsi="Times New Roman" w:eastAsia="宋体" w:cs="Times New Roman"/>
                <w:b w:val="0"/>
                <w:bCs w:val="0"/>
                <w:color w:val="000000"/>
                <w:kern w:val="0"/>
                <w:sz w:val="24"/>
                <w:szCs w:val="24"/>
                <w:lang w:val="en-US" w:eastAsia="zh-CN" w:bidi="ar"/>
              </w:rPr>
              <w:t>堆存及装卸</w:t>
            </w:r>
            <w:r>
              <w:rPr>
                <w:rFonts w:ascii="Times New Roman" w:hAnsi="Times New Roman" w:eastAsia="宋体" w:cs="Times New Roman"/>
                <w:b w:val="0"/>
                <w:bCs w:val="0"/>
                <w:color w:val="000000"/>
                <w:kern w:val="0"/>
                <w:sz w:val="24"/>
                <w:szCs w:val="24"/>
                <w:lang w:val="en-US" w:eastAsia="zh-CN" w:bidi="ar"/>
              </w:rPr>
              <w:t>无组织</w:t>
            </w:r>
            <w:r>
              <w:rPr>
                <w:rFonts w:hint="eastAsia" w:cs="Times New Roman"/>
                <w:b w:val="0"/>
                <w:bCs w:val="0"/>
                <w:color w:val="000000"/>
                <w:kern w:val="0"/>
                <w:sz w:val="24"/>
                <w:szCs w:val="24"/>
                <w:lang w:val="en-US" w:eastAsia="zh-CN" w:bidi="ar"/>
              </w:rPr>
              <w:t>颗粒物的</w:t>
            </w:r>
            <w:r>
              <w:rPr>
                <w:rFonts w:ascii="Times New Roman" w:hAnsi="Times New Roman" w:eastAsia="宋体" w:cs="Times New Roman"/>
                <w:b w:val="0"/>
                <w:bCs w:val="0"/>
                <w:color w:val="000000"/>
                <w:kern w:val="0"/>
                <w:sz w:val="24"/>
                <w:szCs w:val="24"/>
                <w:lang w:val="en-US" w:eastAsia="zh-CN" w:bidi="ar"/>
              </w:rPr>
              <w:t>排放量为</w:t>
            </w:r>
            <w:r>
              <w:rPr>
                <w:rFonts w:hint="default" w:ascii="Times New Roman" w:hAnsi="Times New Roman" w:eastAsia="宋体" w:cs="Times New Roman"/>
                <w:b w:val="0"/>
                <w:bCs w:val="0"/>
                <w:color w:val="000000"/>
                <w:kern w:val="0"/>
                <w:sz w:val="24"/>
                <w:szCs w:val="24"/>
                <w:lang w:val="en-US" w:eastAsia="zh-CN" w:bidi="ar"/>
              </w:rPr>
              <w:t>0.1</w:t>
            </w:r>
            <w:r>
              <w:rPr>
                <w:rFonts w:hint="eastAsia" w:cs="Times New Roman"/>
                <w:b w:val="0"/>
                <w:bCs w:val="0"/>
                <w:color w:val="000000"/>
                <w:kern w:val="0"/>
                <w:sz w:val="24"/>
                <w:szCs w:val="24"/>
                <w:lang w:val="en-US" w:eastAsia="zh-CN" w:bidi="ar"/>
              </w:rPr>
              <w:t>9</w:t>
            </w:r>
            <w:r>
              <w:rPr>
                <w:rFonts w:hint="default" w:ascii="Times New Roman" w:hAnsi="Times New Roman" w:eastAsia="宋体" w:cs="Times New Roman"/>
                <w:b w:val="0"/>
                <w:bCs w:val="0"/>
                <w:color w:val="000000"/>
                <w:kern w:val="0"/>
                <w:sz w:val="24"/>
                <w:szCs w:val="24"/>
                <w:lang w:val="en-US" w:eastAsia="zh-CN" w:bidi="ar"/>
              </w:rPr>
              <w:t>t/a</w:t>
            </w:r>
            <w:r>
              <w:rPr>
                <w:rFonts w:ascii="Times New Roman" w:hAnsi="Times New Roman" w:eastAsia="宋体" w:cs="Times New Roman"/>
                <w:b w:val="0"/>
                <w:bCs w:val="0"/>
                <w:color w:val="000000"/>
                <w:kern w:val="0"/>
                <w:sz w:val="24"/>
                <w:szCs w:val="24"/>
                <w:lang w:val="en-US" w:eastAsia="zh-CN" w:bidi="ar"/>
              </w:rPr>
              <w:t>；</w:t>
            </w:r>
          </w:p>
          <w:p>
            <w:pPr>
              <w:widowControl/>
              <w:spacing w:line="360" w:lineRule="auto"/>
              <w:ind w:firstLine="420" w:firstLineChars="200"/>
              <w:rPr>
                <w:rFonts w:hint="default" w:ascii="Times New Roman" w:hAnsi="Times New Roman" w:cs="Times New Roman"/>
                <w:sz w:val="24"/>
              </w:rPr>
            </w:pPr>
            <w:r>
              <w:rPr>
                <w:rFonts w:hint="eastAsia"/>
                <w:lang w:val="en-US" w:eastAsia="zh-CN"/>
              </w:rPr>
              <w:t>综上所述，</w:t>
            </w:r>
            <w:r>
              <w:rPr>
                <w:rFonts w:hint="default"/>
                <w:sz w:val="24"/>
                <w:szCs w:val="32"/>
                <w:lang w:val="en-US" w:eastAsia="zh-CN"/>
              </w:rPr>
              <w:t>本项目无组织废气为</w:t>
            </w:r>
            <w:r>
              <w:rPr>
                <w:rFonts w:hint="eastAsia" w:cs="Times New Roman"/>
                <w:b w:val="0"/>
                <w:bCs w:val="0"/>
                <w:color w:val="000000"/>
                <w:kern w:val="0"/>
                <w:sz w:val="24"/>
                <w:szCs w:val="24"/>
                <w:lang w:val="en-US" w:eastAsia="zh-CN" w:bidi="ar"/>
              </w:rPr>
              <w:t>物料</w:t>
            </w:r>
            <w:r>
              <w:rPr>
                <w:rFonts w:ascii="Times New Roman" w:hAnsi="Times New Roman" w:eastAsia="宋体" w:cs="Times New Roman"/>
                <w:b w:val="0"/>
                <w:bCs w:val="0"/>
                <w:color w:val="000000"/>
                <w:kern w:val="0"/>
                <w:sz w:val="24"/>
                <w:szCs w:val="24"/>
                <w:lang w:val="en-US" w:eastAsia="zh-CN" w:bidi="ar"/>
              </w:rPr>
              <w:t>堆存及装卸</w:t>
            </w:r>
            <w:r>
              <w:rPr>
                <w:rFonts w:hint="eastAsia" w:cs="Times New Roman"/>
                <w:b w:val="0"/>
                <w:bCs w:val="0"/>
                <w:color w:val="000000"/>
                <w:kern w:val="0"/>
                <w:sz w:val="24"/>
                <w:szCs w:val="24"/>
                <w:lang w:val="en-US" w:eastAsia="zh-CN" w:bidi="ar"/>
              </w:rPr>
              <w:t>扬尘、</w:t>
            </w:r>
            <w:r>
              <w:rPr>
                <w:rFonts w:hint="eastAsia"/>
                <w:sz w:val="24"/>
                <w:szCs w:val="32"/>
                <w:lang w:val="en-US" w:eastAsia="zh-CN"/>
              </w:rPr>
              <w:t>进</w:t>
            </w:r>
            <w:r>
              <w:rPr>
                <w:rFonts w:hint="default"/>
                <w:sz w:val="24"/>
                <w:szCs w:val="32"/>
                <w:lang w:val="en-US" w:eastAsia="zh-CN"/>
              </w:rPr>
              <w:t>料</w:t>
            </w:r>
            <w:r>
              <w:rPr>
                <w:rFonts w:hint="eastAsia"/>
                <w:sz w:val="24"/>
                <w:szCs w:val="32"/>
                <w:lang w:val="en-US" w:eastAsia="zh-CN"/>
              </w:rPr>
              <w:t>工序</w:t>
            </w:r>
            <w:r>
              <w:rPr>
                <w:rFonts w:hint="default"/>
                <w:sz w:val="24"/>
                <w:szCs w:val="32"/>
                <w:lang w:val="en-US" w:eastAsia="zh-CN"/>
              </w:rPr>
              <w:t>、</w:t>
            </w:r>
            <w:r>
              <w:rPr>
                <w:rFonts w:hint="eastAsia"/>
                <w:sz w:val="24"/>
                <w:szCs w:val="32"/>
                <w:lang w:val="en-US" w:eastAsia="zh-CN"/>
              </w:rPr>
              <w:t>筛分工序、粉碎工序、包装</w:t>
            </w:r>
            <w:r>
              <w:rPr>
                <w:rFonts w:hint="default"/>
                <w:sz w:val="24"/>
                <w:szCs w:val="32"/>
                <w:lang w:val="en-US" w:eastAsia="zh-CN"/>
              </w:rPr>
              <w:t>工序未收集的颗粒物，</w:t>
            </w:r>
            <w:r>
              <w:rPr>
                <w:rFonts w:hint="eastAsia"/>
                <w:sz w:val="24"/>
                <w:szCs w:val="32"/>
                <w:lang w:val="en-US" w:eastAsia="zh-CN"/>
              </w:rPr>
              <w:t>进</w:t>
            </w:r>
            <w:r>
              <w:rPr>
                <w:rFonts w:hint="default"/>
                <w:sz w:val="24"/>
                <w:szCs w:val="32"/>
                <w:lang w:val="en-US" w:eastAsia="zh-CN"/>
              </w:rPr>
              <w:t>料工序</w:t>
            </w:r>
            <w:r>
              <w:rPr>
                <w:rFonts w:hint="eastAsia"/>
                <w:sz w:val="24"/>
                <w:szCs w:val="32"/>
                <w:lang w:val="en-US" w:eastAsia="zh-CN"/>
              </w:rPr>
              <w:t>无组织</w:t>
            </w:r>
            <w:r>
              <w:rPr>
                <w:rFonts w:hint="default"/>
                <w:sz w:val="24"/>
                <w:szCs w:val="32"/>
                <w:lang w:val="en-US" w:eastAsia="zh-CN"/>
              </w:rPr>
              <w:t>颗粒物</w:t>
            </w:r>
            <w:r>
              <w:rPr>
                <w:rFonts w:hint="eastAsia"/>
                <w:sz w:val="24"/>
                <w:szCs w:val="32"/>
                <w:lang w:val="en-US" w:eastAsia="zh-CN"/>
              </w:rPr>
              <w:t>的产生</w:t>
            </w:r>
            <w:r>
              <w:rPr>
                <w:rFonts w:hint="default"/>
                <w:sz w:val="24"/>
                <w:szCs w:val="32"/>
                <w:lang w:val="en-US" w:eastAsia="zh-CN"/>
              </w:rPr>
              <w:t>量为</w:t>
            </w:r>
            <w:r>
              <w:rPr>
                <w:rFonts w:hint="eastAsia"/>
                <w:sz w:val="24"/>
                <w:szCs w:val="32"/>
                <w:lang w:val="en-US" w:eastAsia="zh-CN"/>
              </w:rPr>
              <w:t>1.85</w:t>
            </w:r>
            <w:r>
              <w:rPr>
                <w:rFonts w:hint="default"/>
                <w:sz w:val="24"/>
                <w:szCs w:val="32"/>
                <w:lang w:val="en-US" w:eastAsia="zh-CN"/>
              </w:rPr>
              <w:t>t/a，</w:t>
            </w:r>
            <w:r>
              <w:rPr>
                <w:rFonts w:hint="eastAsia"/>
                <w:sz w:val="24"/>
                <w:szCs w:val="32"/>
                <w:lang w:val="en-US" w:eastAsia="zh-CN"/>
              </w:rPr>
              <w:t>筛分</w:t>
            </w:r>
            <w:r>
              <w:rPr>
                <w:rFonts w:hint="default"/>
                <w:sz w:val="24"/>
                <w:szCs w:val="32"/>
                <w:lang w:val="en-US" w:eastAsia="zh-CN"/>
              </w:rPr>
              <w:t>工序</w:t>
            </w:r>
            <w:r>
              <w:rPr>
                <w:rFonts w:hint="eastAsia"/>
                <w:sz w:val="24"/>
                <w:szCs w:val="32"/>
                <w:lang w:val="en-US" w:eastAsia="zh-CN"/>
              </w:rPr>
              <w:t>无组织</w:t>
            </w:r>
            <w:r>
              <w:rPr>
                <w:rFonts w:hint="default"/>
                <w:sz w:val="24"/>
                <w:szCs w:val="32"/>
                <w:lang w:val="en-US" w:eastAsia="zh-CN"/>
              </w:rPr>
              <w:t>颗粒物</w:t>
            </w:r>
            <w:r>
              <w:rPr>
                <w:rFonts w:hint="eastAsia"/>
                <w:sz w:val="24"/>
                <w:szCs w:val="32"/>
                <w:lang w:val="en-US" w:eastAsia="zh-CN"/>
              </w:rPr>
              <w:t>的产生</w:t>
            </w:r>
            <w:r>
              <w:rPr>
                <w:rFonts w:hint="default"/>
                <w:sz w:val="24"/>
                <w:szCs w:val="32"/>
                <w:lang w:val="en-US" w:eastAsia="zh-CN"/>
              </w:rPr>
              <w:t>量为</w:t>
            </w:r>
            <w:r>
              <w:rPr>
                <w:rFonts w:hint="eastAsia"/>
                <w:sz w:val="24"/>
                <w:szCs w:val="32"/>
                <w:lang w:val="en-US" w:eastAsia="zh-CN"/>
              </w:rPr>
              <w:t>0.92</w:t>
            </w:r>
            <w:r>
              <w:rPr>
                <w:rFonts w:hint="default"/>
                <w:sz w:val="24"/>
                <w:szCs w:val="32"/>
                <w:lang w:val="en-US" w:eastAsia="zh-CN"/>
              </w:rPr>
              <w:t>t/a，</w:t>
            </w:r>
            <w:r>
              <w:rPr>
                <w:rFonts w:hint="eastAsia"/>
                <w:sz w:val="24"/>
                <w:szCs w:val="32"/>
                <w:lang w:val="en-US" w:eastAsia="zh-CN"/>
              </w:rPr>
              <w:t>粉碎</w:t>
            </w:r>
            <w:r>
              <w:rPr>
                <w:rFonts w:hint="default"/>
                <w:sz w:val="24"/>
                <w:szCs w:val="32"/>
                <w:lang w:val="en-US" w:eastAsia="zh-CN"/>
              </w:rPr>
              <w:t>工序</w:t>
            </w:r>
            <w:r>
              <w:rPr>
                <w:rFonts w:hint="eastAsia"/>
                <w:sz w:val="24"/>
                <w:szCs w:val="32"/>
                <w:lang w:val="en-US" w:eastAsia="zh-CN"/>
              </w:rPr>
              <w:t>无组织</w:t>
            </w:r>
            <w:r>
              <w:rPr>
                <w:rFonts w:hint="default"/>
                <w:sz w:val="24"/>
                <w:szCs w:val="32"/>
                <w:lang w:val="en-US" w:eastAsia="zh-CN"/>
              </w:rPr>
              <w:t>颗粒物</w:t>
            </w:r>
            <w:r>
              <w:rPr>
                <w:rFonts w:hint="eastAsia"/>
                <w:sz w:val="24"/>
                <w:szCs w:val="32"/>
                <w:lang w:val="en-US" w:eastAsia="zh-CN"/>
              </w:rPr>
              <w:t>的产生</w:t>
            </w:r>
            <w:r>
              <w:rPr>
                <w:rFonts w:hint="default"/>
                <w:sz w:val="24"/>
                <w:szCs w:val="32"/>
                <w:lang w:val="en-US" w:eastAsia="zh-CN"/>
              </w:rPr>
              <w:t>量为</w:t>
            </w:r>
            <w:r>
              <w:rPr>
                <w:rFonts w:hint="eastAsia"/>
                <w:sz w:val="24"/>
                <w:szCs w:val="32"/>
                <w:lang w:val="en-US" w:eastAsia="zh-CN"/>
              </w:rPr>
              <w:t>0.92</w:t>
            </w:r>
            <w:r>
              <w:rPr>
                <w:rFonts w:hint="default"/>
                <w:sz w:val="24"/>
                <w:szCs w:val="32"/>
                <w:lang w:val="en-US" w:eastAsia="zh-CN"/>
              </w:rPr>
              <w:t>/a，包装工序</w:t>
            </w:r>
            <w:r>
              <w:rPr>
                <w:rFonts w:hint="eastAsia"/>
                <w:sz w:val="24"/>
                <w:szCs w:val="32"/>
                <w:lang w:val="en-US" w:eastAsia="zh-CN"/>
              </w:rPr>
              <w:t>无组织</w:t>
            </w:r>
            <w:r>
              <w:rPr>
                <w:rFonts w:hint="default"/>
                <w:sz w:val="24"/>
                <w:szCs w:val="32"/>
                <w:lang w:val="en-US" w:eastAsia="zh-CN"/>
              </w:rPr>
              <w:t>颗粒物</w:t>
            </w:r>
            <w:r>
              <w:rPr>
                <w:rFonts w:hint="eastAsia"/>
                <w:sz w:val="24"/>
                <w:szCs w:val="32"/>
                <w:lang w:val="en-US" w:eastAsia="zh-CN"/>
              </w:rPr>
              <w:t>的产生</w:t>
            </w:r>
            <w:r>
              <w:rPr>
                <w:rFonts w:hint="default"/>
                <w:sz w:val="24"/>
                <w:szCs w:val="32"/>
                <w:lang w:val="en-US" w:eastAsia="zh-CN"/>
              </w:rPr>
              <w:t>量为0.</w:t>
            </w:r>
            <w:r>
              <w:rPr>
                <w:rFonts w:hint="eastAsia"/>
                <w:sz w:val="24"/>
                <w:szCs w:val="32"/>
                <w:lang w:val="en-US" w:eastAsia="zh-CN"/>
              </w:rPr>
              <w:t>2</w:t>
            </w:r>
            <w:r>
              <w:rPr>
                <w:rFonts w:hint="default"/>
                <w:sz w:val="24"/>
                <w:szCs w:val="32"/>
                <w:lang w:val="en-US" w:eastAsia="zh-CN"/>
              </w:rPr>
              <w:t>5t/a，</w:t>
            </w:r>
            <w:r>
              <w:rPr>
                <w:rFonts w:hint="eastAsia"/>
                <w:sz w:val="24"/>
                <w:szCs w:val="32"/>
                <w:lang w:val="en-US" w:eastAsia="zh-CN"/>
              </w:rPr>
              <w:t>则进</w:t>
            </w:r>
            <w:r>
              <w:rPr>
                <w:rFonts w:hint="default"/>
                <w:sz w:val="24"/>
                <w:szCs w:val="32"/>
                <w:lang w:val="en-US" w:eastAsia="zh-CN"/>
              </w:rPr>
              <w:t>料、</w:t>
            </w:r>
            <w:r>
              <w:rPr>
                <w:rFonts w:hint="eastAsia"/>
                <w:sz w:val="24"/>
                <w:szCs w:val="32"/>
                <w:lang w:val="en-US" w:eastAsia="zh-CN"/>
              </w:rPr>
              <w:t>筛分、粉碎、包装无组织</w:t>
            </w:r>
            <w:r>
              <w:rPr>
                <w:rFonts w:hint="default"/>
                <w:sz w:val="24"/>
                <w:szCs w:val="32"/>
                <w:lang w:val="en-US" w:eastAsia="zh-CN"/>
              </w:rPr>
              <w:t>颗粒物</w:t>
            </w:r>
            <w:r>
              <w:rPr>
                <w:rFonts w:hint="eastAsia"/>
                <w:sz w:val="24"/>
                <w:szCs w:val="32"/>
                <w:lang w:val="en-US" w:eastAsia="zh-CN"/>
              </w:rPr>
              <w:t>的产生</w:t>
            </w:r>
            <w:r>
              <w:rPr>
                <w:rFonts w:hint="default"/>
                <w:sz w:val="24"/>
                <w:szCs w:val="32"/>
                <w:lang w:val="en-US" w:eastAsia="zh-CN"/>
              </w:rPr>
              <w:t>量</w:t>
            </w:r>
            <w:r>
              <w:rPr>
                <w:rFonts w:hint="eastAsia"/>
                <w:sz w:val="24"/>
                <w:szCs w:val="32"/>
                <w:lang w:val="en-US" w:eastAsia="zh-CN"/>
              </w:rPr>
              <w:t>为3.94t/a，进</w:t>
            </w:r>
            <w:r>
              <w:rPr>
                <w:rFonts w:hint="default"/>
                <w:sz w:val="24"/>
                <w:szCs w:val="32"/>
                <w:lang w:val="en-US" w:eastAsia="zh-CN"/>
              </w:rPr>
              <w:t>料、</w:t>
            </w:r>
            <w:r>
              <w:rPr>
                <w:rFonts w:hint="eastAsia"/>
                <w:sz w:val="24"/>
                <w:szCs w:val="32"/>
                <w:lang w:val="en-US" w:eastAsia="zh-CN"/>
              </w:rPr>
              <w:t>筛分、粉碎、包装时</w:t>
            </w:r>
            <w:r>
              <w:rPr>
                <w:rFonts w:hint="default"/>
                <w:sz w:val="24"/>
                <w:szCs w:val="32"/>
                <w:lang w:val="en-US" w:eastAsia="zh-CN"/>
              </w:rPr>
              <w:t>厂房密闭，</w:t>
            </w:r>
            <w:r>
              <w:rPr>
                <w:rFonts w:hint="eastAsia"/>
                <w:sz w:val="24"/>
                <w:szCs w:val="32"/>
                <w:lang w:val="en-US" w:eastAsia="zh-CN"/>
              </w:rPr>
              <w:t>且通过洒水降尘，</w:t>
            </w:r>
            <w:r>
              <w:rPr>
                <w:rFonts w:hint="default"/>
                <w:sz w:val="24"/>
                <w:szCs w:val="32"/>
                <w:lang w:val="en-US" w:eastAsia="zh-CN"/>
              </w:rPr>
              <w:t>可使无组织颗粒物削减</w:t>
            </w:r>
            <w:r>
              <w:rPr>
                <w:rFonts w:hint="eastAsia"/>
                <w:sz w:val="24"/>
                <w:szCs w:val="32"/>
                <w:lang w:val="en-US" w:eastAsia="zh-CN"/>
              </w:rPr>
              <w:t>80</w:t>
            </w:r>
            <w:r>
              <w:rPr>
                <w:rFonts w:hint="default"/>
                <w:sz w:val="24"/>
                <w:szCs w:val="32"/>
                <w:lang w:val="en-US" w:eastAsia="zh-CN"/>
              </w:rPr>
              <w:t>%，</w:t>
            </w:r>
            <w:r>
              <w:rPr>
                <w:rFonts w:hint="eastAsia"/>
                <w:sz w:val="24"/>
                <w:szCs w:val="32"/>
                <w:lang w:val="en-US" w:eastAsia="zh-CN"/>
              </w:rPr>
              <w:t>进</w:t>
            </w:r>
            <w:r>
              <w:rPr>
                <w:rFonts w:hint="default"/>
                <w:sz w:val="24"/>
                <w:szCs w:val="32"/>
                <w:lang w:val="en-US" w:eastAsia="zh-CN"/>
              </w:rPr>
              <w:t>料、</w:t>
            </w:r>
            <w:r>
              <w:rPr>
                <w:rFonts w:hint="eastAsia"/>
                <w:sz w:val="24"/>
                <w:szCs w:val="32"/>
                <w:lang w:val="en-US" w:eastAsia="zh-CN"/>
              </w:rPr>
              <w:t>筛分、粉碎、包装工序无</w:t>
            </w:r>
            <w:r>
              <w:rPr>
                <w:rFonts w:hint="default"/>
                <w:sz w:val="24"/>
                <w:szCs w:val="32"/>
                <w:lang w:val="en-US" w:eastAsia="zh-CN"/>
              </w:rPr>
              <w:t>组织颗粒物排放量为</w:t>
            </w:r>
            <w:r>
              <w:rPr>
                <w:rFonts w:hint="eastAsia"/>
                <w:sz w:val="24"/>
                <w:szCs w:val="32"/>
                <w:lang w:val="en-US" w:eastAsia="zh-CN"/>
              </w:rPr>
              <w:t>0.79</w:t>
            </w:r>
            <w:r>
              <w:rPr>
                <w:rFonts w:hint="default"/>
                <w:sz w:val="24"/>
                <w:szCs w:val="32"/>
                <w:lang w:val="en-US" w:eastAsia="zh-CN"/>
              </w:rPr>
              <w:t>t/a</w:t>
            </w:r>
            <w:r>
              <w:rPr>
                <w:rFonts w:hint="eastAsia"/>
                <w:sz w:val="24"/>
                <w:szCs w:val="32"/>
                <w:lang w:val="en-US" w:eastAsia="zh-CN"/>
              </w:rPr>
              <w:t>，</w:t>
            </w:r>
            <w:r>
              <w:rPr>
                <w:rFonts w:hint="eastAsia" w:cs="Times New Roman"/>
                <w:b w:val="0"/>
                <w:bCs w:val="0"/>
                <w:color w:val="000000"/>
                <w:kern w:val="0"/>
                <w:sz w:val="24"/>
                <w:szCs w:val="24"/>
                <w:lang w:val="en-US" w:eastAsia="zh-CN" w:bidi="ar"/>
              </w:rPr>
              <w:t>物料</w:t>
            </w:r>
            <w:r>
              <w:rPr>
                <w:rFonts w:ascii="Times New Roman" w:hAnsi="Times New Roman" w:eastAsia="宋体" w:cs="Times New Roman"/>
                <w:b w:val="0"/>
                <w:bCs w:val="0"/>
                <w:color w:val="000000"/>
                <w:kern w:val="0"/>
                <w:sz w:val="24"/>
                <w:szCs w:val="24"/>
                <w:lang w:val="en-US" w:eastAsia="zh-CN" w:bidi="ar"/>
              </w:rPr>
              <w:t>堆存及装卸</w:t>
            </w:r>
            <w:r>
              <w:rPr>
                <w:rFonts w:hint="eastAsia" w:cs="Times New Roman"/>
                <w:b w:val="0"/>
                <w:bCs w:val="0"/>
                <w:color w:val="000000"/>
                <w:kern w:val="0"/>
                <w:sz w:val="24"/>
                <w:szCs w:val="24"/>
                <w:lang w:val="en-US" w:eastAsia="zh-CN" w:bidi="ar"/>
              </w:rPr>
              <w:t>扬尘</w:t>
            </w:r>
            <w:r>
              <w:rPr>
                <w:rFonts w:hint="eastAsia"/>
                <w:sz w:val="24"/>
                <w:szCs w:val="32"/>
                <w:lang w:val="en-US" w:eastAsia="zh-CN"/>
              </w:rPr>
              <w:t>无</w:t>
            </w:r>
            <w:r>
              <w:rPr>
                <w:rFonts w:hint="default"/>
                <w:sz w:val="24"/>
                <w:szCs w:val="32"/>
                <w:lang w:val="en-US" w:eastAsia="zh-CN"/>
              </w:rPr>
              <w:t>组织颗粒物排放量为</w:t>
            </w:r>
            <w:r>
              <w:rPr>
                <w:rFonts w:hint="eastAsia"/>
                <w:sz w:val="24"/>
                <w:szCs w:val="32"/>
                <w:lang w:val="en-US" w:eastAsia="zh-CN"/>
              </w:rPr>
              <w:t>0.19</w:t>
            </w:r>
            <w:r>
              <w:rPr>
                <w:rFonts w:hint="default"/>
                <w:sz w:val="24"/>
                <w:szCs w:val="32"/>
                <w:lang w:val="en-US" w:eastAsia="zh-CN"/>
              </w:rPr>
              <w:t>t/a</w:t>
            </w:r>
            <w:r>
              <w:rPr>
                <w:rFonts w:hint="eastAsia"/>
                <w:sz w:val="24"/>
                <w:szCs w:val="32"/>
                <w:lang w:val="en-US" w:eastAsia="zh-CN"/>
              </w:rPr>
              <w:t>，则全厂无</w:t>
            </w:r>
            <w:r>
              <w:rPr>
                <w:rFonts w:hint="default"/>
                <w:sz w:val="24"/>
                <w:szCs w:val="32"/>
                <w:lang w:val="en-US" w:eastAsia="zh-CN"/>
              </w:rPr>
              <w:t>组织颗粒物排放量为</w:t>
            </w:r>
            <w:r>
              <w:rPr>
                <w:rFonts w:hint="eastAsia"/>
                <w:sz w:val="24"/>
                <w:szCs w:val="32"/>
                <w:lang w:val="en-US" w:eastAsia="zh-CN"/>
              </w:rPr>
              <w:t>0.98t/a，排放速率为0.41kg/h。项目产生的颗粒物</w:t>
            </w:r>
            <w:r>
              <w:rPr>
                <w:color w:val="000000"/>
                <w:kern w:val="0"/>
                <w:sz w:val="24"/>
              </w:rPr>
              <w:t>比空气密度大，容易沉降，故漂浮到空气中的形成粉尘的量较小</w:t>
            </w:r>
            <w:r>
              <w:rPr>
                <w:rFonts w:hint="eastAsia"/>
                <w:color w:val="000000"/>
                <w:kern w:val="0"/>
                <w:sz w:val="24"/>
                <w:lang w:eastAsia="zh-CN"/>
              </w:rPr>
              <w:t>，</w:t>
            </w:r>
            <w:r>
              <w:rPr>
                <w:rFonts w:hint="eastAsia"/>
                <w:sz w:val="24"/>
                <w:szCs w:val="32"/>
                <w:lang w:val="en-US" w:eastAsia="zh-CN"/>
              </w:rPr>
              <w:t>产生的无组织颗粒物沉降在厂房内，由人工清扫收集后回用于生产。</w:t>
            </w:r>
            <w:r>
              <w:rPr>
                <w:rFonts w:hint="default" w:ascii="Times New Roman" w:hAnsi="Times New Roman" w:cs="Times New Roman"/>
                <w:sz w:val="24"/>
                <w:highlight w:val="none"/>
                <w:lang w:val="en-US" w:eastAsia="zh-CN"/>
              </w:rPr>
              <w:t>项目无组织颗粒物的排放浓度</w:t>
            </w:r>
            <w:r>
              <w:rPr>
                <w:rFonts w:hint="default" w:ascii="Times New Roman" w:hAnsi="Times New Roman" w:cs="Times New Roman"/>
                <w:sz w:val="24"/>
                <w:highlight w:val="none"/>
              </w:rPr>
              <w:t>可满足《大气污染物综合排放标准》</w:t>
            </w:r>
            <w:r>
              <w:rPr>
                <w:rFonts w:hint="default" w:ascii="Times New Roman" w:hAnsi="Times New Roman" w:cs="Times New Roman"/>
                <w:sz w:val="24"/>
              </w:rPr>
              <w:t>（GB16297-1996）无组织颗粒物排放浓度1mg/m</w:t>
            </w:r>
            <w:r>
              <w:rPr>
                <w:rFonts w:hint="default" w:ascii="Times New Roman" w:hAnsi="Times New Roman" w:cs="Times New Roman"/>
                <w:sz w:val="24"/>
                <w:vertAlign w:val="superscript"/>
              </w:rPr>
              <w:t>3</w:t>
            </w:r>
            <w:r>
              <w:rPr>
                <w:rFonts w:hint="default" w:ascii="Times New Roman" w:hAnsi="Times New Roman" w:cs="Times New Roman"/>
                <w:sz w:val="24"/>
              </w:rPr>
              <w:t>的限值要求</w:t>
            </w:r>
            <w:r>
              <w:rPr>
                <w:rFonts w:hint="default" w:ascii="Times New Roman" w:hAnsi="Times New Roman" w:cs="Times New Roman"/>
                <w:sz w:val="24"/>
                <w:lang w:eastAsia="zh-CN"/>
              </w:rPr>
              <w:t>。</w:t>
            </w:r>
            <w:r>
              <w:rPr>
                <w:rFonts w:hint="default" w:ascii="Times New Roman" w:hAnsi="Times New Roman" w:cs="Times New Roman"/>
                <w:sz w:val="24"/>
              </w:rPr>
              <w:t>对周围环境影响不大。</w:t>
            </w:r>
          </w:p>
          <w:p>
            <w:pPr>
              <w:pStyle w:val="2"/>
              <w:spacing w:line="360" w:lineRule="auto"/>
              <w:rPr>
                <w:rFonts w:hint="default" w:ascii="Times New Roman" w:hAnsi="Times New Roman" w:cs="Times New Roman"/>
                <w:sz w:val="24"/>
                <w:lang w:val="en-US" w:eastAsia="zh-CN"/>
              </w:rPr>
            </w:pPr>
            <w:bookmarkStart w:id="2" w:name="_GoBack"/>
            <w:r>
              <w:rPr>
                <w:rFonts w:hint="default" w:ascii="Times New Roman" w:hAnsi="Times New Roman" w:cs="Times New Roman"/>
                <w:sz w:val="24"/>
                <w:lang w:val="en-US" w:eastAsia="zh-CN"/>
              </w:rPr>
              <w:t>本项目无组织废气污染物排放情况及治理措施可行性分析见下表4-</w:t>
            </w:r>
            <w:r>
              <w:rPr>
                <w:rFonts w:hint="eastAsia" w:cs="Times New Roman"/>
                <w:sz w:val="24"/>
                <w:lang w:val="en-US" w:eastAsia="zh-CN"/>
              </w:rPr>
              <w:t>1</w:t>
            </w:r>
          </w:p>
          <w:p>
            <w:pPr>
              <w:pStyle w:val="2"/>
              <w:jc w:val="center"/>
              <w:rPr>
                <w:rFonts w:ascii="Times New Roman" w:hAnsi="Times New Roman" w:eastAsia="宋体" w:cs="Times New Roman"/>
                <w:b/>
                <w:bCs/>
                <w:color w:val="000000"/>
                <w:sz w:val="21"/>
                <w:szCs w:val="21"/>
              </w:rPr>
            </w:pPr>
            <w:r>
              <w:rPr>
                <w:rFonts w:hint="default" w:ascii="Times New Roman" w:hAnsi="Times New Roman" w:cs="Times New Roman"/>
                <w:b/>
                <w:bCs/>
                <w:sz w:val="21"/>
                <w:szCs w:val="21"/>
                <w:lang w:val="en-US" w:eastAsia="zh-CN"/>
              </w:rPr>
              <w:t>表4-</w:t>
            </w:r>
            <w:r>
              <w:rPr>
                <w:rFonts w:hint="eastAsia" w:cs="Times New Roman"/>
                <w:b/>
                <w:bCs/>
                <w:sz w:val="21"/>
                <w:szCs w:val="21"/>
                <w:lang w:val="en-US" w:eastAsia="zh-CN"/>
              </w:rPr>
              <w:t>1</w:t>
            </w:r>
            <w:r>
              <w:rPr>
                <w:rFonts w:hint="default" w:ascii="Times New Roman" w:hAnsi="Times New Roman" w:cs="Times New Roman"/>
                <w:b/>
                <w:bCs/>
                <w:sz w:val="21"/>
                <w:szCs w:val="21"/>
                <w:lang w:val="en-US" w:eastAsia="zh-CN"/>
              </w:rPr>
              <w:t xml:space="preserve"> </w:t>
            </w:r>
            <w:r>
              <w:rPr>
                <w:rFonts w:ascii="Times New Roman" w:hAnsi="Times New Roman" w:eastAsia="宋体" w:cs="Times New Roman"/>
                <w:b/>
                <w:bCs/>
                <w:color w:val="000000"/>
                <w:sz w:val="21"/>
                <w:szCs w:val="21"/>
              </w:rPr>
              <w:t>本项目大气污染物无组织排放情况及可行性分析</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466"/>
              <w:gridCol w:w="637"/>
              <w:gridCol w:w="685"/>
              <w:gridCol w:w="1569"/>
              <w:gridCol w:w="1283"/>
              <w:gridCol w:w="935"/>
              <w:gridCol w:w="636"/>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Merge w:val="restar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污染源</w:t>
                  </w:r>
                </w:p>
              </w:tc>
              <w:tc>
                <w:tcPr>
                  <w:tcW w:w="307" w:type="pct"/>
                  <w:vMerge w:val="restar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污染物</w:t>
                  </w:r>
                </w:p>
              </w:tc>
              <w:tc>
                <w:tcPr>
                  <w:tcW w:w="867" w:type="pct"/>
                  <w:gridSpan w:val="2"/>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污染物排放情况</w:t>
                  </w:r>
                </w:p>
              </w:tc>
              <w:tc>
                <w:tcPr>
                  <w:tcW w:w="1862" w:type="pct"/>
                  <w:gridSpan w:val="2"/>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排放标准</w:t>
                  </w:r>
                </w:p>
              </w:tc>
              <w:tc>
                <w:tcPr>
                  <w:tcW w:w="1380" w:type="pct"/>
                  <w:gridSpan w:val="3"/>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治理措施可行性分析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Merge w:val="continue"/>
                  <w:vAlign w:val="center"/>
                </w:tcPr>
                <w:p>
                  <w:pPr>
                    <w:jc w:val="center"/>
                    <w:rPr>
                      <w:rFonts w:hint="default" w:ascii="Times New Roman" w:hAnsi="Times New Roman" w:cs="Times New Roman"/>
                      <w:lang w:val="en-US" w:eastAsia="zh-CN"/>
                    </w:rPr>
                  </w:pPr>
                </w:p>
              </w:tc>
              <w:tc>
                <w:tcPr>
                  <w:tcW w:w="307" w:type="pct"/>
                  <w:vMerge w:val="continue"/>
                  <w:vAlign w:val="center"/>
                </w:tcPr>
                <w:p>
                  <w:pPr>
                    <w:jc w:val="center"/>
                    <w:rPr>
                      <w:rFonts w:hint="default" w:ascii="Times New Roman" w:hAnsi="Times New Roman" w:cs="Times New Roman"/>
                      <w:lang w:val="en-US" w:eastAsia="zh-CN"/>
                    </w:rPr>
                  </w:pPr>
                </w:p>
              </w:tc>
              <w:tc>
                <w:tcPr>
                  <w:tcW w:w="418"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排放量t/a</w:t>
                  </w:r>
                </w:p>
              </w:tc>
              <w:tc>
                <w:tcPr>
                  <w:tcW w:w="448"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排放速率kg/h</w:t>
                  </w:r>
                </w:p>
              </w:tc>
              <w:tc>
                <w:tcPr>
                  <w:tcW w:w="1024"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标准名称</w:t>
                  </w:r>
                </w:p>
              </w:tc>
              <w:tc>
                <w:tcPr>
                  <w:tcW w:w="838"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浓度限值（mg/m</w:t>
                  </w:r>
                  <w:r>
                    <w:rPr>
                      <w:rFonts w:hint="default" w:ascii="Times New Roman" w:hAnsi="Times New Roman" w:eastAsia="宋体" w:cs="Times New Roman"/>
                      <w:b w:val="0"/>
                      <w:bCs w:val="0"/>
                      <w:color w:val="000000"/>
                      <w:sz w:val="21"/>
                      <w:szCs w:val="24"/>
                      <w:vertAlign w:val="superscript"/>
                      <w:lang w:val="en-US" w:eastAsia="zh-CN"/>
                    </w:rPr>
                    <w:t>3</w:t>
                  </w:r>
                  <w:r>
                    <w:rPr>
                      <w:rFonts w:hint="default" w:ascii="Times New Roman" w:hAnsi="Times New Roman" w:cs="Times New Roman"/>
                      <w:lang w:val="en-US" w:eastAsia="zh-CN"/>
                    </w:rPr>
                    <w:t>）</w:t>
                  </w:r>
                </w:p>
              </w:tc>
              <w:tc>
                <w:tcPr>
                  <w:tcW w:w="612"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可采取的污染治理措施</w:t>
                  </w:r>
                </w:p>
              </w:tc>
              <w:tc>
                <w:tcPr>
                  <w:tcW w:w="383"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本项目采取的措施</w:t>
                  </w:r>
                </w:p>
              </w:tc>
              <w:tc>
                <w:tcPr>
                  <w:tcW w:w="384"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是否为可行性技术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Align w:val="center"/>
                </w:tcPr>
                <w:p>
                  <w:pPr>
                    <w:jc w:val="center"/>
                    <w:rPr>
                      <w:rFonts w:hint="default" w:ascii="Times New Roman" w:hAnsi="Times New Roman" w:cs="Times New Roman"/>
                      <w:lang w:val="en-US" w:eastAsia="zh-CN"/>
                    </w:rPr>
                  </w:pPr>
                  <w:r>
                    <w:rPr>
                      <w:rFonts w:hint="eastAsia" w:cs="Times New Roman"/>
                      <w:lang w:val="en-US" w:eastAsia="zh-CN"/>
                    </w:rPr>
                    <w:t>进料、筛分、粉碎、包装工序</w:t>
                  </w:r>
                </w:p>
              </w:tc>
              <w:tc>
                <w:tcPr>
                  <w:tcW w:w="307"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颗粒物</w:t>
                  </w:r>
                </w:p>
              </w:tc>
              <w:tc>
                <w:tcPr>
                  <w:tcW w:w="418" w:type="pct"/>
                  <w:vAlign w:val="center"/>
                </w:tcPr>
                <w:p>
                  <w:pPr>
                    <w:jc w:val="center"/>
                    <w:rPr>
                      <w:rFonts w:hint="default" w:ascii="Times New Roman" w:hAnsi="Times New Roman" w:cs="Times New Roman"/>
                      <w:lang w:val="en-US" w:eastAsia="zh-CN"/>
                    </w:rPr>
                  </w:pPr>
                  <w:r>
                    <w:rPr>
                      <w:rFonts w:hint="eastAsia" w:cs="Times New Roman"/>
                      <w:lang w:val="en-US" w:eastAsia="zh-CN"/>
                    </w:rPr>
                    <w:t>0.79</w:t>
                  </w:r>
                </w:p>
              </w:tc>
              <w:tc>
                <w:tcPr>
                  <w:tcW w:w="448" w:type="pct"/>
                  <w:vAlign w:val="center"/>
                </w:tcPr>
                <w:p>
                  <w:pPr>
                    <w:jc w:val="center"/>
                    <w:rPr>
                      <w:rFonts w:hint="default" w:ascii="Times New Roman" w:hAnsi="Times New Roman" w:cs="Times New Roman"/>
                      <w:lang w:val="en-US" w:eastAsia="zh-CN"/>
                    </w:rPr>
                  </w:pPr>
                  <w:r>
                    <w:rPr>
                      <w:rFonts w:hint="eastAsia" w:cs="Times New Roman"/>
                      <w:lang w:val="en-US" w:eastAsia="zh-CN"/>
                    </w:rPr>
                    <w:t>0.33</w:t>
                  </w:r>
                </w:p>
              </w:tc>
              <w:tc>
                <w:tcPr>
                  <w:tcW w:w="1024" w:type="pct"/>
                  <w:vAlign w:val="center"/>
                </w:tcPr>
                <w:p>
                  <w:pPr>
                    <w:jc w:val="center"/>
                    <w:rPr>
                      <w:rFonts w:hint="default" w:ascii="Times New Roman" w:hAnsi="Times New Roman" w:cs="Times New Roman"/>
                      <w:lang w:val="en-US" w:eastAsia="zh-CN"/>
                    </w:rPr>
                  </w:pPr>
                  <w:r>
                    <w:rPr>
                      <w:rFonts w:ascii="Times New Roman" w:hAnsi="Times New Roman" w:cs="Times New Roman"/>
                    </w:rPr>
                    <w:t xml:space="preserve">《大气污 染物综合 排放标准》 </w:t>
                  </w:r>
                  <w:r>
                    <w:rPr>
                      <w:rFonts w:hint="default" w:ascii="Times New Roman" w:hAnsi="Times New Roman" w:cs="Times New Roman"/>
                      <w:lang w:eastAsia="zh-CN"/>
                    </w:rPr>
                    <w:t>（</w:t>
                  </w:r>
                  <w:r>
                    <w:rPr>
                      <w:rFonts w:ascii="Times New Roman" w:hAnsi="Times New Roman" w:cs="Times New Roman"/>
                    </w:rPr>
                    <w:t>GB1629 7-1996）</w:t>
                  </w:r>
                </w:p>
              </w:tc>
              <w:tc>
                <w:tcPr>
                  <w:tcW w:w="838"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612" w:type="pct"/>
                  <w:vAlign w:val="center"/>
                </w:tcPr>
                <w:p>
                  <w:pPr>
                    <w:jc w:val="center"/>
                    <w:rPr>
                      <w:rFonts w:hint="eastAsia" w:ascii="Times New Roman" w:hAnsi="Times New Roman" w:eastAsia="宋体" w:cs="Times New Roman"/>
                      <w:lang w:val="en-US" w:eastAsia="zh-CN"/>
                    </w:rPr>
                  </w:pPr>
                  <w:r>
                    <w:rPr>
                      <w:rFonts w:ascii="Times New Roman" w:hAnsi="Times New Roman" w:cs="Times New Roman"/>
                    </w:rPr>
                    <w:t>加强密闭、收集送除尘装置处理</w:t>
                  </w:r>
                  <w:r>
                    <w:rPr>
                      <w:rFonts w:hint="eastAsia" w:cs="Times New Roman"/>
                      <w:lang w:val="en-US" w:eastAsia="zh-CN"/>
                    </w:rPr>
                    <w:t>等</w:t>
                  </w:r>
                </w:p>
              </w:tc>
              <w:tc>
                <w:tcPr>
                  <w:tcW w:w="383" w:type="pct"/>
                  <w:vAlign w:val="center"/>
                </w:tcPr>
                <w:p>
                  <w:pPr>
                    <w:jc w:val="center"/>
                    <w:rPr>
                      <w:rFonts w:hint="default" w:ascii="Times New Roman" w:hAnsi="Times New Roman" w:eastAsia="宋体" w:cs="Times New Roman"/>
                      <w:lang w:val="en-US" w:eastAsia="zh-CN"/>
                    </w:rPr>
                  </w:pPr>
                  <w:r>
                    <w:rPr>
                      <w:rFonts w:ascii="Times New Roman" w:hAnsi="Times New Roman" w:cs="Times New Roman"/>
                    </w:rPr>
                    <w:t>车间封闭</w:t>
                  </w:r>
                  <w:r>
                    <w:rPr>
                      <w:rFonts w:hint="eastAsia" w:cs="Times New Roman"/>
                      <w:lang w:eastAsia="zh-CN"/>
                    </w:rPr>
                    <w:t>、</w:t>
                  </w:r>
                  <w:r>
                    <w:rPr>
                      <w:rFonts w:hint="eastAsia" w:cs="Times New Roman"/>
                      <w:lang w:val="en-US" w:eastAsia="zh-CN"/>
                    </w:rPr>
                    <w:t>洒水</w:t>
                  </w:r>
                </w:p>
              </w:tc>
              <w:tc>
                <w:tcPr>
                  <w:tcW w:w="384"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pct"/>
                  <w:vAlign w:val="center"/>
                </w:tcPr>
                <w:p>
                  <w:pPr>
                    <w:jc w:val="center"/>
                    <w:rPr>
                      <w:rFonts w:hint="default" w:cs="Times New Roman"/>
                      <w:lang w:val="en-US" w:eastAsia="zh-CN"/>
                    </w:rPr>
                  </w:pPr>
                  <w:r>
                    <w:rPr>
                      <w:rFonts w:hint="eastAsia" w:cs="Times New Roman"/>
                      <w:lang w:val="en-US" w:eastAsia="zh-CN"/>
                    </w:rPr>
                    <w:t>物料堆存及装卸扬尘</w:t>
                  </w:r>
                </w:p>
              </w:tc>
              <w:tc>
                <w:tcPr>
                  <w:tcW w:w="307" w:type="pct"/>
                  <w:vAlign w:val="center"/>
                </w:tcPr>
                <w:p>
                  <w:pPr>
                    <w:jc w:val="center"/>
                    <w:rPr>
                      <w:rFonts w:hint="default" w:ascii="Times New Roman" w:hAnsi="Times New Roman" w:cs="Times New Roman"/>
                      <w:lang w:val="en-US" w:eastAsia="zh-CN"/>
                    </w:rPr>
                  </w:pPr>
                  <w:r>
                    <w:rPr>
                      <w:rFonts w:hint="eastAsia" w:cs="Times New Roman"/>
                      <w:lang w:val="en-US" w:eastAsia="zh-CN"/>
                    </w:rPr>
                    <w:t>颗粒物</w:t>
                  </w:r>
                </w:p>
              </w:tc>
              <w:tc>
                <w:tcPr>
                  <w:tcW w:w="418" w:type="pct"/>
                  <w:vAlign w:val="center"/>
                </w:tcPr>
                <w:p>
                  <w:pPr>
                    <w:jc w:val="center"/>
                    <w:rPr>
                      <w:rFonts w:hint="default" w:cs="Times New Roman"/>
                      <w:lang w:val="en-US" w:eastAsia="zh-CN"/>
                    </w:rPr>
                  </w:pPr>
                  <w:r>
                    <w:rPr>
                      <w:rFonts w:hint="eastAsia" w:cs="Times New Roman"/>
                      <w:lang w:val="en-US" w:eastAsia="zh-CN"/>
                    </w:rPr>
                    <w:t>0.19</w:t>
                  </w:r>
                </w:p>
              </w:tc>
              <w:tc>
                <w:tcPr>
                  <w:tcW w:w="448" w:type="pct"/>
                  <w:vAlign w:val="center"/>
                </w:tcPr>
                <w:p>
                  <w:pPr>
                    <w:jc w:val="center"/>
                    <w:rPr>
                      <w:rFonts w:hint="default" w:ascii="Times New Roman" w:hAnsi="Times New Roman" w:cs="Times New Roman"/>
                      <w:lang w:val="en-US" w:eastAsia="zh-CN"/>
                    </w:rPr>
                  </w:pPr>
                  <w:r>
                    <w:rPr>
                      <w:rFonts w:hint="eastAsia" w:cs="Times New Roman"/>
                      <w:lang w:val="en-US" w:eastAsia="zh-CN"/>
                    </w:rPr>
                    <w:t>0.08</w:t>
                  </w:r>
                </w:p>
              </w:tc>
              <w:tc>
                <w:tcPr>
                  <w:tcW w:w="1024" w:type="pct"/>
                  <w:vAlign w:val="center"/>
                </w:tcPr>
                <w:p>
                  <w:pPr>
                    <w:jc w:val="center"/>
                    <w:rPr>
                      <w:rFonts w:ascii="Times New Roman" w:hAnsi="Times New Roman" w:cs="Times New Roman"/>
                    </w:rPr>
                  </w:pPr>
                  <w:r>
                    <w:rPr>
                      <w:rFonts w:ascii="Times New Roman" w:hAnsi="Times New Roman" w:cs="Times New Roman"/>
                    </w:rPr>
                    <w:t xml:space="preserve">《大气污 染物综合 排放标准》 </w:t>
                  </w:r>
                  <w:r>
                    <w:rPr>
                      <w:rFonts w:hint="default" w:ascii="Times New Roman" w:hAnsi="Times New Roman" w:cs="Times New Roman"/>
                      <w:lang w:eastAsia="zh-CN"/>
                    </w:rPr>
                    <w:t>（</w:t>
                  </w:r>
                  <w:r>
                    <w:rPr>
                      <w:rFonts w:ascii="Times New Roman" w:hAnsi="Times New Roman" w:cs="Times New Roman"/>
                    </w:rPr>
                    <w:t>GB1629 7-1996）</w:t>
                  </w:r>
                </w:p>
              </w:tc>
              <w:tc>
                <w:tcPr>
                  <w:tcW w:w="838" w:type="pct"/>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612" w:type="pct"/>
                  <w:vAlign w:val="center"/>
                </w:tcPr>
                <w:p>
                  <w:pPr>
                    <w:jc w:val="center"/>
                    <w:rPr>
                      <w:rFonts w:hint="default" w:ascii="Times New Roman" w:hAnsi="Times New Roman" w:eastAsia="宋体" w:cs="Times New Roman"/>
                      <w:lang w:val="en-US" w:eastAsia="zh-CN"/>
                    </w:rPr>
                  </w:pPr>
                  <w:r>
                    <w:rPr>
                      <w:rFonts w:ascii="Times New Roman" w:hAnsi="Times New Roman" w:cs="Times New Roman"/>
                    </w:rPr>
                    <w:t>加强密闭</w:t>
                  </w:r>
                  <w:r>
                    <w:rPr>
                      <w:rFonts w:hint="eastAsia" w:cs="Times New Roman"/>
                      <w:lang w:eastAsia="zh-CN"/>
                    </w:rPr>
                    <w:t>、</w:t>
                  </w:r>
                  <w:r>
                    <w:rPr>
                      <w:rFonts w:hint="eastAsia" w:cs="Times New Roman"/>
                      <w:lang w:val="en-US" w:eastAsia="zh-CN"/>
                    </w:rPr>
                    <w:t>洒水</w:t>
                  </w:r>
                </w:p>
              </w:tc>
              <w:tc>
                <w:tcPr>
                  <w:tcW w:w="383" w:type="pct"/>
                  <w:vAlign w:val="center"/>
                </w:tcPr>
                <w:p>
                  <w:pPr>
                    <w:jc w:val="center"/>
                    <w:rPr>
                      <w:rFonts w:hint="default" w:ascii="Times New Roman" w:hAnsi="Times New Roman" w:eastAsia="宋体" w:cs="Times New Roman"/>
                      <w:lang w:val="en-US" w:eastAsia="zh-CN"/>
                    </w:rPr>
                  </w:pPr>
                  <w:r>
                    <w:rPr>
                      <w:rFonts w:hint="eastAsia" w:cs="Times New Roman"/>
                      <w:lang w:val="en-US" w:eastAsia="zh-CN"/>
                    </w:rPr>
                    <w:t>车间封闭、洒水</w:t>
                  </w:r>
                </w:p>
              </w:tc>
              <w:tc>
                <w:tcPr>
                  <w:tcW w:w="384" w:type="pct"/>
                  <w:vAlign w:val="center"/>
                </w:tcPr>
                <w:p>
                  <w:pPr>
                    <w:jc w:val="center"/>
                    <w:rPr>
                      <w:rFonts w:hint="default" w:ascii="Times New Roman" w:hAnsi="Times New Roman" w:cs="Times New Roman"/>
                      <w:lang w:val="en-US" w:eastAsia="zh-CN"/>
                    </w:rPr>
                  </w:pPr>
                  <w:r>
                    <w:rPr>
                      <w:rFonts w:hint="eastAsia" w:cs="Times New Roman"/>
                      <w:lang w:val="en-US" w:eastAsia="zh-CN"/>
                    </w:rPr>
                    <w:t>是</w:t>
                  </w:r>
                </w:p>
              </w:tc>
            </w:tr>
          </w:tbl>
          <w:p>
            <w:pPr>
              <w:spacing w:line="360" w:lineRule="auto"/>
              <w:ind w:firstLine="480" w:firstLineChars="200"/>
              <w:rPr>
                <w:rFonts w:hint="default"/>
                <w:sz w:val="24"/>
                <w:lang w:val="en-US" w:eastAsia="zh-CN"/>
              </w:rPr>
            </w:pPr>
            <w:r>
              <w:rPr>
                <w:rFonts w:hint="eastAsia"/>
                <w:sz w:val="24"/>
                <w:lang w:val="en-US" w:eastAsia="zh-CN"/>
              </w:rPr>
              <w:t>物料堆存及装卸扬尘，进料、筛分、粉碎、包装工序</w:t>
            </w:r>
            <w:r>
              <w:rPr>
                <w:sz w:val="24"/>
              </w:rPr>
              <w:t>未</w:t>
            </w:r>
            <w:r>
              <w:rPr>
                <w:rFonts w:hint="eastAsia"/>
                <w:sz w:val="24"/>
                <w:lang w:val="en-US" w:eastAsia="zh-CN"/>
              </w:rPr>
              <w:t>被</w:t>
            </w:r>
            <w:r>
              <w:rPr>
                <w:sz w:val="24"/>
              </w:rPr>
              <w:t>收集的粉尘于车间内无组织排放，项目车间生产时采取全封闭措施</w:t>
            </w:r>
            <w:r>
              <w:rPr>
                <w:rFonts w:hint="eastAsia"/>
                <w:sz w:val="24"/>
                <w:lang w:eastAsia="zh-CN"/>
              </w:rPr>
              <w:t>，</w:t>
            </w:r>
            <w:r>
              <w:rPr>
                <w:rFonts w:hint="eastAsia"/>
                <w:sz w:val="24"/>
                <w:lang w:val="en-US" w:eastAsia="zh-CN"/>
              </w:rPr>
              <w:t>且筛分、粉碎、包装工序使用的设备均为国内先进设备，设备内部形成封闭式环境，绝大部分无组织颗粒物沉降在设备内部，逸散至生产车间内的无组织颗粒物量较小，经洒水降尘措施处理后，对周围环境影响不大；</w:t>
            </w:r>
            <w:r>
              <w:rPr>
                <w:rFonts w:ascii="Times New Roman" w:hAnsi="Times New Roman" w:eastAsia="宋体" w:cs="Times New Roman"/>
                <w:b w:val="0"/>
                <w:bCs w:val="0"/>
                <w:color w:val="000000"/>
                <w:kern w:val="0"/>
                <w:sz w:val="24"/>
                <w:szCs w:val="24"/>
                <w:lang w:val="en-US" w:eastAsia="zh-CN" w:bidi="ar"/>
              </w:rPr>
              <w:t>项目</w:t>
            </w:r>
            <w:r>
              <w:rPr>
                <w:rFonts w:hint="eastAsia" w:cs="Times New Roman"/>
                <w:b w:val="0"/>
                <w:bCs w:val="0"/>
                <w:color w:val="000000"/>
                <w:kern w:val="0"/>
                <w:sz w:val="24"/>
                <w:szCs w:val="24"/>
                <w:lang w:val="en-US" w:eastAsia="zh-CN" w:bidi="ar"/>
              </w:rPr>
              <w:t>的</w:t>
            </w:r>
            <w:r>
              <w:rPr>
                <w:rFonts w:ascii="Times New Roman" w:hAnsi="Times New Roman" w:eastAsia="宋体" w:cs="Times New Roman"/>
                <w:b w:val="0"/>
                <w:bCs w:val="0"/>
                <w:color w:val="000000"/>
                <w:kern w:val="0"/>
                <w:sz w:val="24"/>
                <w:szCs w:val="24"/>
                <w:lang w:val="en-US" w:eastAsia="zh-CN" w:bidi="ar"/>
              </w:rPr>
              <w:t>堆场类型属于密闭式</w:t>
            </w:r>
            <w:r>
              <w:rPr>
                <w:rFonts w:hint="eastAsia" w:cs="Times New Roman"/>
                <w:b w:val="0"/>
                <w:bCs w:val="0"/>
                <w:color w:val="000000"/>
                <w:kern w:val="0"/>
                <w:sz w:val="24"/>
                <w:szCs w:val="24"/>
                <w:lang w:val="en-US" w:eastAsia="zh-CN" w:bidi="ar"/>
              </w:rPr>
              <w:t>，</w:t>
            </w:r>
            <w:r>
              <w:rPr>
                <w:rFonts w:hint="eastAsia"/>
                <w:sz w:val="24"/>
                <w:lang w:val="en-US" w:eastAsia="zh-CN"/>
              </w:rPr>
              <w:t>物料堆存及装卸扬尘经洒水降尘措施处理后，对周围环境影响不大。项目产生的无组织颗粒物经人工收集后回用于生产。</w:t>
            </w:r>
            <w:r>
              <w:rPr>
                <w:sz w:val="24"/>
              </w:rPr>
              <w:t xml:space="preserve">本项目采取的无组织控制措施符合《排污许可证申请与核发技术规范 </w:t>
            </w:r>
            <w:r>
              <w:rPr>
                <w:rFonts w:hint="eastAsia"/>
                <w:sz w:val="24"/>
                <w:lang w:val="en-US" w:eastAsia="zh-CN"/>
              </w:rPr>
              <w:t>磷肥、钾肥、复混肥料、有机肥料及微生物肥料工业</w:t>
            </w:r>
            <w:r>
              <w:rPr>
                <w:sz w:val="24"/>
              </w:rPr>
              <w:t>》（</w:t>
            </w:r>
            <w:r>
              <w:rPr>
                <w:rFonts w:hint="default"/>
                <w:sz w:val="24"/>
              </w:rPr>
              <w:t>HJ86</w:t>
            </w:r>
            <w:r>
              <w:rPr>
                <w:rFonts w:hint="eastAsia"/>
                <w:sz w:val="24"/>
                <w:lang w:val="en-US" w:eastAsia="zh-CN"/>
              </w:rPr>
              <w:t>4</w:t>
            </w:r>
            <w:r>
              <w:rPr>
                <w:rFonts w:hint="default"/>
                <w:sz w:val="24"/>
              </w:rPr>
              <w:t>.2-2018</w:t>
            </w:r>
            <w:r>
              <w:rPr>
                <w:sz w:val="24"/>
              </w:rPr>
              <w:t>）的要求。</w:t>
            </w:r>
          </w:p>
          <w:bookmarkEnd w:id="2"/>
          <w:p>
            <w:pPr>
              <w:pStyle w:val="5"/>
              <w:spacing w:line="360" w:lineRule="auto"/>
              <w:ind w:firstLine="480"/>
              <w:rPr>
                <w:rFonts w:hint="eastAsia" w:cs="Times New Roman"/>
                <w:b w:val="0"/>
                <w:bCs w:val="0"/>
                <w:sz w:val="24"/>
                <w:highlight w:val="none"/>
                <w:lang w:val="en-US" w:eastAsia="zh-CN"/>
              </w:rPr>
            </w:pPr>
            <w:r>
              <w:rPr>
                <w:rFonts w:hint="eastAsia" w:cs="Times New Roman"/>
                <w:b w:val="0"/>
                <w:bCs w:val="0"/>
                <w:sz w:val="24"/>
                <w:highlight w:val="none"/>
                <w:lang w:val="en-US" w:eastAsia="zh-CN"/>
              </w:rPr>
              <w:t>本项目废气排放情况见表4-2：</w:t>
            </w:r>
          </w:p>
          <w:p>
            <w:pPr>
              <w:spacing w:line="240" w:lineRule="auto"/>
              <w:jc w:val="center"/>
              <w:rPr>
                <w:rFonts w:hint="eastAsia"/>
                <w:highlight w:val="none"/>
                <w:lang w:val="en-US" w:eastAsia="zh-CN"/>
              </w:rPr>
            </w:pPr>
            <w:r>
              <w:rPr>
                <w:rFonts w:hint="default" w:ascii="Times New Roman" w:hAnsi="Times New Roman" w:eastAsia="宋体" w:cs="Times New Roman"/>
                <w:b/>
                <w:bCs/>
                <w:kern w:val="2"/>
                <w:sz w:val="21"/>
                <w:szCs w:val="21"/>
                <w:highlight w:val="none"/>
                <w:lang w:val="en-US" w:eastAsia="zh-CN" w:bidi="ar-SA"/>
              </w:rPr>
              <w:t>表</w:t>
            </w:r>
            <w:r>
              <w:rPr>
                <w:rFonts w:hint="default" w:ascii="Times New Roman" w:hAnsi="Times New Roman" w:eastAsia="黑体" w:cs="Times New Roman"/>
                <w:sz w:val="21"/>
                <w:szCs w:val="21"/>
                <w:highlight w:val="none"/>
              </w:rPr>
              <w:t>4-</w:t>
            </w:r>
            <w:r>
              <w:rPr>
                <w:rFonts w:hint="eastAsia" w:eastAsia="黑体" w:cs="Times New Roman"/>
                <w:sz w:val="21"/>
                <w:szCs w:val="21"/>
                <w:highlight w:val="none"/>
                <w:lang w:val="en-US" w:eastAsia="zh-CN"/>
              </w:rPr>
              <w:t>2</w:t>
            </w:r>
            <w:r>
              <w:rPr>
                <w:rFonts w:hint="default" w:ascii="Times New Roman" w:hAnsi="Times New Roman" w:eastAsia="黑体" w:cs="Times New Roman"/>
                <w:sz w:val="24"/>
                <w:highlight w:val="none"/>
                <w:lang w:val="en-US" w:eastAsia="zh-CN"/>
              </w:rPr>
              <w:t xml:space="preserve">  </w:t>
            </w:r>
            <w:r>
              <w:rPr>
                <w:rFonts w:hint="default" w:ascii="Times New Roman" w:hAnsi="Times New Roman" w:eastAsia="黑体" w:cs="Times New Roman"/>
                <w:sz w:val="24"/>
                <w:highlight w:val="none"/>
              </w:rPr>
              <w:t xml:space="preserve"> </w:t>
            </w:r>
            <w:r>
              <w:rPr>
                <w:rFonts w:hint="default" w:ascii="Times New Roman" w:hAnsi="Times New Roman" w:eastAsia="宋体" w:cs="Times New Roman"/>
                <w:b/>
                <w:bCs/>
                <w:kern w:val="2"/>
                <w:sz w:val="21"/>
                <w:szCs w:val="21"/>
                <w:highlight w:val="none"/>
                <w:lang w:val="en-US" w:eastAsia="zh-CN" w:bidi="ar-SA"/>
              </w:rPr>
              <w:t>废气排放情况一览表</w:t>
            </w:r>
          </w:p>
          <w:tbl>
            <w:tblPr>
              <w:tblStyle w:val="31"/>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86"/>
              <w:gridCol w:w="792"/>
              <w:gridCol w:w="946"/>
              <w:gridCol w:w="1219"/>
              <w:gridCol w:w="1956"/>
              <w:gridCol w:w="998"/>
              <w:gridCol w:w="129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2" w:hRule="atLeast"/>
                <w:jc w:val="center"/>
              </w:trPr>
              <w:tc>
                <w:tcPr>
                  <w:tcW w:w="486" w:type="dxa"/>
                  <w:tcBorders>
                    <w:tl2br w:val="nil"/>
                    <w:tr2bl w:val="nil"/>
                  </w:tcBorders>
                  <w:noWrap w:val="0"/>
                  <w:vAlign w:val="center"/>
                </w:tcPr>
                <w:p>
                  <w:pPr>
                    <w:widowControl/>
                    <w:spacing w:line="24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排放形式</w:t>
                  </w:r>
                </w:p>
              </w:tc>
              <w:tc>
                <w:tcPr>
                  <w:tcW w:w="792" w:type="dxa"/>
                  <w:tcBorders>
                    <w:tl2br w:val="nil"/>
                    <w:tr2bl w:val="nil"/>
                  </w:tcBorders>
                  <w:noWrap w:val="0"/>
                  <w:vAlign w:val="center"/>
                </w:tcPr>
                <w:p>
                  <w:pPr>
                    <w:widowControl/>
                    <w:spacing w:line="24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污染物</w:t>
                  </w:r>
                </w:p>
              </w:tc>
              <w:tc>
                <w:tcPr>
                  <w:tcW w:w="946" w:type="dxa"/>
                  <w:tcBorders>
                    <w:tl2br w:val="nil"/>
                    <w:tr2bl w:val="nil"/>
                  </w:tcBorders>
                  <w:noWrap w:val="0"/>
                  <w:vAlign w:val="center"/>
                </w:tcPr>
                <w:p>
                  <w:pPr>
                    <w:widowControl/>
                    <w:spacing w:line="24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产生量</w:t>
                  </w:r>
                </w:p>
                <w:p>
                  <w:pPr>
                    <w:pStyle w:val="39"/>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（t/a）</w:t>
                  </w:r>
                </w:p>
              </w:tc>
              <w:tc>
                <w:tcPr>
                  <w:tcW w:w="1219" w:type="dxa"/>
                  <w:tcBorders>
                    <w:tl2br w:val="nil"/>
                    <w:tr2bl w:val="nil"/>
                  </w:tcBorders>
                  <w:noWrap w:val="0"/>
                  <w:vAlign w:val="center"/>
                </w:tcPr>
                <w:p>
                  <w:pPr>
                    <w:widowControl/>
                    <w:spacing w:line="24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产生浓度</w:t>
                  </w:r>
                </w:p>
                <w:p>
                  <w:pPr>
                    <w:pStyle w:val="39"/>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（mg/m</w:t>
                  </w:r>
                  <w:r>
                    <w:rPr>
                      <w:rFonts w:hint="default" w:ascii="Times New Roman" w:hAnsi="Times New Roman" w:cs="Times New Roman"/>
                      <w:b/>
                      <w:bCs/>
                      <w:color w:val="auto"/>
                      <w:sz w:val="21"/>
                      <w:szCs w:val="21"/>
                      <w:highlight w:val="none"/>
                      <w:vertAlign w:val="superscript"/>
                    </w:rPr>
                    <w:t>3</w:t>
                  </w:r>
                  <w:r>
                    <w:rPr>
                      <w:rFonts w:hint="default" w:ascii="Times New Roman" w:hAnsi="Times New Roman" w:cs="Times New Roman"/>
                      <w:b/>
                      <w:bCs/>
                      <w:color w:val="auto"/>
                      <w:sz w:val="21"/>
                      <w:szCs w:val="21"/>
                      <w:highlight w:val="none"/>
                    </w:rPr>
                    <w:t>）</w:t>
                  </w:r>
                </w:p>
              </w:tc>
              <w:tc>
                <w:tcPr>
                  <w:tcW w:w="1956" w:type="dxa"/>
                  <w:tcBorders>
                    <w:tl2br w:val="nil"/>
                    <w:tr2bl w:val="nil"/>
                  </w:tcBorders>
                  <w:noWrap w:val="0"/>
                  <w:vAlign w:val="center"/>
                </w:tcPr>
                <w:p>
                  <w:pPr>
                    <w:widowControl/>
                    <w:spacing w:line="24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处理措施</w:t>
                  </w:r>
                </w:p>
              </w:tc>
              <w:tc>
                <w:tcPr>
                  <w:tcW w:w="998" w:type="dxa"/>
                  <w:tcBorders>
                    <w:tl2br w:val="nil"/>
                    <w:tr2bl w:val="nil"/>
                  </w:tcBorders>
                  <w:noWrap w:val="0"/>
                  <w:vAlign w:val="center"/>
                </w:tcPr>
                <w:p>
                  <w:pPr>
                    <w:widowControl/>
                    <w:spacing w:line="24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排放量（t/a）</w:t>
                  </w:r>
                </w:p>
              </w:tc>
              <w:tc>
                <w:tcPr>
                  <w:tcW w:w="1298" w:type="dxa"/>
                  <w:tcBorders>
                    <w:tl2br w:val="nil"/>
                    <w:tr2bl w:val="nil"/>
                  </w:tcBorders>
                  <w:noWrap w:val="0"/>
                  <w:vAlign w:val="center"/>
                </w:tcPr>
                <w:p>
                  <w:pPr>
                    <w:widowControl/>
                    <w:spacing w:line="240" w:lineRule="auto"/>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排放浓度（mg/m</w:t>
                  </w:r>
                  <w:r>
                    <w:rPr>
                      <w:rFonts w:hint="default" w:ascii="Times New Roman" w:hAnsi="Times New Roman" w:cs="Times New Roman"/>
                      <w:b/>
                      <w:bCs/>
                      <w:szCs w:val="21"/>
                      <w:highlight w:val="none"/>
                      <w:vertAlign w:val="superscript"/>
                    </w:rPr>
                    <w:t>3</w:t>
                  </w:r>
                  <w:r>
                    <w:rPr>
                      <w:rFonts w:hint="default" w:ascii="Times New Roman" w:hAnsi="Times New Roman" w:cs="Times New Roman"/>
                      <w:b/>
                      <w:bCs/>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66" w:hRule="atLeast"/>
                <w:jc w:val="center"/>
              </w:trPr>
              <w:tc>
                <w:tcPr>
                  <w:tcW w:w="486" w:type="dxa"/>
                  <w:vMerge w:val="restart"/>
                  <w:tcBorders>
                    <w:tl2br w:val="nil"/>
                    <w:tr2bl w:val="nil"/>
                  </w:tcBorders>
                  <w:noWrap w:val="0"/>
                  <w:vAlign w:val="center"/>
                </w:tcPr>
                <w:p>
                  <w:pPr>
                    <w:widowControl/>
                    <w:spacing w:line="24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有组织</w:t>
                  </w:r>
                </w:p>
              </w:tc>
              <w:tc>
                <w:tcPr>
                  <w:tcW w:w="792" w:type="dxa"/>
                  <w:tcBorders>
                    <w:tl2br w:val="nil"/>
                    <w:tr2bl w:val="nil"/>
                  </w:tcBorders>
                  <w:noWrap w:val="0"/>
                  <w:vAlign w:val="center"/>
                </w:tcPr>
                <w:p>
                  <w:pPr>
                    <w:widowControl/>
                    <w:spacing w:line="240" w:lineRule="auto"/>
                    <w:jc w:val="center"/>
                    <w:rPr>
                      <w:rFonts w:hint="eastAsia" w:cs="Times New Roman"/>
                      <w:szCs w:val="21"/>
                      <w:highlight w:val="none"/>
                      <w:lang w:val="en-US" w:eastAsia="zh-CN"/>
                    </w:rPr>
                  </w:pPr>
                  <w:r>
                    <w:rPr>
                      <w:rFonts w:hint="eastAsia" w:cs="Times New Roman"/>
                      <w:szCs w:val="21"/>
                      <w:highlight w:val="none"/>
                      <w:lang w:val="en-US" w:eastAsia="zh-CN"/>
                    </w:rPr>
                    <w:t>进</w:t>
                  </w:r>
                  <w:r>
                    <w:rPr>
                      <w:rFonts w:hint="default" w:ascii="Times New Roman" w:hAnsi="Times New Roman" w:cs="Times New Roman"/>
                      <w:szCs w:val="21"/>
                      <w:highlight w:val="none"/>
                    </w:rPr>
                    <w:t>料</w:t>
                  </w:r>
                  <w:r>
                    <w:rPr>
                      <w:rFonts w:hint="eastAsia" w:cs="Times New Roman"/>
                      <w:szCs w:val="21"/>
                      <w:highlight w:val="none"/>
                      <w:lang w:val="en-US" w:eastAsia="zh-CN"/>
                    </w:rPr>
                    <w:t>、</w:t>
                  </w:r>
                </w:p>
                <w:p>
                  <w:pPr>
                    <w:widowControl/>
                    <w:spacing w:line="240" w:lineRule="auto"/>
                    <w:jc w:val="center"/>
                    <w:rPr>
                      <w:rFonts w:hint="eastAsia" w:cs="Times New Roman"/>
                      <w:szCs w:val="21"/>
                      <w:highlight w:val="none"/>
                      <w:lang w:val="en-US" w:eastAsia="zh-CN"/>
                    </w:rPr>
                  </w:pPr>
                  <w:r>
                    <w:rPr>
                      <w:rFonts w:hint="eastAsia" w:cs="Times New Roman"/>
                      <w:szCs w:val="21"/>
                      <w:highlight w:val="none"/>
                      <w:lang w:val="en-US" w:eastAsia="zh-CN"/>
                    </w:rPr>
                    <w:t>筛分工序颗粒物</w:t>
                  </w:r>
                </w:p>
              </w:tc>
              <w:tc>
                <w:tcPr>
                  <w:tcW w:w="946" w:type="dxa"/>
                  <w:vMerge w:val="restart"/>
                  <w:tcBorders>
                    <w:tl2br w:val="nil"/>
                    <w:tr2bl w:val="nil"/>
                  </w:tcBorders>
                  <w:noWrap w:val="0"/>
                  <w:vAlign w:val="center"/>
                </w:tcPr>
                <w:p>
                  <w:pPr>
                    <w:jc w:val="center"/>
                    <w:rPr>
                      <w:rFonts w:hint="default"/>
                      <w:lang w:val="en-US" w:eastAsia="zh-CN"/>
                    </w:rPr>
                  </w:pPr>
                  <w:r>
                    <w:rPr>
                      <w:rFonts w:hint="eastAsia" w:cs="Times New Roman"/>
                      <w:bCs/>
                      <w:color w:val="auto"/>
                      <w:sz w:val="21"/>
                      <w:szCs w:val="21"/>
                      <w:highlight w:val="none"/>
                      <w:lang w:val="en-US" w:eastAsia="zh-CN"/>
                    </w:rPr>
                    <w:t>53.65</w:t>
                  </w:r>
                </w:p>
              </w:tc>
              <w:tc>
                <w:tcPr>
                  <w:tcW w:w="1219" w:type="dxa"/>
                  <w:vMerge w:val="restart"/>
                  <w:tcBorders>
                    <w:tl2br w:val="nil"/>
                    <w:tr2bl w:val="nil"/>
                  </w:tcBorders>
                  <w:noWrap w:val="0"/>
                  <w:vAlign w:val="center"/>
                </w:tcPr>
                <w:p>
                  <w:pPr>
                    <w:pStyle w:val="4"/>
                    <w:jc w:val="center"/>
                    <w:rPr>
                      <w:rFonts w:hint="default"/>
                      <w:lang w:val="en-US" w:eastAsia="zh-CN"/>
                    </w:rPr>
                  </w:pPr>
                  <w:r>
                    <w:rPr>
                      <w:rFonts w:hint="eastAsia" w:ascii="Times New Roman" w:hAnsi="Times New Roman" w:cs="Times New Roman"/>
                      <w:b w:val="0"/>
                      <w:color w:val="auto"/>
                      <w:kern w:val="2"/>
                      <w:sz w:val="21"/>
                      <w:szCs w:val="21"/>
                      <w:highlight w:val="none"/>
                      <w:lang w:val="en-US" w:eastAsia="zh-CN" w:bidi="ar-SA"/>
                    </w:rPr>
                    <w:t>2235</w:t>
                  </w:r>
                </w:p>
              </w:tc>
              <w:tc>
                <w:tcPr>
                  <w:tcW w:w="1956" w:type="dxa"/>
                  <w:tcBorders>
                    <w:tl2br w:val="nil"/>
                    <w:tr2bl w:val="nil"/>
                  </w:tcBorders>
                  <w:noWrap w:val="0"/>
                  <w:vAlign w:val="center"/>
                </w:tcPr>
                <w:p>
                  <w:pPr>
                    <w:widowControl/>
                    <w:spacing w:line="240" w:lineRule="auto"/>
                    <w:jc w:val="center"/>
                    <w:rPr>
                      <w:rFonts w:hint="default" w:ascii="Times New Roman" w:hAnsi="Times New Roman" w:cs="Times New Roman"/>
                      <w:szCs w:val="21"/>
                      <w:highlight w:val="none"/>
                    </w:rPr>
                  </w:pPr>
                  <w:r>
                    <w:rPr>
                      <w:rFonts w:hint="eastAsia" w:cs="Times New Roman"/>
                      <w:szCs w:val="21"/>
                      <w:highlight w:val="none"/>
                      <w:lang w:val="en-US" w:eastAsia="zh-CN"/>
                    </w:rPr>
                    <w:t>集气罩</w:t>
                  </w:r>
                  <w:r>
                    <w:rPr>
                      <w:rFonts w:hint="default" w:ascii="Times New Roman" w:hAnsi="Times New Roman" w:cs="Times New Roman"/>
                      <w:szCs w:val="21"/>
                      <w:highlight w:val="none"/>
                    </w:rPr>
                    <w:t>（收集效率</w:t>
                  </w:r>
                  <w:r>
                    <w:rPr>
                      <w:rFonts w:hint="eastAsia" w:cs="Times New Roman"/>
                      <w:szCs w:val="21"/>
                      <w:highlight w:val="none"/>
                      <w:lang w:val="en-US" w:eastAsia="zh-CN"/>
                    </w:rPr>
                    <w:t>90%</w:t>
                  </w:r>
                  <w:r>
                    <w:rPr>
                      <w:rFonts w:hint="default" w:ascii="Times New Roman" w:hAnsi="Times New Roman" w:cs="Times New Roman"/>
                      <w:szCs w:val="21"/>
                      <w:highlight w:val="none"/>
                    </w:rPr>
                    <w:t>）+布袋除尘（除尘效率9</w:t>
                  </w:r>
                  <w:r>
                    <w:rPr>
                      <w:rFonts w:hint="eastAsia" w:cs="Times New Roman"/>
                      <w:szCs w:val="21"/>
                      <w:highlight w:val="none"/>
                      <w:lang w:val="en-US" w:eastAsia="zh-CN"/>
                    </w:rPr>
                    <w:t>9</w:t>
                  </w:r>
                  <w:r>
                    <w:rPr>
                      <w:rFonts w:hint="default" w:ascii="Times New Roman" w:hAnsi="Times New Roman" w:cs="Times New Roman"/>
                      <w:szCs w:val="21"/>
                      <w:highlight w:val="none"/>
                    </w:rPr>
                    <w:t>%）+15m排气筒（DA00</w:t>
                  </w: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rPr>
                    <w:t>）</w:t>
                  </w:r>
                </w:p>
              </w:tc>
              <w:tc>
                <w:tcPr>
                  <w:tcW w:w="998" w:type="dxa"/>
                  <w:vMerge w:val="restart"/>
                  <w:tcBorders>
                    <w:tl2br w:val="nil"/>
                    <w:tr2bl w:val="nil"/>
                  </w:tcBorders>
                  <w:noWrap w:val="0"/>
                  <w:vAlign w:val="center"/>
                </w:tcPr>
                <w:p>
                  <w:pPr>
                    <w:widowControl/>
                    <w:spacing w:line="240" w:lineRule="auto"/>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0.52</w:t>
                  </w:r>
                </w:p>
              </w:tc>
              <w:tc>
                <w:tcPr>
                  <w:tcW w:w="1298" w:type="dxa"/>
                  <w:vMerge w:val="restart"/>
                  <w:tcBorders>
                    <w:tl2br w:val="nil"/>
                    <w:tr2bl w:val="nil"/>
                  </w:tcBorders>
                  <w:noWrap w:val="0"/>
                  <w:vAlign w:val="center"/>
                </w:tcPr>
                <w:p>
                  <w:pPr>
                    <w:widowControl/>
                    <w:spacing w:line="240" w:lineRule="auto"/>
                    <w:jc w:val="center"/>
                    <w:rPr>
                      <w:rFonts w:hint="default"/>
                      <w:lang w:val="en-US" w:eastAsia="zh-CN"/>
                    </w:rPr>
                  </w:pPr>
                  <w:r>
                    <w:rPr>
                      <w:rFonts w:hint="eastAsia" w:cs="Times New Roman"/>
                      <w:szCs w:val="21"/>
                      <w:highlight w:val="none"/>
                      <w:lang w:val="en-US" w:eastAsia="zh-CN"/>
                    </w:rPr>
                    <w:t>22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486" w:type="dxa"/>
                  <w:vMerge w:val="continue"/>
                  <w:tcBorders>
                    <w:tl2br w:val="nil"/>
                    <w:tr2bl w:val="nil"/>
                  </w:tcBorders>
                  <w:noWrap w:val="0"/>
                  <w:vAlign w:val="center"/>
                </w:tcPr>
                <w:p>
                  <w:pPr>
                    <w:widowControl/>
                    <w:spacing w:line="240" w:lineRule="auto"/>
                    <w:jc w:val="center"/>
                    <w:rPr>
                      <w:rFonts w:hint="default" w:ascii="Times New Roman" w:hAnsi="Times New Roman" w:cs="Times New Roman"/>
                      <w:szCs w:val="21"/>
                      <w:highlight w:val="none"/>
                    </w:rPr>
                  </w:pPr>
                </w:p>
              </w:tc>
              <w:tc>
                <w:tcPr>
                  <w:tcW w:w="792" w:type="dxa"/>
                  <w:tcBorders>
                    <w:tl2br w:val="nil"/>
                    <w:tr2bl w:val="nil"/>
                  </w:tcBorders>
                  <w:noWrap w:val="0"/>
                  <w:vAlign w:val="center"/>
                </w:tcPr>
                <w:p>
                  <w:pPr>
                    <w:widowControl/>
                    <w:spacing w:line="240" w:lineRule="auto"/>
                    <w:jc w:val="center"/>
                    <w:rPr>
                      <w:rFonts w:hint="eastAsia" w:cs="Times New Roman"/>
                      <w:szCs w:val="21"/>
                      <w:highlight w:val="none"/>
                      <w:lang w:val="en-US" w:eastAsia="zh-CN"/>
                    </w:rPr>
                  </w:pPr>
                  <w:r>
                    <w:rPr>
                      <w:rFonts w:hint="eastAsia" w:cs="Times New Roman"/>
                      <w:szCs w:val="21"/>
                      <w:highlight w:val="none"/>
                      <w:lang w:val="en-US" w:eastAsia="zh-CN"/>
                    </w:rPr>
                    <w:t>粉碎工序颗粒物</w:t>
                  </w:r>
                </w:p>
              </w:tc>
              <w:tc>
                <w:tcPr>
                  <w:tcW w:w="946" w:type="dxa"/>
                  <w:vMerge w:val="continue"/>
                  <w:tcBorders>
                    <w:tl2br w:val="nil"/>
                    <w:tr2bl w:val="nil"/>
                  </w:tcBorders>
                  <w:noWrap w:val="0"/>
                  <w:vAlign w:val="center"/>
                </w:tcPr>
                <w:p>
                  <w:pPr>
                    <w:jc w:val="center"/>
                    <w:rPr>
                      <w:rFonts w:hint="default" w:cs="Times New Roman"/>
                      <w:bCs/>
                      <w:color w:val="auto"/>
                      <w:sz w:val="21"/>
                      <w:szCs w:val="21"/>
                      <w:highlight w:val="none"/>
                      <w:lang w:val="en-US" w:eastAsia="zh-CN"/>
                    </w:rPr>
                  </w:pPr>
                </w:p>
              </w:tc>
              <w:tc>
                <w:tcPr>
                  <w:tcW w:w="1219" w:type="dxa"/>
                  <w:vMerge w:val="continue"/>
                  <w:tcBorders>
                    <w:tl2br w:val="nil"/>
                    <w:tr2bl w:val="nil"/>
                  </w:tcBorders>
                  <w:noWrap w:val="0"/>
                  <w:vAlign w:val="center"/>
                </w:tcPr>
                <w:p>
                  <w:pPr>
                    <w:pStyle w:val="4"/>
                    <w:jc w:val="center"/>
                    <w:rPr>
                      <w:rFonts w:hint="default" w:ascii="Times New Roman" w:hAnsi="Times New Roman" w:cs="Times New Roman"/>
                      <w:b w:val="0"/>
                      <w:color w:val="auto"/>
                      <w:kern w:val="2"/>
                      <w:sz w:val="21"/>
                      <w:szCs w:val="21"/>
                      <w:highlight w:val="none"/>
                      <w:lang w:val="en-US" w:eastAsia="zh-CN" w:bidi="ar-SA"/>
                    </w:rPr>
                  </w:pPr>
                </w:p>
              </w:tc>
              <w:tc>
                <w:tcPr>
                  <w:tcW w:w="1956" w:type="dxa"/>
                  <w:tcBorders>
                    <w:tl2br w:val="nil"/>
                    <w:tr2bl w:val="nil"/>
                  </w:tcBorders>
                  <w:noWrap w:val="0"/>
                  <w:vAlign w:val="center"/>
                </w:tcPr>
                <w:p>
                  <w:pPr>
                    <w:widowControl/>
                    <w:spacing w:line="240" w:lineRule="auto"/>
                    <w:jc w:val="center"/>
                    <w:rPr>
                      <w:rFonts w:hint="default" w:cs="Times New Roman"/>
                      <w:szCs w:val="21"/>
                      <w:highlight w:val="none"/>
                      <w:lang w:val="en-US" w:eastAsia="zh-CN"/>
                    </w:rPr>
                  </w:pPr>
                  <w:r>
                    <w:rPr>
                      <w:rFonts w:hint="eastAsia" w:cs="Times New Roman"/>
                      <w:szCs w:val="21"/>
                      <w:highlight w:val="none"/>
                      <w:lang w:val="en-US" w:eastAsia="zh-CN"/>
                    </w:rPr>
                    <w:t>负压密闭+设备自带的布袋除尘器+1</w:t>
                  </w:r>
                  <w:r>
                    <w:rPr>
                      <w:rFonts w:hint="default" w:ascii="Times New Roman" w:hAnsi="Times New Roman" w:cs="Times New Roman"/>
                      <w:szCs w:val="21"/>
                      <w:highlight w:val="none"/>
                    </w:rPr>
                    <w:t>5m排气筒（DA00</w:t>
                  </w: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rPr>
                    <w:t>）</w:t>
                  </w:r>
                </w:p>
              </w:tc>
              <w:tc>
                <w:tcPr>
                  <w:tcW w:w="998" w:type="dxa"/>
                  <w:vMerge w:val="continue"/>
                  <w:tcBorders>
                    <w:tl2br w:val="nil"/>
                    <w:tr2bl w:val="nil"/>
                  </w:tcBorders>
                  <w:noWrap w:val="0"/>
                  <w:vAlign w:val="center"/>
                </w:tcPr>
                <w:p>
                  <w:pPr>
                    <w:widowControl/>
                    <w:spacing w:line="240" w:lineRule="auto"/>
                    <w:jc w:val="center"/>
                    <w:rPr>
                      <w:rFonts w:hint="default" w:cs="Times New Roman"/>
                      <w:szCs w:val="21"/>
                      <w:highlight w:val="none"/>
                      <w:lang w:val="en-US" w:eastAsia="zh-CN"/>
                    </w:rPr>
                  </w:pPr>
                </w:p>
              </w:tc>
              <w:tc>
                <w:tcPr>
                  <w:tcW w:w="1298" w:type="dxa"/>
                  <w:vMerge w:val="continue"/>
                  <w:tcBorders>
                    <w:tl2br w:val="nil"/>
                    <w:tr2bl w:val="nil"/>
                  </w:tcBorders>
                  <w:noWrap w:val="0"/>
                  <w:vAlign w:val="center"/>
                </w:tcPr>
                <w:p>
                  <w:pPr>
                    <w:widowControl/>
                    <w:spacing w:line="240" w:lineRule="auto"/>
                    <w:jc w:val="center"/>
                    <w:rPr>
                      <w:rFonts w:hint="default" w:cs="Times New Roman"/>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486" w:type="dxa"/>
                  <w:vMerge w:val="continue"/>
                  <w:tcBorders>
                    <w:tl2br w:val="nil"/>
                    <w:tr2bl w:val="nil"/>
                  </w:tcBorders>
                  <w:noWrap w:val="0"/>
                  <w:vAlign w:val="center"/>
                </w:tcPr>
                <w:p>
                  <w:pPr>
                    <w:widowControl/>
                    <w:spacing w:line="240" w:lineRule="auto"/>
                    <w:jc w:val="center"/>
                    <w:rPr>
                      <w:rFonts w:hint="default" w:ascii="Times New Roman" w:hAnsi="Times New Roman" w:cs="Times New Roman"/>
                      <w:szCs w:val="21"/>
                      <w:highlight w:val="none"/>
                    </w:rPr>
                  </w:pPr>
                </w:p>
              </w:tc>
              <w:tc>
                <w:tcPr>
                  <w:tcW w:w="792" w:type="dxa"/>
                  <w:tcBorders>
                    <w:tl2br w:val="nil"/>
                    <w:tr2bl w:val="nil"/>
                  </w:tcBorders>
                  <w:noWrap w:val="0"/>
                  <w:vAlign w:val="center"/>
                </w:tcPr>
                <w:p>
                  <w:pPr>
                    <w:widowControl/>
                    <w:spacing w:line="240" w:lineRule="auto"/>
                    <w:jc w:val="center"/>
                    <w:rPr>
                      <w:rFonts w:hint="default" w:cs="Times New Roman"/>
                      <w:szCs w:val="21"/>
                      <w:highlight w:val="none"/>
                      <w:lang w:val="en-US" w:eastAsia="zh-CN"/>
                    </w:rPr>
                  </w:pPr>
                  <w:r>
                    <w:rPr>
                      <w:rFonts w:hint="eastAsia" w:cs="Times New Roman"/>
                      <w:szCs w:val="21"/>
                      <w:highlight w:val="none"/>
                      <w:lang w:val="en-US" w:eastAsia="zh-CN"/>
                    </w:rPr>
                    <w:t>包装工序</w:t>
                  </w:r>
                </w:p>
              </w:tc>
              <w:tc>
                <w:tcPr>
                  <w:tcW w:w="946" w:type="dxa"/>
                  <w:tcBorders>
                    <w:tl2br w:val="nil"/>
                    <w:tr2bl w:val="nil"/>
                  </w:tcBorders>
                  <w:noWrap w:val="0"/>
                  <w:vAlign w:val="center"/>
                </w:tcPr>
                <w:p>
                  <w:pPr>
                    <w:jc w:val="center"/>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5</w:t>
                  </w:r>
                </w:p>
              </w:tc>
              <w:tc>
                <w:tcPr>
                  <w:tcW w:w="1219" w:type="dxa"/>
                  <w:tcBorders>
                    <w:tl2br w:val="nil"/>
                    <w:tr2bl w:val="nil"/>
                  </w:tcBorders>
                  <w:noWrap w:val="0"/>
                  <w:vAlign w:val="center"/>
                </w:tcPr>
                <w:p>
                  <w:pPr>
                    <w:pStyle w:val="4"/>
                    <w:jc w:val="center"/>
                    <w:rPr>
                      <w:rFonts w:hint="default" w:ascii="Times New Roman" w:hAnsi="Times New Roman" w:cs="Times New Roman"/>
                      <w:b w:val="0"/>
                      <w:color w:val="auto"/>
                      <w:kern w:val="2"/>
                      <w:sz w:val="21"/>
                      <w:szCs w:val="21"/>
                      <w:highlight w:val="none"/>
                      <w:lang w:val="en-US" w:eastAsia="zh-CN" w:bidi="ar-SA"/>
                    </w:rPr>
                  </w:pPr>
                  <w:r>
                    <w:rPr>
                      <w:rFonts w:hint="eastAsia" w:ascii="Times New Roman" w:hAnsi="Times New Roman" w:cs="Times New Roman"/>
                      <w:b w:val="0"/>
                      <w:color w:val="auto"/>
                      <w:kern w:val="2"/>
                      <w:sz w:val="21"/>
                      <w:szCs w:val="21"/>
                      <w:highlight w:val="none"/>
                      <w:lang w:val="en-US" w:eastAsia="zh-CN" w:bidi="ar-SA"/>
                    </w:rPr>
                    <w:t>208</w:t>
                  </w:r>
                </w:p>
              </w:tc>
              <w:tc>
                <w:tcPr>
                  <w:tcW w:w="1956" w:type="dxa"/>
                  <w:tcBorders>
                    <w:tl2br w:val="nil"/>
                    <w:tr2bl w:val="nil"/>
                  </w:tcBorders>
                  <w:noWrap w:val="0"/>
                  <w:vAlign w:val="center"/>
                </w:tcPr>
                <w:p>
                  <w:pPr>
                    <w:widowControl/>
                    <w:spacing w:line="240" w:lineRule="auto"/>
                    <w:jc w:val="center"/>
                    <w:rPr>
                      <w:rFonts w:hint="default" w:cs="Times New Roman"/>
                      <w:szCs w:val="21"/>
                      <w:highlight w:val="none"/>
                      <w:lang w:val="en-US" w:eastAsia="zh-CN"/>
                    </w:rPr>
                  </w:pPr>
                  <w:r>
                    <w:rPr>
                      <w:rFonts w:hint="eastAsia" w:cs="Times New Roman"/>
                      <w:szCs w:val="21"/>
                      <w:highlight w:val="none"/>
                      <w:lang w:val="en-US" w:eastAsia="zh-CN"/>
                    </w:rPr>
                    <w:t>负压密闭+设备自带的布袋除尘器</w:t>
                  </w:r>
                </w:p>
              </w:tc>
              <w:tc>
                <w:tcPr>
                  <w:tcW w:w="998" w:type="dxa"/>
                  <w:tcBorders>
                    <w:tl2br w:val="nil"/>
                    <w:tr2bl w:val="nil"/>
                  </w:tcBorders>
                  <w:noWrap w:val="0"/>
                  <w:vAlign w:val="center"/>
                </w:tcPr>
                <w:p>
                  <w:pPr>
                    <w:widowControl/>
                    <w:spacing w:line="240" w:lineRule="auto"/>
                    <w:jc w:val="center"/>
                    <w:rPr>
                      <w:rFonts w:hint="default" w:cs="Times New Roman"/>
                      <w:szCs w:val="21"/>
                      <w:highlight w:val="none"/>
                      <w:lang w:val="en-US" w:eastAsia="zh-CN"/>
                    </w:rPr>
                  </w:pPr>
                  <w:r>
                    <w:rPr>
                      <w:rFonts w:hint="eastAsia" w:cs="Times New Roman"/>
                      <w:szCs w:val="21"/>
                      <w:highlight w:val="none"/>
                      <w:lang w:val="en-US" w:eastAsia="zh-CN"/>
                    </w:rPr>
                    <w:t>0.05</w:t>
                  </w:r>
                </w:p>
              </w:tc>
              <w:tc>
                <w:tcPr>
                  <w:tcW w:w="1298" w:type="dxa"/>
                  <w:tcBorders>
                    <w:tl2br w:val="nil"/>
                    <w:tr2bl w:val="nil"/>
                  </w:tcBorders>
                  <w:noWrap w:val="0"/>
                  <w:vAlign w:val="center"/>
                </w:tcPr>
                <w:p>
                  <w:pPr>
                    <w:widowControl/>
                    <w:spacing w:line="240" w:lineRule="auto"/>
                    <w:jc w:val="center"/>
                    <w:rPr>
                      <w:rFonts w:hint="default" w:cs="Times New Roman"/>
                      <w:szCs w:val="21"/>
                      <w:highlight w:val="none"/>
                      <w:lang w:val="en-US" w:eastAsia="zh-CN"/>
                    </w:rPr>
                  </w:pPr>
                  <w:r>
                    <w:rPr>
                      <w:rFonts w:hint="eastAsia" w:cs="Times New Roman"/>
                      <w:szCs w:val="21"/>
                      <w:highlight w:val="none"/>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486" w:type="dxa"/>
                  <w:vMerge w:val="continue"/>
                  <w:tcBorders>
                    <w:tl2br w:val="nil"/>
                    <w:tr2bl w:val="nil"/>
                  </w:tcBorders>
                  <w:noWrap w:val="0"/>
                  <w:vAlign w:val="center"/>
                </w:tcPr>
                <w:p>
                  <w:pPr>
                    <w:widowControl/>
                    <w:spacing w:line="240" w:lineRule="auto"/>
                    <w:jc w:val="center"/>
                    <w:rPr>
                      <w:rFonts w:hint="default" w:ascii="Times New Roman" w:hAnsi="Times New Roman" w:cs="Times New Roman"/>
                      <w:szCs w:val="21"/>
                      <w:highlight w:val="none"/>
                    </w:rPr>
                  </w:pPr>
                </w:p>
              </w:tc>
              <w:tc>
                <w:tcPr>
                  <w:tcW w:w="792" w:type="dxa"/>
                  <w:tcBorders>
                    <w:tl2br w:val="nil"/>
                    <w:tr2bl w:val="nil"/>
                  </w:tcBorders>
                  <w:noWrap w:val="0"/>
                  <w:vAlign w:val="center"/>
                </w:tcPr>
                <w:p>
                  <w:pPr>
                    <w:widowControl/>
                    <w:spacing w:line="24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食堂油烟</w:t>
                  </w:r>
                </w:p>
              </w:tc>
              <w:tc>
                <w:tcPr>
                  <w:tcW w:w="946" w:type="dxa"/>
                  <w:tcBorders>
                    <w:tl2br w:val="nil"/>
                    <w:tr2bl w:val="nil"/>
                  </w:tcBorders>
                  <w:noWrap w:val="0"/>
                  <w:vAlign w:val="center"/>
                </w:tcPr>
                <w:p>
                  <w:pPr>
                    <w:jc w:val="center"/>
                    <w:rPr>
                      <w:rFonts w:hint="default"/>
                      <w:lang w:val="en-US" w:eastAsia="zh-CN"/>
                    </w:rPr>
                  </w:pPr>
                  <w:r>
                    <w:rPr>
                      <w:rFonts w:hint="eastAsia"/>
                      <w:lang w:val="en-US" w:eastAsia="zh-CN"/>
                    </w:rPr>
                    <w:t>13.5kg/a</w:t>
                  </w:r>
                </w:p>
              </w:tc>
              <w:tc>
                <w:tcPr>
                  <w:tcW w:w="1219" w:type="dxa"/>
                  <w:tcBorders>
                    <w:tl2br w:val="nil"/>
                    <w:tr2bl w:val="nil"/>
                  </w:tcBorders>
                  <w:noWrap w:val="0"/>
                  <w:vAlign w:val="center"/>
                </w:tcPr>
                <w:p>
                  <w:pPr>
                    <w:pStyle w:val="4"/>
                    <w:jc w:val="center"/>
                    <w:rPr>
                      <w:rFonts w:hint="default" w:ascii="Times New Roman" w:hAnsi="Times New Roman" w:cs="Times New Roman"/>
                      <w:b w:val="0"/>
                      <w:color w:val="auto"/>
                      <w:kern w:val="2"/>
                      <w:sz w:val="21"/>
                      <w:szCs w:val="21"/>
                      <w:highlight w:val="none"/>
                      <w:lang w:val="en-US" w:eastAsia="zh-CN" w:bidi="ar-SA"/>
                    </w:rPr>
                  </w:pPr>
                  <w:r>
                    <w:rPr>
                      <w:rFonts w:hint="eastAsia" w:ascii="Times New Roman" w:hAnsi="Times New Roman" w:cs="Times New Roman"/>
                      <w:b w:val="0"/>
                      <w:color w:val="auto"/>
                      <w:kern w:val="2"/>
                      <w:sz w:val="21"/>
                      <w:szCs w:val="21"/>
                      <w:highlight w:val="none"/>
                      <w:lang w:val="en-US" w:eastAsia="zh-CN" w:bidi="ar-SA"/>
                    </w:rPr>
                    <w:t>7.5</w:t>
                  </w:r>
                </w:p>
              </w:tc>
              <w:tc>
                <w:tcPr>
                  <w:tcW w:w="1956" w:type="dxa"/>
                  <w:tcBorders>
                    <w:tl2br w:val="nil"/>
                    <w:tr2bl w:val="nil"/>
                  </w:tcBorders>
                  <w:noWrap w:val="0"/>
                  <w:vAlign w:val="center"/>
                </w:tcPr>
                <w:p>
                  <w:pPr>
                    <w:widowControl/>
                    <w:spacing w:line="240" w:lineRule="auto"/>
                    <w:jc w:val="center"/>
                    <w:rPr>
                      <w:rFonts w:hint="default" w:cs="Times New Roman"/>
                      <w:szCs w:val="21"/>
                      <w:highlight w:val="none"/>
                      <w:lang w:val="en-US" w:eastAsia="zh-CN"/>
                    </w:rPr>
                  </w:pPr>
                  <w:r>
                    <w:rPr>
                      <w:rFonts w:hint="eastAsia" w:cs="Times New Roman"/>
                      <w:szCs w:val="21"/>
                      <w:highlight w:val="none"/>
                      <w:lang w:val="en-US" w:eastAsia="zh-CN"/>
                    </w:rPr>
                    <w:t>油烟净化器+专用烟道</w:t>
                  </w:r>
                </w:p>
              </w:tc>
              <w:tc>
                <w:tcPr>
                  <w:tcW w:w="998" w:type="dxa"/>
                  <w:tcBorders>
                    <w:tl2br w:val="nil"/>
                    <w:tr2bl w:val="nil"/>
                  </w:tcBorders>
                  <w:noWrap w:val="0"/>
                  <w:vAlign w:val="center"/>
                </w:tcPr>
                <w:p>
                  <w:pPr>
                    <w:widowControl/>
                    <w:spacing w:line="240" w:lineRule="auto"/>
                    <w:jc w:val="center"/>
                    <w:rPr>
                      <w:rFonts w:hint="default" w:cs="Times New Roman"/>
                      <w:szCs w:val="21"/>
                      <w:highlight w:val="none"/>
                      <w:lang w:val="en-US" w:eastAsia="zh-CN"/>
                    </w:rPr>
                  </w:pPr>
                  <w:r>
                    <w:rPr>
                      <w:rFonts w:hint="eastAsia" w:cs="Times New Roman"/>
                      <w:szCs w:val="21"/>
                      <w:highlight w:val="none"/>
                      <w:lang w:val="en-US" w:eastAsia="zh-CN"/>
                    </w:rPr>
                    <w:t>2.03kg/a</w:t>
                  </w:r>
                </w:p>
              </w:tc>
              <w:tc>
                <w:tcPr>
                  <w:tcW w:w="1298" w:type="dxa"/>
                  <w:tcBorders>
                    <w:tl2br w:val="nil"/>
                    <w:tr2bl w:val="nil"/>
                  </w:tcBorders>
                  <w:noWrap w:val="0"/>
                  <w:vAlign w:val="center"/>
                </w:tcPr>
                <w:p>
                  <w:pPr>
                    <w:widowControl/>
                    <w:spacing w:line="240" w:lineRule="auto"/>
                    <w:jc w:val="center"/>
                    <w:rPr>
                      <w:rFonts w:hint="default" w:cs="Times New Roman"/>
                      <w:szCs w:val="21"/>
                      <w:highlight w:val="none"/>
                      <w:lang w:val="en-US" w:eastAsia="zh-CN"/>
                    </w:rPr>
                  </w:pPr>
                  <w:r>
                    <w:rPr>
                      <w:rFonts w:hint="eastAsia" w:cs="Times New Roman"/>
                      <w:szCs w:val="21"/>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486" w:type="dxa"/>
                  <w:vMerge w:val="restart"/>
                  <w:tcBorders>
                    <w:tl2br w:val="nil"/>
                    <w:tr2bl w:val="nil"/>
                  </w:tcBorders>
                  <w:noWrap w:val="0"/>
                  <w:vAlign w:val="center"/>
                </w:tcPr>
                <w:p>
                  <w:pPr>
                    <w:widowControl/>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无组织</w:t>
                  </w:r>
                </w:p>
              </w:tc>
              <w:tc>
                <w:tcPr>
                  <w:tcW w:w="792" w:type="dxa"/>
                  <w:tcBorders>
                    <w:tl2br w:val="nil"/>
                    <w:tr2bl w:val="nil"/>
                  </w:tcBorders>
                  <w:noWrap w:val="0"/>
                  <w:vAlign w:val="center"/>
                </w:tcPr>
                <w:p>
                  <w:pPr>
                    <w:widowControl/>
                    <w:spacing w:line="240" w:lineRule="auto"/>
                    <w:jc w:val="center"/>
                    <w:rPr>
                      <w:rFonts w:hint="eastAsia" w:ascii="Times New Roman" w:hAnsi="Times New Roman" w:eastAsia="宋体" w:cs="Times New Roman"/>
                      <w:color w:val="auto"/>
                      <w:szCs w:val="21"/>
                      <w:highlight w:val="none"/>
                      <w:lang w:eastAsia="zh-CN"/>
                    </w:rPr>
                  </w:pPr>
                  <w:r>
                    <w:rPr>
                      <w:rFonts w:hint="eastAsia" w:cs="Times New Roman"/>
                      <w:sz w:val="21"/>
                      <w:szCs w:val="21"/>
                      <w:highlight w:val="none"/>
                      <w:lang w:val="en-US" w:eastAsia="zh-CN"/>
                    </w:rPr>
                    <w:t>进</w:t>
                  </w:r>
                  <w:r>
                    <w:rPr>
                      <w:rFonts w:hint="default" w:ascii="Times New Roman" w:hAnsi="Times New Roman" w:cs="Times New Roman"/>
                      <w:sz w:val="21"/>
                      <w:szCs w:val="21"/>
                      <w:highlight w:val="none"/>
                    </w:rPr>
                    <w:t>料</w:t>
                  </w:r>
                  <w:r>
                    <w:rPr>
                      <w:rFonts w:hint="eastAsia" w:cs="Times New Roman"/>
                      <w:sz w:val="21"/>
                      <w:szCs w:val="21"/>
                      <w:highlight w:val="none"/>
                      <w:lang w:eastAsia="zh-CN"/>
                    </w:rPr>
                    <w:t>、</w:t>
                  </w:r>
                  <w:r>
                    <w:rPr>
                      <w:rFonts w:hint="eastAsia" w:cs="Times New Roman"/>
                      <w:sz w:val="21"/>
                      <w:szCs w:val="21"/>
                      <w:highlight w:val="none"/>
                      <w:lang w:val="en-US" w:eastAsia="zh-CN"/>
                    </w:rPr>
                    <w:t>筛分、粉碎、包装</w:t>
                  </w:r>
                  <w:r>
                    <w:rPr>
                      <w:rFonts w:hint="default" w:ascii="Times New Roman" w:hAnsi="Times New Roman" w:cs="Times New Roman"/>
                      <w:color w:val="auto"/>
                      <w:szCs w:val="21"/>
                      <w:highlight w:val="none"/>
                    </w:rPr>
                    <w:t>无组织</w:t>
                  </w:r>
                  <w:r>
                    <w:rPr>
                      <w:rFonts w:hint="eastAsia" w:cs="Times New Roman"/>
                      <w:color w:val="auto"/>
                      <w:szCs w:val="21"/>
                      <w:highlight w:val="none"/>
                      <w:lang w:val="en-US" w:eastAsia="zh-CN"/>
                    </w:rPr>
                    <w:t>颗粒物</w:t>
                  </w:r>
                </w:p>
              </w:tc>
              <w:tc>
                <w:tcPr>
                  <w:tcW w:w="946" w:type="dxa"/>
                  <w:tcBorders>
                    <w:tl2br w:val="nil"/>
                    <w:tr2bl w:val="nil"/>
                  </w:tcBorders>
                  <w:noWrap w:val="0"/>
                  <w:vAlign w:val="center"/>
                </w:tcPr>
                <w:p>
                  <w:pPr>
                    <w:widowControl/>
                    <w:spacing w:line="240" w:lineRule="auto"/>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3.94</w:t>
                  </w:r>
                </w:p>
              </w:tc>
              <w:tc>
                <w:tcPr>
                  <w:tcW w:w="1219" w:type="dxa"/>
                  <w:tcBorders>
                    <w:tl2br w:val="nil"/>
                    <w:tr2bl w:val="nil"/>
                  </w:tcBorders>
                  <w:noWrap w:val="0"/>
                  <w:vAlign w:val="center"/>
                </w:tcPr>
                <w:p>
                  <w:pPr>
                    <w:widowControl/>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956" w:type="dxa"/>
                  <w:tcBorders>
                    <w:tl2br w:val="nil"/>
                    <w:tr2bl w:val="nil"/>
                  </w:tcBorders>
                  <w:noWrap w:val="0"/>
                  <w:vAlign w:val="center"/>
                </w:tcPr>
                <w:p>
                  <w:pPr>
                    <w:widowControl/>
                    <w:spacing w:line="240" w:lineRule="auto"/>
                    <w:jc w:val="center"/>
                    <w:rPr>
                      <w:rFonts w:hint="default" w:ascii="Times New Roman" w:hAnsi="Times New Roman" w:cs="Times New Roman"/>
                      <w:color w:val="auto"/>
                      <w:szCs w:val="21"/>
                      <w:highlight w:val="none"/>
                    </w:rPr>
                  </w:pPr>
                  <w:r>
                    <w:rPr>
                      <w:rFonts w:hint="eastAsia" w:cs="Times New Roman"/>
                      <w:sz w:val="21"/>
                      <w:szCs w:val="21"/>
                      <w:highlight w:val="none"/>
                      <w:lang w:val="en-US" w:eastAsia="zh-CN"/>
                    </w:rPr>
                    <w:t>进</w:t>
                  </w:r>
                  <w:r>
                    <w:rPr>
                      <w:rFonts w:hint="default" w:ascii="Times New Roman" w:hAnsi="Times New Roman" w:cs="Times New Roman"/>
                      <w:sz w:val="21"/>
                      <w:szCs w:val="21"/>
                      <w:highlight w:val="none"/>
                    </w:rPr>
                    <w:t>料</w:t>
                  </w:r>
                  <w:r>
                    <w:rPr>
                      <w:rFonts w:hint="eastAsia" w:cs="Times New Roman"/>
                      <w:sz w:val="21"/>
                      <w:szCs w:val="21"/>
                      <w:highlight w:val="none"/>
                      <w:lang w:eastAsia="zh-CN"/>
                    </w:rPr>
                    <w:t>、</w:t>
                  </w:r>
                  <w:r>
                    <w:rPr>
                      <w:rFonts w:hint="eastAsia" w:cs="Times New Roman"/>
                      <w:sz w:val="21"/>
                      <w:szCs w:val="21"/>
                      <w:highlight w:val="none"/>
                      <w:lang w:val="en-US" w:eastAsia="zh-CN"/>
                    </w:rPr>
                    <w:t>筛分、粉碎、包装</w:t>
                  </w:r>
                  <w:r>
                    <w:rPr>
                      <w:rFonts w:hint="default" w:ascii="Times New Roman" w:hAnsi="Times New Roman" w:cs="Times New Roman"/>
                      <w:sz w:val="21"/>
                      <w:szCs w:val="21"/>
                      <w:highlight w:val="none"/>
                    </w:rPr>
                    <w:t>时</w:t>
                  </w:r>
                  <w:r>
                    <w:rPr>
                      <w:rFonts w:hint="default" w:ascii="Times New Roman" w:hAnsi="Times New Roman" w:cs="Times New Roman"/>
                      <w:color w:val="auto"/>
                      <w:szCs w:val="21"/>
                      <w:highlight w:val="none"/>
                    </w:rPr>
                    <w:t>车间密闭</w:t>
                  </w:r>
                  <w:r>
                    <w:rPr>
                      <w:rFonts w:hint="eastAsia" w:cs="Times New Roman"/>
                      <w:color w:val="auto"/>
                      <w:szCs w:val="21"/>
                      <w:highlight w:val="none"/>
                      <w:lang w:eastAsia="zh-CN"/>
                    </w:rPr>
                    <w:t>、</w:t>
                  </w:r>
                  <w:r>
                    <w:rPr>
                      <w:rFonts w:hint="eastAsia" w:cs="Times New Roman"/>
                      <w:color w:val="auto"/>
                      <w:szCs w:val="21"/>
                      <w:highlight w:val="none"/>
                      <w:lang w:val="en-US" w:eastAsia="zh-CN"/>
                    </w:rPr>
                    <w:t>洒水</w:t>
                  </w:r>
                  <w:r>
                    <w:rPr>
                      <w:rFonts w:hint="default" w:ascii="Times New Roman" w:hAnsi="Times New Roman" w:cs="Times New Roman"/>
                      <w:color w:val="auto"/>
                      <w:szCs w:val="21"/>
                      <w:highlight w:val="none"/>
                    </w:rPr>
                    <w:t>（抑尘效率</w:t>
                  </w:r>
                  <w:r>
                    <w:rPr>
                      <w:rFonts w:hint="eastAsia" w:cs="Times New Roman"/>
                      <w:color w:val="auto"/>
                      <w:szCs w:val="21"/>
                      <w:highlight w:val="none"/>
                      <w:lang w:val="en-US" w:eastAsia="zh-CN"/>
                    </w:rPr>
                    <w:t>80%</w:t>
                  </w:r>
                  <w:r>
                    <w:rPr>
                      <w:rFonts w:hint="default" w:ascii="Times New Roman" w:hAnsi="Times New Roman" w:cs="Times New Roman"/>
                      <w:color w:val="auto"/>
                      <w:szCs w:val="21"/>
                      <w:highlight w:val="none"/>
                    </w:rPr>
                    <w:t>）</w:t>
                  </w:r>
                </w:p>
              </w:tc>
              <w:tc>
                <w:tcPr>
                  <w:tcW w:w="998" w:type="dxa"/>
                  <w:tcBorders>
                    <w:tl2br w:val="nil"/>
                    <w:tr2bl w:val="nil"/>
                  </w:tcBorders>
                  <w:noWrap w:val="0"/>
                  <w:vAlign w:val="center"/>
                </w:tcPr>
                <w:p>
                  <w:pPr>
                    <w:widowControl/>
                    <w:spacing w:line="240" w:lineRule="auto"/>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0.79</w:t>
                  </w:r>
                </w:p>
              </w:tc>
              <w:tc>
                <w:tcPr>
                  <w:tcW w:w="1298" w:type="dxa"/>
                  <w:tcBorders>
                    <w:tl2br w:val="nil"/>
                    <w:tr2bl w:val="nil"/>
                  </w:tcBorders>
                  <w:noWrap w:val="0"/>
                  <w:vAlign w:val="center"/>
                </w:tcPr>
                <w:p>
                  <w:pPr>
                    <w:widowControl/>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486" w:type="dxa"/>
                  <w:vMerge w:val="continue"/>
                  <w:tcBorders>
                    <w:tl2br w:val="nil"/>
                    <w:tr2bl w:val="nil"/>
                  </w:tcBorders>
                  <w:noWrap w:val="0"/>
                  <w:vAlign w:val="center"/>
                </w:tcPr>
                <w:p>
                  <w:pPr>
                    <w:widowControl/>
                    <w:spacing w:line="240" w:lineRule="auto"/>
                    <w:jc w:val="center"/>
                    <w:rPr>
                      <w:rFonts w:hint="default" w:ascii="Times New Roman" w:hAnsi="Times New Roman" w:cs="Times New Roman"/>
                      <w:color w:val="auto"/>
                      <w:szCs w:val="21"/>
                      <w:highlight w:val="none"/>
                    </w:rPr>
                  </w:pPr>
                </w:p>
              </w:tc>
              <w:tc>
                <w:tcPr>
                  <w:tcW w:w="792" w:type="dxa"/>
                  <w:tcBorders>
                    <w:tl2br w:val="nil"/>
                    <w:tr2bl w:val="nil"/>
                  </w:tcBorders>
                  <w:noWrap w:val="0"/>
                  <w:vAlign w:val="center"/>
                </w:tcPr>
                <w:p>
                  <w:pPr>
                    <w:widowControl/>
                    <w:spacing w:line="240" w:lineRule="auto"/>
                    <w:jc w:val="center"/>
                    <w:rPr>
                      <w:rFonts w:hint="default" w:ascii="Times New Roman" w:hAnsi="Times New Roman" w:cs="Times New Roman"/>
                      <w:color w:val="auto"/>
                      <w:szCs w:val="21"/>
                      <w:highlight w:val="none"/>
                      <w:lang w:val="en-US"/>
                    </w:rPr>
                  </w:pPr>
                  <w:r>
                    <w:rPr>
                      <w:rFonts w:hint="eastAsia" w:cs="Times New Roman"/>
                      <w:sz w:val="21"/>
                      <w:szCs w:val="21"/>
                      <w:highlight w:val="none"/>
                      <w:lang w:val="en-US" w:eastAsia="zh-CN"/>
                    </w:rPr>
                    <w:t>物料堆存及卸料扬尘</w:t>
                  </w:r>
                </w:p>
              </w:tc>
              <w:tc>
                <w:tcPr>
                  <w:tcW w:w="946" w:type="dxa"/>
                  <w:tcBorders>
                    <w:tl2br w:val="nil"/>
                    <w:tr2bl w:val="nil"/>
                  </w:tcBorders>
                  <w:noWrap w:val="0"/>
                  <w:vAlign w:val="center"/>
                </w:tcPr>
                <w:p>
                  <w:pPr>
                    <w:widowControl/>
                    <w:spacing w:line="240" w:lineRule="auto"/>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68.28</w:t>
                  </w:r>
                </w:p>
              </w:tc>
              <w:tc>
                <w:tcPr>
                  <w:tcW w:w="1219" w:type="dxa"/>
                  <w:tcBorders>
                    <w:tl2br w:val="nil"/>
                    <w:tr2bl w:val="nil"/>
                  </w:tcBorders>
                  <w:noWrap w:val="0"/>
                  <w:vAlign w:val="center"/>
                </w:tcPr>
                <w:p>
                  <w:pPr>
                    <w:widowControl/>
                    <w:spacing w:line="240" w:lineRule="auto"/>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1956" w:type="dxa"/>
                  <w:tcBorders>
                    <w:tl2br w:val="nil"/>
                    <w:tr2bl w:val="nil"/>
                  </w:tcBorders>
                  <w:noWrap w:val="0"/>
                  <w:vAlign w:val="center"/>
                </w:tcPr>
                <w:p>
                  <w:pPr>
                    <w:widowControl/>
                    <w:spacing w:line="240" w:lineRule="auto"/>
                    <w:jc w:val="center"/>
                    <w:rPr>
                      <w:rFonts w:hint="eastAsia" w:cs="Times New Roman"/>
                      <w:sz w:val="21"/>
                      <w:szCs w:val="21"/>
                      <w:highlight w:val="none"/>
                      <w:lang w:val="en-US" w:eastAsia="zh-CN"/>
                    </w:rPr>
                  </w:pPr>
                  <w:r>
                    <w:rPr>
                      <w:rFonts w:hint="default" w:cs="Times New Roman"/>
                      <w:sz w:val="21"/>
                      <w:szCs w:val="21"/>
                      <w:highlight w:val="none"/>
                      <w:lang w:val="en-US" w:eastAsia="zh-CN"/>
                    </w:rPr>
                    <w:t>密闭式堆场（</w:t>
                  </w:r>
                  <w:r>
                    <w:rPr>
                      <w:rFonts w:ascii="Times New Roman" w:hAnsi="Times New Roman" w:eastAsia="宋体" w:cs="Times New Roman"/>
                      <w:b w:val="0"/>
                      <w:bCs w:val="0"/>
                      <w:kern w:val="2"/>
                      <w:sz w:val="21"/>
                      <w:szCs w:val="21"/>
                      <w:highlight w:val="none"/>
                      <w:lang w:val="en-US" w:eastAsia="zh-CN" w:bidi="ar"/>
                    </w:rPr>
                    <w:t>控制效率</w:t>
                  </w:r>
                  <w:r>
                    <w:rPr>
                      <w:rFonts w:hint="default" w:ascii="Times New Roman" w:hAnsi="Times New Roman" w:eastAsia="宋体" w:cs="Times New Roman"/>
                      <w:b w:val="0"/>
                      <w:bCs w:val="0"/>
                      <w:kern w:val="2"/>
                      <w:sz w:val="21"/>
                      <w:szCs w:val="21"/>
                      <w:highlight w:val="none"/>
                      <w:lang w:val="en-US" w:eastAsia="zh-CN" w:bidi="ar"/>
                    </w:rPr>
                    <w:t>99%</w:t>
                  </w:r>
                  <w:r>
                    <w:rPr>
                      <w:rFonts w:hint="default" w:cs="Times New Roman"/>
                      <w:b w:val="0"/>
                      <w:bCs w:val="0"/>
                      <w:kern w:val="2"/>
                      <w:sz w:val="21"/>
                      <w:szCs w:val="21"/>
                      <w:highlight w:val="none"/>
                      <w:lang w:val="en-US" w:eastAsia="zh-CN" w:bidi="ar"/>
                    </w:rPr>
                    <w:t>）</w:t>
                  </w:r>
                  <w:r>
                    <w:rPr>
                      <w:rFonts w:hint="default" w:cs="Times New Roman"/>
                      <w:sz w:val="21"/>
                      <w:szCs w:val="21"/>
                      <w:highlight w:val="none"/>
                      <w:lang w:val="en-US" w:eastAsia="zh-CN"/>
                    </w:rPr>
                    <w:t>+洒水（</w:t>
                  </w:r>
                  <w:r>
                    <w:rPr>
                      <w:rFonts w:ascii="Times New Roman" w:hAnsi="Times New Roman" w:eastAsia="宋体" w:cs="Times New Roman"/>
                      <w:b w:val="0"/>
                      <w:bCs w:val="0"/>
                      <w:kern w:val="2"/>
                      <w:sz w:val="21"/>
                      <w:szCs w:val="21"/>
                      <w:highlight w:val="none"/>
                      <w:lang w:val="en-US" w:eastAsia="zh-CN" w:bidi="ar"/>
                    </w:rPr>
                    <w:t>控制效率</w:t>
                  </w:r>
                  <w:r>
                    <w:rPr>
                      <w:rFonts w:hint="default" w:cs="Times New Roman"/>
                      <w:b w:val="0"/>
                      <w:bCs w:val="0"/>
                      <w:kern w:val="2"/>
                      <w:sz w:val="21"/>
                      <w:szCs w:val="21"/>
                      <w:highlight w:val="none"/>
                      <w:lang w:val="en-US" w:eastAsia="zh-CN" w:bidi="ar"/>
                    </w:rPr>
                    <w:t>74</w:t>
                  </w:r>
                  <w:r>
                    <w:rPr>
                      <w:rFonts w:hint="default" w:ascii="Times New Roman" w:hAnsi="Times New Roman" w:eastAsia="宋体" w:cs="Times New Roman"/>
                      <w:b w:val="0"/>
                      <w:bCs w:val="0"/>
                      <w:kern w:val="2"/>
                      <w:sz w:val="21"/>
                      <w:szCs w:val="21"/>
                      <w:highlight w:val="none"/>
                      <w:lang w:val="en-US" w:eastAsia="zh-CN" w:bidi="ar"/>
                    </w:rPr>
                    <w:t>%</w:t>
                  </w:r>
                  <w:r>
                    <w:rPr>
                      <w:rFonts w:hint="default" w:cs="Times New Roman"/>
                      <w:b w:val="0"/>
                      <w:bCs w:val="0"/>
                      <w:kern w:val="2"/>
                      <w:sz w:val="21"/>
                      <w:szCs w:val="21"/>
                      <w:highlight w:val="none"/>
                      <w:lang w:val="en-US" w:eastAsia="zh-CN" w:bidi="ar"/>
                    </w:rPr>
                    <w:t>）</w:t>
                  </w:r>
                </w:p>
              </w:tc>
              <w:tc>
                <w:tcPr>
                  <w:tcW w:w="998" w:type="dxa"/>
                  <w:tcBorders>
                    <w:tl2br w:val="nil"/>
                    <w:tr2bl w:val="nil"/>
                  </w:tcBorders>
                  <w:noWrap w:val="0"/>
                  <w:vAlign w:val="center"/>
                </w:tcPr>
                <w:p>
                  <w:pPr>
                    <w:widowControl/>
                    <w:spacing w:line="240" w:lineRule="auto"/>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0.19</w:t>
                  </w:r>
                </w:p>
              </w:tc>
              <w:tc>
                <w:tcPr>
                  <w:tcW w:w="1298" w:type="dxa"/>
                  <w:tcBorders>
                    <w:tl2br w:val="nil"/>
                    <w:tr2bl w:val="nil"/>
                  </w:tcBorders>
                  <w:noWrap w:val="0"/>
                  <w:vAlign w:val="center"/>
                </w:tcPr>
                <w:p>
                  <w:pPr>
                    <w:widowControl/>
                    <w:spacing w:line="240" w:lineRule="auto"/>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r>
          </w:tbl>
          <w:p>
            <w:pPr>
              <w:pStyle w:val="60"/>
              <w:spacing w:line="520" w:lineRule="exact"/>
              <w:rPr>
                <w:rFonts w:cs="Times New Roman"/>
                <w:color w:val="auto"/>
                <w:highlight w:val="none"/>
              </w:rPr>
            </w:pPr>
            <w:r>
              <w:rPr>
                <w:rFonts w:cs="Times New Roman"/>
                <w:color w:val="auto"/>
                <w:highlight w:val="none"/>
              </w:rPr>
              <w:t>1.</w:t>
            </w:r>
            <w:r>
              <w:rPr>
                <w:rFonts w:hint="eastAsia" w:cs="Times New Roman"/>
                <w:color w:val="auto"/>
                <w:highlight w:val="none"/>
                <w:lang w:val="en-US" w:eastAsia="zh-CN"/>
              </w:rPr>
              <w:t>2</w:t>
            </w:r>
            <w:r>
              <w:rPr>
                <w:rFonts w:cs="Times New Roman"/>
                <w:color w:val="auto"/>
                <w:highlight w:val="none"/>
              </w:rPr>
              <w:t xml:space="preserve"> 非正常工况废气源强核算</w:t>
            </w:r>
          </w:p>
          <w:p>
            <w:pPr>
              <w:widowControl/>
              <w:spacing w:line="360" w:lineRule="auto"/>
              <w:ind w:firstLine="480" w:firstLineChars="20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sz w:val="24"/>
              </w:rPr>
              <w:t>非正常工况：本</w:t>
            </w:r>
            <w:r>
              <w:rPr>
                <w:rFonts w:hint="default" w:ascii="Times New Roman" w:hAnsi="Times New Roman" w:cs="Times New Roman"/>
                <w:sz w:val="24"/>
                <w:lang w:val="en-US" w:eastAsia="zh-CN"/>
              </w:rPr>
              <w:t>项目</w:t>
            </w:r>
            <w:r>
              <w:rPr>
                <w:rFonts w:hint="default" w:ascii="Times New Roman" w:hAnsi="Times New Roman" w:cs="Times New Roman"/>
                <w:sz w:val="24"/>
              </w:rPr>
              <w:t>非正常工况主要为</w:t>
            </w:r>
            <w:r>
              <w:rPr>
                <w:rFonts w:hint="default" w:ascii="Times New Roman" w:hAnsi="Times New Roman" w:cs="Times New Roman"/>
                <w:sz w:val="24"/>
                <w:lang w:val="en-US" w:eastAsia="zh-CN"/>
              </w:rPr>
              <w:t>布袋除尘</w:t>
            </w:r>
            <w:r>
              <w:rPr>
                <w:rFonts w:hint="default" w:ascii="Times New Roman" w:hAnsi="Times New Roman" w:cs="Times New Roman"/>
                <w:sz w:val="24"/>
              </w:rPr>
              <w:t>设备故障导致</w:t>
            </w:r>
            <w:r>
              <w:rPr>
                <w:rFonts w:hint="default" w:ascii="Times New Roman" w:hAnsi="Times New Roman" w:cs="Times New Roman"/>
                <w:sz w:val="24"/>
                <w:lang w:val="en-US" w:eastAsia="zh-CN"/>
              </w:rPr>
              <w:t>颗粒物</w:t>
            </w:r>
            <w:r>
              <w:rPr>
                <w:rFonts w:hint="default" w:ascii="Times New Roman" w:hAnsi="Times New Roman" w:cs="Times New Roman"/>
                <w:sz w:val="24"/>
              </w:rPr>
              <w:t>排放量增加。详情见表</w:t>
            </w:r>
            <w:r>
              <w:rPr>
                <w:rFonts w:hint="default" w:ascii="Times New Roman" w:hAnsi="Times New Roman" w:cs="Times New Roman"/>
                <w:sz w:val="24"/>
                <w:lang w:val="en-US" w:eastAsia="zh-CN"/>
              </w:rPr>
              <w:t>4-</w:t>
            </w:r>
            <w:r>
              <w:rPr>
                <w:rFonts w:hint="eastAsia" w:cs="Times New Roman"/>
                <w:sz w:val="24"/>
                <w:lang w:val="en-US" w:eastAsia="zh-CN"/>
              </w:rPr>
              <w:t>3</w:t>
            </w:r>
            <w:r>
              <w:rPr>
                <w:rFonts w:hint="default" w:ascii="Times New Roman" w:hAnsi="Times New Roman" w:cs="Times New Roman"/>
                <w:sz w:val="24"/>
              </w:rPr>
              <w:t>：</w:t>
            </w:r>
          </w:p>
          <w:p>
            <w:pPr>
              <w:pStyle w:val="39"/>
              <w:spacing w:line="240" w:lineRule="auto"/>
              <w:jc w:val="center"/>
              <w:rPr>
                <w:rFonts w:hint="default" w:ascii="Times New Roman" w:hAnsi="Times New Roman" w:cs="Times New Roman"/>
                <w:b/>
                <w:color w:val="auto"/>
                <w:sz w:val="21"/>
                <w:szCs w:val="21"/>
              </w:rPr>
            </w:pPr>
            <w:r>
              <w:rPr>
                <w:rFonts w:hint="default" w:ascii="Times New Roman" w:hAnsi="Times New Roman" w:eastAsia="宋体" w:cs="Times New Roman"/>
                <w:b/>
                <w:bCs/>
                <w:color w:val="auto"/>
                <w:kern w:val="2"/>
                <w:sz w:val="21"/>
                <w:szCs w:val="21"/>
                <w:lang w:val="en-US" w:eastAsia="zh-CN" w:bidi="ar-SA"/>
              </w:rPr>
              <w:t>表</w:t>
            </w:r>
            <w:r>
              <w:rPr>
                <w:rFonts w:hint="default" w:ascii="Times New Roman" w:hAnsi="Times New Roman" w:eastAsia="黑体" w:cs="Times New Roman"/>
                <w:sz w:val="21"/>
                <w:szCs w:val="21"/>
              </w:rPr>
              <w:t>4-</w:t>
            </w:r>
            <w:r>
              <w:rPr>
                <w:rFonts w:hint="eastAsia" w:ascii="Times New Roman" w:eastAsia="黑体" w:cs="Times New Roman"/>
                <w:sz w:val="21"/>
                <w:szCs w:val="21"/>
                <w:lang w:val="en-US" w:eastAsia="zh-CN"/>
              </w:rPr>
              <w:t>3</w:t>
            </w:r>
            <w:r>
              <w:rPr>
                <w:rFonts w:hint="default" w:ascii="Times New Roman" w:hAnsi="Times New Roman" w:eastAsia="黑体" w:cs="Times New Roman"/>
              </w:rPr>
              <w:t xml:space="preserve">  </w:t>
            </w:r>
            <w:r>
              <w:rPr>
                <w:rFonts w:hint="default" w:ascii="Times New Roman" w:hAnsi="Times New Roman" w:eastAsia="宋体" w:cs="Times New Roman"/>
                <w:b/>
                <w:bCs/>
                <w:color w:val="auto"/>
                <w:kern w:val="2"/>
                <w:sz w:val="21"/>
                <w:szCs w:val="21"/>
                <w:lang w:val="en-US" w:eastAsia="zh-CN" w:bidi="ar-SA"/>
              </w:rPr>
              <w:t>非正常工况</w:t>
            </w:r>
            <w:r>
              <w:rPr>
                <w:rFonts w:hint="eastAsia" w:ascii="Times New Roman" w:cs="Times New Roman"/>
                <w:b/>
                <w:bCs/>
                <w:color w:val="auto"/>
                <w:kern w:val="2"/>
                <w:sz w:val="21"/>
                <w:szCs w:val="21"/>
                <w:lang w:val="en-US" w:eastAsia="zh-CN" w:bidi="ar-SA"/>
              </w:rPr>
              <w:t>废气</w:t>
            </w:r>
            <w:r>
              <w:rPr>
                <w:rFonts w:hint="default" w:ascii="Times New Roman" w:hAnsi="Times New Roman" w:eastAsia="宋体" w:cs="Times New Roman"/>
                <w:b/>
                <w:bCs/>
                <w:color w:val="auto"/>
                <w:kern w:val="2"/>
                <w:sz w:val="21"/>
                <w:szCs w:val="21"/>
                <w:lang w:val="en-US" w:eastAsia="zh-CN" w:bidi="ar-SA"/>
              </w:rPr>
              <w:t>污染物产生及排放情况</w:t>
            </w:r>
          </w:p>
          <w:tbl>
            <w:tblPr>
              <w:tblStyle w:val="30"/>
              <w:tblW w:w="4994"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39"/>
              <w:gridCol w:w="646"/>
              <w:gridCol w:w="878"/>
              <w:gridCol w:w="746"/>
              <w:gridCol w:w="966"/>
              <w:gridCol w:w="671"/>
              <w:gridCol w:w="1266"/>
              <w:gridCol w:w="137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41" w:type="pct"/>
                  <w:tcBorders>
                    <w:tl2br w:val="nil"/>
                    <w:tr2bl w:val="nil"/>
                  </w:tcBorders>
                  <w:noWrap w:val="0"/>
                  <w:vAlign w:val="center"/>
                </w:tcPr>
                <w:p>
                  <w:pPr>
                    <w:pStyle w:val="3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排放源</w:t>
                  </w:r>
                </w:p>
              </w:tc>
              <w:tc>
                <w:tcPr>
                  <w:tcW w:w="420" w:type="pct"/>
                  <w:tcBorders>
                    <w:tl2br w:val="nil"/>
                    <w:tr2bl w:val="nil"/>
                  </w:tcBorders>
                  <w:noWrap w:val="0"/>
                  <w:vAlign w:val="center"/>
                </w:tcPr>
                <w:p>
                  <w:pPr>
                    <w:pStyle w:val="3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时段</w:t>
                  </w:r>
                </w:p>
              </w:tc>
              <w:tc>
                <w:tcPr>
                  <w:tcW w:w="571" w:type="pct"/>
                  <w:tcBorders>
                    <w:tl2br w:val="nil"/>
                    <w:tr2bl w:val="nil"/>
                  </w:tcBorders>
                  <w:noWrap w:val="0"/>
                  <w:vAlign w:val="center"/>
                </w:tcPr>
                <w:p>
                  <w:pPr>
                    <w:pStyle w:val="3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污染物</w:t>
                  </w:r>
                </w:p>
              </w:tc>
              <w:tc>
                <w:tcPr>
                  <w:tcW w:w="485" w:type="pct"/>
                  <w:tcBorders>
                    <w:tl2br w:val="nil"/>
                    <w:tr2bl w:val="nil"/>
                  </w:tcBorders>
                  <w:noWrap w:val="0"/>
                  <w:vAlign w:val="center"/>
                </w:tcPr>
                <w:p>
                  <w:pPr>
                    <w:pStyle w:val="3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排放量kg/h</w:t>
                  </w:r>
                </w:p>
              </w:tc>
              <w:tc>
                <w:tcPr>
                  <w:tcW w:w="628" w:type="pct"/>
                  <w:tcBorders>
                    <w:tl2br w:val="nil"/>
                    <w:tr2bl w:val="nil"/>
                  </w:tcBorders>
                  <w:noWrap w:val="0"/>
                  <w:vAlign w:val="center"/>
                </w:tcPr>
                <w:p>
                  <w:pPr>
                    <w:pStyle w:val="3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排放浓度mg/m³</w:t>
                  </w:r>
                </w:p>
              </w:tc>
              <w:tc>
                <w:tcPr>
                  <w:tcW w:w="436" w:type="pct"/>
                  <w:tcBorders>
                    <w:tl2br w:val="nil"/>
                    <w:tr2bl w:val="nil"/>
                  </w:tcBorders>
                  <w:noWrap w:val="0"/>
                  <w:vAlign w:val="center"/>
                </w:tcPr>
                <w:p>
                  <w:pPr>
                    <w:pStyle w:val="3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持续</w:t>
                  </w:r>
                </w:p>
                <w:p>
                  <w:pPr>
                    <w:pStyle w:val="3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时间</w:t>
                  </w:r>
                </w:p>
              </w:tc>
              <w:tc>
                <w:tcPr>
                  <w:tcW w:w="823" w:type="pct"/>
                  <w:tcBorders>
                    <w:tl2br w:val="nil"/>
                    <w:tr2bl w:val="nil"/>
                  </w:tcBorders>
                  <w:noWrap w:val="0"/>
                  <w:vAlign w:val="center"/>
                </w:tcPr>
                <w:p>
                  <w:pPr>
                    <w:pStyle w:val="3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非正常工况</w:t>
                  </w:r>
                </w:p>
              </w:tc>
              <w:tc>
                <w:tcPr>
                  <w:tcW w:w="893" w:type="pct"/>
                  <w:tcBorders>
                    <w:tl2br w:val="nil"/>
                    <w:tr2bl w:val="nil"/>
                  </w:tcBorders>
                  <w:noWrap w:val="0"/>
                  <w:vAlign w:val="center"/>
                </w:tcPr>
                <w:p>
                  <w:pPr>
                    <w:pStyle w:val="3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应对措施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741" w:type="pct"/>
                  <w:tcBorders>
                    <w:tl2br w:val="nil"/>
                    <w:tr2bl w:val="nil"/>
                  </w:tcBorders>
                  <w:noWrap w:val="0"/>
                  <w:vAlign w:val="center"/>
                </w:tcPr>
                <w:p>
                  <w:pPr>
                    <w:pStyle w:val="39"/>
                    <w:spacing w:line="240" w:lineRule="auto"/>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DA00</w:t>
                  </w:r>
                  <w:r>
                    <w:rPr>
                      <w:rFonts w:hint="default" w:ascii="Times New Roman" w:hAnsi="Times New Roman" w:cs="Times New Roman"/>
                      <w:bCs/>
                      <w:color w:val="000000" w:themeColor="text1"/>
                      <w:sz w:val="21"/>
                      <w:szCs w:val="21"/>
                      <w:lang w:val="en-US" w:eastAsia="zh-CN"/>
                      <w14:textFill>
                        <w14:solidFill>
                          <w14:schemeClr w14:val="tx1"/>
                        </w14:solidFill>
                      </w14:textFill>
                    </w:rPr>
                    <w:t>1</w:t>
                  </w:r>
                </w:p>
              </w:tc>
              <w:tc>
                <w:tcPr>
                  <w:tcW w:w="420" w:type="pct"/>
                  <w:tcBorders>
                    <w:tl2br w:val="nil"/>
                    <w:tr2bl w:val="nil"/>
                  </w:tcBorders>
                  <w:noWrap w:val="0"/>
                  <w:vAlign w:val="center"/>
                </w:tcPr>
                <w:p>
                  <w:pPr>
                    <w:pStyle w:val="39"/>
                    <w:spacing w:line="240" w:lineRule="auto"/>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厂区</w:t>
                  </w:r>
                </w:p>
              </w:tc>
              <w:tc>
                <w:tcPr>
                  <w:tcW w:w="571" w:type="pct"/>
                  <w:tcBorders>
                    <w:tl2br w:val="nil"/>
                    <w:tr2bl w:val="nil"/>
                  </w:tcBorders>
                  <w:noWrap w:val="0"/>
                  <w:vAlign w:val="center"/>
                </w:tcPr>
                <w:p>
                  <w:pPr>
                    <w:pStyle w:val="39"/>
                    <w:spacing w:line="240" w:lineRule="auto"/>
                    <w:jc w:val="center"/>
                    <w:rPr>
                      <w:rFonts w:hint="default" w:ascii="Times New Roman" w:hAnsi="Times New Roman"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w:t>
                  </w:r>
                </w:p>
              </w:tc>
              <w:tc>
                <w:tcPr>
                  <w:tcW w:w="485"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22.35</w:t>
                  </w:r>
                </w:p>
              </w:tc>
              <w:tc>
                <w:tcPr>
                  <w:tcW w:w="628"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2235</w:t>
                  </w:r>
                </w:p>
              </w:tc>
              <w:tc>
                <w:tcPr>
                  <w:tcW w:w="436" w:type="pct"/>
                  <w:tcBorders>
                    <w:tl2br w:val="nil"/>
                    <w:tr2bl w:val="nil"/>
                  </w:tcBorders>
                  <w:noWrap w:val="0"/>
                  <w:vAlign w:val="center"/>
                </w:tcPr>
                <w:p>
                  <w:pPr>
                    <w:pStyle w:val="39"/>
                    <w:spacing w:line="240" w:lineRule="auto"/>
                    <w:jc w:val="center"/>
                    <w:rPr>
                      <w:rFonts w:hint="default" w:ascii="Times New Roman" w:hAnsi="Times New Roman"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1h</w:t>
                  </w:r>
                </w:p>
              </w:tc>
              <w:tc>
                <w:tcPr>
                  <w:tcW w:w="823" w:type="pct"/>
                  <w:tcBorders>
                    <w:tl2br w:val="nil"/>
                    <w:tr2bl w:val="nil"/>
                  </w:tcBorders>
                  <w:noWrap w:val="0"/>
                  <w:vAlign w:val="center"/>
                </w:tcPr>
                <w:p>
                  <w:pPr>
                    <w:pStyle w:val="39"/>
                    <w:spacing w:line="240" w:lineRule="auto"/>
                    <w:jc w:val="center"/>
                    <w:rPr>
                      <w:rFonts w:hint="default" w:ascii="Times New Roman" w:hAnsi="Times New Roman"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布袋除尘故障</w:t>
                  </w:r>
                </w:p>
              </w:tc>
              <w:tc>
                <w:tcPr>
                  <w:tcW w:w="893" w:type="pct"/>
                  <w:tcBorders>
                    <w:tl2br w:val="nil"/>
                    <w:tr2bl w:val="nil"/>
                  </w:tcBorders>
                  <w:noWrap w:val="0"/>
                  <w:vAlign w:val="center"/>
                </w:tcPr>
                <w:p>
                  <w:pPr>
                    <w:pStyle w:val="39"/>
                    <w:spacing w:line="240" w:lineRule="auto"/>
                    <w:jc w:val="center"/>
                    <w:rPr>
                      <w:rFonts w:hint="default" w:ascii="Times New Roman" w:hAnsi="Times New Roman"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停机，紧急检修，更换布袋</w:t>
                  </w:r>
                </w:p>
              </w:tc>
            </w:tr>
          </w:tbl>
          <w:p>
            <w:pPr>
              <w:pStyle w:val="49"/>
              <w:spacing w:line="360" w:lineRule="auto"/>
              <w:ind w:firstLine="480"/>
              <w:rPr>
                <w:rFonts w:cs="Times New Roman"/>
                <w:color w:val="auto"/>
                <w:highlight w:val="none"/>
              </w:rPr>
            </w:pPr>
            <w:r>
              <w:rPr>
                <w:rFonts w:cs="Times New Roman"/>
                <w:color w:val="auto"/>
                <w:highlight w:val="none"/>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pPr>
              <w:pStyle w:val="49"/>
              <w:numPr>
                <w:ilvl w:val="0"/>
                <w:numId w:val="10"/>
              </w:numPr>
              <w:spacing w:line="360" w:lineRule="auto"/>
              <w:ind w:firstLine="480"/>
              <w:rPr>
                <w:rFonts w:cs="Times New Roman"/>
                <w:color w:val="auto"/>
                <w:highlight w:val="none"/>
              </w:rPr>
            </w:pPr>
            <w:r>
              <w:rPr>
                <w:rFonts w:cs="Times New Roman"/>
                <w:color w:val="auto"/>
                <w:highlight w:val="none"/>
              </w:rPr>
              <w:t>安排专人负责环保设备的日常维护和管理，每个固定时间检查、汇报情况，及时发现废气处理设备的隐患，确保废气处理系统正常运行；</w:t>
            </w:r>
          </w:p>
          <w:p>
            <w:pPr>
              <w:pStyle w:val="49"/>
              <w:numPr>
                <w:ilvl w:val="0"/>
                <w:numId w:val="10"/>
              </w:numPr>
              <w:spacing w:line="360" w:lineRule="auto"/>
              <w:ind w:firstLine="480"/>
              <w:rPr>
                <w:rFonts w:cs="Times New Roman"/>
                <w:color w:val="auto"/>
                <w:highlight w:val="none"/>
              </w:rPr>
            </w:pPr>
            <w:r>
              <w:rPr>
                <w:rFonts w:cs="Times New Roman"/>
                <w:color w:val="auto"/>
                <w:highlight w:val="none"/>
              </w:rPr>
              <w:t>建立健全的环保管理机构，对环保管理人员和技术人员进行岗位培训，委托具有专业资质的环境检测单位对项目排放的各类污染物进行定期检测；</w:t>
            </w:r>
          </w:p>
          <w:p>
            <w:pPr>
              <w:pStyle w:val="49"/>
              <w:numPr>
                <w:ilvl w:val="0"/>
                <w:numId w:val="10"/>
              </w:numPr>
              <w:spacing w:line="360" w:lineRule="auto"/>
              <w:ind w:firstLine="480"/>
              <w:rPr>
                <w:rFonts w:cs="Times New Roman"/>
                <w:color w:val="auto"/>
                <w:highlight w:val="none"/>
              </w:rPr>
            </w:pPr>
            <w:r>
              <w:rPr>
                <w:rFonts w:cs="Times New Roman"/>
                <w:color w:val="auto"/>
                <w:highlight w:val="none"/>
              </w:rPr>
              <w:t>定期维护、检修废气净化装置，以保持废气处理装置的净化能力和净化容量。</w:t>
            </w:r>
          </w:p>
          <w:p>
            <w:pPr>
              <w:pStyle w:val="60"/>
              <w:spacing w:line="360" w:lineRule="auto"/>
              <w:rPr>
                <w:rFonts w:cs="Times New Roman"/>
                <w:color w:val="auto"/>
                <w:highlight w:val="none"/>
              </w:rPr>
            </w:pPr>
            <w:r>
              <w:rPr>
                <w:rFonts w:cs="Times New Roman"/>
                <w:color w:val="auto"/>
                <w:highlight w:val="none"/>
              </w:rPr>
              <w:t>1.</w:t>
            </w:r>
            <w:r>
              <w:rPr>
                <w:rFonts w:hint="eastAsia" w:cs="Times New Roman"/>
                <w:color w:val="auto"/>
                <w:highlight w:val="none"/>
                <w:lang w:val="en-US" w:eastAsia="zh-CN"/>
              </w:rPr>
              <w:t>3</w:t>
            </w:r>
            <w:r>
              <w:rPr>
                <w:rFonts w:cs="Times New Roman"/>
                <w:color w:val="auto"/>
                <w:highlight w:val="none"/>
              </w:rPr>
              <w:t xml:space="preserve"> 排放口设置情况</w:t>
            </w:r>
          </w:p>
          <w:p>
            <w:pPr>
              <w:adjustRightInd w:val="0"/>
              <w:snapToGrid w:val="0"/>
              <w:spacing w:line="360" w:lineRule="auto"/>
              <w:ind w:firstLine="480" w:firstLineChars="200"/>
              <w:rPr>
                <w:color w:val="auto"/>
                <w:kern w:val="0"/>
                <w:sz w:val="24"/>
                <w:highlight w:val="none"/>
              </w:rPr>
            </w:pPr>
            <w:r>
              <w:rPr>
                <w:color w:val="auto"/>
                <w:kern w:val="0"/>
                <w:sz w:val="24"/>
                <w:highlight w:val="none"/>
              </w:rPr>
              <w:t>本项目排放口设置情况详见表</w:t>
            </w:r>
            <w:r>
              <w:rPr>
                <w:rFonts w:hint="eastAsia"/>
                <w:color w:val="auto"/>
                <w:kern w:val="0"/>
                <w:sz w:val="24"/>
                <w:highlight w:val="none"/>
                <w:lang w:val="en-US" w:eastAsia="zh-CN"/>
              </w:rPr>
              <w:t>4-4</w:t>
            </w:r>
            <w:r>
              <w:rPr>
                <w:color w:val="auto"/>
                <w:kern w:val="0"/>
                <w:sz w:val="24"/>
                <w:highlight w:val="none"/>
              </w:rPr>
              <w:t>。</w:t>
            </w:r>
          </w:p>
          <w:p>
            <w:pPr>
              <w:pStyle w:val="29"/>
              <w:spacing w:after="0" w:line="240" w:lineRule="auto"/>
              <w:ind w:left="0" w:leftChars="0" w:firstLine="0"/>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表</w:t>
            </w:r>
            <w:r>
              <w:rPr>
                <w:rFonts w:hint="eastAsia" w:ascii="Times New Roman" w:hAnsi="Times New Roman"/>
                <w:b/>
                <w:bCs/>
                <w:color w:val="auto"/>
                <w:sz w:val="21"/>
                <w:szCs w:val="21"/>
                <w:highlight w:val="none"/>
                <w:lang w:val="en-US" w:eastAsia="zh-CN"/>
              </w:rPr>
              <w:t>4-4</w:t>
            </w:r>
            <w:r>
              <w:rPr>
                <w:rFonts w:ascii="Times New Roman" w:hAnsi="Times New Roman"/>
                <w:b/>
                <w:bCs/>
                <w:color w:val="auto"/>
                <w:sz w:val="21"/>
                <w:szCs w:val="21"/>
                <w:highlight w:val="none"/>
              </w:rPr>
              <w:t xml:space="preserve">   废气排口情况表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634"/>
              <w:gridCol w:w="554"/>
              <w:gridCol w:w="749"/>
              <w:gridCol w:w="683"/>
              <w:gridCol w:w="694"/>
              <w:gridCol w:w="522"/>
              <w:gridCol w:w="663"/>
              <w:gridCol w:w="608"/>
              <w:gridCol w:w="490"/>
              <w:gridCol w:w="517"/>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排放口名称及编号</w:t>
                  </w:r>
                </w:p>
              </w:tc>
              <w:tc>
                <w:tcPr>
                  <w:tcW w:w="0" w:type="auto"/>
                  <w:gridSpan w:val="2"/>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排气筒底部中心坐标</w:t>
                  </w:r>
                </w:p>
              </w:tc>
              <w:tc>
                <w:tcPr>
                  <w:tcW w:w="0" w:type="auto"/>
                  <w:vMerge w:val="restart"/>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排气筒底部海拔高度(m)</w:t>
                  </w:r>
                </w:p>
              </w:tc>
              <w:tc>
                <w:tcPr>
                  <w:tcW w:w="0" w:type="auto"/>
                  <w:gridSpan w:val="4"/>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排气筒参数</w:t>
                  </w:r>
                </w:p>
              </w:tc>
              <w:tc>
                <w:tcPr>
                  <w:tcW w:w="0" w:type="auto"/>
                  <w:gridSpan w:val="2"/>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运行参数</w:t>
                  </w:r>
                </w:p>
              </w:tc>
              <w:tc>
                <w:tcPr>
                  <w:tcW w:w="0" w:type="auto"/>
                  <w:gridSpan w:val="2"/>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运行参数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pPr>
                    <w:pStyle w:val="50"/>
                    <w:spacing w:line="240" w:lineRule="auto"/>
                    <w:ind w:firstLine="0" w:firstLineChars="0"/>
                    <w:rPr>
                      <w:b/>
                      <w:bCs w:val="0"/>
                      <w:color w:val="auto"/>
                      <w:spacing w:val="-10"/>
                      <w:sz w:val="21"/>
                      <w:szCs w:val="21"/>
                      <w:highlight w:val="none"/>
                    </w:rPr>
                  </w:pP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经度</w:t>
                  </w: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纬度</w:t>
                  </w:r>
                </w:p>
              </w:tc>
              <w:tc>
                <w:tcPr>
                  <w:tcW w:w="0" w:type="auto"/>
                  <w:vMerge w:val="continue"/>
                  <w:vAlign w:val="center"/>
                </w:tcPr>
                <w:p>
                  <w:pPr>
                    <w:pStyle w:val="50"/>
                    <w:spacing w:line="240" w:lineRule="auto"/>
                    <w:ind w:firstLine="0" w:firstLineChars="0"/>
                    <w:rPr>
                      <w:b/>
                      <w:bCs w:val="0"/>
                      <w:color w:val="auto"/>
                      <w:spacing w:val="-10"/>
                      <w:sz w:val="21"/>
                      <w:szCs w:val="21"/>
                      <w:highlight w:val="none"/>
                    </w:rPr>
                  </w:pP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z w:val="21"/>
                      <w:szCs w:val="21"/>
                      <w:highlight w:val="none"/>
                    </w:rPr>
                    <w:t>排气筒高度(m)</w:t>
                  </w: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排气筒出口内经(m)</w:t>
                  </w: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烟气</w:t>
                  </w:r>
                </w:p>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流速(m/s)</w:t>
                  </w: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烟气温度(℃)</w:t>
                  </w: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年排放小时数(h)</w:t>
                  </w: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排放工况</w:t>
                  </w: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污染源名称</w:t>
                  </w:r>
                </w:p>
              </w:tc>
              <w:tc>
                <w:tcPr>
                  <w:tcW w:w="0" w:type="auto"/>
                  <w:vAlign w:val="center"/>
                </w:tcPr>
                <w:p>
                  <w:pPr>
                    <w:pStyle w:val="50"/>
                    <w:spacing w:line="240" w:lineRule="auto"/>
                    <w:ind w:firstLine="0" w:firstLineChars="0"/>
                    <w:rPr>
                      <w:b/>
                      <w:bCs w:val="0"/>
                      <w:color w:val="auto"/>
                      <w:spacing w:val="-10"/>
                      <w:sz w:val="21"/>
                      <w:szCs w:val="21"/>
                      <w:highlight w:val="none"/>
                    </w:rPr>
                  </w:pPr>
                  <w:r>
                    <w:rPr>
                      <w:b/>
                      <w:bCs w:val="0"/>
                      <w:color w:val="auto"/>
                      <w:spacing w:val="-10"/>
                      <w:sz w:val="21"/>
                      <w:szCs w:val="21"/>
                      <w:highlight w:val="none"/>
                    </w:rPr>
                    <w:t>污染物排放速率(kg/h)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tl2br w:val="nil"/>
                    <w:tr2bl w:val="nil"/>
                  </w:tcBorders>
                  <w:vAlign w:val="center"/>
                </w:tcPr>
                <w:p>
                  <w:pPr>
                    <w:pStyle w:val="50"/>
                    <w:spacing w:line="240" w:lineRule="auto"/>
                    <w:ind w:firstLine="0" w:firstLineChars="0"/>
                    <w:rPr>
                      <w:rFonts w:hint="eastAsia" w:eastAsia="宋体"/>
                      <w:color w:val="auto"/>
                      <w:spacing w:val="-10"/>
                      <w:sz w:val="21"/>
                      <w:szCs w:val="21"/>
                      <w:highlight w:val="none"/>
                      <w:lang w:eastAsia="zh-CN"/>
                    </w:rPr>
                  </w:pPr>
                  <w:r>
                    <w:rPr>
                      <w:color w:val="auto"/>
                      <w:spacing w:val="-10"/>
                      <w:sz w:val="21"/>
                      <w:szCs w:val="21"/>
                      <w:highlight w:val="none"/>
                    </w:rPr>
                    <w:t>废气排口DA001</w:t>
                  </w:r>
                  <w:r>
                    <w:rPr>
                      <w:rFonts w:hint="eastAsia"/>
                      <w:color w:val="auto"/>
                      <w:spacing w:val="-10"/>
                      <w:sz w:val="21"/>
                      <w:szCs w:val="21"/>
                      <w:highlight w:val="none"/>
                      <w:lang w:eastAsia="zh-CN"/>
                    </w:rPr>
                    <w:t>（</w:t>
                  </w:r>
                  <w:r>
                    <w:rPr>
                      <w:rFonts w:hint="eastAsia"/>
                      <w:color w:val="auto"/>
                      <w:spacing w:val="-10"/>
                      <w:sz w:val="21"/>
                      <w:szCs w:val="21"/>
                      <w:highlight w:val="none"/>
                      <w:lang w:val="en-US" w:eastAsia="zh-CN"/>
                    </w:rPr>
                    <w:t>一般排放口</w:t>
                  </w:r>
                  <w:r>
                    <w:rPr>
                      <w:rFonts w:hint="eastAsia"/>
                      <w:color w:val="auto"/>
                      <w:spacing w:val="-10"/>
                      <w:sz w:val="21"/>
                      <w:szCs w:val="21"/>
                      <w:highlight w:val="none"/>
                      <w:lang w:eastAsia="zh-CN"/>
                    </w:rPr>
                    <w:t>）</w:t>
                  </w:r>
                </w:p>
              </w:tc>
              <w:tc>
                <w:tcPr>
                  <w:tcW w:w="0" w:type="auto"/>
                  <w:tcBorders>
                    <w:tl2br w:val="nil"/>
                    <w:tr2bl w:val="nil"/>
                  </w:tcBorders>
                  <w:vAlign w:val="center"/>
                </w:tcPr>
                <w:p>
                  <w:pPr>
                    <w:pStyle w:val="50"/>
                    <w:spacing w:line="240" w:lineRule="auto"/>
                    <w:ind w:firstLine="0" w:firstLineChars="0"/>
                    <w:rPr>
                      <w:color w:val="auto"/>
                      <w:spacing w:val="-10"/>
                      <w:sz w:val="21"/>
                      <w:szCs w:val="21"/>
                      <w:highlight w:val="none"/>
                    </w:rPr>
                  </w:pPr>
                  <w:r>
                    <w:rPr>
                      <w:rFonts w:hint="eastAsia"/>
                      <w:color w:val="auto"/>
                      <w:spacing w:val="-10"/>
                      <w:sz w:val="21"/>
                      <w:szCs w:val="21"/>
                      <w:highlight w:val="none"/>
                      <w:lang w:val="en-US" w:eastAsia="zh-CN"/>
                    </w:rPr>
                    <w:t>89.6523044°E</w:t>
                  </w:r>
                </w:p>
              </w:tc>
              <w:tc>
                <w:tcPr>
                  <w:tcW w:w="0" w:type="auto"/>
                  <w:tcBorders>
                    <w:tl2br w:val="nil"/>
                    <w:tr2bl w:val="nil"/>
                  </w:tcBorders>
                  <w:vAlign w:val="center"/>
                </w:tcPr>
                <w:p>
                  <w:pPr>
                    <w:pStyle w:val="50"/>
                    <w:spacing w:line="240" w:lineRule="auto"/>
                    <w:ind w:firstLine="0" w:firstLineChars="0"/>
                    <w:rPr>
                      <w:color w:val="auto"/>
                      <w:spacing w:val="-10"/>
                      <w:sz w:val="21"/>
                      <w:szCs w:val="21"/>
                      <w:highlight w:val="none"/>
                    </w:rPr>
                  </w:pPr>
                  <w:r>
                    <w:rPr>
                      <w:rFonts w:hint="eastAsia" w:ascii="Times New Roman" w:hAnsi="Times New Roman" w:eastAsia="宋体" w:cs="Times New Roman"/>
                      <w:b w:val="0"/>
                      <w:bCs/>
                      <w:color w:val="000000"/>
                      <w:kern w:val="2"/>
                      <w:sz w:val="21"/>
                      <w:szCs w:val="21"/>
                      <w:lang w:val="en-US" w:eastAsia="zh-CN" w:bidi="ar-SA"/>
                    </w:rPr>
                    <w:t>44.0662912</w:t>
                  </w:r>
                  <w:r>
                    <w:rPr>
                      <w:color w:val="auto"/>
                      <w:spacing w:val="-10"/>
                      <w:sz w:val="21"/>
                      <w:szCs w:val="21"/>
                      <w:highlight w:val="none"/>
                    </w:rPr>
                    <w:t>°</w:t>
                  </w:r>
                  <w:r>
                    <w:rPr>
                      <w:rFonts w:hint="eastAsia"/>
                      <w:color w:val="auto"/>
                      <w:spacing w:val="-10"/>
                      <w:sz w:val="21"/>
                      <w:szCs w:val="21"/>
                      <w:highlight w:val="none"/>
                      <w:lang w:val="en-US" w:eastAsia="zh-CN"/>
                    </w:rPr>
                    <w:t>N</w:t>
                  </w:r>
                </w:p>
              </w:tc>
              <w:tc>
                <w:tcPr>
                  <w:tcW w:w="0" w:type="auto"/>
                  <w:tcBorders>
                    <w:tl2br w:val="nil"/>
                    <w:tr2bl w:val="nil"/>
                  </w:tcBorders>
                  <w:vAlign w:val="center"/>
                </w:tcPr>
                <w:p>
                  <w:pPr>
                    <w:pStyle w:val="50"/>
                    <w:spacing w:line="240" w:lineRule="auto"/>
                    <w:ind w:firstLine="0" w:firstLineChars="0"/>
                    <w:rPr>
                      <w:rFonts w:hint="default" w:eastAsia="宋体"/>
                      <w:color w:val="auto"/>
                      <w:spacing w:val="-10"/>
                      <w:sz w:val="21"/>
                      <w:szCs w:val="21"/>
                      <w:highlight w:val="none"/>
                      <w:lang w:val="en-US" w:eastAsia="zh-CN"/>
                    </w:rPr>
                  </w:pPr>
                  <w:r>
                    <w:rPr>
                      <w:rFonts w:hint="eastAsia"/>
                      <w:color w:val="auto"/>
                      <w:spacing w:val="-10"/>
                      <w:sz w:val="21"/>
                      <w:szCs w:val="21"/>
                      <w:highlight w:val="none"/>
                      <w:lang w:val="en-US" w:eastAsia="zh-CN"/>
                    </w:rPr>
                    <w:t>744</w:t>
                  </w:r>
                </w:p>
              </w:tc>
              <w:tc>
                <w:tcPr>
                  <w:tcW w:w="0" w:type="auto"/>
                  <w:tcBorders>
                    <w:tl2br w:val="nil"/>
                    <w:tr2bl w:val="nil"/>
                  </w:tcBorders>
                  <w:vAlign w:val="center"/>
                </w:tcPr>
                <w:p>
                  <w:pPr>
                    <w:pStyle w:val="50"/>
                    <w:spacing w:line="240" w:lineRule="auto"/>
                    <w:ind w:firstLine="0" w:firstLineChars="0"/>
                    <w:rPr>
                      <w:color w:val="auto"/>
                      <w:spacing w:val="-10"/>
                      <w:sz w:val="21"/>
                      <w:szCs w:val="21"/>
                      <w:highlight w:val="none"/>
                    </w:rPr>
                  </w:pPr>
                  <w:r>
                    <w:rPr>
                      <w:color w:val="auto"/>
                      <w:spacing w:val="-10"/>
                      <w:sz w:val="21"/>
                      <w:szCs w:val="21"/>
                      <w:highlight w:val="none"/>
                    </w:rPr>
                    <w:t>15</w:t>
                  </w:r>
                </w:p>
              </w:tc>
              <w:tc>
                <w:tcPr>
                  <w:tcW w:w="0" w:type="auto"/>
                  <w:tcBorders>
                    <w:tl2br w:val="nil"/>
                    <w:tr2bl w:val="nil"/>
                  </w:tcBorders>
                  <w:vAlign w:val="center"/>
                </w:tcPr>
                <w:p>
                  <w:pPr>
                    <w:pStyle w:val="50"/>
                    <w:spacing w:line="240" w:lineRule="auto"/>
                    <w:ind w:firstLine="0" w:firstLineChars="0"/>
                    <w:rPr>
                      <w:color w:val="auto"/>
                      <w:spacing w:val="-10"/>
                      <w:sz w:val="21"/>
                      <w:szCs w:val="21"/>
                      <w:highlight w:val="none"/>
                    </w:rPr>
                  </w:pPr>
                  <w:r>
                    <w:rPr>
                      <w:color w:val="auto"/>
                      <w:spacing w:val="-10"/>
                      <w:sz w:val="21"/>
                      <w:szCs w:val="21"/>
                      <w:highlight w:val="none"/>
                    </w:rPr>
                    <w:t>0.5</w:t>
                  </w:r>
                </w:p>
              </w:tc>
              <w:tc>
                <w:tcPr>
                  <w:tcW w:w="0" w:type="auto"/>
                  <w:tcBorders>
                    <w:tl2br w:val="nil"/>
                    <w:tr2bl w:val="nil"/>
                  </w:tcBorders>
                  <w:vAlign w:val="center"/>
                </w:tcPr>
                <w:p>
                  <w:pPr>
                    <w:pStyle w:val="50"/>
                    <w:spacing w:line="240" w:lineRule="auto"/>
                    <w:ind w:firstLine="0" w:firstLineChars="0"/>
                    <w:rPr>
                      <w:rFonts w:hint="default" w:eastAsia="宋体"/>
                      <w:color w:val="auto"/>
                      <w:spacing w:val="-10"/>
                      <w:sz w:val="21"/>
                      <w:szCs w:val="21"/>
                      <w:highlight w:val="none"/>
                      <w:lang w:val="en-US" w:eastAsia="zh-CN"/>
                    </w:rPr>
                  </w:pPr>
                  <w:r>
                    <w:rPr>
                      <w:rFonts w:hint="eastAsia"/>
                      <w:color w:val="auto"/>
                      <w:spacing w:val="-10"/>
                      <w:sz w:val="21"/>
                      <w:szCs w:val="21"/>
                      <w:highlight w:val="none"/>
                      <w:lang w:val="en-US" w:eastAsia="zh-CN"/>
                    </w:rPr>
                    <w:t>19</w:t>
                  </w:r>
                </w:p>
              </w:tc>
              <w:tc>
                <w:tcPr>
                  <w:tcW w:w="0" w:type="auto"/>
                  <w:tcBorders>
                    <w:tl2br w:val="nil"/>
                    <w:tr2bl w:val="nil"/>
                  </w:tcBorders>
                  <w:vAlign w:val="center"/>
                </w:tcPr>
                <w:p>
                  <w:pPr>
                    <w:pStyle w:val="50"/>
                    <w:spacing w:line="240" w:lineRule="auto"/>
                    <w:ind w:firstLine="0" w:firstLineChars="0"/>
                    <w:rPr>
                      <w:color w:val="auto"/>
                      <w:spacing w:val="-10"/>
                      <w:sz w:val="21"/>
                      <w:szCs w:val="21"/>
                      <w:highlight w:val="none"/>
                    </w:rPr>
                  </w:pPr>
                  <w:r>
                    <w:rPr>
                      <w:color w:val="auto"/>
                      <w:spacing w:val="-10"/>
                      <w:sz w:val="21"/>
                      <w:szCs w:val="21"/>
                      <w:highlight w:val="none"/>
                    </w:rPr>
                    <w:t>25</w:t>
                  </w:r>
                </w:p>
              </w:tc>
              <w:tc>
                <w:tcPr>
                  <w:tcW w:w="0" w:type="auto"/>
                  <w:tcBorders>
                    <w:tl2br w:val="nil"/>
                    <w:tr2bl w:val="nil"/>
                  </w:tcBorders>
                  <w:vAlign w:val="center"/>
                </w:tcPr>
                <w:p>
                  <w:pPr>
                    <w:pStyle w:val="50"/>
                    <w:spacing w:line="240" w:lineRule="auto"/>
                    <w:ind w:firstLine="0" w:firstLineChars="0"/>
                    <w:rPr>
                      <w:rFonts w:hint="default" w:eastAsia="宋体"/>
                      <w:color w:val="auto"/>
                      <w:spacing w:val="-10"/>
                      <w:sz w:val="21"/>
                      <w:szCs w:val="21"/>
                      <w:highlight w:val="none"/>
                      <w:lang w:val="en-US" w:eastAsia="zh-CN"/>
                    </w:rPr>
                  </w:pPr>
                  <w:r>
                    <w:rPr>
                      <w:rFonts w:hint="eastAsia"/>
                      <w:color w:val="auto"/>
                      <w:spacing w:val="-10"/>
                      <w:sz w:val="21"/>
                      <w:szCs w:val="21"/>
                      <w:highlight w:val="none"/>
                      <w:lang w:val="en-US" w:eastAsia="zh-CN"/>
                    </w:rPr>
                    <w:t>2400</w:t>
                  </w:r>
                </w:p>
              </w:tc>
              <w:tc>
                <w:tcPr>
                  <w:tcW w:w="0" w:type="auto"/>
                  <w:tcBorders>
                    <w:tl2br w:val="nil"/>
                    <w:tr2bl w:val="nil"/>
                  </w:tcBorders>
                  <w:vAlign w:val="center"/>
                </w:tcPr>
                <w:p>
                  <w:pPr>
                    <w:pStyle w:val="50"/>
                    <w:spacing w:line="240" w:lineRule="auto"/>
                    <w:ind w:firstLine="0" w:firstLineChars="0"/>
                    <w:rPr>
                      <w:color w:val="auto"/>
                      <w:spacing w:val="-10"/>
                      <w:sz w:val="21"/>
                      <w:szCs w:val="21"/>
                      <w:highlight w:val="none"/>
                    </w:rPr>
                  </w:pPr>
                  <w:r>
                    <w:rPr>
                      <w:color w:val="auto"/>
                      <w:spacing w:val="-10"/>
                      <w:sz w:val="21"/>
                      <w:szCs w:val="21"/>
                      <w:highlight w:val="none"/>
                    </w:rPr>
                    <w:t>正常</w:t>
                  </w:r>
                </w:p>
              </w:tc>
              <w:tc>
                <w:tcPr>
                  <w:tcW w:w="0" w:type="auto"/>
                  <w:tcBorders>
                    <w:tl2br w:val="nil"/>
                    <w:tr2bl w:val="nil"/>
                  </w:tcBorders>
                  <w:vAlign w:val="center"/>
                </w:tcPr>
                <w:p>
                  <w:pPr>
                    <w:pStyle w:val="50"/>
                    <w:spacing w:line="240" w:lineRule="auto"/>
                    <w:ind w:firstLine="0" w:firstLineChars="0"/>
                    <w:rPr>
                      <w:rFonts w:hint="default" w:eastAsia="宋体"/>
                      <w:color w:val="auto"/>
                      <w:spacing w:val="-10"/>
                      <w:sz w:val="21"/>
                      <w:szCs w:val="21"/>
                      <w:highlight w:val="none"/>
                      <w:lang w:val="en-US" w:eastAsia="zh-CN"/>
                    </w:rPr>
                  </w:pPr>
                  <w:r>
                    <w:rPr>
                      <w:rFonts w:hint="eastAsia"/>
                      <w:color w:val="auto"/>
                      <w:spacing w:val="-10"/>
                      <w:sz w:val="21"/>
                      <w:szCs w:val="21"/>
                      <w:highlight w:val="none"/>
                      <w:lang w:val="en-US" w:eastAsia="zh-CN"/>
                    </w:rPr>
                    <w:t>颗粒物</w:t>
                  </w:r>
                </w:p>
              </w:tc>
              <w:tc>
                <w:tcPr>
                  <w:tcW w:w="0" w:type="auto"/>
                  <w:tcBorders>
                    <w:tl2br w:val="nil"/>
                    <w:tr2bl w:val="nil"/>
                  </w:tcBorders>
                  <w:vAlign w:val="center"/>
                </w:tcPr>
                <w:p>
                  <w:pPr>
                    <w:pStyle w:val="50"/>
                    <w:spacing w:line="240" w:lineRule="auto"/>
                    <w:ind w:firstLine="0" w:firstLineChars="0"/>
                    <w:rPr>
                      <w:rFonts w:hint="default" w:eastAsia="宋体"/>
                      <w:color w:val="auto"/>
                      <w:spacing w:val="-10"/>
                      <w:sz w:val="21"/>
                      <w:szCs w:val="21"/>
                      <w:highlight w:val="none"/>
                      <w:lang w:val="en-US" w:eastAsia="zh-CN"/>
                    </w:rPr>
                  </w:pPr>
                  <w:r>
                    <w:rPr>
                      <w:rFonts w:hint="eastAsia"/>
                      <w:color w:val="auto"/>
                      <w:spacing w:val="-10"/>
                      <w:sz w:val="21"/>
                      <w:szCs w:val="21"/>
                      <w:highlight w:val="none"/>
                      <w:lang w:val="en-US" w:eastAsia="zh-CN"/>
                    </w:rPr>
                    <w:t>0.22</w:t>
                  </w:r>
                </w:p>
              </w:tc>
            </w:tr>
          </w:tbl>
          <w:p>
            <w:pPr>
              <w:pStyle w:val="60"/>
              <w:spacing w:line="360" w:lineRule="auto"/>
              <w:rPr>
                <w:rFonts w:cs="Times New Roman"/>
                <w:color w:val="auto"/>
                <w:highlight w:val="none"/>
              </w:rPr>
            </w:pPr>
            <w:r>
              <w:rPr>
                <w:rFonts w:cs="Times New Roman"/>
                <w:color w:val="auto"/>
                <w:highlight w:val="none"/>
              </w:rPr>
              <w:t>1.</w:t>
            </w:r>
            <w:r>
              <w:rPr>
                <w:rFonts w:hint="eastAsia" w:cs="Times New Roman"/>
                <w:color w:val="auto"/>
                <w:highlight w:val="none"/>
                <w:lang w:val="en-US" w:eastAsia="zh-CN"/>
              </w:rPr>
              <w:t>4</w:t>
            </w:r>
            <w:r>
              <w:rPr>
                <w:rFonts w:cs="Times New Roman"/>
                <w:color w:val="auto"/>
                <w:highlight w:val="none"/>
              </w:rPr>
              <w:t xml:space="preserve"> 监测计划</w:t>
            </w:r>
          </w:p>
          <w:p>
            <w:pPr>
              <w:adjustRightInd w:val="0"/>
              <w:snapToGrid w:val="0"/>
              <w:spacing w:line="360" w:lineRule="auto"/>
              <w:ind w:firstLine="480" w:firstLineChars="200"/>
              <w:rPr>
                <w:rFonts w:hint="default" w:ascii="Times New Roman" w:hAnsi="Times New Roman" w:eastAsia="宋体" w:cs="Times New Roman"/>
                <w:sz w:val="24"/>
                <w:highlight w:val="yellow"/>
                <w:lang w:val="en-US" w:eastAsia="zh-CN"/>
              </w:rPr>
            </w:pPr>
            <w:r>
              <w:rPr>
                <w:rFonts w:hint="default" w:ascii="Times New Roman" w:hAnsi="Times New Roman" w:cs="Times New Roman"/>
                <w:sz w:val="24"/>
              </w:rPr>
              <w:t>根据</w:t>
            </w:r>
            <w:r>
              <w:rPr>
                <w:sz w:val="24"/>
              </w:rPr>
              <w:t xml:space="preserve">《排污许可证申请与核发技术规范 </w:t>
            </w:r>
            <w:r>
              <w:rPr>
                <w:rFonts w:hint="eastAsia"/>
                <w:sz w:val="24"/>
                <w:lang w:val="en-US" w:eastAsia="zh-CN"/>
              </w:rPr>
              <w:t>磷肥、钾肥、复混肥料、有机肥料及微生物肥料工业</w:t>
            </w:r>
            <w:r>
              <w:rPr>
                <w:sz w:val="24"/>
              </w:rPr>
              <w:t>》（</w:t>
            </w:r>
            <w:r>
              <w:rPr>
                <w:rFonts w:hint="default"/>
                <w:sz w:val="24"/>
              </w:rPr>
              <w:t>HJ86</w:t>
            </w:r>
            <w:r>
              <w:rPr>
                <w:rFonts w:hint="eastAsia"/>
                <w:sz w:val="24"/>
                <w:lang w:val="en-US" w:eastAsia="zh-CN"/>
              </w:rPr>
              <w:t>4</w:t>
            </w:r>
            <w:r>
              <w:rPr>
                <w:rFonts w:hint="default"/>
                <w:sz w:val="24"/>
              </w:rPr>
              <w:t>.2-2018</w:t>
            </w:r>
            <w:r>
              <w:rPr>
                <w:sz w:val="24"/>
              </w:rPr>
              <w:t>）</w:t>
            </w:r>
            <w:r>
              <w:rPr>
                <w:rFonts w:hint="eastAsia"/>
                <w:sz w:val="24"/>
                <w:lang w:val="en-US" w:eastAsia="zh-CN"/>
              </w:rPr>
              <w:t>的</w:t>
            </w:r>
            <w:r>
              <w:rPr>
                <w:rFonts w:hint="default" w:ascii="Times New Roman" w:hAnsi="Times New Roman" w:cs="Times New Roman"/>
                <w:sz w:val="24"/>
              </w:rPr>
              <w:t>相关规定，本次评价确定本项目大气环境自行监测方案见表4-</w:t>
            </w:r>
            <w:r>
              <w:rPr>
                <w:rFonts w:hint="eastAsia" w:cs="Times New Roman"/>
                <w:sz w:val="24"/>
                <w:lang w:val="en-US" w:eastAsia="zh-CN"/>
              </w:rPr>
              <w:t>5</w:t>
            </w:r>
            <w:r>
              <w:rPr>
                <w:rFonts w:hint="default" w:ascii="Times New Roman" w:hAnsi="Times New Roman" w:cs="Times New Roman"/>
                <w:sz w:val="24"/>
              </w:rPr>
              <w:t>。</w:t>
            </w:r>
            <w:r>
              <w:rPr>
                <w:rFonts w:hint="default" w:ascii="Times New Roman" w:hAnsi="Times New Roman" w:cs="Times New Roman"/>
                <w:sz w:val="24"/>
                <w:lang w:val="en-US" w:eastAsia="zh-CN"/>
              </w:rPr>
              <w:t xml:space="preserve"> </w:t>
            </w:r>
          </w:p>
          <w:p>
            <w:pPr>
              <w:widowControl/>
              <w:spacing w:line="240" w:lineRule="auto"/>
              <w:ind w:firstLine="422" w:firstLineChars="200"/>
              <w:jc w:val="center"/>
              <w:rPr>
                <w:rFonts w:hint="default" w:ascii="Times New Roman" w:hAnsi="Times New Roman" w:eastAsia="黑体" w:cs="Times New Roman"/>
                <w:sz w:val="24"/>
              </w:rPr>
            </w:pPr>
            <w:r>
              <w:rPr>
                <w:rFonts w:hint="default" w:ascii="Times New Roman" w:hAnsi="Times New Roman" w:eastAsia="宋体" w:cs="Times New Roman"/>
                <w:b/>
                <w:bCs/>
                <w:kern w:val="2"/>
                <w:sz w:val="21"/>
                <w:szCs w:val="21"/>
                <w:lang w:val="en-US" w:eastAsia="zh-CN" w:bidi="ar-SA"/>
              </w:rPr>
              <w:t>表</w:t>
            </w:r>
            <w:r>
              <w:rPr>
                <w:rFonts w:hint="default" w:ascii="Times New Roman" w:hAnsi="Times New Roman" w:eastAsia="黑体" w:cs="Times New Roman"/>
                <w:sz w:val="21"/>
                <w:szCs w:val="21"/>
              </w:rPr>
              <w:t>4</w:t>
            </w:r>
            <w:r>
              <w:rPr>
                <w:rFonts w:hint="eastAsia" w:ascii="Times New Roman" w:hAnsi="Times New Roman" w:eastAsia="黑体" w:cs="Times New Roman"/>
                <w:sz w:val="21"/>
                <w:szCs w:val="21"/>
                <w:lang w:val="en-US" w:eastAsia="zh-CN"/>
              </w:rPr>
              <w:t>-</w:t>
            </w:r>
            <w:r>
              <w:rPr>
                <w:rFonts w:hint="eastAsia" w:eastAsia="黑体" w:cs="Times New Roman"/>
                <w:sz w:val="21"/>
                <w:szCs w:val="21"/>
                <w:lang w:val="en-US" w:eastAsia="zh-CN"/>
              </w:rPr>
              <w:t>5</w:t>
            </w:r>
            <w:r>
              <w:rPr>
                <w:rFonts w:hint="default" w:ascii="Times New Roman" w:hAnsi="Times New Roman" w:eastAsia="黑体" w:cs="Times New Roman"/>
                <w:sz w:val="24"/>
              </w:rPr>
              <w:t xml:space="preserve">    </w:t>
            </w:r>
            <w:r>
              <w:rPr>
                <w:rFonts w:hint="default" w:ascii="Times New Roman" w:hAnsi="Times New Roman" w:eastAsia="宋体" w:cs="Times New Roman"/>
                <w:b/>
                <w:bCs/>
                <w:kern w:val="2"/>
                <w:sz w:val="21"/>
                <w:szCs w:val="21"/>
                <w:lang w:val="en-US" w:eastAsia="zh-CN" w:bidi="ar-SA"/>
              </w:rPr>
              <w:t>废气排放监测方案</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379"/>
              <w:gridCol w:w="1647"/>
              <w:gridCol w:w="32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46" w:hRule="atLeast"/>
              </w:trPr>
              <w:tc>
                <w:tcPr>
                  <w:tcW w:w="896" w:type="pct"/>
                  <w:tcBorders>
                    <w:tl2br w:val="nil"/>
                    <w:tr2bl w:val="nil"/>
                  </w:tcBorders>
                  <w:noWrap w:val="0"/>
                  <w:vAlign w:val="center"/>
                </w:tcPr>
                <w:p>
                  <w:pPr>
                    <w:pStyle w:val="82"/>
                    <w:spacing w:line="240" w:lineRule="auto"/>
                    <w:rPr>
                      <w:rFonts w:hint="default" w:ascii="Times New Roman" w:hAnsi="Times New Roman" w:cs="Times New Roman"/>
                      <w:b/>
                      <w:bCs/>
                      <w:iCs/>
                    </w:rPr>
                  </w:pPr>
                  <w:r>
                    <w:rPr>
                      <w:rFonts w:hint="default" w:ascii="Times New Roman" w:hAnsi="Times New Roman" w:cs="Times New Roman"/>
                      <w:b/>
                      <w:bCs/>
                      <w:iCs/>
                    </w:rPr>
                    <w:t>监测位置</w:t>
                  </w:r>
                </w:p>
              </w:tc>
              <w:tc>
                <w:tcPr>
                  <w:tcW w:w="896" w:type="pct"/>
                  <w:tcBorders>
                    <w:tl2br w:val="nil"/>
                    <w:tr2bl w:val="nil"/>
                  </w:tcBorders>
                  <w:noWrap w:val="0"/>
                  <w:vAlign w:val="center"/>
                </w:tcPr>
                <w:p>
                  <w:pPr>
                    <w:pStyle w:val="82"/>
                    <w:spacing w:line="240" w:lineRule="auto"/>
                    <w:rPr>
                      <w:rFonts w:hint="default" w:ascii="Times New Roman" w:hAnsi="Times New Roman" w:cs="Times New Roman"/>
                      <w:b/>
                      <w:bCs/>
                      <w:iCs/>
                    </w:rPr>
                  </w:pPr>
                  <w:r>
                    <w:rPr>
                      <w:rFonts w:hint="default" w:ascii="Times New Roman" w:hAnsi="Times New Roman" w:cs="Times New Roman"/>
                      <w:b/>
                      <w:bCs/>
                      <w:iCs/>
                    </w:rPr>
                    <w:t>监测项目</w:t>
                  </w:r>
                </w:p>
              </w:tc>
              <w:tc>
                <w:tcPr>
                  <w:tcW w:w="1070" w:type="pct"/>
                  <w:tcBorders>
                    <w:tl2br w:val="nil"/>
                    <w:tr2bl w:val="nil"/>
                  </w:tcBorders>
                  <w:noWrap w:val="0"/>
                  <w:vAlign w:val="center"/>
                </w:tcPr>
                <w:p>
                  <w:pPr>
                    <w:pStyle w:val="82"/>
                    <w:spacing w:line="240" w:lineRule="auto"/>
                    <w:rPr>
                      <w:rFonts w:hint="default" w:ascii="Times New Roman" w:hAnsi="Times New Roman" w:cs="Times New Roman"/>
                      <w:b/>
                      <w:bCs/>
                      <w:iCs/>
                    </w:rPr>
                  </w:pPr>
                  <w:r>
                    <w:rPr>
                      <w:rFonts w:hint="default" w:ascii="Times New Roman" w:hAnsi="Times New Roman" w:cs="Times New Roman"/>
                      <w:b/>
                      <w:bCs/>
                      <w:iCs/>
                    </w:rPr>
                    <w:t>监测频率</w:t>
                  </w:r>
                </w:p>
              </w:tc>
              <w:tc>
                <w:tcPr>
                  <w:tcW w:w="2136" w:type="pct"/>
                  <w:tcBorders>
                    <w:tl2br w:val="nil"/>
                    <w:tr2bl w:val="nil"/>
                  </w:tcBorders>
                  <w:noWrap w:val="0"/>
                  <w:vAlign w:val="center"/>
                </w:tcPr>
                <w:p>
                  <w:pPr>
                    <w:pStyle w:val="82"/>
                    <w:spacing w:line="240" w:lineRule="auto"/>
                    <w:rPr>
                      <w:rFonts w:hint="default" w:ascii="Times New Roman" w:hAnsi="Times New Roman" w:cs="Times New Roman"/>
                      <w:b/>
                      <w:bCs/>
                      <w:iCs/>
                    </w:rPr>
                  </w:pPr>
                  <w:r>
                    <w:rPr>
                      <w:rFonts w:hint="default" w:ascii="Times New Roman" w:hAnsi="Times New Roman" w:cs="Times New Roman"/>
                      <w:b/>
                      <w:bCs/>
                      <w:iCs/>
                    </w:rPr>
                    <w:t>监测方式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96" w:type="pct"/>
                  <w:tcBorders>
                    <w:tl2br w:val="nil"/>
                    <w:tr2bl w:val="nil"/>
                  </w:tcBorders>
                  <w:noWrap w:val="0"/>
                  <w:vAlign w:val="center"/>
                </w:tcPr>
                <w:p>
                  <w:pPr>
                    <w:pStyle w:val="82"/>
                    <w:spacing w:line="240" w:lineRule="auto"/>
                    <w:rPr>
                      <w:rFonts w:hint="default" w:ascii="Times New Roman" w:hAnsi="Times New Roman" w:eastAsia="宋体" w:cs="Times New Roman"/>
                      <w:iCs/>
                      <w:lang w:val="en-US" w:eastAsia="zh-CN"/>
                    </w:rPr>
                  </w:pPr>
                  <w:r>
                    <w:rPr>
                      <w:rFonts w:hint="default" w:ascii="Times New Roman" w:hAnsi="Times New Roman" w:cs="Times New Roman"/>
                      <w:iCs/>
                    </w:rPr>
                    <w:t>DA00</w:t>
                  </w:r>
                  <w:r>
                    <w:rPr>
                      <w:rFonts w:hint="default" w:ascii="Times New Roman" w:hAnsi="Times New Roman" w:cs="Times New Roman"/>
                      <w:iCs/>
                      <w:lang w:val="en-US" w:eastAsia="zh-CN"/>
                    </w:rPr>
                    <w:t>1</w:t>
                  </w:r>
                </w:p>
              </w:tc>
              <w:tc>
                <w:tcPr>
                  <w:tcW w:w="896" w:type="pct"/>
                  <w:tcBorders>
                    <w:tl2br w:val="nil"/>
                    <w:tr2bl w:val="nil"/>
                  </w:tcBorders>
                  <w:noWrap w:val="0"/>
                  <w:vAlign w:val="center"/>
                </w:tcPr>
                <w:p>
                  <w:pPr>
                    <w:pStyle w:val="82"/>
                    <w:spacing w:line="240" w:lineRule="auto"/>
                    <w:rPr>
                      <w:rFonts w:hint="default" w:ascii="Times New Roman" w:hAnsi="Times New Roman" w:cs="Times New Roman"/>
                    </w:rPr>
                  </w:pPr>
                  <w:r>
                    <w:rPr>
                      <w:rFonts w:hint="default" w:ascii="Times New Roman" w:hAnsi="Times New Roman" w:cs="Times New Roman"/>
                    </w:rPr>
                    <w:t>颗粒物</w:t>
                  </w:r>
                </w:p>
              </w:tc>
              <w:tc>
                <w:tcPr>
                  <w:tcW w:w="1070" w:type="pct"/>
                  <w:tcBorders>
                    <w:tl2br w:val="nil"/>
                    <w:tr2bl w:val="nil"/>
                  </w:tcBorders>
                  <w:noWrap w:val="0"/>
                  <w:vAlign w:val="center"/>
                </w:tcPr>
                <w:p>
                  <w:pPr>
                    <w:pStyle w:val="82"/>
                    <w:spacing w:line="240" w:lineRule="auto"/>
                    <w:rPr>
                      <w:rFonts w:hint="default" w:ascii="Times New Roman" w:hAnsi="Times New Roman" w:cs="Times New Roman"/>
                      <w:iCs/>
                    </w:rPr>
                  </w:pPr>
                  <w:r>
                    <w:rPr>
                      <w:rFonts w:hint="default" w:ascii="Times New Roman" w:hAnsi="Times New Roman" w:cs="Times New Roman"/>
                      <w:iCs/>
                    </w:rPr>
                    <w:t>每半年1次</w:t>
                  </w:r>
                </w:p>
              </w:tc>
              <w:tc>
                <w:tcPr>
                  <w:tcW w:w="2136" w:type="pct"/>
                  <w:vMerge w:val="restart"/>
                  <w:tcBorders>
                    <w:tl2br w:val="nil"/>
                    <w:tr2bl w:val="nil"/>
                  </w:tcBorders>
                  <w:noWrap w:val="0"/>
                  <w:vAlign w:val="center"/>
                </w:tcPr>
                <w:p>
                  <w:pPr>
                    <w:pStyle w:val="82"/>
                    <w:spacing w:line="240" w:lineRule="auto"/>
                    <w:rPr>
                      <w:rFonts w:hint="default" w:ascii="Times New Roman" w:hAnsi="Times New Roman" w:cs="Times New Roman"/>
                      <w:iCs/>
                    </w:rPr>
                  </w:pPr>
                  <w:r>
                    <w:rPr>
                      <w:rFonts w:hint="default" w:ascii="Times New Roman" w:hAnsi="Times New Roman" w:cs="Times New Roman"/>
                      <w:iCs/>
                    </w:rPr>
                    <w:t>委托第三方监测单位监测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96" w:type="pct"/>
                  <w:tcBorders>
                    <w:tl2br w:val="nil"/>
                    <w:tr2bl w:val="nil"/>
                  </w:tcBorders>
                  <w:noWrap w:val="0"/>
                  <w:vAlign w:val="center"/>
                </w:tcPr>
                <w:p>
                  <w:pPr>
                    <w:pStyle w:val="82"/>
                    <w:spacing w:line="240" w:lineRule="auto"/>
                    <w:rPr>
                      <w:rFonts w:hint="default" w:ascii="Times New Roman" w:hAnsi="Times New Roman" w:cs="Times New Roman"/>
                      <w:iCs/>
                    </w:rPr>
                  </w:pPr>
                  <w:r>
                    <w:rPr>
                      <w:rFonts w:hint="default" w:ascii="Times New Roman" w:hAnsi="Times New Roman" w:cs="Times New Roman"/>
                      <w:iCs/>
                    </w:rPr>
                    <w:t>厂界</w:t>
                  </w:r>
                </w:p>
              </w:tc>
              <w:tc>
                <w:tcPr>
                  <w:tcW w:w="896" w:type="pct"/>
                  <w:tcBorders>
                    <w:tl2br w:val="nil"/>
                    <w:tr2bl w:val="nil"/>
                  </w:tcBorders>
                  <w:noWrap w:val="0"/>
                  <w:vAlign w:val="center"/>
                </w:tcPr>
                <w:p>
                  <w:pPr>
                    <w:pStyle w:val="82"/>
                    <w:spacing w:line="240" w:lineRule="auto"/>
                    <w:rPr>
                      <w:rFonts w:hint="default" w:ascii="Times New Roman" w:hAnsi="Times New Roman" w:cs="Times New Roman"/>
                    </w:rPr>
                  </w:pPr>
                  <w:r>
                    <w:rPr>
                      <w:rFonts w:hint="default" w:ascii="Times New Roman" w:hAnsi="Times New Roman" w:cs="Times New Roman"/>
                    </w:rPr>
                    <w:t>颗粒物</w:t>
                  </w:r>
                </w:p>
              </w:tc>
              <w:tc>
                <w:tcPr>
                  <w:tcW w:w="1070" w:type="pct"/>
                  <w:tcBorders>
                    <w:tl2br w:val="nil"/>
                    <w:tr2bl w:val="nil"/>
                  </w:tcBorders>
                  <w:noWrap w:val="0"/>
                  <w:vAlign w:val="center"/>
                </w:tcPr>
                <w:p>
                  <w:pPr>
                    <w:pStyle w:val="82"/>
                    <w:spacing w:line="240" w:lineRule="auto"/>
                    <w:rPr>
                      <w:rFonts w:hint="default" w:ascii="Times New Roman" w:hAnsi="Times New Roman" w:cs="Times New Roman"/>
                      <w:iCs/>
                    </w:rPr>
                  </w:pPr>
                  <w:r>
                    <w:rPr>
                      <w:rFonts w:hint="default" w:ascii="Times New Roman" w:hAnsi="Times New Roman" w:cs="Times New Roman"/>
                      <w:iCs/>
                    </w:rPr>
                    <w:t>每半年1次</w:t>
                  </w:r>
                </w:p>
              </w:tc>
              <w:tc>
                <w:tcPr>
                  <w:tcW w:w="2136" w:type="pct"/>
                  <w:vMerge w:val="continue"/>
                  <w:tcBorders>
                    <w:tl2br w:val="nil"/>
                    <w:tr2bl w:val="nil"/>
                  </w:tcBorders>
                  <w:noWrap w:val="0"/>
                  <w:vAlign w:val="center"/>
                </w:tcPr>
                <w:p>
                  <w:pPr>
                    <w:pStyle w:val="82"/>
                    <w:spacing w:line="240" w:lineRule="auto"/>
                    <w:rPr>
                      <w:rFonts w:hint="default" w:ascii="Times New Roman" w:hAnsi="Times New Roman" w:cs="Times New Roman"/>
                      <w:iCs/>
                    </w:rPr>
                  </w:pPr>
                </w:p>
              </w:tc>
            </w:tr>
          </w:tbl>
          <w:p>
            <w:pPr>
              <w:spacing w:line="360" w:lineRule="auto"/>
              <w:rPr>
                <w:b/>
                <w:color w:val="auto"/>
                <w:sz w:val="24"/>
                <w:highlight w:val="none"/>
              </w:rPr>
            </w:pPr>
            <w:r>
              <w:rPr>
                <w:b/>
                <w:color w:val="auto"/>
                <w:sz w:val="24"/>
                <w:highlight w:val="none"/>
              </w:rPr>
              <w:t>2 水环境影响分析及防治措施</w:t>
            </w:r>
          </w:p>
          <w:p>
            <w:pPr>
              <w:pStyle w:val="5"/>
              <w:spacing w:line="360" w:lineRule="auto"/>
              <w:rPr>
                <w:color w:val="auto"/>
                <w:highlight w:val="none"/>
              </w:rPr>
            </w:pPr>
            <w:r>
              <w:rPr>
                <w:color w:val="auto"/>
                <w:highlight w:val="none"/>
              </w:rPr>
              <w:t>2.1 废水产生、处置及排放情况</w:t>
            </w:r>
          </w:p>
          <w:p>
            <w:pPr>
              <w:adjustRightInd w:val="0"/>
              <w:snapToGrid w:val="0"/>
              <w:spacing w:line="360" w:lineRule="auto"/>
              <w:ind w:firstLine="480" w:firstLineChars="200"/>
              <w:rPr>
                <w:rFonts w:hint="default" w:eastAsia="宋体"/>
                <w:bCs/>
                <w:color w:val="auto"/>
                <w:sz w:val="24"/>
                <w:szCs w:val="24"/>
                <w:highlight w:val="none"/>
                <w:lang w:val="en-US" w:eastAsia="zh-CN"/>
              </w:rPr>
            </w:pPr>
            <w:r>
              <w:rPr>
                <w:bCs/>
                <w:color w:val="auto"/>
                <w:sz w:val="24"/>
                <w:szCs w:val="24"/>
                <w:highlight w:val="none"/>
              </w:rPr>
              <w:t>（</w:t>
            </w:r>
            <w:r>
              <w:rPr>
                <w:rFonts w:hint="eastAsia"/>
                <w:bCs/>
                <w:color w:val="auto"/>
                <w:sz w:val="24"/>
                <w:szCs w:val="24"/>
                <w:highlight w:val="none"/>
                <w:lang w:val="en-US" w:eastAsia="zh-CN"/>
              </w:rPr>
              <w:t>1）生产废水</w:t>
            </w:r>
          </w:p>
          <w:p>
            <w:pPr>
              <w:pStyle w:val="76"/>
              <w:spacing w:line="360" w:lineRule="auto"/>
              <w:rPr>
                <w:rFonts w:hint="default" w:ascii="Times New Roman" w:hAnsi="Times New Roman" w:cs="Times New Roman"/>
                <w:color w:val="000000"/>
                <w:sz w:val="24"/>
                <w:szCs w:val="24"/>
                <w:highlight w:val="none"/>
              </w:rPr>
            </w:pPr>
            <w:r>
              <w:rPr>
                <w:rFonts w:hint="eastAsia" w:cs="Times New Roman"/>
                <w:sz w:val="24"/>
                <w:szCs w:val="24"/>
                <w:lang w:val="en-US" w:eastAsia="zh-CN"/>
              </w:rPr>
              <w:t>本项目生产废水循环使用不外排，无生产废水产生</w:t>
            </w:r>
            <w:r>
              <w:rPr>
                <w:rFonts w:hint="default" w:ascii="Times New Roman" w:hAnsi="Times New Roman" w:cs="Times New Roman"/>
                <w:color w:val="000000"/>
                <w:sz w:val="24"/>
                <w:szCs w:val="24"/>
                <w:highlight w:val="none"/>
              </w:rPr>
              <w:t>。</w:t>
            </w:r>
          </w:p>
          <w:p>
            <w:pPr>
              <w:adjustRightInd w:val="0"/>
              <w:snapToGrid w:val="0"/>
              <w:spacing w:line="360" w:lineRule="auto"/>
              <w:ind w:firstLine="480" w:firstLineChars="200"/>
              <w:rPr>
                <w:rFonts w:hint="eastAsia"/>
                <w:bCs/>
                <w:color w:val="auto"/>
                <w:sz w:val="24"/>
                <w:szCs w:val="24"/>
                <w:highlight w:val="none"/>
                <w:lang w:val="en-US" w:eastAsia="zh-CN"/>
              </w:rPr>
            </w:pPr>
            <w:r>
              <w:rPr>
                <w:rFonts w:hint="eastAsia"/>
                <w:bCs/>
                <w:color w:val="auto"/>
                <w:sz w:val="24"/>
                <w:szCs w:val="24"/>
                <w:highlight w:val="none"/>
                <w:lang w:val="en-US" w:eastAsia="zh-CN"/>
              </w:rPr>
              <w:t>（2）生活污水</w:t>
            </w:r>
          </w:p>
          <w:p>
            <w:pPr>
              <w:adjustRightInd w:val="0"/>
              <w:snapToGrid w:val="0"/>
              <w:spacing w:line="360" w:lineRule="auto"/>
              <w:ind w:firstLine="480" w:firstLineChars="200"/>
              <w:rPr>
                <w:rFonts w:hint="eastAsia"/>
                <w:bCs/>
                <w:color w:val="auto"/>
                <w:spacing w:val="-6"/>
                <w:sz w:val="24"/>
                <w:szCs w:val="24"/>
                <w:highlight w:val="none"/>
              </w:rPr>
            </w:pPr>
            <w:r>
              <w:rPr>
                <w:bCs/>
                <w:color w:val="auto"/>
                <w:sz w:val="24"/>
                <w:szCs w:val="24"/>
                <w:highlight w:val="none"/>
              </w:rPr>
              <w:t>本项目</w:t>
            </w:r>
            <w:r>
              <w:rPr>
                <w:rFonts w:hint="eastAsia"/>
                <w:bCs/>
                <w:color w:val="auto"/>
                <w:sz w:val="24"/>
                <w:szCs w:val="24"/>
                <w:highlight w:val="none"/>
                <w:lang w:val="en-US" w:eastAsia="zh-CN"/>
              </w:rPr>
              <w:t>营运期</w:t>
            </w:r>
            <w:r>
              <w:rPr>
                <w:bCs/>
                <w:color w:val="auto"/>
                <w:sz w:val="24"/>
                <w:szCs w:val="24"/>
                <w:highlight w:val="none"/>
              </w:rPr>
              <w:t>员工</w:t>
            </w:r>
            <w:r>
              <w:rPr>
                <w:rFonts w:hint="eastAsia"/>
                <w:bCs/>
                <w:color w:val="auto"/>
                <w:sz w:val="24"/>
                <w:szCs w:val="24"/>
                <w:highlight w:val="none"/>
                <w:lang w:val="en-US" w:eastAsia="zh-CN"/>
              </w:rPr>
              <w:t>50</w:t>
            </w:r>
            <w:r>
              <w:rPr>
                <w:bCs/>
                <w:color w:val="auto"/>
                <w:sz w:val="24"/>
                <w:szCs w:val="24"/>
                <w:highlight w:val="none"/>
              </w:rPr>
              <w:t>人，年生产</w:t>
            </w:r>
            <w:r>
              <w:rPr>
                <w:rFonts w:hint="eastAsia"/>
                <w:bCs/>
                <w:color w:val="auto"/>
                <w:sz w:val="24"/>
                <w:szCs w:val="24"/>
                <w:highlight w:val="none"/>
                <w:lang w:val="en-US" w:eastAsia="zh-CN"/>
              </w:rPr>
              <w:t>300</w:t>
            </w:r>
            <w:r>
              <w:rPr>
                <w:bCs/>
                <w:color w:val="auto"/>
                <w:sz w:val="24"/>
                <w:szCs w:val="24"/>
                <w:highlight w:val="none"/>
              </w:rPr>
              <w:t>天，根据《新疆维吾尔自治区生活用水定额》，职工生活用水按</w:t>
            </w:r>
            <w:r>
              <w:rPr>
                <w:rFonts w:hint="eastAsia"/>
                <w:bCs/>
                <w:color w:val="auto"/>
                <w:sz w:val="24"/>
                <w:szCs w:val="24"/>
                <w:highlight w:val="none"/>
                <w:lang w:val="en-US" w:eastAsia="zh-CN"/>
              </w:rPr>
              <w:t>100</w:t>
            </w:r>
            <w:r>
              <w:rPr>
                <w:bCs/>
                <w:color w:val="auto"/>
                <w:sz w:val="24"/>
                <w:szCs w:val="24"/>
                <w:highlight w:val="none"/>
              </w:rPr>
              <w:t>L/人·日计算，</w:t>
            </w:r>
            <w:r>
              <w:rPr>
                <w:color w:val="auto"/>
                <w:sz w:val="24"/>
                <w:szCs w:val="24"/>
                <w:highlight w:val="none"/>
              </w:rPr>
              <w:t>则生活用水量为</w:t>
            </w:r>
            <w:r>
              <w:rPr>
                <w:rFonts w:hint="eastAsia"/>
                <w:color w:val="auto"/>
                <w:sz w:val="24"/>
                <w:szCs w:val="24"/>
                <w:highlight w:val="none"/>
                <w:lang w:val="en-US" w:eastAsia="zh-CN"/>
              </w:rPr>
              <w:t>1500</w:t>
            </w:r>
            <w:r>
              <w:rPr>
                <w:color w:val="auto"/>
                <w:sz w:val="24"/>
                <w:szCs w:val="24"/>
                <w:highlight w:val="none"/>
              </w:rPr>
              <w:t>m</w:t>
            </w:r>
            <w:r>
              <w:rPr>
                <w:color w:val="auto"/>
                <w:sz w:val="24"/>
                <w:szCs w:val="24"/>
                <w:highlight w:val="none"/>
                <w:vertAlign w:val="superscript"/>
              </w:rPr>
              <w:t>3</w:t>
            </w:r>
            <w:r>
              <w:rPr>
                <w:color w:val="auto"/>
                <w:sz w:val="24"/>
                <w:szCs w:val="24"/>
                <w:highlight w:val="none"/>
              </w:rPr>
              <w:t>/a。生活污水按用水量的80%计，则生活污水产生量为</w:t>
            </w:r>
            <w:r>
              <w:rPr>
                <w:rFonts w:hint="eastAsia"/>
                <w:color w:val="auto"/>
                <w:sz w:val="24"/>
                <w:szCs w:val="24"/>
                <w:highlight w:val="none"/>
                <w:lang w:val="en-US" w:eastAsia="zh-CN"/>
              </w:rPr>
              <w:t>1200</w:t>
            </w:r>
            <w:r>
              <w:rPr>
                <w:color w:val="auto"/>
                <w:sz w:val="24"/>
                <w:szCs w:val="24"/>
                <w:highlight w:val="none"/>
              </w:rPr>
              <w:t>m</w:t>
            </w:r>
            <w:r>
              <w:rPr>
                <w:color w:val="auto"/>
                <w:sz w:val="24"/>
                <w:szCs w:val="24"/>
                <w:highlight w:val="none"/>
                <w:vertAlign w:val="superscript"/>
              </w:rPr>
              <w:t>3</w:t>
            </w:r>
            <w:r>
              <w:rPr>
                <w:color w:val="auto"/>
                <w:sz w:val="24"/>
                <w:szCs w:val="24"/>
                <w:highlight w:val="none"/>
              </w:rPr>
              <w:t>/a</w:t>
            </w:r>
            <w:r>
              <w:rPr>
                <w:bCs/>
                <w:color w:val="auto"/>
                <w:sz w:val="24"/>
                <w:szCs w:val="24"/>
                <w:highlight w:val="none"/>
              </w:rPr>
              <w:t>。生活污水的污染因子主要是</w:t>
            </w:r>
            <w:r>
              <w:rPr>
                <w:rFonts w:hint="eastAsia"/>
                <w:bCs/>
                <w:color w:val="auto"/>
                <w:sz w:val="24"/>
                <w:szCs w:val="24"/>
                <w:highlight w:val="none"/>
                <w:lang w:eastAsia="zh-CN"/>
              </w:rPr>
              <w:t>CODcr</w:t>
            </w:r>
            <w:r>
              <w:rPr>
                <w:bCs/>
                <w:color w:val="auto"/>
                <w:sz w:val="24"/>
                <w:szCs w:val="24"/>
                <w:highlight w:val="none"/>
              </w:rPr>
              <w:t>、BOD</w:t>
            </w:r>
            <w:r>
              <w:rPr>
                <w:bCs/>
                <w:color w:val="auto"/>
                <w:sz w:val="24"/>
                <w:szCs w:val="24"/>
                <w:highlight w:val="none"/>
                <w:vertAlign w:val="subscript"/>
              </w:rPr>
              <w:t>5</w:t>
            </w:r>
            <w:r>
              <w:rPr>
                <w:bCs/>
                <w:color w:val="auto"/>
                <w:sz w:val="24"/>
                <w:szCs w:val="24"/>
                <w:highlight w:val="none"/>
              </w:rPr>
              <w:t>、SS、NH</w:t>
            </w:r>
            <w:r>
              <w:rPr>
                <w:bCs/>
                <w:color w:val="auto"/>
                <w:sz w:val="24"/>
                <w:szCs w:val="24"/>
                <w:highlight w:val="none"/>
                <w:vertAlign w:val="subscript"/>
              </w:rPr>
              <w:t>3</w:t>
            </w:r>
            <w:r>
              <w:rPr>
                <w:bCs/>
                <w:color w:val="auto"/>
                <w:sz w:val="24"/>
                <w:szCs w:val="24"/>
                <w:highlight w:val="none"/>
              </w:rPr>
              <w:t>-N等有机</w:t>
            </w:r>
            <w:r>
              <w:rPr>
                <w:bCs/>
                <w:color w:val="auto"/>
                <w:spacing w:val="-6"/>
                <w:sz w:val="24"/>
                <w:szCs w:val="24"/>
                <w:highlight w:val="none"/>
              </w:rPr>
              <w:t>污染物，水质简单，</w:t>
            </w:r>
            <w:r>
              <w:rPr>
                <w:rFonts w:hint="eastAsia"/>
                <w:bCs/>
                <w:color w:val="auto"/>
                <w:spacing w:val="-6"/>
                <w:sz w:val="24"/>
                <w:szCs w:val="24"/>
                <w:highlight w:val="none"/>
                <w:lang w:val="en-US" w:eastAsia="zh-CN"/>
              </w:rPr>
              <w:t>生活污水</w:t>
            </w:r>
            <w:r>
              <w:rPr>
                <w:rFonts w:hint="eastAsia" w:ascii="Times New Roman" w:hAnsi="Times New Roman" w:eastAsia="宋体" w:cs="Times New Roman"/>
                <w:sz w:val="24"/>
                <w:szCs w:val="24"/>
                <w:lang w:val="en-US" w:eastAsia="zh-CN"/>
              </w:rPr>
              <w:t>直排</w:t>
            </w:r>
            <w:r>
              <w:rPr>
                <w:rFonts w:hint="default" w:ascii="Times New Roman" w:hAnsi="Times New Roman" w:eastAsia="宋体" w:cs="Times New Roman"/>
                <w:sz w:val="24"/>
                <w:szCs w:val="24"/>
              </w:rPr>
              <w:t>园区</w:t>
            </w:r>
            <w:r>
              <w:rPr>
                <w:rFonts w:hint="eastAsia" w:ascii="Times New Roman" w:hAnsi="Times New Roman" w:eastAsia="宋体" w:cs="Times New Roman"/>
                <w:sz w:val="24"/>
                <w:szCs w:val="24"/>
                <w:lang w:val="en-US" w:eastAsia="zh-CN"/>
              </w:rPr>
              <w:t>污水</w:t>
            </w:r>
            <w:r>
              <w:rPr>
                <w:rFonts w:hint="default" w:ascii="Times New Roman" w:hAnsi="Times New Roman" w:eastAsia="宋体" w:cs="Times New Roman"/>
                <w:sz w:val="24"/>
                <w:szCs w:val="24"/>
              </w:rPr>
              <w:t>管网</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最终</w:t>
            </w:r>
            <w:r>
              <w:rPr>
                <w:rFonts w:hint="default" w:ascii="Times New Roman" w:hAnsi="Times New Roman" w:eastAsia="宋体" w:cs="Times New Roman"/>
                <w:sz w:val="24"/>
                <w:szCs w:val="24"/>
              </w:rPr>
              <w:t>排入</w:t>
            </w:r>
            <w:r>
              <w:rPr>
                <w:rFonts w:hint="eastAsia" w:ascii="Times New Roman" w:hAnsi="Times New Roman" w:eastAsia="宋体" w:cs="Times New Roman"/>
                <w:sz w:val="24"/>
                <w:szCs w:val="24"/>
                <w:lang w:val="en-US" w:eastAsia="zh-CN"/>
              </w:rPr>
              <w:t>喇嘛湖梁工业园区</w:t>
            </w:r>
            <w:r>
              <w:rPr>
                <w:rFonts w:hint="default" w:ascii="Times New Roman" w:hAnsi="Times New Roman" w:eastAsia="宋体" w:cs="Times New Roman"/>
                <w:sz w:val="24"/>
                <w:szCs w:val="24"/>
              </w:rPr>
              <w:t>污水处理厂处理。</w:t>
            </w:r>
            <w:r>
              <w:rPr>
                <w:rFonts w:hint="default" w:ascii="Times New Roman" w:hAnsi="Times New Roman" w:eastAsia="宋体" w:cs="Times New Roman"/>
                <w:sz w:val="24"/>
                <w:szCs w:val="24"/>
                <w:lang w:val="en-US" w:eastAsia="zh-CN"/>
              </w:rPr>
              <w:t>生活污水的排放标准执行</w:t>
            </w:r>
            <w:r>
              <w:rPr>
                <w:rFonts w:hint="eastAsia" w:ascii="Times New Roman" w:hAnsi="Times New Roman" w:eastAsia="宋体" w:cs="Times New Roman"/>
                <w:sz w:val="24"/>
                <w:szCs w:val="24"/>
                <w:lang w:val="en-US" w:eastAsia="zh-CN"/>
              </w:rPr>
              <w:t>《污水排入城市下水道水质标准》（GB/T31962-2015）B级标准限值</w:t>
            </w:r>
            <w:r>
              <w:rPr>
                <w:rFonts w:hint="eastAsia" w:ascii="Times New Roman" w:hAnsi="Times New Roman" w:eastAsia="宋体" w:cs="Times New Roman"/>
                <w:sz w:val="24"/>
                <w:szCs w:val="24"/>
                <w:lang w:eastAsia="zh-CN"/>
              </w:rPr>
              <w:t>。</w:t>
            </w:r>
          </w:p>
          <w:p>
            <w:pPr>
              <w:adjustRightInd w:val="0"/>
              <w:snapToGrid w:val="0"/>
              <w:spacing w:line="360" w:lineRule="auto"/>
              <w:ind w:firstLine="480" w:firstLineChars="200"/>
              <w:rPr>
                <w:color w:val="auto"/>
                <w:sz w:val="24"/>
                <w:szCs w:val="32"/>
                <w:highlight w:val="none"/>
              </w:rPr>
            </w:pPr>
            <w:r>
              <w:rPr>
                <w:color w:val="auto"/>
                <w:sz w:val="24"/>
                <w:szCs w:val="32"/>
                <w:highlight w:val="none"/>
              </w:rPr>
              <w:t>本项目产生的生活污水</w:t>
            </w:r>
            <w:r>
              <w:rPr>
                <w:rFonts w:hint="eastAsia"/>
                <w:color w:val="auto"/>
                <w:sz w:val="24"/>
                <w:szCs w:val="32"/>
                <w:highlight w:val="none"/>
                <w:lang w:val="en-US" w:eastAsia="zh-CN"/>
              </w:rPr>
              <w:t>产排情况</w:t>
            </w:r>
            <w:r>
              <w:rPr>
                <w:color w:val="auto"/>
                <w:sz w:val="24"/>
                <w:szCs w:val="32"/>
                <w:highlight w:val="none"/>
              </w:rPr>
              <w:t>详见表</w:t>
            </w:r>
            <w:r>
              <w:rPr>
                <w:rFonts w:hint="eastAsia"/>
                <w:color w:val="auto"/>
                <w:sz w:val="24"/>
                <w:szCs w:val="32"/>
                <w:highlight w:val="none"/>
                <w:lang w:val="en-US" w:eastAsia="zh-CN"/>
              </w:rPr>
              <w:t>4-6</w:t>
            </w:r>
            <w:r>
              <w:rPr>
                <w:color w:val="auto"/>
                <w:sz w:val="24"/>
                <w:szCs w:val="32"/>
                <w:highlight w:val="none"/>
              </w:rPr>
              <w:t>。</w:t>
            </w:r>
          </w:p>
          <w:p>
            <w:pPr>
              <w:pStyle w:val="45"/>
              <w:spacing w:line="240" w:lineRule="auto"/>
              <w:ind w:firstLine="422"/>
              <w:rPr>
                <w:rFonts w:hint="default"/>
                <w:color w:val="auto"/>
                <w:highlight w:val="none"/>
              </w:rPr>
            </w:pPr>
            <w:r>
              <w:rPr>
                <w:rFonts w:hint="default"/>
                <w:color w:val="auto"/>
                <w:highlight w:val="none"/>
              </w:rPr>
              <w:t>表</w:t>
            </w:r>
            <w:r>
              <w:rPr>
                <w:rFonts w:hint="eastAsia"/>
                <w:color w:val="auto"/>
                <w:highlight w:val="none"/>
                <w:lang w:val="en-US" w:eastAsia="zh-CN"/>
              </w:rPr>
              <w:t>4-6</w:t>
            </w:r>
            <w:r>
              <w:rPr>
                <w:rFonts w:hint="default"/>
                <w:color w:val="auto"/>
                <w:highlight w:val="none"/>
              </w:rPr>
              <w:t xml:space="preserve">    生活污水</w:t>
            </w:r>
            <w:r>
              <w:rPr>
                <w:rFonts w:hint="eastAsia"/>
                <w:color w:val="auto"/>
                <w:highlight w:val="none"/>
                <w:lang w:val="en-US" w:eastAsia="zh-CN"/>
              </w:rPr>
              <w:t>产排情况</w:t>
            </w:r>
            <w:r>
              <w:rPr>
                <w:rFonts w:hint="default"/>
                <w:color w:val="auto"/>
                <w:highlight w:val="none"/>
              </w:rPr>
              <w:t>一览表</w:t>
            </w:r>
          </w:p>
          <w:tbl>
            <w:tblPr>
              <w:tblStyle w:val="30"/>
              <w:tblW w:w="498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801"/>
              <w:gridCol w:w="1405"/>
              <w:gridCol w:w="1111"/>
              <w:gridCol w:w="1111"/>
              <w:gridCol w:w="1106"/>
              <w:gridCol w:w="111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blHeader/>
              </w:trPr>
              <w:tc>
                <w:tcPr>
                  <w:tcW w:w="1177" w:type="pct"/>
                  <w:tcBorders>
                    <w:top w:val="single" w:color="auto" w:sz="4" w:space="0"/>
                    <w:left w:val="single" w:color="auto" w:sz="4" w:space="0"/>
                    <w:bottom w:val="single" w:color="auto" w:sz="4" w:space="0"/>
                    <w:right w:val="single" w:color="auto" w:sz="4" w:space="0"/>
                  </w:tcBorders>
                  <w:vAlign w:val="center"/>
                </w:tcPr>
                <w:p>
                  <w:pPr>
                    <w:jc w:val="center"/>
                    <w:rPr>
                      <w:b/>
                      <w:bCs/>
                      <w:color w:val="auto"/>
                      <w:szCs w:val="21"/>
                      <w:highlight w:val="none"/>
                    </w:rPr>
                  </w:pPr>
                  <w:r>
                    <w:rPr>
                      <w:b/>
                      <w:bCs/>
                      <w:color w:val="auto"/>
                      <w:szCs w:val="21"/>
                      <w:highlight w:val="none"/>
                    </w:rPr>
                    <w:t>项目</w:t>
                  </w: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b/>
                      <w:bCs/>
                      <w:color w:val="auto"/>
                      <w:szCs w:val="21"/>
                      <w:highlight w:val="none"/>
                    </w:rPr>
                  </w:pPr>
                  <w:r>
                    <w:rPr>
                      <w:b/>
                      <w:bCs/>
                      <w:color w:val="auto"/>
                      <w:szCs w:val="21"/>
                      <w:highlight w:val="none"/>
                    </w:rPr>
                    <w:t>污水量</w:t>
                  </w:r>
                </w:p>
              </w:tc>
              <w:tc>
                <w:tcPr>
                  <w:tcW w:w="726"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color w:val="auto"/>
                      <w:szCs w:val="21"/>
                      <w:highlight w:val="none"/>
                      <w:lang w:eastAsia="zh-CN"/>
                    </w:rPr>
                  </w:pPr>
                  <w:r>
                    <w:rPr>
                      <w:rFonts w:hint="eastAsia"/>
                      <w:b/>
                      <w:bCs/>
                      <w:color w:val="auto"/>
                      <w:szCs w:val="21"/>
                      <w:highlight w:val="none"/>
                      <w:lang w:eastAsia="zh-CN"/>
                    </w:rPr>
                    <w:t>CODcr</w:t>
                  </w:r>
                </w:p>
              </w:tc>
              <w:tc>
                <w:tcPr>
                  <w:tcW w:w="726" w:type="pct"/>
                  <w:tcBorders>
                    <w:top w:val="single" w:color="auto" w:sz="4" w:space="0"/>
                    <w:left w:val="single" w:color="auto" w:sz="4" w:space="0"/>
                    <w:bottom w:val="single" w:color="auto" w:sz="4" w:space="0"/>
                    <w:right w:val="single" w:color="auto" w:sz="4" w:space="0"/>
                  </w:tcBorders>
                  <w:vAlign w:val="center"/>
                </w:tcPr>
                <w:p>
                  <w:pPr>
                    <w:jc w:val="center"/>
                    <w:rPr>
                      <w:b/>
                      <w:bCs/>
                      <w:color w:val="auto"/>
                      <w:szCs w:val="21"/>
                      <w:highlight w:val="none"/>
                    </w:rPr>
                  </w:pPr>
                  <w:r>
                    <w:rPr>
                      <w:b/>
                      <w:bCs/>
                      <w:color w:val="auto"/>
                      <w:szCs w:val="21"/>
                      <w:highlight w:val="none"/>
                    </w:rPr>
                    <w:t>BOD</w:t>
                  </w:r>
                  <w:r>
                    <w:rPr>
                      <w:b/>
                      <w:bCs/>
                      <w:color w:val="auto"/>
                      <w:szCs w:val="21"/>
                      <w:highlight w:val="none"/>
                      <w:vertAlign w:val="subscript"/>
                    </w:rPr>
                    <w:t>5</w:t>
                  </w:r>
                </w:p>
              </w:tc>
              <w:tc>
                <w:tcPr>
                  <w:tcW w:w="723" w:type="pct"/>
                  <w:tcBorders>
                    <w:top w:val="single" w:color="auto" w:sz="4" w:space="0"/>
                    <w:left w:val="single" w:color="auto" w:sz="4" w:space="0"/>
                    <w:bottom w:val="single" w:color="auto" w:sz="4" w:space="0"/>
                    <w:right w:val="single" w:color="auto" w:sz="4" w:space="0"/>
                  </w:tcBorders>
                  <w:vAlign w:val="center"/>
                </w:tcPr>
                <w:p>
                  <w:pPr>
                    <w:jc w:val="center"/>
                    <w:rPr>
                      <w:b/>
                      <w:bCs/>
                      <w:color w:val="auto"/>
                      <w:szCs w:val="21"/>
                      <w:highlight w:val="none"/>
                    </w:rPr>
                  </w:pPr>
                  <w:r>
                    <w:rPr>
                      <w:b/>
                      <w:bCs/>
                      <w:color w:val="auto"/>
                      <w:szCs w:val="21"/>
                      <w:highlight w:val="none"/>
                    </w:rPr>
                    <w:t>NH</w:t>
                  </w:r>
                  <w:r>
                    <w:rPr>
                      <w:b/>
                      <w:bCs/>
                      <w:color w:val="auto"/>
                      <w:szCs w:val="21"/>
                      <w:highlight w:val="none"/>
                      <w:vertAlign w:val="subscript"/>
                    </w:rPr>
                    <w:t>3</w:t>
                  </w:r>
                  <w:r>
                    <w:rPr>
                      <w:b/>
                      <w:bCs/>
                      <w:color w:val="auto"/>
                      <w:szCs w:val="21"/>
                      <w:highlight w:val="none"/>
                    </w:rPr>
                    <w:t>-N</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b/>
                      <w:bCs/>
                      <w:color w:val="auto"/>
                      <w:szCs w:val="21"/>
                      <w:highlight w:val="none"/>
                    </w:rPr>
                  </w:pPr>
                  <w:r>
                    <w:rPr>
                      <w:b/>
                      <w:bCs/>
                      <w:color w:val="auto"/>
                      <w:szCs w:val="21"/>
                      <w:highlight w:val="none"/>
                    </w:rPr>
                    <w:t>SS</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7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产生浓度（mg/L）</w:t>
                  </w: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400</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200</w:t>
                  </w:r>
                </w:p>
              </w:tc>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color w:val="auto"/>
                      <w:szCs w:val="21"/>
                      <w:highlight w:val="none"/>
                    </w:rPr>
                    <w:t>3</w:t>
                  </w:r>
                  <w:r>
                    <w:rPr>
                      <w:rFonts w:hint="eastAsia"/>
                      <w:color w:val="auto"/>
                      <w:szCs w:val="21"/>
                      <w:highlight w:val="none"/>
                      <w:lang w:val="en-US" w:eastAsia="zh-CN"/>
                    </w:rPr>
                    <w:t>5</w:t>
                  </w:r>
                </w:p>
              </w:tc>
              <w:tc>
                <w:tcPr>
                  <w:tcW w:w="111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color w:val="auto"/>
                      <w:szCs w:val="21"/>
                      <w:highlight w:val="none"/>
                    </w:rPr>
                    <w:t>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7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产生量（t/a）</w:t>
                  </w: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hint="default"/>
                      <w:color w:val="auto"/>
                      <w:szCs w:val="21"/>
                      <w:highlight w:val="none"/>
                      <w:lang w:val="en-US"/>
                    </w:rPr>
                  </w:pPr>
                  <w:r>
                    <w:rPr>
                      <w:rFonts w:hint="eastAsia"/>
                      <w:color w:val="auto"/>
                      <w:szCs w:val="21"/>
                      <w:highlight w:val="none"/>
                      <w:lang w:val="en-US" w:eastAsia="zh-CN"/>
                    </w:rPr>
                    <w:t>1200</w:t>
                  </w:r>
                </w:p>
              </w:tc>
              <w:tc>
                <w:tcPr>
                  <w:tcW w:w="726"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0.48</w:t>
                  </w:r>
                </w:p>
              </w:tc>
              <w:tc>
                <w:tcPr>
                  <w:tcW w:w="726"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0.24</w:t>
                  </w:r>
                </w:p>
              </w:tc>
              <w:tc>
                <w:tcPr>
                  <w:tcW w:w="723"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0.04</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0.24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7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排放</w:t>
                  </w:r>
                  <w:r>
                    <w:rPr>
                      <w:color w:val="auto"/>
                      <w:szCs w:val="21"/>
                      <w:highlight w:val="none"/>
                    </w:rPr>
                    <w:t>浓度（mg/L）</w:t>
                  </w: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400</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200</w:t>
                  </w:r>
                </w:p>
              </w:tc>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3</w:t>
                  </w:r>
                  <w:r>
                    <w:rPr>
                      <w:rFonts w:hint="eastAsia"/>
                      <w:color w:val="auto"/>
                      <w:szCs w:val="21"/>
                      <w:highlight w:val="none"/>
                      <w:lang w:val="en-US" w:eastAsia="zh-CN"/>
                    </w:rPr>
                    <w:t>5</w:t>
                  </w:r>
                </w:p>
              </w:tc>
              <w:tc>
                <w:tcPr>
                  <w:tcW w:w="11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color w:val="auto"/>
                      <w:szCs w:val="21"/>
                      <w:highlight w:val="none"/>
                    </w:rPr>
                    <w:t>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17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排放</w:t>
                  </w:r>
                  <w:r>
                    <w:rPr>
                      <w:color w:val="auto"/>
                      <w:szCs w:val="21"/>
                      <w:highlight w:val="none"/>
                    </w:rPr>
                    <w:t>量（t/a）</w:t>
                  </w: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1200</w:t>
                  </w:r>
                </w:p>
              </w:tc>
              <w:tc>
                <w:tcPr>
                  <w:tcW w:w="11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0.48</w:t>
                  </w:r>
                </w:p>
              </w:tc>
              <w:tc>
                <w:tcPr>
                  <w:tcW w:w="11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0.24</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0.04</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0.24</w:t>
                  </w:r>
                </w:p>
              </w:tc>
            </w:tr>
          </w:tbl>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after="0" w:afterAutospacing="0" w:line="360" w:lineRule="auto"/>
              <w:ind w:firstLine="0" w:firstLineChars="0"/>
              <w:jc w:val="both"/>
              <w:textAlignment w:val="auto"/>
              <w:rPr>
                <w:rFonts w:hint="default"/>
                <w:b/>
                <w:bCs/>
                <w:color w:val="auto"/>
                <w:sz w:val="24"/>
                <w:szCs w:val="32"/>
                <w:highlight w:val="none"/>
                <w:lang w:val="en-US" w:eastAsia="zh-CN"/>
              </w:rPr>
            </w:pPr>
            <w:r>
              <w:rPr>
                <w:rFonts w:hint="default"/>
                <w:b/>
                <w:bCs/>
                <w:color w:val="auto"/>
                <w:sz w:val="24"/>
                <w:szCs w:val="32"/>
                <w:highlight w:val="none"/>
                <w:lang w:val="en-US" w:eastAsia="zh-CN"/>
              </w:rPr>
              <w:t>2.2</w:t>
            </w:r>
            <w:r>
              <w:rPr>
                <w:rFonts w:hint="eastAsia"/>
                <w:b/>
                <w:bCs/>
                <w:color w:val="auto"/>
                <w:sz w:val="24"/>
                <w:szCs w:val="32"/>
                <w:highlight w:val="none"/>
                <w:lang w:val="en-US" w:eastAsia="zh-CN"/>
              </w:rPr>
              <w:t>废水治理措施的</w:t>
            </w:r>
            <w:r>
              <w:rPr>
                <w:rFonts w:hint="default"/>
                <w:b/>
                <w:bCs/>
                <w:color w:val="auto"/>
                <w:sz w:val="24"/>
                <w:szCs w:val="32"/>
                <w:highlight w:val="none"/>
                <w:lang w:val="en-US" w:eastAsia="zh-CN"/>
              </w:rPr>
              <w:t>可行性分析</w:t>
            </w:r>
          </w:p>
          <w:p>
            <w:pPr>
              <w:pStyle w:val="86"/>
              <w:keepNext w:val="0"/>
              <w:keepLines w:val="0"/>
              <w:pageBreakBefore w:val="0"/>
              <w:widowControl w:val="0"/>
              <w:shd w:val="clear" w:color="auto" w:fill="FFFFFF"/>
              <w:kinsoku/>
              <w:wordWrap/>
              <w:overflowPunct/>
              <w:topLinePunct w:val="0"/>
              <w:autoSpaceDE/>
              <w:autoSpaceDN/>
              <w:bidi w:val="0"/>
              <w:adjustRightInd w:val="0"/>
              <w:snapToGrid w:val="0"/>
              <w:spacing w:before="0" w:after="0" w:afterAutospacing="0" w:line="360" w:lineRule="auto"/>
              <w:ind w:firstLine="50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污水处理厂依托可行性分析</w:t>
            </w:r>
          </w:p>
          <w:p>
            <w:pPr>
              <w:bidi w:val="0"/>
              <w:spacing w:line="360" w:lineRule="auto"/>
              <w:ind w:firstLine="480" w:firstLineChars="20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本项目位于奇台县喇嘛湖梁工业园区，生活污水达到《污水排入城市下水道水质标准》（GB/T31962-2015）B级标准限值</w:t>
            </w:r>
            <w:r>
              <w:rPr>
                <w:rFonts w:hint="default" w:ascii="Times New Roman" w:hAnsi="Times New Roman" w:cs="Times New Roman"/>
                <w:sz w:val="24"/>
                <w:szCs w:val="32"/>
              </w:rPr>
              <w:t>标准</w:t>
            </w:r>
            <w:r>
              <w:rPr>
                <w:rFonts w:hint="default" w:ascii="Times New Roman" w:hAnsi="Times New Roman" w:cs="Times New Roman"/>
                <w:sz w:val="24"/>
                <w:szCs w:val="32"/>
                <w:lang w:val="en-US" w:eastAsia="zh-CN"/>
              </w:rPr>
              <w:t>后，排入园区污水管网，最终进入喇嘛湖梁工业园区污水处理厂深度处理。</w:t>
            </w:r>
          </w:p>
          <w:p>
            <w:pPr>
              <w:adjustRightInd w:val="0"/>
              <w:snapToGrid w:val="0"/>
              <w:spacing w:line="360" w:lineRule="auto"/>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奇台县喇嘛湖梁工业园区污水处理厂位于园区以北 5km处，目前处理规模为2.5万m</w:t>
            </w:r>
            <w:r>
              <w:rPr>
                <w:rFonts w:hint="default" w:ascii="Times New Roman" w:hAnsi="Times New Roman" w:cs="Times New Roman"/>
                <w:sz w:val="24"/>
                <w:szCs w:val="32"/>
                <w:vertAlign w:val="superscript"/>
                <w:lang w:val="en-US" w:eastAsia="zh-CN"/>
              </w:rPr>
              <w:t>3</w:t>
            </w:r>
            <w:r>
              <w:rPr>
                <w:rFonts w:hint="default" w:ascii="Times New Roman" w:hAnsi="Times New Roman" w:cs="Times New Roman"/>
                <w:sz w:val="24"/>
                <w:szCs w:val="32"/>
                <w:lang w:val="en-US" w:eastAsia="zh-CN"/>
              </w:rPr>
              <w:t xml:space="preserve"> /d。《奇台县喇嘛湖梁工业园区污水处理及再生利用工程》（新环函﹝2017﹞970号），2017 年6月30日。于2018年8月通过项目竣工环境保护验收，预处理工艺为“粗细格栅+曝气沉砂池+初沉池+膜格栅”，污水处理工艺为“水解酸化+A</w:t>
            </w:r>
            <w:r>
              <w:rPr>
                <w:rFonts w:hint="default" w:ascii="Times New Roman" w:hAnsi="Times New Roman" w:cs="Times New Roman"/>
                <w:sz w:val="24"/>
                <w:szCs w:val="32"/>
                <w:vertAlign w:val="superscript"/>
                <w:lang w:val="en-US" w:eastAsia="zh-CN"/>
              </w:rPr>
              <w:t>2</w:t>
            </w:r>
            <w:r>
              <w:rPr>
                <w:rFonts w:hint="default" w:ascii="Times New Roman" w:hAnsi="Times New Roman" w:cs="Times New Roman"/>
                <w:sz w:val="24"/>
                <w:szCs w:val="32"/>
                <w:lang w:val="en-US" w:eastAsia="zh-CN"/>
              </w:rPr>
              <w:t>/O+MBR”。本项目生活污水排放量为4m</w:t>
            </w:r>
            <w:r>
              <w:rPr>
                <w:rFonts w:hint="default" w:ascii="Times New Roman" w:hAnsi="Times New Roman" w:cs="Times New Roman"/>
                <w:sz w:val="24"/>
                <w:szCs w:val="32"/>
                <w:vertAlign w:val="superscript"/>
                <w:lang w:val="en-US" w:eastAsia="zh-CN"/>
              </w:rPr>
              <w:t>3</w:t>
            </w:r>
            <w:r>
              <w:rPr>
                <w:rFonts w:hint="default" w:ascii="Times New Roman" w:hAnsi="Times New Roman" w:cs="Times New Roman"/>
                <w:sz w:val="24"/>
                <w:szCs w:val="32"/>
                <w:lang w:val="en-US" w:eastAsia="zh-CN"/>
              </w:rPr>
              <w:t>/</w:t>
            </w:r>
            <w:r>
              <w:rPr>
                <w:rFonts w:hint="eastAsia" w:cs="Times New Roman"/>
                <w:sz w:val="24"/>
                <w:szCs w:val="32"/>
                <w:lang w:val="en-US" w:eastAsia="zh-CN"/>
              </w:rPr>
              <w:t>d，</w:t>
            </w:r>
            <w:r>
              <w:rPr>
                <w:rFonts w:hint="default" w:ascii="Times New Roman" w:hAnsi="Times New Roman" w:cs="Times New Roman"/>
                <w:kern w:val="0"/>
                <w:sz w:val="24"/>
              </w:rPr>
              <w:t>生活污水水质简单。因此本项目进入</w:t>
            </w:r>
            <w:r>
              <w:rPr>
                <w:rFonts w:hint="default" w:ascii="Times New Roman" w:hAnsi="Times New Roman" w:cs="Times New Roman"/>
                <w:sz w:val="24"/>
                <w:szCs w:val="32"/>
                <w:lang w:val="en-US" w:eastAsia="zh-CN"/>
              </w:rPr>
              <w:t>喇嘛湖梁工业园区污水处理厂</w:t>
            </w:r>
            <w:r>
              <w:rPr>
                <w:rFonts w:hint="default" w:ascii="Times New Roman" w:hAnsi="Times New Roman" w:cs="Times New Roman"/>
                <w:kern w:val="0"/>
                <w:sz w:val="24"/>
              </w:rPr>
              <w:t>是可行的。</w:t>
            </w:r>
          </w:p>
          <w:p>
            <w:pPr>
              <w:pStyle w:val="9"/>
              <w:spacing w:line="240" w:lineRule="auto"/>
              <w:jc w:val="both"/>
              <w:rPr>
                <w:b/>
                <w:color w:val="auto"/>
                <w:sz w:val="24"/>
                <w:highlight w:val="none"/>
              </w:rPr>
            </w:pPr>
            <w:r>
              <w:rPr>
                <w:b/>
                <w:color w:val="auto"/>
                <w:sz w:val="24"/>
                <w:highlight w:val="none"/>
              </w:rPr>
              <w:t>3 声环境影响分析及防治措施</w:t>
            </w:r>
          </w:p>
          <w:p>
            <w:pPr>
              <w:pStyle w:val="46"/>
              <w:spacing w:line="360" w:lineRule="auto"/>
              <w:ind w:firstLine="0" w:firstLineChars="0"/>
              <w:rPr>
                <w:rFonts w:hAnsi="Times New Roman"/>
                <w:b/>
                <w:bCs/>
                <w:color w:val="auto"/>
                <w:sz w:val="24"/>
                <w:highlight w:val="none"/>
                <w:lang w:val="en-US"/>
              </w:rPr>
            </w:pPr>
            <w:r>
              <w:rPr>
                <w:rFonts w:hAnsi="Times New Roman"/>
                <w:b/>
                <w:bCs/>
                <w:color w:val="auto"/>
                <w:sz w:val="24"/>
                <w:highlight w:val="none"/>
                <w:lang w:val="en-US"/>
              </w:rPr>
              <w:t>3.1 噪声源强</w:t>
            </w:r>
          </w:p>
          <w:p>
            <w:pPr>
              <w:spacing w:line="360" w:lineRule="auto"/>
              <w:ind w:firstLine="480" w:firstLineChars="200"/>
              <w:rPr>
                <w:rFonts w:hint="eastAsia"/>
                <w:color w:val="auto"/>
                <w:sz w:val="24"/>
                <w:highlight w:val="none"/>
              </w:rPr>
            </w:pPr>
            <w:r>
              <w:rPr>
                <w:color w:val="auto"/>
                <w:sz w:val="24"/>
                <w:highlight w:val="none"/>
              </w:rPr>
              <w:t>项目主要噪声源为</w:t>
            </w:r>
            <w:r>
              <w:rPr>
                <w:rFonts w:hint="default" w:ascii="Times New Roman" w:hAnsi="Times New Roman" w:cs="Times New Roman"/>
                <w:sz w:val="24"/>
              </w:rPr>
              <w:t>生产车间内</w:t>
            </w:r>
            <w:r>
              <w:rPr>
                <w:rFonts w:hint="eastAsia" w:cs="Times New Roman"/>
                <w:sz w:val="24"/>
                <w:lang w:val="en-US" w:eastAsia="zh-CN"/>
              </w:rPr>
              <w:t>筛分机</w:t>
            </w:r>
            <w:r>
              <w:rPr>
                <w:rFonts w:hint="default" w:ascii="Times New Roman" w:hAnsi="Times New Roman" w:cs="Times New Roman"/>
                <w:sz w:val="24"/>
              </w:rPr>
              <w:t>、</w:t>
            </w:r>
            <w:r>
              <w:rPr>
                <w:rFonts w:hint="eastAsia" w:cs="Times New Roman"/>
                <w:sz w:val="24"/>
                <w:lang w:val="en-US" w:eastAsia="zh-CN"/>
              </w:rPr>
              <w:t>粉碎机、造粒机</w:t>
            </w:r>
            <w:r>
              <w:rPr>
                <w:rFonts w:hint="default" w:ascii="Times New Roman" w:hAnsi="Times New Roman" w:cs="Times New Roman"/>
                <w:sz w:val="24"/>
              </w:rPr>
              <w:t>等设备噪声，其源强声级为</w:t>
            </w:r>
            <w:r>
              <w:rPr>
                <w:rFonts w:hint="eastAsia" w:cs="Times New Roman"/>
                <w:sz w:val="24"/>
                <w:lang w:val="en-US" w:eastAsia="zh-CN"/>
              </w:rPr>
              <w:t>60</w:t>
            </w:r>
            <w:r>
              <w:rPr>
                <w:rFonts w:hint="default" w:ascii="Times New Roman" w:hAnsi="Times New Roman" w:cs="Times New Roman"/>
                <w:sz w:val="24"/>
              </w:rPr>
              <w:t>~</w:t>
            </w:r>
            <w:r>
              <w:rPr>
                <w:rFonts w:hint="eastAsia" w:cs="Times New Roman"/>
                <w:sz w:val="24"/>
                <w:lang w:val="en-US" w:eastAsia="zh-CN"/>
              </w:rPr>
              <w:t>8</w:t>
            </w:r>
            <w:r>
              <w:rPr>
                <w:rFonts w:hint="default" w:ascii="Times New Roman" w:hAnsi="Times New Roman" w:cs="Times New Roman"/>
                <w:sz w:val="24"/>
              </w:rPr>
              <w:t>0dB（A）</w:t>
            </w:r>
            <w:r>
              <w:rPr>
                <w:rFonts w:hint="eastAsia" w:cs="Times New Roman"/>
                <w:sz w:val="24"/>
                <w:lang w:eastAsia="zh-CN"/>
              </w:rPr>
              <w:t>。</w:t>
            </w:r>
            <w:r>
              <w:rPr>
                <w:rFonts w:hint="eastAsia"/>
                <w:color w:val="auto"/>
                <w:sz w:val="24"/>
                <w:highlight w:val="none"/>
              </w:rPr>
              <w:t>机器设备均设置在室内，并对高噪声设备采取设减振基础、隔声等措施控制噪声对周围环境的影响。</w:t>
            </w:r>
          </w:p>
          <w:p>
            <w:pPr>
              <w:widowControl/>
              <w:spacing w:line="240" w:lineRule="auto"/>
              <w:ind w:firstLine="422" w:firstLineChars="200"/>
              <w:jc w:val="center"/>
              <w:rPr>
                <w:rFonts w:hint="default"/>
                <w:b/>
                <w:bCs/>
                <w:sz w:val="21"/>
                <w:szCs w:val="21"/>
                <w:lang w:val="en-US" w:eastAsia="zh-CN"/>
              </w:rPr>
            </w:pPr>
            <w:r>
              <w:rPr>
                <w:rFonts w:hint="default" w:ascii="Times New Roman" w:hAnsi="Times New Roman" w:eastAsia="宋体" w:cs="Times New Roman"/>
                <w:b/>
                <w:bCs/>
                <w:sz w:val="21"/>
                <w:szCs w:val="21"/>
                <w:highlight w:val="none"/>
                <w:lang w:val="en-US" w:eastAsia="zh-CN"/>
              </w:rPr>
              <w:t>表</w:t>
            </w:r>
            <w:r>
              <w:rPr>
                <w:rFonts w:hint="eastAsia" w:ascii="Times New Roman" w:hAnsi="Times New Roman" w:eastAsia="宋体" w:cs="Times New Roman"/>
                <w:b/>
                <w:bCs/>
                <w:sz w:val="21"/>
                <w:szCs w:val="21"/>
                <w:highlight w:val="none"/>
                <w:lang w:val="en-US" w:eastAsia="zh-CN"/>
              </w:rPr>
              <w:t xml:space="preserve">4-7  </w:t>
            </w:r>
            <w:r>
              <w:rPr>
                <w:rFonts w:hint="eastAsia" w:ascii="Times New Roman" w:hAnsi="Times New Roman" w:cs="Times New Roman"/>
                <w:b/>
                <w:bCs/>
                <w:sz w:val="21"/>
                <w:szCs w:val="21"/>
                <w:highlight w:val="none"/>
                <w:lang w:val="en-US" w:eastAsia="zh-CN"/>
              </w:rPr>
              <w:t>全厂</w:t>
            </w:r>
            <w:r>
              <w:rPr>
                <w:rFonts w:hint="default" w:ascii="Times New Roman" w:hAnsi="Times New Roman" w:eastAsia="宋体" w:cs="Times New Roman"/>
                <w:b/>
                <w:bCs/>
                <w:sz w:val="21"/>
                <w:szCs w:val="21"/>
                <w:highlight w:val="none"/>
                <w:lang w:val="en-US" w:eastAsia="zh-CN"/>
              </w:rPr>
              <w:t>主要噪声源源强</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47"/>
              <w:gridCol w:w="427"/>
              <w:gridCol w:w="1126"/>
              <w:gridCol w:w="427"/>
              <w:gridCol w:w="1369"/>
              <w:gridCol w:w="1545"/>
              <w:gridCol w:w="963"/>
              <w:gridCol w:w="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noWrap w:val="0"/>
                  <w:vAlign w:val="center"/>
                </w:tcPr>
                <w:p>
                  <w:pPr>
                    <w:keepNext w:val="0"/>
                    <w:keepLines w:val="0"/>
                    <w:widowControl/>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序号</w:t>
                  </w:r>
                </w:p>
              </w:tc>
              <w:tc>
                <w:tcPr>
                  <w:tcW w:w="858" w:type="dxa"/>
                  <w:noWrap w:val="0"/>
                  <w:vAlign w:val="center"/>
                </w:tcPr>
                <w:p>
                  <w:pPr>
                    <w:keepNext w:val="0"/>
                    <w:keepLines w:val="0"/>
                    <w:widowControl/>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设备名称</w:t>
                  </w:r>
                </w:p>
              </w:tc>
              <w:tc>
                <w:tcPr>
                  <w:tcW w:w="322" w:type="dxa"/>
                  <w:noWrap w:val="0"/>
                  <w:vAlign w:val="center"/>
                </w:tcPr>
                <w:p>
                  <w:pPr>
                    <w:keepNext w:val="0"/>
                    <w:keepLines w:val="0"/>
                    <w:widowControl/>
                    <w:spacing w:line="240" w:lineRule="auto"/>
                    <w:jc w:val="both"/>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数量</w:t>
                  </w:r>
                </w:p>
              </w:tc>
              <w:tc>
                <w:tcPr>
                  <w:tcW w:w="1150" w:type="dxa"/>
                  <w:noWrap w:val="0"/>
                  <w:vAlign w:val="center"/>
                </w:tcPr>
                <w:p>
                  <w:pPr>
                    <w:keepNext w:val="0"/>
                    <w:keepLines w:val="0"/>
                    <w:widowControl/>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噪声源位置</w:t>
                  </w:r>
                </w:p>
              </w:tc>
              <w:tc>
                <w:tcPr>
                  <w:tcW w:w="385" w:type="dxa"/>
                  <w:noWrap w:val="0"/>
                  <w:vAlign w:val="center"/>
                </w:tcPr>
                <w:p>
                  <w:pPr>
                    <w:keepNext w:val="0"/>
                    <w:keepLines w:val="0"/>
                    <w:widowControl/>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声源距离m</w:t>
                  </w:r>
                </w:p>
              </w:tc>
              <w:tc>
                <w:tcPr>
                  <w:tcW w:w="1397" w:type="dxa"/>
                  <w:noWrap w:val="0"/>
                  <w:vAlign w:val="center"/>
                </w:tcPr>
                <w:p>
                  <w:pPr>
                    <w:keepNext w:val="0"/>
                    <w:keepLines w:val="0"/>
                    <w:widowControl/>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生产强度dB（A）</w:t>
                  </w:r>
                </w:p>
              </w:tc>
              <w:tc>
                <w:tcPr>
                  <w:tcW w:w="1573" w:type="dxa"/>
                  <w:noWrap w:val="0"/>
                  <w:vAlign w:val="center"/>
                </w:tcPr>
                <w:p>
                  <w:pPr>
                    <w:keepNext w:val="0"/>
                    <w:keepLines w:val="0"/>
                    <w:widowControl/>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降噪措施</w:t>
                  </w:r>
                </w:p>
              </w:tc>
              <w:tc>
                <w:tcPr>
                  <w:tcW w:w="971" w:type="dxa"/>
                  <w:noWrap w:val="0"/>
                  <w:vAlign w:val="center"/>
                </w:tcPr>
                <w:p>
                  <w:pPr>
                    <w:keepNext w:val="0"/>
                    <w:keepLines w:val="0"/>
                    <w:widowControl/>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排放强度dB（A）</w:t>
                  </w:r>
                </w:p>
              </w:tc>
              <w:tc>
                <w:tcPr>
                  <w:tcW w:w="527" w:type="dxa"/>
                  <w:noWrap w:val="0"/>
                  <w:vAlign w:val="center"/>
                </w:tcPr>
                <w:p>
                  <w:pPr>
                    <w:keepNext w:val="0"/>
                    <w:keepLines w:val="0"/>
                    <w:widowControl/>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w:t>
                  </w:r>
                </w:p>
              </w:tc>
              <w:tc>
                <w:tcPr>
                  <w:tcW w:w="858"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8T/h粉碎机</w:t>
                  </w:r>
                </w:p>
              </w:tc>
              <w:tc>
                <w:tcPr>
                  <w:tcW w:w="322"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szCs w:val="21"/>
                      <w:highlight w:val="none"/>
                    </w:rPr>
                    <w:t>1</w:t>
                  </w:r>
                </w:p>
              </w:tc>
              <w:tc>
                <w:tcPr>
                  <w:tcW w:w="1150" w:type="dxa"/>
                  <w:vMerge w:val="restart"/>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造粒车间、粉碎原料车间</w:t>
                  </w:r>
                </w:p>
              </w:tc>
              <w:tc>
                <w:tcPr>
                  <w:tcW w:w="385"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w:t>
                  </w:r>
                </w:p>
              </w:tc>
              <w:tc>
                <w:tcPr>
                  <w:tcW w:w="1397"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70~75</w:t>
                  </w:r>
                </w:p>
              </w:tc>
              <w:tc>
                <w:tcPr>
                  <w:tcW w:w="1573" w:type="dxa"/>
                  <w:vMerge w:val="restart"/>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做好设备基本减振、车间墙体隔音、厂区围墙隔音等降噪量约为25dB(A)</w:t>
                  </w:r>
                </w:p>
              </w:tc>
              <w:tc>
                <w:tcPr>
                  <w:tcW w:w="971"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45~50</w:t>
                  </w:r>
                </w:p>
              </w:tc>
              <w:tc>
                <w:tcPr>
                  <w:tcW w:w="527" w:type="dxa"/>
                  <w:vMerge w:val="restart"/>
                  <w:noWrap w:val="0"/>
                  <w:vAlign w:val="center"/>
                </w:tcPr>
                <w:p>
                  <w:pPr>
                    <w:keepNext w:val="0"/>
                    <w:keepLines w:val="0"/>
                    <w:widowControl/>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8</w:t>
                  </w:r>
                  <w:r>
                    <w:rPr>
                      <w:rFonts w:hint="default" w:ascii="Times New Roman" w:hAnsi="Times New Roman" w:eastAsia="宋体" w:cs="Times New Roman"/>
                      <w:b w:val="0"/>
                      <w:bCs w:val="0"/>
                      <w:sz w:val="21"/>
                      <w:szCs w:val="21"/>
                      <w:highlight w:val="none"/>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2</w:t>
                  </w:r>
                </w:p>
              </w:tc>
              <w:tc>
                <w:tcPr>
                  <w:tcW w:w="858"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20T搅拌罐</w:t>
                  </w:r>
                </w:p>
              </w:tc>
              <w:tc>
                <w:tcPr>
                  <w:tcW w:w="322"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3</w:t>
                  </w:r>
                </w:p>
              </w:tc>
              <w:tc>
                <w:tcPr>
                  <w:tcW w:w="1150"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385"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w:t>
                  </w:r>
                </w:p>
              </w:tc>
              <w:tc>
                <w:tcPr>
                  <w:tcW w:w="1397"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70~75</w:t>
                  </w:r>
                </w:p>
              </w:tc>
              <w:tc>
                <w:tcPr>
                  <w:tcW w:w="1573"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971"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45~50</w:t>
                  </w:r>
                </w:p>
              </w:tc>
              <w:tc>
                <w:tcPr>
                  <w:tcW w:w="527" w:type="dxa"/>
                  <w:vMerge w:val="continue"/>
                  <w:noWrap w:val="0"/>
                  <w:vAlign w:val="center"/>
                </w:tcPr>
                <w:p>
                  <w:pPr>
                    <w:keepNext w:val="0"/>
                    <w:keepLines w:val="0"/>
                    <w:widowControl/>
                    <w:spacing w:line="240" w:lineRule="auto"/>
                    <w:jc w:val="center"/>
                    <w:rPr>
                      <w:rFonts w:hint="default" w:ascii="Times New Roman" w:hAnsi="Times New Roman" w:eastAsia="宋体" w:cs="Times New Roman"/>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3</w:t>
                  </w:r>
                </w:p>
              </w:tc>
              <w:tc>
                <w:tcPr>
                  <w:tcW w:w="858"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离心</w:t>
                  </w:r>
                  <w:r>
                    <w:rPr>
                      <w:szCs w:val="21"/>
                      <w:highlight w:val="none"/>
                    </w:rPr>
                    <w:t>机</w:t>
                  </w:r>
                </w:p>
              </w:tc>
              <w:tc>
                <w:tcPr>
                  <w:tcW w:w="322"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2</w:t>
                  </w:r>
                </w:p>
              </w:tc>
              <w:tc>
                <w:tcPr>
                  <w:tcW w:w="1150"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385"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w:t>
                  </w:r>
                </w:p>
              </w:tc>
              <w:tc>
                <w:tcPr>
                  <w:tcW w:w="1397"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60~65</w:t>
                  </w:r>
                </w:p>
              </w:tc>
              <w:tc>
                <w:tcPr>
                  <w:tcW w:w="1573"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971"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35~40</w:t>
                  </w:r>
                </w:p>
              </w:tc>
              <w:tc>
                <w:tcPr>
                  <w:tcW w:w="527" w:type="dxa"/>
                  <w:vMerge w:val="continue"/>
                  <w:noWrap w:val="0"/>
                  <w:vAlign w:val="center"/>
                </w:tcPr>
                <w:p>
                  <w:pPr>
                    <w:keepNext w:val="0"/>
                    <w:keepLines w:val="0"/>
                    <w:widowControl/>
                    <w:spacing w:line="240" w:lineRule="auto"/>
                    <w:jc w:val="center"/>
                    <w:rPr>
                      <w:rFonts w:hint="default" w:ascii="Times New Roman" w:hAnsi="Times New Roman" w:eastAsia="宋体" w:cs="Times New Roman"/>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4</w:t>
                  </w:r>
                </w:p>
              </w:tc>
              <w:tc>
                <w:tcPr>
                  <w:tcW w:w="858"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粉碎机</w:t>
                  </w:r>
                </w:p>
              </w:tc>
              <w:tc>
                <w:tcPr>
                  <w:tcW w:w="322"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2</w:t>
                  </w:r>
                </w:p>
              </w:tc>
              <w:tc>
                <w:tcPr>
                  <w:tcW w:w="1150"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385"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w:t>
                  </w:r>
                </w:p>
              </w:tc>
              <w:tc>
                <w:tcPr>
                  <w:tcW w:w="1397"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70~75</w:t>
                  </w:r>
                </w:p>
              </w:tc>
              <w:tc>
                <w:tcPr>
                  <w:tcW w:w="1573"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971"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45~50</w:t>
                  </w:r>
                </w:p>
              </w:tc>
              <w:tc>
                <w:tcPr>
                  <w:tcW w:w="527" w:type="dxa"/>
                  <w:vMerge w:val="continue"/>
                  <w:noWrap w:val="0"/>
                  <w:vAlign w:val="center"/>
                </w:tcPr>
                <w:p>
                  <w:pPr>
                    <w:keepNext w:val="0"/>
                    <w:keepLines w:val="0"/>
                    <w:widowControl/>
                    <w:spacing w:line="240" w:lineRule="auto"/>
                    <w:jc w:val="center"/>
                    <w:rPr>
                      <w:rFonts w:hint="default" w:ascii="Times New Roman" w:hAnsi="Times New Roman" w:eastAsia="宋体" w:cs="Times New Roman"/>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5</w:t>
                  </w:r>
                </w:p>
              </w:tc>
              <w:tc>
                <w:tcPr>
                  <w:tcW w:w="858"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造粒机</w:t>
                  </w:r>
                </w:p>
              </w:tc>
              <w:tc>
                <w:tcPr>
                  <w:tcW w:w="322"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2</w:t>
                  </w:r>
                </w:p>
              </w:tc>
              <w:tc>
                <w:tcPr>
                  <w:tcW w:w="1150"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385"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w:t>
                  </w:r>
                </w:p>
              </w:tc>
              <w:tc>
                <w:tcPr>
                  <w:tcW w:w="1397"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70~75</w:t>
                  </w:r>
                </w:p>
              </w:tc>
              <w:tc>
                <w:tcPr>
                  <w:tcW w:w="1573"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971"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45~50</w:t>
                  </w:r>
                </w:p>
              </w:tc>
              <w:tc>
                <w:tcPr>
                  <w:tcW w:w="527" w:type="dxa"/>
                  <w:vMerge w:val="continue"/>
                  <w:noWrap w:val="0"/>
                  <w:vAlign w:val="center"/>
                </w:tcPr>
                <w:p>
                  <w:pPr>
                    <w:keepNext w:val="0"/>
                    <w:keepLines w:val="0"/>
                    <w:widowControl/>
                    <w:spacing w:line="240" w:lineRule="auto"/>
                    <w:jc w:val="center"/>
                    <w:rPr>
                      <w:rFonts w:hint="default" w:ascii="Times New Roman" w:hAnsi="Times New Roman" w:eastAsia="宋体" w:cs="Times New Roman"/>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6</w:t>
                  </w:r>
                </w:p>
              </w:tc>
              <w:tc>
                <w:tcPr>
                  <w:tcW w:w="858"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包装机</w:t>
                  </w:r>
                </w:p>
              </w:tc>
              <w:tc>
                <w:tcPr>
                  <w:tcW w:w="322"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2</w:t>
                  </w:r>
                </w:p>
              </w:tc>
              <w:tc>
                <w:tcPr>
                  <w:tcW w:w="1150"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385"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w:t>
                  </w:r>
                </w:p>
              </w:tc>
              <w:tc>
                <w:tcPr>
                  <w:tcW w:w="1397"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55~60</w:t>
                  </w:r>
                </w:p>
              </w:tc>
              <w:tc>
                <w:tcPr>
                  <w:tcW w:w="1573"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971"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30~35</w:t>
                  </w:r>
                </w:p>
              </w:tc>
              <w:tc>
                <w:tcPr>
                  <w:tcW w:w="527" w:type="dxa"/>
                  <w:vMerge w:val="continue"/>
                  <w:noWrap w:val="0"/>
                  <w:vAlign w:val="center"/>
                </w:tcPr>
                <w:p>
                  <w:pPr>
                    <w:keepNext w:val="0"/>
                    <w:keepLines w:val="0"/>
                    <w:widowControl/>
                    <w:spacing w:line="240" w:lineRule="auto"/>
                    <w:jc w:val="center"/>
                    <w:rPr>
                      <w:rFonts w:hint="default" w:ascii="Times New Roman" w:hAnsi="Times New Roman" w:eastAsia="宋体" w:cs="Times New Roman"/>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7</w:t>
                  </w:r>
                </w:p>
              </w:tc>
              <w:tc>
                <w:tcPr>
                  <w:tcW w:w="858"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挤压造粒机</w:t>
                  </w:r>
                </w:p>
              </w:tc>
              <w:tc>
                <w:tcPr>
                  <w:tcW w:w="322"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4</w:t>
                  </w:r>
                </w:p>
              </w:tc>
              <w:tc>
                <w:tcPr>
                  <w:tcW w:w="1150"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385"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w:t>
                  </w:r>
                </w:p>
              </w:tc>
              <w:tc>
                <w:tcPr>
                  <w:tcW w:w="1397"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60~65</w:t>
                  </w:r>
                </w:p>
              </w:tc>
              <w:tc>
                <w:tcPr>
                  <w:tcW w:w="1573"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971"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35~40</w:t>
                  </w:r>
                </w:p>
              </w:tc>
              <w:tc>
                <w:tcPr>
                  <w:tcW w:w="527" w:type="dxa"/>
                  <w:vMerge w:val="continue"/>
                  <w:noWrap w:val="0"/>
                  <w:vAlign w:val="center"/>
                </w:tcPr>
                <w:p>
                  <w:pPr>
                    <w:keepNext w:val="0"/>
                    <w:keepLines w:val="0"/>
                    <w:widowControl/>
                    <w:spacing w:line="240" w:lineRule="auto"/>
                    <w:jc w:val="center"/>
                    <w:rPr>
                      <w:rFonts w:hint="default" w:ascii="Times New Roman" w:hAnsi="Times New Roman" w:eastAsia="宋体" w:cs="Times New Roman"/>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8</w:t>
                  </w:r>
                </w:p>
              </w:tc>
              <w:tc>
                <w:tcPr>
                  <w:tcW w:w="858"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筛分机</w:t>
                  </w:r>
                </w:p>
              </w:tc>
              <w:tc>
                <w:tcPr>
                  <w:tcW w:w="322" w:type="dxa"/>
                  <w:noWrap w:val="0"/>
                  <w:vAlign w:val="center"/>
                </w:tcPr>
                <w:p>
                  <w:pPr>
                    <w:shd w:val="clear" w:color="auto" w:fill="FFFFFF"/>
                    <w:jc w:val="center"/>
                    <w:rPr>
                      <w:rFonts w:hint="default" w:ascii="Times New Roman" w:hAnsi="Times New Roman" w:eastAsia="宋体" w:cs="Times New Roman"/>
                      <w:b w:val="0"/>
                      <w:bCs w:val="0"/>
                      <w:sz w:val="21"/>
                      <w:szCs w:val="21"/>
                      <w:highlight w:val="none"/>
                      <w:lang w:val="en-US" w:eastAsia="zh-CN"/>
                    </w:rPr>
                  </w:pPr>
                  <w:r>
                    <w:rPr>
                      <w:rFonts w:hint="eastAsia"/>
                      <w:szCs w:val="21"/>
                      <w:highlight w:val="none"/>
                      <w:lang w:val="en-US" w:eastAsia="zh-CN"/>
                    </w:rPr>
                    <w:t>2</w:t>
                  </w:r>
                </w:p>
              </w:tc>
              <w:tc>
                <w:tcPr>
                  <w:tcW w:w="1150"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385"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1</w:t>
                  </w:r>
                </w:p>
              </w:tc>
              <w:tc>
                <w:tcPr>
                  <w:tcW w:w="1397"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60~65</w:t>
                  </w:r>
                </w:p>
              </w:tc>
              <w:tc>
                <w:tcPr>
                  <w:tcW w:w="1573" w:type="dxa"/>
                  <w:vMerge w:val="continue"/>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p>
              </w:tc>
              <w:tc>
                <w:tcPr>
                  <w:tcW w:w="971" w:type="dxa"/>
                  <w:noWrap w:val="0"/>
                  <w:vAlign w:val="center"/>
                </w:tcPr>
                <w:p>
                  <w:pPr>
                    <w:keepNext w:val="0"/>
                    <w:keepLines w:val="0"/>
                    <w:widowControl/>
                    <w:spacing w:line="240" w:lineRule="auto"/>
                    <w:jc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35~40</w:t>
                  </w:r>
                </w:p>
              </w:tc>
              <w:tc>
                <w:tcPr>
                  <w:tcW w:w="527" w:type="dxa"/>
                  <w:vMerge w:val="continue"/>
                  <w:noWrap w:val="0"/>
                  <w:vAlign w:val="center"/>
                </w:tcPr>
                <w:p>
                  <w:pPr>
                    <w:keepNext w:val="0"/>
                    <w:keepLines w:val="0"/>
                    <w:widowControl/>
                    <w:spacing w:line="240" w:lineRule="auto"/>
                    <w:jc w:val="center"/>
                    <w:rPr>
                      <w:rFonts w:hint="default" w:ascii="Times New Roman" w:hAnsi="Times New Roman" w:eastAsia="宋体" w:cs="Times New Roman"/>
                      <w:sz w:val="21"/>
                      <w:szCs w:val="21"/>
                      <w:highlight w:val="none"/>
                      <w:lang w:val="en-US" w:eastAsia="zh-CN"/>
                    </w:rPr>
                  </w:pPr>
                </w:p>
              </w:tc>
            </w:tr>
          </w:tbl>
          <w:p>
            <w:pPr>
              <w:pStyle w:val="46"/>
              <w:spacing w:line="360" w:lineRule="auto"/>
              <w:ind w:firstLine="0" w:firstLineChars="0"/>
              <w:rPr>
                <w:rFonts w:hAnsi="Times New Roman"/>
                <w:b/>
                <w:bCs/>
                <w:color w:val="auto"/>
                <w:sz w:val="24"/>
                <w:highlight w:val="none"/>
                <w:lang w:val="en-US"/>
              </w:rPr>
            </w:pPr>
            <w:r>
              <w:rPr>
                <w:rFonts w:hAnsi="Times New Roman"/>
                <w:b/>
                <w:bCs/>
                <w:color w:val="auto"/>
                <w:sz w:val="24"/>
                <w:highlight w:val="none"/>
                <w:lang w:val="en-US"/>
              </w:rPr>
              <w:t xml:space="preserve">3.2 </w:t>
            </w:r>
            <w:r>
              <w:rPr>
                <w:rFonts w:hint="eastAsia" w:hAnsi="Times New Roman"/>
                <w:b/>
                <w:bCs/>
                <w:color w:val="auto"/>
                <w:sz w:val="24"/>
                <w:highlight w:val="none"/>
                <w:lang w:val="en-US"/>
              </w:rPr>
              <w:t>声环境影响分析</w:t>
            </w:r>
          </w:p>
          <w:p>
            <w:pPr>
              <w:pStyle w:val="46"/>
              <w:tabs>
                <w:tab w:val="left" w:pos="794"/>
              </w:tabs>
              <w:spacing w:line="360" w:lineRule="auto"/>
              <w:ind w:firstLine="480" w:firstLineChars="200"/>
              <w:rPr>
                <w:color w:val="auto"/>
                <w:kern w:val="0"/>
                <w:sz w:val="24"/>
                <w:highlight w:val="none"/>
              </w:rPr>
            </w:pPr>
            <w:r>
              <w:rPr>
                <w:color w:val="auto"/>
                <w:kern w:val="0"/>
                <w:sz w:val="24"/>
                <w:highlight w:val="none"/>
              </w:rPr>
              <w:t>该项目噪声主要来自</w:t>
            </w:r>
            <w:r>
              <w:rPr>
                <w:rFonts w:hint="eastAsia" w:cs="Times New Roman"/>
                <w:sz w:val="24"/>
                <w:lang w:val="en-US" w:eastAsia="zh-CN"/>
              </w:rPr>
              <w:t>筛分机</w:t>
            </w:r>
            <w:r>
              <w:rPr>
                <w:rFonts w:hint="default" w:ascii="Times New Roman" w:hAnsi="Times New Roman" w:cs="Times New Roman"/>
                <w:sz w:val="24"/>
              </w:rPr>
              <w:t>、</w:t>
            </w:r>
            <w:r>
              <w:rPr>
                <w:rFonts w:hint="eastAsia" w:cs="Times New Roman"/>
                <w:sz w:val="24"/>
                <w:lang w:val="en-US" w:eastAsia="zh-CN"/>
              </w:rPr>
              <w:t>粉碎机、造粒机</w:t>
            </w:r>
            <w:r>
              <w:rPr>
                <w:rFonts w:hint="default" w:ascii="Times New Roman" w:hAnsi="Times New Roman" w:cs="Times New Roman"/>
                <w:sz w:val="24"/>
              </w:rPr>
              <w:t>等</w:t>
            </w:r>
            <w:r>
              <w:rPr>
                <w:rFonts w:hint="eastAsia"/>
                <w:color w:val="auto"/>
                <w:kern w:val="0"/>
                <w:sz w:val="24"/>
                <w:highlight w:val="none"/>
                <w:lang w:val="en-US" w:eastAsia="zh-CN"/>
              </w:rPr>
              <w:t>机械设备</w:t>
            </w:r>
            <w:r>
              <w:rPr>
                <w:color w:val="auto"/>
                <w:kern w:val="0"/>
                <w:sz w:val="24"/>
                <w:highlight w:val="none"/>
              </w:rPr>
              <w:t>，其噪声值在</w:t>
            </w:r>
            <w:r>
              <w:rPr>
                <w:rFonts w:hint="default" w:ascii="Times New Roman" w:hAnsi="Times New Roman" w:cs="Times New Roman"/>
                <w:sz w:val="24"/>
              </w:rPr>
              <w:t>70~90dB（A）</w:t>
            </w:r>
            <w:r>
              <w:rPr>
                <w:color w:val="auto"/>
                <w:kern w:val="0"/>
                <w:sz w:val="24"/>
                <w:highlight w:val="none"/>
              </w:rPr>
              <w:t>。</w:t>
            </w:r>
          </w:p>
          <w:p>
            <w:pPr>
              <w:pStyle w:val="46"/>
              <w:tabs>
                <w:tab w:val="left" w:pos="794"/>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（1）点声源预测模式</w:t>
            </w:r>
          </w:p>
          <w:p>
            <w:pPr>
              <w:pStyle w:val="46"/>
              <w:tabs>
                <w:tab w:val="left" w:pos="794"/>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计算采用《环境影响评价技术导则 声环境》（HJ2.4-2021）中推荐的点声源衰减模式，计算公式如下：</w:t>
            </w:r>
          </w:p>
          <w:p>
            <w:pPr>
              <w:pStyle w:val="46"/>
              <w:tabs>
                <w:tab w:val="left" w:pos="794"/>
              </w:tabs>
              <w:spacing w:line="360" w:lineRule="auto"/>
              <w:ind w:firstLine="0"/>
              <w:jc w:val="center"/>
              <w:rPr>
                <w:rFonts w:hint="default" w:ascii="Times New Roman" w:hAnsi="Times New Roman" w:cs="Times New Roman"/>
                <w:sz w:val="24"/>
                <w:szCs w:val="24"/>
              </w:rPr>
            </w:pPr>
            <w:r>
              <w:rPr>
                <w:rFonts w:hint="default" w:ascii="Times New Roman" w:hAnsi="Times New Roman" w:cs="Times New Roman"/>
                <w:sz w:val="28"/>
                <w:szCs w:val="28"/>
              </w:rPr>
              <w:t>L（r）=L（r</w:t>
            </w:r>
            <w:r>
              <w:rPr>
                <w:rFonts w:hint="default" w:ascii="Times New Roman" w:hAnsi="Times New Roman" w:cs="Times New Roman"/>
                <w:sz w:val="28"/>
                <w:szCs w:val="28"/>
                <w:vertAlign w:val="subscript"/>
              </w:rPr>
              <w:t>0</w:t>
            </w:r>
            <w:r>
              <w:rPr>
                <w:rFonts w:hint="default" w:ascii="Times New Roman" w:hAnsi="Times New Roman" w:cs="Times New Roman"/>
                <w:sz w:val="28"/>
                <w:szCs w:val="28"/>
              </w:rPr>
              <w:t>）-20lg（r/r</w:t>
            </w:r>
            <w:r>
              <w:rPr>
                <w:rFonts w:hint="default" w:ascii="Times New Roman" w:hAnsi="Times New Roman" w:cs="Times New Roman"/>
                <w:sz w:val="28"/>
                <w:szCs w:val="28"/>
                <w:vertAlign w:val="subscript"/>
              </w:rPr>
              <w:t>0</w:t>
            </w:r>
            <w:r>
              <w:rPr>
                <w:rFonts w:hint="default" w:ascii="Times New Roman" w:hAnsi="Times New Roman" w:cs="Times New Roman"/>
                <w:sz w:val="28"/>
                <w:szCs w:val="28"/>
              </w:rPr>
              <w:t>）-ΔL</w:t>
            </w:r>
          </w:p>
          <w:p>
            <w:pPr>
              <w:pStyle w:val="46"/>
              <w:tabs>
                <w:tab w:val="left" w:pos="794"/>
              </w:tabs>
              <w:spacing w:line="360" w:lineRule="auto"/>
              <w:ind w:firstLine="1200" w:firstLineChars="500"/>
              <w:rPr>
                <w:rFonts w:hint="default" w:ascii="Times New Roman" w:hAnsi="Times New Roman" w:cs="Times New Roman"/>
                <w:sz w:val="24"/>
                <w:szCs w:val="24"/>
              </w:rPr>
            </w:pPr>
            <w:r>
              <w:rPr>
                <w:rFonts w:hint="default" w:ascii="Times New Roman" w:hAnsi="Times New Roman" w:cs="Times New Roman"/>
                <w:sz w:val="24"/>
                <w:szCs w:val="24"/>
              </w:rPr>
              <w:t>式中：L（r）</w:t>
            </w:r>
            <w:r>
              <w:rPr>
                <w:rFonts w:hint="default" w:ascii="Times New Roman" w:hAnsi="Times New Roman" w:cs="Times New Roman"/>
                <w:sz w:val="24"/>
                <w:szCs w:val="24"/>
                <w:vertAlign w:val="superscript"/>
              </w:rPr>
              <w:t xml:space="preserve"> _________</w:t>
            </w:r>
            <w:r>
              <w:rPr>
                <w:rFonts w:hint="default" w:ascii="Times New Roman" w:hAnsi="Times New Roman" w:cs="Times New Roman"/>
                <w:sz w:val="24"/>
                <w:szCs w:val="24"/>
              </w:rPr>
              <w:t>距声源r 距离上的A 声压级；</w:t>
            </w:r>
          </w:p>
          <w:p>
            <w:pPr>
              <w:pStyle w:val="46"/>
              <w:tabs>
                <w:tab w:val="left" w:pos="794"/>
              </w:tabs>
              <w:spacing w:line="360" w:lineRule="auto"/>
              <w:ind w:firstLine="1200" w:firstLineChars="500"/>
              <w:rPr>
                <w:rFonts w:hint="default" w:ascii="Times New Roman" w:hAnsi="Times New Roman" w:cs="Times New Roman"/>
                <w:sz w:val="24"/>
                <w:szCs w:val="24"/>
              </w:rPr>
            </w:pPr>
            <w:r>
              <w:rPr>
                <w:rFonts w:hint="default" w:ascii="Times New Roman" w:hAnsi="Times New Roman" w:cs="Times New Roman"/>
                <w:sz w:val="24"/>
                <w:szCs w:val="24"/>
              </w:rPr>
              <w:t>L（r</w:t>
            </w:r>
            <w:r>
              <w:rPr>
                <w:rFonts w:hint="default" w:ascii="Times New Roman" w:hAnsi="Times New Roman" w:cs="Times New Roman"/>
                <w:sz w:val="24"/>
                <w:szCs w:val="24"/>
                <w:vertAlign w:val="subscript"/>
              </w:rPr>
              <w:t>0</w:t>
            </w:r>
            <w:r>
              <w:rPr>
                <w:rFonts w:hint="default" w:ascii="Times New Roman" w:hAnsi="Times New Roman" w:cs="Times New Roman"/>
                <w:sz w:val="24"/>
                <w:szCs w:val="24"/>
              </w:rPr>
              <w:t>）</w:t>
            </w:r>
            <w:r>
              <w:rPr>
                <w:rFonts w:hint="default" w:ascii="Times New Roman" w:hAnsi="Times New Roman" w:cs="Times New Roman"/>
                <w:sz w:val="24"/>
                <w:szCs w:val="24"/>
                <w:vertAlign w:val="superscript"/>
              </w:rPr>
              <w:t xml:space="preserve"> _________</w:t>
            </w:r>
            <w:r>
              <w:rPr>
                <w:rFonts w:hint="default" w:ascii="Times New Roman" w:hAnsi="Times New Roman" w:cs="Times New Roman"/>
                <w:sz w:val="24"/>
                <w:szCs w:val="24"/>
              </w:rPr>
              <w:t>距声源r距离上的A 声压级；</w:t>
            </w:r>
          </w:p>
          <w:p>
            <w:pPr>
              <w:pStyle w:val="46"/>
              <w:tabs>
                <w:tab w:val="left" w:pos="794"/>
              </w:tabs>
              <w:spacing w:line="360" w:lineRule="auto"/>
              <w:ind w:firstLine="1200" w:firstLineChars="500"/>
              <w:rPr>
                <w:rFonts w:hint="default" w:ascii="Times New Roman" w:hAnsi="Times New Roman" w:cs="Times New Roman"/>
                <w:sz w:val="24"/>
                <w:szCs w:val="24"/>
              </w:rPr>
            </w:pPr>
            <w:r>
              <w:rPr>
                <w:rFonts w:hint="default" w:ascii="Times New Roman" w:hAnsi="Times New Roman" w:cs="Times New Roman"/>
                <w:sz w:val="24"/>
                <w:szCs w:val="24"/>
              </w:rPr>
              <w:t>ΔL</w:t>
            </w:r>
            <w:r>
              <w:rPr>
                <w:rFonts w:hint="default" w:ascii="Times New Roman" w:hAnsi="Times New Roman" w:cs="Times New Roman"/>
                <w:sz w:val="24"/>
                <w:szCs w:val="24"/>
                <w:vertAlign w:val="superscript"/>
              </w:rPr>
              <w:t>_________</w:t>
            </w:r>
            <w:r>
              <w:rPr>
                <w:rFonts w:hint="default" w:ascii="Times New Roman" w:hAnsi="Times New Roman" w:cs="Times New Roman"/>
                <w:sz w:val="24"/>
                <w:szCs w:val="24"/>
              </w:rPr>
              <w:t>声屏障、遮挡物、空气吸收地面效应引起的衰减量；</w:t>
            </w:r>
          </w:p>
          <w:p>
            <w:pPr>
              <w:pStyle w:val="46"/>
              <w:tabs>
                <w:tab w:val="left" w:pos="794"/>
              </w:tabs>
              <w:spacing w:line="360" w:lineRule="auto"/>
              <w:ind w:firstLine="1200" w:firstLineChars="500"/>
              <w:rPr>
                <w:rFonts w:hint="default" w:ascii="Times New Roman" w:hAnsi="Times New Roman" w:cs="Times New Roman"/>
                <w:sz w:val="24"/>
                <w:szCs w:val="24"/>
              </w:rPr>
            </w:pPr>
            <w:r>
              <w:rPr>
                <w:rFonts w:hint="default" w:ascii="Times New Roman" w:hAnsi="Times New Roman" w:cs="Times New Roman"/>
                <w:sz w:val="24"/>
                <w:szCs w:val="24"/>
              </w:rPr>
              <w:t>r、r</w:t>
            </w:r>
            <w:r>
              <w:rPr>
                <w:rFonts w:hint="default" w:ascii="Times New Roman" w:hAnsi="Times New Roman" w:cs="Times New Roman"/>
                <w:sz w:val="24"/>
                <w:szCs w:val="24"/>
                <w:vertAlign w:val="subscript"/>
              </w:rPr>
              <w:t>0</w:t>
            </w:r>
            <w:r>
              <w:rPr>
                <w:rFonts w:hint="default" w:ascii="Times New Roman" w:hAnsi="Times New Roman" w:cs="Times New Roman"/>
                <w:sz w:val="24"/>
                <w:szCs w:val="24"/>
                <w:vertAlign w:val="superscript"/>
              </w:rPr>
              <w:t>_________</w:t>
            </w:r>
            <w:r>
              <w:rPr>
                <w:rFonts w:hint="default" w:ascii="Times New Roman" w:hAnsi="Times New Roman" w:cs="Times New Roman"/>
                <w:sz w:val="24"/>
                <w:szCs w:val="24"/>
              </w:rPr>
              <w:t>距声源距离（m）。</w:t>
            </w:r>
          </w:p>
          <w:p>
            <w:pPr>
              <w:pStyle w:val="46"/>
              <w:tabs>
                <w:tab w:val="left" w:pos="794"/>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（2）多源叠加计算总声压级</w:t>
            </w:r>
          </w:p>
          <w:p>
            <w:pPr>
              <w:pStyle w:val="46"/>
              <w:tabs>
                <w:tab w:val="left" w:pos="794"/>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各受声点上受到多个声源的影响叠加，计算公式如下：</w:t>
            </w:r>
          </w:p>
          <w:p>
            <w:pPr>
              <w:pStyle w:val="83"/>
              <w:spacing w:line="360" w:lineRule="auto"/>
              <w:ind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drawing>
                <wp:inline distT="0" distB="0" distL="114300" distR="114300">
                  <wp:extent cx="1837055" cy="457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1837055" cy="457200"/>
                          </a:xfrm>
                          <a:prstGeom prst="rect">
                            <a:avLst/>
                          </a:prstGeom>
                          <a:noFill/>
                          <a:ln>
                            <a:noFill/>
                          </a:ln>
                        </pic:spPr>
                      </pic:pic>
                    </a:graphicData>
                  </a:graphic>
                </wp:inline>
              </w:drawing>
            </w:r>
          </w:p>
          <w:p>
            <w:pPr>
              <w:pStyle w:val="46"/>
              <w:tabs>
                <w:tab w:val="left" w:pos="794"/>
              </w:tabs>
              <w:spacing w:line="360" w:lineRule="auto"/>
              <w:ind w:firstLine="1200" w:firstLineChars="500"/>
              <w:rPr>
                <w:rFonts w:hint="default" w:ascii="Times New Roman" w:hAnsi="Times New Roman" w:cs="Times New Roman"/>
                <w:sz w:val="24"/>
                <w:szCs w:val="24"/>
              </w:rPr>
            </w:pPr>
            <w:r>
              <w:rPr>
                <w:rFonts w:hint="default" w:ascii="Times New Roman" w:hAnsi="Times New Roman" w:cs="Times New Roman"/>
                <w:sz w:val="24"/>
                <w:szCs w:val="24"/>
              </w:rPr>
              <w:t>式中： L</w:t>
            </w:r>
            <w:r>
              <w:rPr>
                <w:rFonts w:hint="default" w:ascii="Times New Roman" w:hAnsi="Times New Roman" w:cs="Times New Roman"/>
                <w:sz w:val="24"/>
                <w:szCs w:val="24"/>
                <w:vertAlign w:val="subscript"/>
              </w:rPr>
              <w:t>eqi</w:t>
            </w:r>
            <w:r>
              <w:rPr>
                <w:rFonts w:hint="default" w:ascii="Times New Roman" w:hAnsi="Times New Roman" w:cs="Times New Roman"/>
                <w:sz w:val="24"/>
                <w:szCs w:val="24"/>
              </w:rPr>
              <w:t>—第i个声源对某点的等效声级</w:t>
            </w:r>
          </w:p>
          <w:p>
            <w:pPr>
              <w:pStyle w:val="46"/>
              <w:tabs>
                <w:tab w:val="left" w:pos="794"/>
              </w:tabs>
              <w:spacing w:line="360" w:lineRule="auto"/>
              <w:ind w:firstLine="1200" w:firstLineChars="500"/>
              <w:rPr>
                <w:rFonts w:hint="default" w:ascii="Times New Roman" w:hAnsi="Times New Roman" w:cs="Times New Roman"/>
                <w:sz w:val="24"/>
                <w:szCs w:val="24"/>
              </w:rPr>
            </w:pPr>
            <w:r>
              <w:rPr>
                <w:rFonts w:hint="default" w:ascii="Times New Roman" w:hAnsi="Times New Roman" w:cs="Times New Roman"/>
                <w:sz w:val="24"/>
                <w:szCs w:val="24"/>
              </w:rPr>
              <w:t xml:space="preserve">       Leqi—第i声源对某预测点的等效声级，dB（A）；</w:t>
            </w:r>
          </w:p>
          <w:p>
            <w:pPr>
              <w:spacing w:line="360" w:lineRule="auto"/>
              <w:ind w:firstLine="1200" w:firstLineChars="500"/>
              <w:rPr>
                <w:rFonts w:hint="default" w:ascii="Times New Roman" w:hAnsi="Times New Roman" w:cs="Times New Roman"/>
                <w:kern w:val="0"/>
                <w:sz w:val="24"/>
              </w:rPr>
            </w:pPr>
            <w:r>
              <w:rPr>
                <w:rFonts w:hint="default" w:ascii="Times New Roman" w:hAnsi="Times New Roman" w:cs="Times New Roman"/>
                <w:sz w:val="24"/>
              </w:rPr>
              <w:t xml:space="preserve">       n—声源总数。</w:t>
            </w:r>
          </w:p>
          <w:p>
            <w:pPr>
              <w:pStyle w:val="5"/>
              <w:spacing w:before="0" w:after="0" w:line="360" w:lineRule="auto"/>
              <w:rPr>
                <w:rFonts w:hint="default" w:ascii="Times New Roman" w:hAnsi="Times New Roman" w:cs="Times New Roman"/>
                <w:sz w:val="24"/>
                <w:szCs w:val="18"/>
              </w:rPr>
            </w:pPr>
            <w:r>
              <w:rPr>
                <w:rFonts w:hint="default" w:ascii="Times New Roman" w:hAnsi="Times New Roman" w:cs="Times New Roman"/>
                <w:sz w:val="24"/>
                <w:szCs w:val="18"/>
              </w:rPr>
              <w:t>3.3噪声影响预测与分析</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利用以上预测公式，使噪声源通过等效变换成若干等效声源，然后计算出与噪声源不同距离处的理论噪声值，得出本项目运行时对厂界及评价区不同距离的敏感点噪声环境的影响状况。</w:t>
            </w:r>
          </w:p>
          <w:p>
            <w:pPr>
              <w:spacing w:line="360" w:lineRule="auto"/>
              <w:ind w:firstLine="480" w:firstLineChars="200"/>
              <w:rPr>
                <w:rFonts w:hint="default" w:ascii="Times New Roman" w:hAnsi="Times New Roman" w:cs="Times New Roman"/>
                <w:b/>
                <w:bCs/>
                <w:sz w:val="24"/>
              </w:rPr>
            </w:pPr>
            <w:r>
              <w:rPr>
                <w:rFonts w:hint="default" w:ascii="Times New Roman" w:hAnsi="Times New Roman" w:cs="Times New Roman"/>
                <w:sz w:val="24"/>
              </w:rPr>
              <w:t>在本次声环境影响预测与评价中，重点选择与各厂界距离较近的噪声源进行预测与评价。本项目主要噪声源均被放置在室内，根据室内声源衰减模式，同时结合该项目的建筑物特征，由于隔离间及消声器的作用，可使项目噪声源强值降低20dB（A）以上。</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根据对声环境现状的监测结果，本项目建成后对周围声环境的贡献值，其预测结果见表4-</w:t>
            </w:r>
            <w:r>
              <w:rPr>
                <w:rFonts w:hint="eastAsia" w:cs="Times New Roman"/>
                <w:sz w:val="24"/>
                <w:lang w:val="en-US" w:eastAsia="zh-CN"/>
              </w:rPr>
              <w:t>8</w:t>
            </w:r>
            <w:r>
              <w:rPr>
                <w:rFonts w:hint="default" w:ascii="Times New Roman" w:hAnsi="Times New Roman" w:cs="Times New Roman"/>
                <w:sz w:val="24"/>
              </w:rPr>
              <w:t>。</w:t>
            </w:r>
          </w:p>
          <w:p>
            <w:pPr>
              <w:spacing w:line="240" w:lineRule="auto"/>
              <w:jc w:val="center"/>
              <w:rPr>
                <w:rFonts w:hint="default" w:ascii="Times New Roman" w:hAnsi="Times New Roman" w:eastAsia="黑体" w:cs="Times New Roman"/>
                <w:b/>
                <w:kern w:val="0"/>
                <w:szCs w:val="21"/>
              </w:rPr>
            </w:pPr>
            <w:r>
              <w:rPr>
                <w:rFonts w:hint="default" w:ascii="Times New Roman" w:hAnsi="Times New Roman" w:eastAsia="宋体" w:cs="Times New Roman"/>
                <w:b/>
                <w:bCs w:val="0"/>
                <w:sz w:val="21"/>
                <w:szCs w:val="21"/>
              </w:rPr>
              <w:t>表</w:t>
            </w:r>
            <w:r>
              <w:rPr>
                <w:rFonts w:hint="default" w:ascii="Times New Roman" w:hAnsi="Times New Roman" w:eastAsia="黑体" w:cs="Times New Roman"/>
                <w:bCs/>
                <w:sz w:val="21"/>
                <w:szCs w:val="21"/>
              </w:rPr>
              <w:t>4-</w:t>
            </w:r>
            <w:r>
              <w:rPr>
                <w:rFonts w:hint="eastAsia" w:eastAsia="黑体" w:cs="Times New Roman"/>
                <w:bCs/>
                <w:sz w:val="21"/>
                <w:szCs w:val="21"/>
                <w:lang w:val="en-US" w:eastAsia="zh-CN"/>
              </w:rPr>
              <w:t>8</w:t>
            </w:r>
            <w:r>
              <w:rPr>
                <w:rFonts w:hint="default" w:ascii="Times New Roman" w:hAnsi="Times New Roman" w:eastAsia="黑体" w:cs="Times New Roman"/>
                <w:bCs/>
                <w:sz w:val="24"/>
              </w:rPr>
              <w:t xml:space="preserve">   </w:t>
            </w:r>
            <w:r>
              <w:rPr>
                <w:rFonts w:hint="default" w:ascii="Times New Roman" w:hAnsi="Times New Roman" w:eastAsia="宋体" w:cs="Times New Roman"/>
                <w:b/>
                <w:bCs w:val="0"/>
                <w:sz w:val="21"/>
                <w:szCs w:val="21"/>
              </w:rPr>
              <w:t xml:space="preserve">声环境预测结果  </w:t>
            </w:r>
            <w:r>
              <w:rPr>
                <w:rFonts w:hint="default" w:ascii="Times New Roman" w:hAnsi="Times New Roman" w:eastAsia="黑体" w:cs="Times New Roman"/>
                <w:bCs/>
                <w:sz w:val="21"/>
                <w:szCs w:val="21"/>
              </w:rPr>
              <w:t>单位：dB（A）</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1247"/>
              <w:gridCol w:w="2240"/>
              <w:gridCol w:w="1362"/>
              <w:gridCol w:w="1479"/>
              <w:gridCol w:w="1364"/>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90" w:hRule="atLeast"/>
              </w:trPr>
              <w:tc>
                <w:tcPr>
                  <w:tcW w:w="810" w:type="pct"/>
                  <w:tcBorders>
                    <w:tl2br w:val="nil"/>
                    <w:tr2bl w:val="nil"/>
                  </w:tcBorders>
                  <w:noWrap w:val="0"/>
                  <w:vAlign w:val="center"/>
                </w:tcPr>
                <w:p>
                  <w:pPr>
                    <w:pStyle w:val="65"/>
                    <w:spacing w:line="240" w:lineRule="auto"/>
                    <w:rPr>
                      <w:rFonts w:hint="default" w:ascii="Times New Roman" w:hAnsi="Times New Roman" w:cs="Times New Roman"/>
                      <w:b/>
                      <w:bCs/>
                    </w:rPr>
                  </w:pPr>
                  <w:r>
                    <w:rPr>
                      <w:rFonts w:hint="default" w:ascii="Times New Roman" w:hAnsi="Times New Roman" w:cs="Times New Roman"/>
                      <w:b/>
                      <w:bCs/>
                    </w:rPr>
                    <w:t>预测点</w:t>
                  </w:r>
                </w:p>
              </w:tc>
              <w:tc>
                <w:tcPr>
                  <w:tcW w:w="1455" w:type="pct"/>
                  <w:tcBorders>
                    <w:tl2br w:val="nil"/>
                    <w:tr2bl w:val="nil"/>
                  </w:tcBorders>
                  <w:noWrap w:val="0"/>
                  <w:vAlign w:val="center"/>
                </w:tcPr>
                <w:p>
                  <w:pPr>
                    <w:pStyle w:val="65"/>
                    <w:spacing w:line="240" w:lineRule="auto"/>
                    <w:rPr>
                      <w:rFonts w:hint="default" w:ascii="Times New Roman" w:hAnsi="Times New Roman" w:cs="Times New Roman"/>
                      <w:b/>
                      <w:bCs/>
                    </w:rPr>
                  </w:pPr>
                  <w:r>
                    <w:rPr>
                      <w:rFonts w:hint="default" w:ascii="Times New Roman" w:hAnsi="Times New Roman" w:cs="Times New Roman"/>
                      <w:b/>
                      <w:bCs/>
                    </w:rPr>
                    <w:t>噪声源距厂界距离（m）</w:t>
                  </w:r>
                </w:p>
              </w:tc>
              <w:tc>
                <w:tcPr>
                  <w:tcW w:w="885" w:type="pct"/>
                  <w:tcBorders>
                    <w:tl2br w:val="nil"/>
                    <w:tr2bl w:val="nil"/>
                  </w:tcBorders>
                  <w:noWrap w:val="0"/>
                  <w:vAlign w:val="center"/>
                </w:tcPr>
                <w:p>
                  <w:pPr>
                    <w:pStyle w:val="65"/>
                    <w:spacing w:line="240" w:lineRule="auto"/>
                    <w:rPr>
                      <w:rFonts w:hint="default" w:ascii="Times New Roman" w:hAnsi="Times New Roman" w:cs="Times New Roman"/>
                      <w:b/>
                      <w:bCs/>
                    </w:rPr>
                  </w:pPr>
                  <w:r>
                    <w:rPr>
                      <w:rFonts w:hint="default" w:ascii="Times New Roman" w:hAnsi="Times New Roman" w:cs="Times New Roman"/>
                      <w:b/>
                      <w:bCs/>
                    </w:rPr>
                    <w:t>贡献值</w:t>
                  </w:r>
                </w:p>
              </w:tc>
              <w:tc>
                <w:tcPr>
                  <w:tcW w:w="961" w:type="pct"/>
                  <w:vMerge w:val="restart"/>
                  <w:tcBorders>
                    <w:tl2br w:val="nil"/>
                    <w:tr2bl w:val="nil"/>
                  </w:tcBorders>
                  <w:noWrap w:val="0"/>
                  <w:vAlign w:val="center"/>
                </w:tcPr>
                <w:p>
                  <w:pPr>
                    <w:pStyle w:val="65"/>
                    <w:spacing w:line="240" w:lineRule="auto"/>
                    <w:rPr>
                      <w:rFonts w:hint="default" w:ascii="Times New Roman" w:hAnsi="Times New Roman" w:cs="Times New Roman"/>
                      <w:b/>
                      <w:bCs/>
                    </w:rPr>
                  </w:pPr>
                  <w:r>
                    <w:rPr>
                      <w:rFonts w:hint="default" w:ascii="Times New Roman" w:hAnsi="Times New Roman" w:cs="Times New Roman"/>
                      <w:b/>
                      <w:bCs/>
                    </w:rPr>
                    <w:t>标准值</w:t>
                  </w:r>
                </w:p>
              </w:tc>
              <w:tc>
                <w:tcPr>
                  <w:tcW w:w="886" w:type="pct"/>
                  <w:tcBorders>
                    <w:tl2br w:val="nil"/>
                    <w:tr2bl w:val="nil"/>
                  </w:tcBorders>
                  <w:noWrap w:val="0"/>
                  <w:vAlign w:val="center"/>
                </w:tcPr>
                <w:p>
                  <w:pPr>
                    <w:pStyle w:val="65"/>
                    <w:spacing w:line="240" w:lineRule="auto"/>
                    <w:rPr>
                      <w:rFonts w:hint="default" w:ascii="Times New Roman" w:hAnsi="Times New Roman" w:cs="Times New Roman"/>
                      <w:b/>
                      <w:bCs/>
                    </w:rPr>
                  </w:pPr>
                  <w:r>
                    <w:rPr>
                      <w:rFonts w:hint="default" w:ascii="Times New Roman" w:hAnsi="Times New Roman" w:cs="Times New Roman"/>
                      <w:b/>
                      <w:bCs/>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90" w:hRule="atLeast"/>
              </w:trPr>
              <w:tc>
                <w:tcPr>
                  <w:tcW w:w="810"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东厂界</w:t>
                  </w:r>
                </w:p>
              </w:tc>
              <w:tc>
                <w:tcPr>
                  <w:tcW w:w="1455"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71</w:t>
                  </w:r>
                </w:p>
              </w:tc>
              <w:tc>
                <w:tcPr>
                  <w:tcW w:w="885" w:type="pct"/>
                  <w:tcBorders>
                    <w:tl2br w:val="nil"/>
                    <w:tr2bl w:val="nil"/>
                  </w:tcBorders>
                  <w:noWrap w:val="0"/>
                  <w:vAlign w:val="top"/>
                </w:tcPr>
                <w:p>
                  <w:pPr>
                    <w:pStyle w:val="65"/>
                    <w:spacing w:line="240" w:lineRule="auto"/>
                    <w:rPr>
                      <w:rFonts w:hint="default" w:ascii="Times New Roman" w:hAnsi="Times New Roman" w:eastAsia="宋体" w:cs="Times New Roman"/>
                      <w:lang w:val="en-US" w:eastAsia="zh-CN"/>
                    </w:rPr>
                  </w:pPr>
                  <w:r>
                    <w:rPr>
                      <w:rFonts w:hint="default" w:ascii="Times New Roman" w:hAnsi="Times New Roman" w:cs="Times New Roman"/>
                      <w:lang w:val="en-US" w:eastAsia="zh-CN"/>
                    </w:rPr>
                    <w:t>37</w:t>
                  </w:r>
                </w:p>
              </w:tc>
              <w:tc>
                <w:tcPr>
                  <w:tcW w:w="961" w:type="pct"/>
                  <w:vMerge w:val="restart"/>
                  <w:tcBorders>
                    <w:tl2br w:val="nil"/>
                    <w:tr2bl w:val="nil"/>
                  </w:tcBorders>
                  <w:noWrap w:val="0"/>
                  <w:vAlign w:val="center"/>
                </w:tcPr>
                <w:p>
                  <w:pPr>
                    <w:pStyle w:val="65"/>
                    <w:spacing w:line="240" w:lineRule="auto"/>
                    <w:rPr>
                      <w:rFonts w:hint="default" w:ascii="Times New Roman" w:hAnsi="Times New Roman" w:cs="Times New Roman"/>
                    </w:rPr>
                  </w:pPr>
                  <w:r>
                    <w:rPr>
                      <w:rFonts w:hint="default" w:ascii="Times New Roman" w:hAnsi="Times New Roman" w:cs="Times New Roman"/>
                    </w:rPr>
                    <w:t>昼间：6</w:t>
                  </w:r>
                  <w:r>
                    <w:rPr>
                      <w:rFonts w:hint="default" w:cs="Times New Roman"/>
                    </w:rPr>
                    <w:t>5</w:t>
                  </w:r>
                </w:p>
                <w:p>
                  <w:pPr>
                    <w:pStyle w:val="65"/>
                    <w:spacing w:line="240" w:lineRule="auto"/>
                    <w:rPr>
                      <w:rFonts w:hint="default" w:ascii="Times New Roman" w:hAnsi="Times New Roman" w:cs="Times New Roman"/>
                    </w:rPr>
                  </w:pPr>
                  <w:r>
                    <w:rPr>
                      <w:rFonts w:hint="default" w:ascii="Times New Roman" w:hAnsi="Times New Roman" w:cs="Times New Roman"/>
                    </w:rPr>
                    <w:t>夜间：5</w:t>
                  </w:r>
                  <w:r>
                    <w:rPr>
                      <w:rFonts w:hint="default" w:cs="Times New Roman"/>
                    </w:rPr>
                    <w:t>5</w:t>
                  </w:r>
                </w:p>
              </w:tc>
              <w:tc>
                <w:tcPr>
                  <w:tcW w:w="886"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90" w:hRule="atLeast"/>
              </w:trPr>
              <w:tc>
                <w:tcPr>
                  <w:tcW w:w="810"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南厂界</w:t>
                  </w:r>
                </w:p>
              </w:tc>
              <w:tc>
                <w:tcPr>
                  <w:tcW w:w="1455"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54</w:t>
                  </w:r>
                </w:p>
              </w:tc>
              <w:tc>
                <w:tcPr>
                  <w:tcW w:w="885" w:type="pct"/>
                  <w:tcBorders>
                    <w:tl2br w:val="nil"/>
                    <w:tr2bl w:val="nil"/>
                  </w:tcBorders>
                  <w:noWrap w:val="0"/>
                  <w:vAlign w:val="top"/>
                </w:tcPr>
                <w:p>
                  <w:pPr>
                    <w:pStyle w:val="65"/>
                    <w:spacing w:line="240" w:lineRule="auto"/>
                    <w:rPr>
                      <w:rFonts w:hint="default" w:ascii="Times New Roman" w:hAnsi="Times New Roman" w:eastAsia="宋体" w:cs="Times New Roman"/>
                      <w:lang w:val="en-US" w:eastAsia="zh-CN"/>
                    </w:rPr>
                  </w:pPr>
                  <w:r>
                    <w:rPr>
                      <w:rFonts w:hint="default" w:ascii="Times New Roman" w:hAnsi="Times New Roman" w:cs="Times New Roman"/>
                      <w:lang w:val="en-US" w:eastAsia="zh-CN"/>
                    </w:rPr>
                    <w:t>40</w:t>
                  </w:r>
                </w:p>
              </w:tc>
              <w:tc>
                <w:tcPr>
                  <w:tcW w:w="961" w:type="pct"/>
                  <w:vMerge w:val="continue"/>
                  <w:tcBorders>
                    <w:tl2br w:val="nil"/>
                    <w:tr2bl w:val="nil"/>
                  </w:tcBorders>
                  <w:noWrap w:val="0"/>
                  <w:vAlign w:val="center"/>
                </w:tcPr>
                <w:p>
                  <w:pPr>
                    <w:spacing w:line="240" w:lineRule="auto"/>
                    <w:rPr>
                      <w:rFonts w:hint="default" w:ascii="Times New Roman" w:hAnsi="Times New Roman" w:cs="Times New Roman"/>
                      <w:szCs w:val="21"/>
                    </w:rPr>
                  </w:pPr>
                </w:p>
              </w:tc>
              <w:tc>
                <w:tcPr>
                  <w:tcW w:w="886"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138" w:hRule="atLeast"/>
              </w:trPr>
              <w:tc>
                <w:tcPr>
                  <w:tcW w:w="810"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西厂界</w:t>
                  </w:r>
                </w:p>
              </w:tc>
              <w:tc>
                <w:tcPr>
                  <w:tcW w:w="1455"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60</w:t>
                  </w:r>
                </w:p>
              </w:tc>
              <w:tc>
                <w:tcPr>
                  <w:tcW w:w="885" w:type="pct"/>
                  <w:tcBorders>
                    <w:tl2br w:val="nil"/>
                    <w:tr2bl w:val="nil"/>
                  </w:tcBorders>
                  <w:noWrap w:val="0"/>
                  <w:vAlign w:val="top"/>
                </w:tcPr>
                <w:p>
                  <w:pPr>
                    <w:pStyle w:val="65"/>
                    <w:spacing w:line="240" w:lineRule="auto"/>
                    <w:rPr>
                      <w:rFonts w:hint="default" w:ascii="Times New Roman" w:hAnsi="Times New Roman" w:eastAsia="宋体" w:cs="Times New Roman"/>
                      <w:lang w:val="en-US" w:eastAsia="zh-CN"/>
                    </w:rPr>
                  </w:pPr>
                  <w:r>
                    <w:rPr>
                      <w:rFonts w:hint="default" w:ascii="Times New Roman" w:hAnsi="Times New Roman" w:cs="Times New Roman"/>
                      <w:lang w:val="en-US" w:eastAsia="zh-CN"/>
                    </w:rPr>
                    <w:t>39</w:t>
                  </w:r>
                </w:p>
              </w:tc>
              <w:tc>
                <w:tcPr>
                  <w:tcW w:w="961" w:type="pct"/>
                  <w:vMerge w:val="continue"/>
                  <w:tcBorders>
                    <w:tl2br w:val="nil"/>
                    <w:tr2bl w:val="nil"/>
                  </w:tcBorders>
                  <w:noWrap w:val="0"/>
                  <w:vAlign w:val="center"/>
                </w:tcPr>
                <w:p>
                  <w:pPr>
                    <w:spacing w:line="240" w:lineRule="auto"/>
                    <w:rPr>
                      <w:rFonts w:hint="default" w:ascii="Times New Roman" w:hAnsi="Times New Roman" w:cs="Times New Roman"/>
                      <w:szCs w:val="21"/>
                    </w:rPr>
                  </w:pPr>
                </w:p>
              </w:tc>
              <w:tc>
                <w:tcPr>
                  <w:tcW w:w="886"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138" w:hRule="atLeast"/>
              </w:trPr>
              <w:tc>
                <w:tcPr>
                  <w:tcW w:w="810"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北厂界</w:t>
                  </w:r>
                </w:p>
              </w:tc>
              <w:tc>
                <w:tcPr>
                  <w:tcW w:w="1455"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100</w:t>
                  </w:r>
                </w:p>
              </w:tc>
              <w:tc>
                <w:tcPr>
                  <w:tcW w:w="885" w:type="pct"/>
                  <w:tcBorders>
                    <w:tl2br w:val="nil"/>
                    <w:tr2bl w:val="nil"/>
                  </w:tcBorders>
                  <w:noWrap w:val="0"/>
                  <w:vAlign w:val="top"/>
                </w:tcPr>
                <w:p>
                  <w:pPr>
                    <w:pStyle w:val="65"/>
                    <w:spacing w:line="240" w:lineRule="auto"/>
                    <w:rPr>
                      <w:rFonts w:hint="default" w:ascii="Times New Roman" w:hAnsi="Times New Roman" w:eastAsia="宋体" w:cs="Times New Roman"/>
                      <w:lang w:val="en-US" w:eastAsia="zh-CN"/>
                    </w:rPr>
                  </w:pPr>
                  <w:r>
                    <w:rPr>
                      <w:rFonts w:hint="default" w:ascii="Times New Roman" w:hAnsi="Times New Roman" w:cs="Times New Roman"/>
                      <w:lang w:val="en-US" w:eastAsia="zh-CN"/>
                    </w:rPr>
                    <w:t>34</w:t>
                  </w:r>
                </w:p>
              </w:tc>
              <w:tc>
                <w:tcPr>
                  <w:tcW w:w="961" w:type="pct"/>
                  <w:vMerge w:val="continue"/>
                  <w:tcBorders>
                    <w:tl2br w:val="nil"/>
                    <w:tr2bl w:val="nil"/>
                  </w:tcBorders>
                  <w:noWrap w:val="0"/>
                  <w:vAlign w:val="center"/>
                </w:tcPr>
                <w:p>
                  <w:pPr>
                    <w:spacing w:line="240" w:lineRule="auto"/>
                    <w:rPr>
                      <w:rFonts w:hint="default" w:ascii="Times New Roman" w:hAnsi="Times New Roman" w:cs="Times New Roman"/>
                      <w:szCs w:val="21"/>
                    </w:rPr>
                  </w:pPr>
                </w:p>
              </w:tc>
              <w:tc>
                <w:tcPr>
                  <w:tcW w:w="886" w:type="pct"/>
                  <w:tcBorders>
                    <w:tl2br w:val="nil"/>
                    <w:tr2bl w:val="nil"/>
                  </w:tcBorders>
                  <w:noWrap w:val="0"/>
                  <w:vAlign w:val="top"/>
                </w:tcPr>
                <w:p>
                  <w:pPr>
                    <w:pStyle w:val="65"/>
                    <w:spacing w:line="240" w:lineRule="auto"/>
                    <w:rPr>
                      <w:rFonts w:hint="default" w:ascii="Times New Roman" w:hAnsi="Times New Roman" w:cs="Times New Roman"/>
                    </w:rPr>
                  </w:pPr>
                  <w:r>
                    <w:rPr>
                      <w:rFonts w:hint="default" w:ascii="Times New Roman" w:hAnsi="Times New Roman" w:cs="Times New Roman"/>
                    </w:rPr>
                    <w:t>达标</w:t>
                  </w:r>
                </w:p>
              </w:tc>
            </w:tr>
          </w:tbl>
          <w:p>
            <w:pPr>
              <w:spacing w:before="120" w:beforeLines="50" w:line="360" w:lineRule="auto"/>
              <w:ind w:firstLine="482"/>
              <w:rPr>
                <w:rFonts w:hint="default" w:ascii="Times New Roman" w:hAnsi="Times New Roman" w:cs="Times New Roman"/>
                <w:sz w:val="24"/>
                <w:highlight w:val="none"/>
              </w:rPr>
            </w:pPr>
            <w:r>
              <w:rPr>
                <w:rFonts w:hint="default" w:ascii="Times New Roman" w:hAnsi="Times New Roman" w:cs="Times New Roman"/>
                <w:sz w:val="24"/>
                <w:highlight w:val="none"/>
              </w:rPr>
              <w:t>计算结果显示：本项目建成运行后各厂界噪声可以控制在昼间</w:t>
            </w:r>
            <w:r>
              <w:rPr>
                <w:rFonts w:hint="eastAsia" w:cs="Times New Roman"/>
                <w:sz w:val="24"/>
                <w:highlight w:val="none"/>
                <w:lang w:eastAsia="zh-CN"/>
              </w:rPr>
              <w:t>65dB（A）</w:t>
            </w:r>
            <w:r>
              <w:rPr>
                <w:rFonts w:hint="default" w:ascii="Times New Roman" w:hAnsi="Times New Roman" w:cs="Times New Roman"/>
                <w:sz w:val="24"/>
                <w:highlight w:val="none"/>
              </w:rPr>
              <w:t>，夜间</w:t>
            </w:r>
            <w:r>
              <w:rPr>
                <w:rFonts w:hint="eastAsia" w:cs="Times New Roman"/>
                <w:sz w:val="24"/>
                <w:highlight w:val="none"/>
                <w:lang w:eastAsia="zh-CN"/>
              </w:rPr>
              <w:t>55dB（A）</w:t>
            </w:r>
            <w:r>
              <w:rPr>
                <w:rFonts w:hint="default" w:ascii="Times New Roman" w:hAnsi="Times New Roman" w:cs="Times New Roman"/>
                <w:sz w:val="24"/>
                <w:highlight w:val="none"/>
              </w:rPr>
              <w:t>以下，厂界噪声可以满足《工业企业厂界环境噪声排放标准》（GB12348－2008）中</w:t>
            </w:r>
            <w:r>
              <w:rPr>
                <w:rFonts w:hint="eastAsia" w:cs="Times New Roman"/>
                <w:sz w:val="24"/>
                <w:highlight w:val="none"/>
                <w:lang w:val="en-US" w:eastAsia="zh-CN"/>
              </w:rPr>
              <w:t>3</w:t>
            </w:r>
            <w:r>
              <w:rPr>
                <w:rFonts w:hint="default" w:ascii="Times New Roman" w:hAnsi="Times New Roman" w:cs="Times New Roman"/>
                <w:sz w:val="24"/>
                <w:highlight w:val="none"/>
              </w:rPr>
              <w:t>类标准的要求。</w:t>
            </w:r>
          </w:p>
          <w:p>
            <w:pPr>
              <w:adjustRightInd w:val="0"/>
              <w:snapToGrid w:val="0"/>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由于厂界周围50m范围内没有居民分布，噪声随着距离衰减至消失。项目投产后不会产生噪声扰民现象。随着区域经济的发展，厂址周围将来可能会分布有其他工业企业，建设方应保证生产设备正常运转，并采取隔音降噪措施，将主要噪声设备设置于厂区中心，远离厂界，并布置于车间厂房室内减少噪声对外的传播。</w:t>
            </w:r>
          </w:p>
          <w:p>
            <w:pPr>
              <w:adjustRightInd w:val="0"/>
              <w:snapToGrid w:val="0"/>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从噪声预测结果分析，本项目的运行对周围声环境的影响不大。</w:t>
            </w:r>
          </w:p>
          <w:p>
            <w:pPr>
              <w:pStyle w:val="46"/>
              <w:spacing w:line="360" w:lineRule="auto"/>
              <w:ind w:firstLine="0" w:firstLineChars="0"/>
              <w:rPr>
                <w:rFonts w:hAnsi="Times New Roman"/>
                <w:b/>
                <w:bCs/>
                <w:color w:val="auto"/>
                <w:sz w:val="24"/>
                <w:highlight w:val="none"/>
                <w:lang w:val="en-US"/>
              </w:rPr>
            </w:pPr>
            <w:r>
              <w:rPr>
                <w:rFonts w:hAnsi="Times New Roman"/>
                <w:b/>
                <w:bCs/>
                <w:color w:val="auto"/>
                <w:sz w:val="24"/>
                <w:highlight w:val="none"/>
                <w:lang w:val="en-US"/>
              </w:rPr>
              <w:t>3.</w:t>
            </w:r>
            <w:r>
              <w:rPr>
                <w:rFonts w:hint="eastAsia" w:hAnsi="Times New Roman"/>
                <w:b/>
                <w:bCs/>
                <w:color w:val="auto"/>
                <w:sz w:val="24"/>
                <w:highlight w:val="none"/>
                <w:lang w:val="en-US" w:eastAsia="zh-CN"/>
              </w:rPr>
              <w:t>4</w:t>
            </w:r>
            <w:r>
              <w:rPr>
                <w:rFonts w:hAnsi="Times New Roman"/>
                <w:b/>
                <w:bCs/>
                <w:color w:val="auto"/>
                <w:sz w:val="24"/>
                <w:highlight w:val="none"/>
                <w:lang w:val="en-US"/>
              </w:rPr>
              <w:t xml:space="preserve"> 噪声影响分析及</w:t>
            </w:r>
            <w:r>
              <w:rPr>
                <w:rFonts w:hAnsi="Times New Roman"/>
                <w:b/>
                <w:bCs/>
                <w:color w:val="auto"/>
                <w:sz w:val="24"/>
                <w:highlight w:val="none"/>
              </w:rPr>
              <w:t>防治措施</w:t>
            </w:r>
          </w:p>
          <w:p>
            <w:pPr>
              <w:pStyle w:val="49"/>
              <w:spacing w:line="360" w:lineRule="auto"/>
              <w:ind w:firstLine="480"/>
              <w:rPr>
                <w:rFonts w:cs="Times New Roman"/>
                <w:color w:val="auto"/>
                <w:highlight w:val="none"/>
              </w:rPr>
            </w:pPr>
            <w:r>
              <w:rPr>
                <w:rFonts w:cs="Times New Roman"/>
                <w:color w:val="auto"/>
                <w:highlight w:val="none"/>
              </w:rPr>
              <w:t>为有效减少生产设备对厂区职工的影响，建议建设方采取如下措施：</w:t>
            </w:r>
          </w:p>
          <w:p>
            <w:pPr>
              <w:pStyle w:val="49"/>
              <w:spacing w:line="360" w:lineRule="auto"/>
              <w:ind w:firstLine="480"/>
              <w:rPr>
                <w:rFonts w:cs="Times New Roman"/>
                <w:color w:val="auto"/>
                <w:highlight w:val="none"/>
              </w:rPr>
            </w:pPr>
            <w:r>
              <w:rPr>
                <w:rFonts w:cs="Times New Roman"/>
                <w:color w:val="auto"/>
                <w:highlight w:val="none"/>
              </w:rPr>
              <w:t>（1）在设备选型时优先选择高效、低噪声设备，做好设备的安装调试，同时加强营运期间对各种机械的维修保养，保持其良好的运行效果；</w:t>
            </w:r>
          </w:p>
          <w:p>
            <w:pPr>
              <w:pStyle w:val="49"/>
              <w:spacing w:line="360" w:lineRule="auto"/>
              <w:ind w:firstLine="480"/>
              <w:rPr>
                <w:rFonts w:cs="Times New Roman"/>
                <w:color w:val="auto"/>
                <w:highlight w:val="none"/>
              </w:rPr>
            </w:pPr>
            <w:r>
              <w:rPr>
                <w:rFonts w:cs="Times New Roman"/>
                <w:color w:val="auto"/>
                <w:highlight w:val="none"/>
              </w:rPr>
              <w:t>（2）车间内高噪声设备合理分布，避免集中放置。</w:t>
            </w:r>
          </w:p>
          <w:p>
            <w:pPr>
              <w:pStyle w:val="49"/>
              <w:spacing w:line="360" w:lineRule="auto"/>
              <w:ind w:firstLine="480"/>
              <w:rPr>
                <w:rFonts w:cs="Times New Roman"/>
                <w:color w:val="auto"/>
                <w:highlight w:val="none"/>
              </w:rPr>
            </w:pPr>
            <w:r>
              <w:rPr>
                <w:rFonts w:cs="Times New Roman"/>
                <w:color w:val="auto"/>
                <w:highlight w:val="none"/>
              </w:rPr>
              <w:t>（3）建议建设单位合理安排工序，避免高噪声设备同时使用，把噪声影响降低在最低限度；</w:t>
            </w:r>
          </w:p>
          <w:p>
            <w:pPr>
              <w:pStyle w:val="49"/>
              <w:spacing w:line="360" w:lineRule="auto"/>
              <w:ind w:firstLine="480"/>
              <w:rPr>
                <w:rFonts w:cs="Times New Roman"/>
                <w:color w:val="auto"/>
                <w:highlight w:val="none"/>
              </w:rPr>
            </w:pPr>
            <w:r>
              <w:rPr>
                <w:rFonts w:cs="Times New Roman"/>
                <w:color w:val="auto"/>
                <w:szCs w:val="24"/>
                <w:highlight w:val="none"/>
              </w:rPr>
              <w:t>本项目生产设备均安装于室内，通过对高产噪设备采取减振、隔声措施以及墙体隔声、距离衰减后厂界噪声排放能够达到《工业企业厂界环境噪声排放标准》</w:t>
            </w:r>
            <w:r>
              <w:rPr>
                <w:rFonts w:cs="Times New Roman"/>
                <w:color w:val="auto"/>
                <w:highlight w:val="none"/>
              </w:rPr>
              <w:t>（GB12348-2008）</w:t>
            </w:r>
            <w:r>
              <w:rPr>
                <w:rFonts w:cs="Times New Roman"/>
                <w:color w:val="auto"/>
                <w:szCs w:val="24"/>
                <w:highlight w:val="none"/>
              </w:rPr>
              <w:t>中的3类标准的要求。因此，生产车间内的噪声对周围声环境影响较小。</w:t>
            </w:r>
          </w:p>
          <w:p>
            <w:pPr>
              <w:spacing w:line="360" w:lineRule="auto"/>
              <w:rPr>
                <w:b/>
                <w:bCs/>
                <w:color w:val="auto"/>
                <w:sz w:val="24"/>
                <w:highlight w:val="none"/>
              </w:rPr>
            </w:pPr>
            <w:r>
              <w:rPr>
                <w:b/>
                <w:bCs/>
                <w:color w:val="auto"/>
                <w:sz w:val="24"/>
                <w:highlight w:val="none"/>
              </w:rPr>
              <w:t>3.</w:t>
            </w:r>
            <w:r>
              <w:rPr>
                <w:rFonts w:hint="eastAsia"/>
                <w:b/>
                <w:bCs/>
                <w:color w:val="auto"/>
                <w:sz w:val="24"/>
                <w:highlight w:val="none"/>
                <w:lang w:val="en-US" w:eastAsia="zh-CN"/>
              </w:rPr>
              <w:t>5</w:t>
            </w:r>
            <w:r>
              <w:rPr>
                <w:b/>
                <w:bCs/>
                <w:color w:val="auto"/>
                <w:sz w:val="24"/>
                <w:highlight w:val="none"/>
              </w:rPr>
              <w:t>监测计划</w:t>
            </w:r>
          </w:p>
          <w:p>
            <w:pPr>
              <w:wordWrap w:val="0"/>
              <w:spacing w:line="360" w:lineRule="auto"/>
              <w:ind w:firstLine="482"/>
              <w:jc w:val="left"/>
              <w:rPr>
                <w:color w:val="auto"/>
                <w:sz w:val="24"/>
                <w:highlight w:val="none"/>
              </w:rPr>
            </w:pPr>
            <w:r>
              <w:rPr>
                <w:color w:val="auto"/>
                <w:sz w:val="24"/>
                <w:highlight w:val="none"/>
              </w:rPr>
              <w:t>根据《排污单位自行监测技术指南 总则》（HJ 942-2018），制定本项目噪声监测计划如表</w:t>
            </w:r>
            <w:r>
              <w:rPr>
                <w:rFonts w:hint="eastAsia"/>
                <w:color w:val="auto"/>
                <w:sz w:val="24"/>
                <w:highlight w:val="none"/>
                <w:lang w:val="en-US" w:eastAsia="zh-CN"/>
              </w:rPr>
              <w:t>4-9</w:t>
            </w:r>
            <w:r>
              <w:rPr>
                <w:color w:val="auto"/>
                <w:sz w:val="24"/>
                <w:highlight w:val="none"/>
              </w:rPr>
              <w:t>。</w:t>
            </w:r>
          </w:p>
          <w:p>
            <w:pPr>
              <w:pStyle w:val="45"/>
              <w:spacing w:line="240" w:lineRule="auto"/>
              <w:ind w:firstLine="442"/>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 xml:space="preserve">4-9 </w:t>
            </w:r>
            <w:r>
              <w:rPr>
                <w:rFonts w:hint="default"/>
                <w:color w:val="auto"/>
                <w:sz w:val="21"/>
                <w:szCs w:val="21"/>
                <w:highlight w:val="none"/>
              </w:rPr>
              <w:t xml:space="preserve">    噪声监测内容及计划</w:t>
            </w:r>
          </w:p>
          <w:tbl>
            <w:tblPr>
              <w:tblStyle w:val="31"/>
              <w:tblW w:w="4998" w:type="pct"/>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766"/>
              <w:gridCol w:w="1217"/>
              <w:gridCol w:w="3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0" w:type="pct"/>
                  <w:vAlign w:val="center"/>
                </w:tcPr>
                <w:p>
                  <w:pPr>
                    <w:pStyle w:val="58"/>
                    <w:spacing w:before="0" w:beforeLines="0" w:after="0" w:afterLines="0" w:line="240" w:lineRule="auto"/>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监测点位</w:t>
                  </w:r>
                </w:p>
              </w:tc>
              <w:tc>
                <w:tcPr>
                  <w:tcW w:w="1149" w:type="pct"/>
                  <w:vAlign w:val="center"/>
                </w:tcPr>
                <w:p>
                  <w:pPr>
                    <w:pStyle w:val="58"/>
                    <w:spacing w:before="0" w:beforeLines="0" w:after="0" w:afterLines="0" w:line="240" w:lineRule="auto"/>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监测指标</w:t>
                  </w:r>
                </w:p>
              </w:tc>
              <w:tc>
                <w:tcPr>
                  <w:tcW w:w="792" w:type="pct"/>
                  <w:vAlign w:val="center"/>
                </w:tcPr>
                <w:p>
                  <w:pPr>
                    <w:pStyle w:val="58"/>
                    <w:spacing w:before="0" w:beforeLines="0" w:after="0" w:afterLines="0" w:line="240" w:lineRule="auto"/>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监测频次</w:t>
                  </w:r>
                </w:p>
              </w:tc>
              <w:tc>
                <w:tcPr>
                  <w:tcW w:w="2057" w:type="pct"/>
                  <w:vAlign w:val="center"/>
                </w:tcPr>
                <w:p>
                  <w:pPr>
                    <w:pStyle w:val="58"/>
                    <w:spacing w:before="0" w:beforeLines="0" w:after="0" w:afterLines="0" w:line="240" w:lineRule="auto"/>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0" w:type="pct"/>
                  <w:tcBorders>
                    <w:tl2br w:val="nil"/>
                    <w:tr2bl w:val="nil"/>
                  </w:tcBorders>
                  <w:vAlign w:val="center"/>
                </w:tcPr>
                <w:p>
                  <w:pPr>
                    <w:pStyle w:val="58"/>
                    <w:spacing w:before="0" w:beforeLines="0" w:after="0" w:afterLines="0" w:line="240" w:lineRule="auto"/>
                    <w:ind w:left="0" w:leftChars="0" w:firstLine="0" w:firstLineChars="0"/>
                    <w:jc w:val="both"/>
                    <w:rPr>
                      <w:rFonts w:ascii="Times New Roman" w:hAnsi="Times New Roman"/>
                      <w:color w:val="auto"/>
                      <w:sz w:val="21"/>
                      <w:szCs w:val="21"/>
                      <w:highlight w:val="none"/>
                    </w:rPr>
                  </w:pPr>
                  <w:r>
                    <w:rPr>
                      <w:rFonts w:ascii="Times New Roman" w:hAnsi="Times New Roman"/>
                      <w:color w:val="auto"/>
                      <w:sz w:val="21"/>
                      <w:szCs w:val="21"/>
                      <w:highlight w:val="none"/>
                    </w:rPr>
                    <w:t>厂界东西南北侧各1个点位</w:t>
                  </w:r>
                </w:p>
              </w:tc>
              <w:tc>
                <w:tcPr>
                  <w:tcW w:w="1149" w:type="pct"/>
                  <w:tcBorders>
                    <w:tl2br w:val="nil"/>
                    <w:tr2bl w:val="nil"/>
                  </w:tcBorders>
                  <w:vAlign w:val="center"/>
                </w:tcPr>
                <w:p>
                  <w:pPr>
                    <w:pStyle w:val="58"/>
                    <w:spacing w:before="0" w:beforeLines="0" w:after="0" w:afterLines="0" w:line="240" w:lineRule="auto"/>
                    <w:ind w:left="0" w:leftChars="0" w:firstLine="0" w:firstLineChars="0"/>
                    <w:jc w:val="both"/>
                    <w:rPr>
                      <w:rFonts w:ascii="Times New Roman" w:hAnsi="Times New Roman"/>
                      <w:color w:val="auto"/>
                      <w:sz w:val="21"/>
                      <w:szCs w:val="21"/>
                      <w:highlight w:val="none"/>
                    </w:rPr>
                  </w:pPr>
                  <w:r>
                    <w:rPr>
                      <w:rFonts w:ascii="Times New Roman" w:hAnsi="Times New Roman"/>
                      <w:color w:val="auto"/>
                      <w:sz w:val="21"/>
                      <w:szCs w:val="21"/>
                      <w:highlight w:val="none"/>
                    </w:rPr>
                    <w:t>等效连续A声级</w:t>
                  </w:r>
                </w:p>
              </w:tc>
              <w:tc>
                <w:tcPr>
                  <w:tcW w:w="792" w:type="pct"/>
                  <w:tcBorders>
                    <w:tl2br w:val="nil"/>
                    <w:tr2bl w:val="nil"/>
                  </w:tcBorders>
                  <w:vAlign w:val="center"/>
                </w:tcPr>
                <w:p>
                  <w:pPr>
                    <w:pStyle w:val="58"/>
                    <w:spacing w:before="0" w:beforeLines="0" w:after="0" w:afterLines="0" w:line="240" w:lineRule="auto"/>
                    <w:ind w:left="0" w:leftChars="0" w:firstLine="0" w:firstLineChars="0"/>
                    <w:jc w:val="both"/>
                    <w:rPr>
                      <w:rFonts w:ascii="Times New Roman" w:hAnsi="Times New Roman"/>
                      <w:color w:val="auto"/>
                      <w:sz w:val="21"/>
                      <w:szCs w:val="21"/>
                      <w:highlight w:val="none"/>
                    </w:rPr>
                  </w:pPr>
                  <w:r>
                    <w:rPr>
                      <w:rFonts w:ascii="Times New Roman" w:hAnsi="Times New Roman"/>
                      <w:color w:val="auto"/>
                      <w:sz w:val="21"/>
                      <w:szCs w:val="21"/>
                      <w:highlight w:val="none"/>
                    </w:rPr>
                    <w:t>1次/季</w:t>
                  </w:r>
                </w:p>
              </w:tc>
              <w:tc>
                <w:tcPr>
                  <w:tcW w:w="2057" w:type="pct"/>
                  <w:tcBorders>
                    <w:tl2br w:val="nil"/>
                    <w:tr2bl w:val="nil"/>
                  </w:tcBorders>
                  <w:vAlign w:val="center"/>
                </w:tcPr>
                <w:p>
                  <w:pPr>
                    <w:pStyle w:val="58"/>
                    <w:spacing w:before="0" w:beforeLines="0" w:after="0" w:afterLines="0" w:line="240" w:lineRule="auto"/>
                    <w:ind w:left="0" w:leftChars="0" w:firstLine="0" w:firstLineChars="0"/>
                    <w:jc w:val="both"/>
                    <w:rPr>
                      <w:rFonts w:ascii="Times New Roman" w:hAnsi="Times New Roman"/>
                      <w:color w:val="auto"/>
                      <w:sz w:val="21"/>
                      <w:szCs w:val="21"/>
                      <w:highlight w:val="none"/>
                    </w:rPr>
                  </w:pPr>
                  <w:r>
                    <w:rPr>
                      <w:rFonts w:ascii="Times New Roman" w:hAnsi="Times New Roman"/>
                      <w:color w:val="auto"/>
                      <w:sz w:val="21"/>
                      <w:szCs w:val="21"/>
                      <w:highlight w:val="none"/>
                    </w:rPr>
                    <w:t>《工业企业厂界环境噪声排放标准》（GB12348-2008）3类标准</w:t>
                  </w:r>
                </w:p>
              </w:tc>
            </w:tr>
          </w:tbl>
          <w:p>
            <w:pPr>
              <w:spacing w:line="360" w:lineRule="auto"/>
              <w:rPr>
                <w:b/>
                <w:color w:val="auto"/>
                <w:sz w:val="24"/>
                <w:highlight w:val="none"/>
              </w:rPr>
            </w:pPr>
            <w:r>
              <w:rPr>
                <w:b/>
                <w:color w:val="auto"/>
                <w:sz w:val="24"/>
                <w:highlight w:val="none"/>
              </w:rPr>
              <w:t>4 固体废物影响分析</w:t>
            </w:r>
          </w:p>
          <w:p>
            <w:pPr>
              <w:pStyle w:val="61"/>
              <w:spacing w:line="360" w:lineRule="auto"/>
              <w:ind w:firstLine="0"/>
              <w:rPr>
                <w:color w:val="auto"/>
                <w:highlight w:val="none"/>
              </w:rPr>
            </w:pPr>
            <w:r>
              <w:rPr>
                <w:b/>
                <w:color w:val="auto"/>
                <w:sz w:val="24"/>
                <w:szCs w:val="24"/>
                <w:highlight w:val="none"/>
              </w:rPr>
              <w:t>4.1 固体废物产生及处置情况</w:t>
            </w:r>
          </w:p>
          <w:p>
            <w:pPr>
              <w:pStyle w:val="49"/>
              <w:spacing w:line="360" w:lineRule="auto"/>
              <w:ind w:firstLine="480"/>
              <w:rPr>
                <w:rFonts w:cs="Times New Roman"/>
                <w:color w:val="auto"/>
                <w:highlight w:val="none"/>
              </w:rPr>
            </w:pPr>
            <w:r>
              <w:rPr>
                <w:rFonts w:cs="Times New Roman"/>
                <w:color w:val="auto"/>
                <w:highlight w:val="none"/>
              </w:rPr>
              <w:t>项目产生的固体废物主要为生活垃圾、一般工业固废（</w:t>
            </w:r>
            <w:r>
              <w:rPr>
                <w:rFonts w:hint="eastAsia" w:cs="Times New Roman"/>
                <w:color w:val="auto"/>
                <w:highlight w:val="none"/>
                <w:lang w:val="en-US" w:eastAsia="zh-CN"/>
              </w:rPr>
              <w:t>布袋除尘收集的粉尘</w:t>
            </w:r>
            <w:r>
              <w:rPr>
                <w:rFonts w:cs="Times New Roman"/>
                <w:color w:val="auto"/>
                <w:highlight w:val="none"/>
              </w:rPr>
              <w:t>、</w:t>
            </w:r>
            <w:r>
              <w:rPr>
                <w:rFonts w:hint="eastAsia" w:cs="Times New Roman"/>
                <w:color w:val="auto"/>
                <w:highlight w:val="none"/>
                <w:lang w:val="en-US" w:eastAsia="zh-CN"/>
              </w:rPr>
              <w:t>筛分废物、</w:t>
            </w:r>
            <w:r>
              <w:rPr>
                <w:rFonts w:cs="Times New Roman"/>
                <w:color w:val="auto"/>
                <w:highlight w:val="none"/>
              </w:rPr>
              <w:t>废包装材料）和危险废物（</w:t>
            </w:r>
            <w:r>
              <w:rPr>
                <w:rFonts w:hint="eastAsia" w:cs="Times New Roman"/>
                <w:color w:val="auto"/>
                <w:highlight w:val="none"/>
                <w:lang w:val="en-US" w:eastAsia="zh-CN"/>
              </w:rPr>
              <w:t>废机油</w:t>
            </w:r>
            <w:r>
              <w:rPr>
                <w:rFonts w:cs="Times New Roman"/>
                <w:color w:val="auto"/>
                <w:highlight w:val="none"/>
              </w:rPr>
              <w:t>）。</w:t>
            </w:r>
          </w:p>
          <w:p>
            <w:pPr>
              <w:pStyle w:val="49"/>
              <w:spacing w:line="360" w:lineRule="auto"/>
              <w:ind w:firstLine="480"/>
              <w:rPr>
                <w:rFonts w:cs="Times New Roman"/>
                <w:color w:val="auto"/>
                <w:highlight w:val="none"/>
              </w:rPr>
            </w:pPr>
            <w:r>
              <w:rPr>
                <w:rFonts w:cs="Times New Roman"/>
                <w:color w:val="auto"/>
                <w:highlight w:val="none"/>
              </w:rPr>
              <w:t>（1）生活垃圾</w:t>
            </w:r>
          </w:p>
          <w:p>
            <w:pPr>
              <w:pStyle w:val="49"/>
              <w:spacing w:line="360" w:lineRule="auto"/>
              <w:ind w:firstLine="480"/>
              <w:rPr>
                <w:rFonts w:cs="Times New Roman"/>
                <w:color w:val="auto"/>
                <w:highlight w:val="none"/>
              </w:rPr>
            </w:pPr>
            <w:r>
              <w:rPr>
                <w:rFonts w:cs="Times New Roman"/>
                <w:color w:val="auto"/>
                <w:highlight w:val="none"/>
              </w:rPr>
              <w:t>项目员工人数为</w:t>
            </w:r>
            <w:r>
              <w:rPr>
                <w:rFonts w:hint="eastAsia" w:cs="Times New Roman"/>
                <w:color w:val="auto"/>
                <w:highlight w:val="none"/>
                <w:lang w:val="en-US" w:eastAsia="zh-CN"/>
              </w:rPr>
              <w:t>50</w:t>
            </w:r>
            <w:r>
              <w:rPr>
                <w:rFonts w:cs="Times New Roman"/>
                <w:color w:val="auto"/>
                <w:highlight w:val="none"/>
              </w:rPr>
              <w:t>人，按每人每天产生0.5kg生活垃圾计，运营期生产</w:t>
            </w:r>
            <w:r>
              <w:rPr>
                <w:rFonts w:cs="Times New Roman"/>
                <w:color w:val="auto"/>
                <w:spacing w:val="6"/>
                <w:highlight w:val="none"/>
              </w:rPr>
              <w:t>天数为3</w:t>
            </w:r>
            <w:r>
              <w:rPr>
                <w:rFonts w:hint="eastAsia" w:cs="Times New Roman"/>
                <w:color w:val="auto"/>
                <w:spacing w:val="6"/>
                <w:highlight w:val="none"/>
                <w:lang w:val="en-US" w:eastAsia="zh-CN"/>
              </w:rPr>
              <w:t>0</w:t>
            </w:r>
            <w:r>
              <w:rPr>
                <w:rFonts w:cs="Times New Roman"/>
                <w:color w:val="auto"/>
                <w:spacing w:val="6"/>
                <w:highlight w:val="none"/>
              </w:rPr>
              <w:t>0天，生活垃圾产生量为</w:t>
            </w:r>
            <w:r>
              <w:rPr>
                <w:rFonts w:hint="eastAsia" w:cs="Times New Roman"/>
                <w:color w:val="auto"/>
                <w:spacing w:val="6"/>
                <w:highlight w:val="none"/>
                <w:lang w:val="en-US" w:eastAsia="zh-CN"/>
              </w:rPr>
              <w:t>7.5</w:t>
            </w:r>
            <w:r>
              <w:rPr>
                <w:rFonts w:cs="Times New Roman"/>
                <w:color w:val="auto"/>
                <w:spacing w:val="6"/>
                <w:highlight w:val="none"/>
              </w:rPr>
              <w:t>t/a，集中收集后定期委托环卫部门统一清运。</w:t>
            </w:r>
          </w:p>
          <w:p>
            <w:pPr>
              <w:pStyle w:val="49"/>
              <w:spacing w:line="360" w:lineRule="auto"/>
              <w:ind w:firstLine="480"/>
              <w:rPr>
                <w:rFonts w:cs="Times New Roman"/>
                <w:color w:val="auto"/>
                <w:highlight w:val="none"/>
              </w:rPr>
            </w:pPr>
            <w:r>
              <w:rPr>
                <w:rFonts w:cs="Times New Roman"/>
                <w:color w:val="auto"/>
                <w:highlight w:val="none"/>
              </w:rPr>
              <w:t>（2）一般固废</w:t>
            </w:r>
          </w:p>
          <w:p>
            <w:pPr>
              <w:pStyle w:val="49"/>
              <w:spacing w:line="360" w:lineRule="auto"/>
              <w:ind w:firstLine="480"/>
              <w:rPr>
                <w:rFonts w:hint="eastAsia" w:cs="Times New Roman"/>
                <w:color w:val="auto"/>
                <w:highlight w:val="none"/>
                <w:lang w:val="en-US" w:eastAsia="zh-CN"/>
              </w:rPr>
            </w:pPr>
            <w:r>
              <w:rPr>
                <w:rFonts w:cs="Times New Roman"/>
                <w:color w:val="auto"/>
                <w:highlight w:val="none"/>
              </w:rPr>
              <w:t>①</w:t>
            </w:r>
            <w:r>
              <w:rPr>
                <w:rFonts w:hint="eastAsia" w:cs="Times New Roman"/>
                <w:color w:val="auto"/>
                <w:highlight w:val="none"/>
                <w:lang w:val="en-US" w:eastAsia="zh-CN"/>
              </w:rPr>
              <w:t>布袋除尘收集的粉尘</w:t>
            </w:r>
          </w:p>
          <w:p>
            <w:pPr>
              <w:pStyle w:val="49"/>
              <w:spacing w:line="360" w:lineRule="auto"/>
              <w:ind w:firstLine="480"/>
              <w:rPr>
                <w:rFonts w:cs="Times New Roman"/>
                <w:b w:val="0"/>
                <w:bCs w:val="0"/>
                <w:color w:val="auto"/>
                <w:highlight w:val="none"/>
              </w:rPr>
            </w:pPr>
            <w:r>
              <w:rPr>
                <w:rFonts w:cs="Times New Roman"/>
                <w:b w:val="0"/>
                <w:bCs w:val="0"/>
                <w:color w:val="auto"/>
                <w:highlight w:val="none"/>
              </w:rPr>
              <w:t>项目</w:t>
            </w:r>
            <w:r>
              <w:rPr>
                <w:rFonts w:hint="eastAsia" w:cs="Times New Roman"/>
                <w:b w:val="0"/>
                <w:bCs w:val="0"/>
                <w:color w:val="auto"/>
                <w:sz w:val="24"/>
                <w:highlight w:val="none"/>
                <w:lang w:val="en-US" w:eastAsia="zh-CN"/>
              </w:rPr>
              <w:t>进</w:t>
            </w:r>
            <w:r>
              <w:rPr>
                <w:rFonts w:hint="default" w:ascii="Times New Roman" w:hAnsi="Times New Roman" w:cs="Times New Roman"/>
                <w:b w:val="0"/>
                <w:bCs w:val="0"/>
                <w:color w:val="auto"/>
                <w:sz w:val="24"/>
                <w:highlight w:val="none"/>
              </w:rPr>
              <w:t>料</w:t>
            </w:r>
            <w:r>
              <w:rPr>
                <w:rFonts w:hint="eastAsia" w:cs="Times New Roman"/>
                <w:b w:val="0"/>
                <w:bCs w:val="0"/>
                <w:color w:val="auto"/>
                <w:sz w:val="24"/>
                <w:highlight w:val="none"/>
                <w:lang w:val="en-US" w:eastAsia="zh-CN"/>
              </w:rPr>
              <w:t>工序中</w:t>
            </w:r>
            <w:r>
              <w:rPr>
                <w:rFonts w:hint="default" w:ascii="Times New Roman" w:hAnsi="Times New Roman" w:cs="Times New Roman"/>
                <w:b w:val="0"/>
                <w:bCs w:val="0"/>
                <w:color w:val="auto"/>
                <w:sz w:val="24"/>
                <w:highlight w:val="none"/>
              </w:rPr>
              <w:t>布袋除尘</w:t>
            </w:r>
            <w:r>
              <w:rPr>
                <w:rFonts w:hint="eastAsia" w:ascii="Times New Roman" w:hAnsi="Times New Roman" w:cs="Times New Roman"/>
                <w:b w:val="0"/>
                <w:bCs w:val="0"/>
                <w:color w:val="auto"/>
                <w:sz w:val="24"/>
                <w:highlight w:val="none"/>
                <w:lang w:val="en-US" w:eastAsia="zh-CN"/>
              </w:rPr>
              <w:t>器</w:t>
            </w:r>
            <w:r>
              <w:rPr>
                <w:rFonts w:hint="default" w:ascii="Times New Roman" w:hAnsi="Times New Roman" w:cs="Times New Roman"/>
                <w:b w:val="0"/>
                <w:bCs w:val="0"/>
                <w:color w:val="auto"/>
                <w:sz w:val="24"/>
                <w:highlight w:val="none"/>
              </w:rPr>
              <w:t>收集</w:t>
            </w:r>
            <w:r>
              <w:rPr>
                <w:rFonts w:hint="eastAsia" w:cs="Times New Roman"/>
                <w:b w:val="0"/>
                <w:bCs w:val="0"/>
                <w:color w:val="auto"/>
                <w:sz w:val="24"/>
                <w:highlight w:val="none"/>
                <w:lang w:val="en-US" w:eastAsia="zh-CN"/>
              </w:rPr>
              <w:t>的</w:t>
            </w:r>
            <w:r>
              <w:rPr>
                <w:rFonts w:hint="eastAsia" w:cs="Times New Roman"/>
                <w:b w:val="0"/>
                <w:bCs w:val="0"/>
                <w:color w:val="auto"/>
                <w:sz w:val="24"/>
                <w:highlight w:val="none"/>
                <w:lang w:eastAsia="zh-CN"/>
              </w:rPr>
              <w:t>颗粒物</w:t>
            </w:r>
            <w:r>
              <w:rPr>
                <w:rFonts w:hint="default" w:ascii="Times New Roman" w:hAnsi="Times New Roman" w:cs="Times New Roman"/>
                <w:b w:val="0"/>
                <w:bCs w:val="0"/>
                <w:color w:val="auto"/>
                <w:sz w:val="24"/>
                <w:highlight w:val="none"/>
              </w:rPr>
              <w:t>量为</w:t>
            </w:r>
            <w:r>
              <w:rPr>
                <w:rFonts w:hint="eastAsia" w:cs="Times New Roman"/>
                <w:b w:val="0"/>
                <w:bCs w:val="0"/>
                <w:color w:val="auto"/>
                <w:sz w:val="24"/>
                <w:highlight w:val="none"/>
                <w:lang w:val="en-US" w:eastAsia="zh-CN"/>
              </w:rPr>
              <w:t>16.65</w:t>
            </w:r>
            <w:r>
              <w:rPr>
                <w:rFonts w:hint="default" w:ascii="Times New Roman" w:hAnsi="Times New Roman" w:cs="Times New Roman"/>
                <w:b w:val="0"/>
                <w:bCs w:val="0"/>
                <w:color w:val="auto"/>
                <w:sz w:val="24"/>
                <w:highlight w:val="none"/>
              </w:rPr>
              <w:t>t/a</w:t>
            </w:r>
            <w:r>
              <w:rPr>
                <w:rFonts w:hint="eastAsia" w:cs="Times New Roman"/>
                <w:b w:val="0"/>
                <w:bCs w:val="0"/>
                <w:color w:val="auto"/>
                <w:sz w:val="24"/>
                <w:highlight w:val="none"/>
                <w:lang w:eastAsia="zh-CN"/>
              </w:rPr>
              <w:t>、</w:t>
            </w:r>
            <w:r>
              <w:rPr>
                <w:rFonts w:hint="eastAsia" w:cs="Times New Roman"/>
                <w:b w:val="0"/>
                <w:bCs w:val="0"/>
                <w:color w:val="auto"/>
                <w:sz w:val="24"/>
                <w:highlight w:val="none"/>
                <w:lang w:val="en-US" w:eastAsia="zh-CN"/>
              </w:rPr>
              <w:t>筛分工序中</w:t>
            </w:r>
            <w:r>
              <w:rPr>
                <w:rFonts w:hint="default" w:ascii="Times New Roman" w:hAnsi="Times New Roman" w:cs="Times New Roman"/>
                <w:b w:val="0"/>
                <w:bCs w:val="0"/>
                <w:color w:val="auto"/>
                <w:sz w:val="24"/>
                <w:highlight w:val="none"/>
              </w:rPr>
              <w:t>布袋除尘</w:t>
            </w:r>
            <w:r>
              <w:rPr>
                <w:rFonts w:hint="eastAsia" w:ascii="Times New Roman" w:hAnsi="Times New Roman" w:cs="Times New Roman"/>
                <w:b w:val="0"/>
                <w:bCs w:val="0"/>
                <w:color w:val="auto"/>
                <w:sz w:val="24"/>
                <w:highlight w:val="none"/>
                <w:lang w:val="en-US" w:eastAsia="zh-CN"/>
              </w:rPr>
              <w:t>器</w:t>
            </w:r>
            <w:r>
              <w:rPr>
                <w:rFonts w:hint="default" w:ascii="Times New Roman" w:hAnsi="Times New Roman" w:cs="Times New Roman"/>
                <w:b w:val="0"/>
                <w:bCs w:val="0"/>
                <w:color w:val="auto"/>
                <w:sz w:val="24"/>
                <w:highlight w:val="none"/>
              </w:rPr>
              <w:t>收集</w:t>
            </w:r>
            <w:r>
              <w:rPr>
                <w:rFonts w:hint="eastAsia" w:cs="Times New Roman"/>
                <w:b w:val="0"/>
                <w:bCs w:val="0"/>
                <w:color w:val="auto"/>
                <w:sz w:val="24"/>
                <w:highlight w:val="none"/>
                <w:lang w:val="en-US" w:eastAsia="zh-CN"/>
              </w:rPr>
              <w:t>的</w:t>
            </w:r>
            <w:r>
              <w:rPr>
                <w:rFonts w:hint="eastAsia" w:cs="Times New Roman"/>
                <w:b w:val="0"/>
                <w:bCs w:val="0"/>
                <w:color w:val="auto"/>
                <w:sz w:val="24"/>
                <w:highlight w:val="none"/>
                <w:lang w:eastAsia="zh-CN"/>
              </w:rPr>
              <w:t>颗粒物</w:t>
            </w:r>
            <w:r>
              <w:rPr>
                <w:rFonts w:hint="default" w:ascii="Times New Roman" w:hAnsi="Times New Roman" w:cs="Times New Roman"/>
                <w:b w:val="0"/>
                <w:bCs w:val="0"/>
                <w:color w:val="auto"/>
                <w:sz w:val="24"/>
                <w:highlight w:val="none"/>
              </w:rPr>
              <w:t>量为</w:t>
            </w:r>
            <w:r>
              <w:rPr>
                <w:rFonts w:hint="eastAsia" w:cs="Times New Roman"/>
                <w:b w:val="0"/>
                <w:bCs w:val="0"/>
                <w:color w:val="auto"/>
                <w:sz w:val="24"/>
                <w:highlight w:val="none"/>
                <w:lang w:val="en-US" w:eastAsia="zh-CN"/>
              </w:rPr>
              <w:t>17.58</w:t>
            </w:r>
            <w:r>
              <w:rPr>
                <w:rFonts w:hint="default" w:ascii="Times New Roman" w:hAnsi="Times New Roman" w:cs="Times New Roman"/>
                <w:b w:val="0"/>
                <w:bCs w:val="0"/>
                <w:color w:val="auto"/>
                <w:sz w:val="24"/>
                <w:highlight w:val="none"/>
              </w:rPr>
              <w:t>t/a</w:t>
            </w:r>
            <w:r>
              <w:rPr>
                <w:rFonts w:hint="eastAsia" w:cs="Times New Roman"/>
                <w:b w:val="0"/>
                <w:bCs w:val="0"/>
                <w:color w:val="auto"/>
                <w:sz w:val="24"/>
                <w:highlight w:val="none"/>
                <w:lang w:val="en-US" w:eastAsia="zh-CN"/>
              </w:rPr>
              <w:t>、破碎工序中</w:t>
            </w:r>
            <w:r>
              <w:rPr>
                <w:rFonts w:hint="default" w:ascii="Times New Roman" w:hAnsi="Times New Roman" w:cs="Times New Roman"/>
                <w:b w:val="0"/>
                <w:bCs w:val="0"/>
                <w:color w:val="auto"/>
                <w:sz w:val="24"/>
                <w:highlight w:val="none"/>
              </w:rPr>
              <w:t>布袋除尘</w:t>
            </w:r>
            <w:r>
              <w:rPr>
                <w:rFonts w:hint="eastAsia" w:ascii="Times New Roman" w:hAnsi="Times New Roman" w:cs="Times New Roman"/>
                <w:b w:val="0"/>
                <w:bCs w:val="0"/>
                <w:color w:val="auto"/>
                <w:sz w:val="24"/>
                <w:highlight w:val="none"/>
                <w:lang w:val="en-US" w:eastAsia="zh-CN"/>
              </w:rPr>
              <w:t>器</w:t>
            </w:r>
            <w:r>
              <w:rPr>
                <w:rFonts w:hint="default" w:ascii="Times New Roman" w:hAnsi="Times New Roman" w:cs="Times New Roman"/>
                <w:b w:val="0"/>
                <w:bCs w:val="0"/>
                <w:color w:val="auto"/>
                <w:sz w:val="24"/>
                <w:highlight w:val="none"/>
              </w:rPr>
              <w:t>收集</w:t>
            </w:r>
            <w:r>
              <w:rPr>
                <w:rFonts w:hint="eastAsia" w:cs="Times New Roman"/>
                <w:b w:val="0"/>
                <w:bCs w:val="0"/>
                <w:color w:val="auto"/>
                <w:sz w:val="24"/>
                <w:highlight w:val="none"/>
                <w:lang w:val="en-US" w:eastAsia="zh-CN"/>
              </w:rPr>
              <w:t>的</w:t>
            </w:r>
            <w:r>
              <w:rPr>
                <w:rFonts w:hint="eastAsia" w:cs="Times New Roman"/>
                <w:b w:val="0"/>
                <w:bCs w:val="0"/>
                <w:color w:val="auto"/>
                <w:sz w:val="24"/>
                <w:highlight w:val="none"/>
                <w:lang w:eastAsia="zh-CN"/>
              </w:rPr>
              <w:t>颗粒物</w:t>
            </w:r>
            <w:r>
              <w:rPr>
                <w:rFonts w:hint="default" w:ascii="Times New Roman" w:hAnsi="Times New Roman" w:cs="Times New Roman"/>
                <w:b w:val="0"/>
                <w:bCs w:val="0"/>
                <w:color w:val="auto"/>
                <w:sz w:val="24"/>
                <w:highlight w:val="none"/>
              </w:rPr>
              <w:t>量为</w:t>
            </w:r>
            <w:r>
              <w:rPr>
                <w:rFonts w:hint="eastAsia" w:cs="Times New Roman"/>
                <w:b w:val="0"/>
                <w:bCs w:val="0"/>
                <w:color w:val="auto"/>
                <w:sz w:val="24"/>
                <w:highlight w:val="none"/>
                <w:lang w:val="en-US" w:eastAsia="zh-CN"/>
              </w:rPr>
              <w:t>17.58</w:t>
            </w:r>
            <w:r>
              <w:rPr>
                <w:rFonts w:hint="default" w:ascii="Times New Roman" w:hAnsi="Times New Roman" w:cs="Times New Roman"/>
                <w:b w:val="0"/>
                <w:bCs w:val="0"/>
                <w:color w:val="auto"/>
                <w:sz w:val="24"/>
                <w:highlight w:val="none"/>
              </w:rPr>
              <w:t>t/a</w:t>
            </w:r>
            <w:r>
              <w:rPr>
                <w:rFonts w:hint="eastAsia" w:ascii="Times New Roman" w:hAnsi="Times New Roman" w:cs="Times New Roman"/>
                <w:b w:val="0"/>
                <w:bCs w:val="0"/>
                <w:color w:val="auto"/>
                <w:sz w:val="24"/>
                <w:highlight w:val="none"/>
                <w:lang w:eastAsia="zh-CN"/>
              </w:rPr>
              <w:t>、</w:t>
            </w:r>
            <w:r>
              <w:rPr>
                <w:rFonts w:hint="eastAsia" w:cs="Times New Roman"/>
                <w:b w:val="0"/>
                <w:bCs w:val="0"/>
                <w:color w:val="auto"/>
                <w:sz w:val="24"/>
                <w:highlight w:val="none"/>
                <w:lang w:val="en-US" w:eastAsia="zh-CN"/>
              </w:rPr>
              <w:t>包装序中</w:t>
            </w:r>
            <w:r>
              <w:rPr>
                <w:rFonts w:hint="default" w:ascii="Times New Roman" w:hAnsi="Times New Roman" w:cs="Times New Roman"/>
                <w:b w:val="0"/>
                <w:bCs w:val="0"/>
                <w:color w:val="auto"/>
                <w:sz w:val="24"/>
                <w:highlight w:val="none"/>
              </w:rPr>
              <w:t>布袋除尘</w:t>
            </w:r>
            <w:r>
              <w:rPr>
                <w:rFonts w:hint="eastAsia" w:ascii="Times New Roman" w:hAnsi="Times New Roman" w:cs="Times New Roman"/>
                <w:b w:val="0"/>
                <w:bCs w:val="0"/>
                <w:color w:val="auto"/>
                <w:sz w:val="24"/>
                <w:highlight w:val="none"/>
                <w:lang w:val="en-US" w:eastAsia="zh-CN"/>
              </w:rPr>
              <w:t>器</w:t>
            </w:r>
            <w:r>
              <w:rPr>
                <w:rFonts w:hint="default" w:ascii="Times New Roman" w:hAnsi="Times New Roman" w:cs="Times New Roman"/>
                <w:b w:val="0"/>
                <w:bCs w:val="0"/>
                <w:color w:val="auto"/>
                <w:sz w:val="24"/>
                <w:highlight w:val="none"/>
              </w:rPr>
              <w:t>收集</w:t>
            </w:r>
            <w:r>
              <w:rPr>
                <w:rFonts w:hint="eastAsia" w:cs="Times New Roman"/>
                <w:b w:val="0"/>
                <w:bCs w:val="0"/>
                <w:color w:val="auto"/>
                <w:sz w:val="24"/>
                <w:highlight w:val="none"/>
                <w:lang w:val="en-US" w:eastAsia="zh-CN"/>
              </w:rPr>
              <w:t>的</w:t>
            </w:r>
            <w:r>
              <w:rPr>
                <w:rFonts w:hint="eastAsia" w:cs="Times New Roman"/>
                <w:b w:val="0"/>
                <w:bCs w:val="0"/>
                <w:color w:val="auto"/>
                <w:sz w:val="24"/>
                <w:highlight w:val="none"/>
                <w:lang w:eastAsia="zh-CN"/>
              </w:rPr>
              <w:t>颗粒物</w:t>
            </w:r>
            <w:r>
              <w:rPr>
                <w:rFonts w:hint="default" w:ascii="Times New Roman" w:hAnsi="Times New Roman" w:cs="Times New Roman"/>
                <w:b w:val="0"/>
                <w:bCs w:val="0"/>
                <w:color w:val="auto"/>
                <w:sz w:val="24"/>
                <w:highlight w:val="none"/>
              </w:rPr>
              <w:t>量为</w:t>
            </w:r>
            <w:r>
              <w:rPr>
                <w:rFonts w:hint="eastAsia" w:cs="Times New Roman"/>
                <w:b w:val="0"/>
                <w:bCs w:val="0"/>
                <w:color w:val="auto"/>
                <w:sz w:val="24"/>
                <w:highlight w:val="none"/>
                <w:lang w:val="en-US" w:eastAsia="zh-CN"/>
              </w:rPr>
              <w:t>4.75</w:t>
            </w:r>
            <w:r>
              <w:rPr>
                <w:rFonts w:hint="default" w:ascii="Times New Roman" w:hAnsi="Times New Roman" w:cs="Times New Roman"/>
                <w:b w:val="0"/>
                <w:bCs w:val="0"/>
                <w:color w:val="auto"/>
                <w:sz w:val="24"/>
                <w:highlight w:val="none"/>
              </w:rPr>
              <w:t>t/a</w:t>
            </w:r>
            <w:r>
              <w:rPr>
                <w:rFonts w:hint="eastAsia" w:ascii="Times New Roman" w:hAnsi="Times New Roman" w:cs="Times New Roman"/>
                <w:b w:val="0"/>
                <w:bCs w:val="0"/>
                <w:color w:val="auto"/>
                <w:sz w:val="24"/>
                <w:highlight w:val="none"/>
                <w:lang w:eastAsia="zh-CN"/>
              </w:rPr>
              <w:t>，</w:t>
            </w:r>
            <w:r>
              <w:rPr>
                <w:rFonts w:hint="eastAsia" w:ascii="Times New Roman" w:hAnsi="Times New Roman" w:cs="Times New Roman"/>
                <w:b w:val="0"/>
                <w:bCs w:val="0"/>
                <w:color w:val="auto"/>
                <w:sz w:val="24"/>
                <w:highlight w:val="none"/>
                <w:lang w:val="en-US" w:eastAsia="zh-CN"/>
              </w:rPr>
              <w:t>生产过程中布袋除尘设备收集到的颗粒物共</w:t>
            </w:r>
            <w:r>
              <w:rPr>
                <w:rFonts w:hint="eastAsia" w:cs="Times New Roman"/>
                <w:b w:val="0"/>
                <w:bCs w:val="0"/>
                <w:color w:val="auto"/>
                <w:sz w:val="24"/>
                <w:highlight w:val="none"/>
                <w:lang w:val="en-US" w:eastAsia="zh-CN"/>
              </w:rPr>
              <w:t>56.56</w:t>
            </w:r>
            <w:r>
              <w:rPr>
                <w:rFonts w:hint="eastAsia" w:ascii="Times New Roman" w:hAnsi="Times New Roman" w:cs="Times New Roman"/>
                <w:b w:val="0"/>
                <w:bCs w:val="0"/>
                <w:color w:val="auto"/>
                <w:sz w:val="24"/>
                <w:highlight w:val="none"/>
                <w:lang w:val="en-US" w:eastAsia="zh-CN"/>
              </w:rPr>
              <w:t>t/a，</w:t>
            </w:r>
            <w:r>
              <w:rPr>
                <w:rFonts w:hint="eastAsia" w:cs="Times New Roman"/>
                <w:b w:val="0"/>
                <w:bCs w:val="0"/>
                <w:color w:val="auto"/>
                <w:sz w:val="24"/>
                <w:highlight w:val="none"/>
                <w:lang w:val="en-US" w:eastAsia="zh-CN"/>
              </w:rPr>
              <w:t>颗粒物</w:t>
            </w:r>
            <w:r>
              <w:rPr>
                <w:rFonts w:hint="eastAsia" w:cs="Times New Roman"/>
                <w:b w:val="0"/>
                <w:bCs w:val="0"/>
                <w:color w:val="auto"/>
                <w:highlight w:val="none"/>
                <w:lang w:val="en-US" w:eastAsia="zh-CN"/>
              </w:rPr>
              <w:t>集中</w:t>
            </w:r>
            <w:r>
              <w:rPr>
                <w:rFonts w:cs="Times New Roman"/>
                <w:b w:val="0"/>
                <w:bCs w:val="0"/>
                <w:color w:val="auto"/>
                <w:highlight w:val="none"/>
              </w:rPr>
              <w:t>收集</w:t>
            </w:r>
            <w:r>
              <w:rPr>
                <w:rFonts w:hint="eastAsia" w:cs="Times New Roman"/>
                <w:b w:val="0"/>
                <w:bCs w:val="0"/>
                <w:color w:val="auto"/>
                <w:highlight w:val="none"/>
                <w:lang w:val="en-US" w:eastAsia="zh-CN"/>
              </w:rPr>
              <w:t>后回用于生产</w:t>
            </w:r>
            <w:r>
              <w:rPr>
                <w:rFonts w:cs="Times New Roman"/>
                <w:b w:val="0"/>
                <w:bCs w:val="0"/>
                <w:color w:val="auto"/>
                <w:highlight w:val="none"/>
              </w:rPr>
              <w:t>。</w:t>
            </w:r>
          </w:p>
          <w:p>
            <w:pPr>
              <w:pStyle w:val="49"/>
              <w:spacing w:line="360" w:lineRule="auto"/>
              <w:ind w:firstLine="480"/>
              <w:rPr>
                <w:rFonts w:hint="eastAsia" w:cs="Times New Roman"/>
                <w:color w:val="auto"/>
                <w:highlight w:val="none"/>
                <w:lang w:val="en-US" w:eastAsia="zh-CN"/>
              </w:rPr>
            </w:pPr>
            <w:r>
              <w:rPr>
                <w:rFonts w:cs="Times New Roman"/>
                <w:color w:val="auto"/>
                <w:highlight w:val="none"/>
              </w:rPr>
              <w:t>②</w:t>
            </w:r>
            <w:r>
              <w:rPr>
                <w:rFonts w:hint="eastAsia" w:cs="Times New Roman"/>
                <w:color w:val="auto"/>
                <w:highlight w:val="none"/>
                <w:lang w:val="en-US" w:eastAsia="zh-CN"/>
              </w:rPr>
              <w:t>筛分废物</w:t>
            </w:r>
          </w:p>
          <w:p>
            <w:pPr>
              <w:pStyle w:val="49"/>
              <w:spacing w:line="360" w:lineRule="auto"/>
              <w:ind w:firstLine="480"/>
              <w:rPr>
                <w:rFonts w:hint="default" w:cs="Times New Roman"/>
                <w:color w:val="auto"/>
                <w:highlight w:val="none"/>
                <w:lang w:val="en-US" w:eastAsia="zh-CN"/>
              </w:rPr>
            </w:pPr>
            <w:r>
              <w:rPr>
                <w:rFonts w:hint="eastAsia" w:cs="Times New Roman"/>
                <w:color w:val="auto"/>
                <w:highlight w:val="none"/>
                <w:lang w:val="en-US" w:eastAsia="zh-CN"/>
              </w:rPr>
              <w:t>本项目原料在筛分工序中会筛分出原料中含有的碎石子等杂质，根据建设单位提供的资料，筛分废物的产生量约为1t/a，集中收集后由环卫部门统一清运。</w:t>
            </w:r>
          </w:p>
          <w:p>
            <w:pPr>
              <w:pStyle w:val="49"/>
              <w:spacing w:line="360" w:lineRule="auto"/>
              <w:ind w:firstLine="480"/>
              <w:rPr>
                <w:rFonts w:cs="Times New Roman"/>
                <w:color w:val="auto"/>
                <w:highlight w:val="none"/>
              </w:rPr>
            </w:pPr>
            <w:r>
              <w:rPr>
                <w:rFonts w:hint="eastAsia" w:ascii="宋体" w:hAnsi="宋体" w:eastAsia="宋体" w:cs="宋体"/>
                <w:color w:val="auto"/>
                <w:highlight w:val="none"/>
              </w:rPr>
              <w:t>③</w:t>
            </w:r>
            <w:r>
              <w:rPr>
                <w:rFonts w:cs="Times New Roman"/>
                <w:color w:val="auto"/>
                <w:highlight w:val="none"/>
              </w:rPr>
              <w:t>废包装材料</w:t>
            </w:r>
          </w:p>
          <w:p>
            <w:pPr>
              <w:pStyle w:val="49"/>
              <w:spacing w:line="360" w:lineRule="auto"/>
              <w:ind w:firstLine="480"/>
              <w:rPr>
                <w:rFonts w:cs="Times New Roman"/>
                <w:color w:val="auto"/>
                <w:highlight w:val="none"/>
              </w:rPr>
            </w:pPr>
            <w:r>
              <w:rPr>
                <w:rFonts w:hint="default" w:ascii="Times New Roman" w:hAnsi="Times New Roman" w:cs="Times New Roman"/>
                <w:sz w:val="24"/>
                <w:lang w:val="en-US" w:eastAsia="zh-CN"/>
              </w:rPr>
              <w:t>本项目原料采用袋装包装，根据建设单位提供资料，废包装袋产生量约为</w:t>
            </w:r>
            <w:r>
              <w:rPr>
                <w:rFonts w:hint="default" w:ascii="Times New Roman" w:hAnsi="Times New Roman" w:cs="Times New Roman"/>
                <w:sz w:val="24"/>
                <w:highlight w:val="none"/>
                <w:lang w:val="en-US" w:eastAsia="zh-CN"/>
              </w:rPr>
              <w:t>0.1t/a</w:t>
            </w:r>
            <w:r>
              <w:rPr>
                <w:rFonts w:hint="default" w:ascii="Times New Roman" w:hAnsi="Times New Roman" w:cs="Times New Roman"/>
                <w:sz w:val="24"/>
                <w:lang w:val="en-US" w:eastAsia="zh-CN"/>
              </w:rPr>
              <w:t>，集中收集</w:t>
            </w:r>
            <w:r>
              <w:rPr>
                <w:rFonts w:hint="eastAsia" w:cs="Times New Roman"/>
                <w:sz w:val="24"/>
                <w:lang w:val="en-US" w:eastAsia="zh-CN"/>
              </w:rPr>
              <w:t>后外售</w:t>
            </w:r>
            <w:r>
              <w:rPr>
                <w:rFonts w:hint="default" w:ascii="Times New Roman" w:hAnsi="Times New Roman" w:cs="Times New Roman"/>
                <w:sz w:val="24"/>
                <w:lang w:val="en-US" w:eastAsia="zh-CN"/>
              </w:rPr>
              <w:t>。</w:t>
            </w:r>
          </w:p>
          <w:p>
            <w:pPr>
              <w:pStyle w:val="49"/>
              <w:spacing w:line="360" w:lineRule="auto"/>
              <w:ind w:firstLine="480"/>
              <w:rPr>
                <w:rFonts w:cs="Times New Roman"/>
                <w:color w:val="auto"/>
                <w:highlight w:val="none"/>
              </w:rPr>
            </w:pPr>
            <w:r>
              <w:rPr>
                <w:rFonts w:cs="Times New Roman"/>
                <w:color w:val="auto"/>
                <w:highlight w:val="none"/>
              </w:rPr>
              <w:t>（3）危险废物</w:t>
            </w:r>
          </w:p>
          <w:p>
            <w:pPr>
              <w:widowControl/>
              <w:spacing w:line="360" w:lineRule="auto"/>
              <w:ind w:firstLine="480" w:firstLineChars="200"/>
              <w:rPr>
                <w:rFonts w:cs="Times New Roman"/>
                <w:color w:val="auto"/>
                <w:highlight w:val="none"/>
              </w:rPr>
            </w:pPr>
            <w:r>
              <w:rPr>
                <w:rFonts w:hint="default" w:ascii="Times New Roman" w:hAnsi="Times New Roman" w:cs="Times New Roman"/>
                <w:sz w:val="24"/>
              </w:rPr>
              <w:t>项目营运期由于机械维修等会产生少量废机油</w:t>
            </w:r>
            <w:r>
              <w:rPr>
                <w:rStyle w:val="36"/>
                <w:rFonts w:hint="eastAsia" w:cs="Times New Roman"/>
                <w:kern w:val="0"/>
                <w:sz w:val="24"/>
                <w:szCs w:val="22"/>
                <w:lang w:eastAsia="zh-CN"/>
              </w:rPr>
              <w:t>，</w:t>
            </w:r>
            <w:r>
              <w:rPr>
                <w:rFonts w:hint="eastAsia" w:cs="Times New Roman"/>
                <w:sz w:val="24"/>
                <w:lang w:val="en-US" w:eastAsia="zh-CN"/>
              </w:rPr>
              <w:t>根据建设单位提供的资料，</w:t>
            </w:r>
            <w:r>
              <w:rPr>
                <w:rFonts w:hint="default" w:ascii="Times New Roman" w:hAnsi="Times New Roman" w:cs="Times New Roman"/>
                <w:sz w:val="24"/>
                <w:highlight w:val="none"/>
              </w:rPr>
              <w:t>废机油产生</w:t>
            </w:r>
            <w:r>
              <w:rPr>
                <w:rFonts w:hint="eastAsia" w:cs="Times New Roman"/>
                <w:sz w:val="24"/>
                <w:highlight w:val="none"/>
                <w:lang w:val="en-US" w:eastAsia="zh-CN"/>
              </w:rPr>
              <w:t>量约为</w:t>
            </w:r>
            <w:r>
              <w:rPr>
                <w:rFonts w:hint="eastAsia" w:cs="Times New Roman"/>
                <w:sz w:val="24"/>
                <w:highlight w:val="none"/>
                <w:lang w:eastAsia="zh-CN"/>
              </w:rPr>
              <w:t>0.1t/a</w:t>
            </w:r>
            <w:r>
              <w:rPr>
                <w:rFonts w:hint="default" w:ascii="Times New Roman" w:hAnsi="Times New Roman" w:cs="Times New Roman"/>
                <w:sz w:val="24"/>
                <w:highlight w:val="none"/>
              </w:rPr>
              <w:t>，</w:t>
            </w:r>
            <w:r>
              <w:rPr>
                <w:rFonts w:hint="default" w:ascii="Times New Roman" w:hAnsi="Times New Roman" w:cs="Times New Roman"/>
                <w:sz w:val="24"/>
              </w:rPr>
              <w:t>依据《国家危险废物名录（2021版）》，废机油属于危险废物，危险废物代码为HW08（900-214-08），本项目产生的危险废物</w:t>
            </w:r>
            <w:r>
              <w:rPr>
                <w:rFonts w:hint="default" w:ascii="Times New Roman" w:hAnsi="Times New Roman" w:cs="Times New Roman"/>
                <w:sz w:val="24"/>
                <w:highlight w:val="none"/>
              </w:rPr>
              <w:t>暂存于新建</w:t>
            </w:r>
            <w:r>
              <w:rPr>
                <w:rFonts w:hint="eastAsia" w:cs="Times New Roman"/>
                <w:sz w:val="24"/>
                <w:highlight w:val="none"/>
                <w:lang w:val="en-US" w:bidi="zh-CN"/>
              </w:rPr>
              <w:t>的</w:t>
            </w:r>
            <w:r>
              <w:rPr>
                <w:rFonts w:hint="eastAsia" w:cs="Times New Roman"/>
                <w:sz w:val="24"/>
                <w:highlight w:val="none"/>
                <w:lang w:val="en-US" w:eastAsia="zh-CN"/>
              </w:rPr>
              <w:t>危险废物</w:t>
            </w:r>
            <w:r>
              <w:rPr>
                <w:rFonts w:hint="default" w:ascii="Times New Roman" w:hAnsi="Times New Roman" w:cs="Times New Roman"/>
                <w:sz w:val="24"/>
                <w:highlight w:val="none"/>
              </w:rPr>
              <w:t>暂存间</w:t>
            </w:r>
            <w:r>
              <w:rPr>
                <w:rFonts w:hint="default" w:ascii="Times New Roman" w:hAnsi="Times New Roman" w:cs="Times New Roman"/>
                <w:sz w:val="24"/>
                <w:highlight w:val="none"/>
                <w:lang w:bidi="zh-CN"/>
              </w:rPr>
              <w:t>。</w:t>
            </w:r>
          </w:p>
          <w:p>
            <w:pPr>
              <w:pStyle w:val="76"/>
              <w:spacing w:line="360" w:lineRule="auto"/>
              <w:rPr>
                <w:rFonts w:hint="default" w:ascii="Times New Roman" w:hAnsi="Times New Roman" w:cs="Times New Roman"/>
              </w:rPr>
            </w:pPr>
            <w:r>
              <w:rPr>
                <w:rFonts w:hint="eastAsia" w:ascii="Times New Roman" w:hAnsi="Times New Roman" w:eastAsia="宋体" w:cs="Times New Roman"/>
                <w:color w:val="auto"/>
                <w:highlight w:val="none"/>
              </w:rPr>
              <w:t>根据</w:t>
            </w:r>
            <w:r>
              <w:rPr>
                <w:rFonts w:hint="eastAsia" w:ascii="宋体" w:hAnsi="宋体" w:eastAsia="宋体" w:cs="宋体"/>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rPr>
              <w:t>固体废物分类与代码目录》（公告2024年第4号）</w:t>
            </w:r>
            <w:r>
              <w:rPr>
                <w:rFonts w:hint="eastAsia" w:ascii="Times New Roman" w:hAnsi="Times New Roman" w:eastAsia="宋体" w:cs="Times New Roman"/>
                <w:color w:val="auto"/>
                <w:highlight w:val="none"/>
              </w:rPr>
              <w:t>及《国家危险废物名录》（2021年版），将本项目产生的固体废物进行汇总及分类，具体见表</w:t>
            </w:r>
            <w:r>
              <w:rPr>
                <w:rFonts w:hint="eastAsia" w:cs="Times New Roman"/>
                <w:color w:val="auto"/>
                <w:highlight w:val="none"/>
                <w:lang w:val="en-US" w:eastAsia="zh-CN"/>
              </w:rPr>
              <w:t>4-10</w:t>
            </w:r>
            <w:r>
              <w:rPr>
                <w:rFonts w:hint="eastAsia" w:ascii="Times New Roman" w:hAnsi="Times New Roman" w:eastAsia="宋体" w:cs="Times New Roman"/>
                <w:color w:val="auto"/>
                <w:highlight w:val="none"/>
              </w:rPr>
              <w:t>。</w:t>
            </w:r>
          </w:p>
          <w:p>
            <w:pPr>
              <w:pStyle w:val="75"/>
              <w:spacing w:line="240" w:lineRule="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表</w:t>
            </w:r>
            <w:r>
              <w:rPr>
                <w:rFonts w:hint="default" w:ascii="Times New Roman" w:hAnsi="Times New Roman" w:cs="Times New Roman"/>
                <w:color w:val="000000"/>
                <w:sz w:val="21"/>
                <w:szCs w:val="21"/>
              </w:rPr>
              <w:t>4-</w:t>
            </w:r>
            <w:r>
              <w:rPr>
                <w:rFonts w:hint="eastAsia" w:ascii="Times New Roman" w:hAnsi="Times New Roman" w:cs="Times New Roman"/>
                <w:color w:val="000000"/>
                <w:sz w:val="21"/>
                <w:szCs w:val="21"/>
                <w:lang w:val="en-US" w:eastAsia="zh-CN"/>
              </w:rPr>
              <w:t>10</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 xml:space="preserve">  </w:t>
            </w:r>
            <w:r>
              <w:rPr>
                <w:rFonts w:hint="default" w:ascii="Times New Roman" w:hAnsi="Times New Roman" w:eastAsia="宋体" w:cs="Times New Roman"/>
                <w:b/>
                <w:bCs/>
                <w:color w:val="000000"/>
                <w:sz w:val="21"/>
                <w:szCs w:val="21"/>
              </w:rPr>
              <w:t>固体废物排放量及处置设施</w:t>
            </w:r>
          </w:p>
          <w:tbl>
            <w:tblPr>
              <w:tblStyle w:val="30"/>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521"/>
              <w:gridCol w:w="676"/>
              <w:gridCol w:w="1753"/>
              <w:gridCol w:w="899"/>
              <w:gridCol w:w="1229"/>
              <w:gridCol w:w="20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类型</w:t>
                  </w:r>
                </w:p>
              </w:tc>
              <w:tc>
                <w:tcPr>
                  <w:tcW w:w="525" w:type="dxa"/>
                  <w:noWrap w:val="0"/>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产生源</w:t>
                  </w:r>
                </w:p>
              </w:tc>
              <w:tc>
                <w:tcPr>
                  <w:tcW w:w="687" w:type="dxa"/>
                  <w:noWrap w:val="0"/>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1759" w:type="dxa"/>
                  <w:noWrap w:val="0"/>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一般固体废物分类与代码</w:t>
                  </w:r>
                </w:p>
              </w:tc>
              <w:tc>
                <w:tcPr>
                  <w:tcW w:w="803" w:type="dxa"/>
                  <w:noWrap w:val="0"/>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排放量</w:t>
                  </w:r>
                </w:p>
              </w:tc>
              <w:tc>
                <w:tcPr>
                  <w:tcW w:w="1255" w:type="dxa"/>
                  <w:noWrap w:val="0"/>
                  <w:vAlign w:val="center"/>
                </w:tcPr>
                <w:p>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处置办法</w:t>
                  </w:r>
                </w:p>
              </w:tc>
              <w:tc>
                <w:tcPr>
                  <w:tcW w:w="2142" w:type="dxa"/>
                  <w:noWrap w:val="0"/>
                  <w:vAlign w:val="center"/>
                </w:tcPr>
                <w:p>
                  <w:pPr>
                    <w:spacing w:line="240" w:lineRule="auto"/>
                    <w:jc w:val="center"/>
                    <w:rPr>
                      <w:rFonts w:hint="eastAsia" w:ascii="Times New Roman" w:hAnsi="Times New Roman" w:eastAsia="宋体" w:cs="Times New Roman"/>
                      <w:b/>
                      <w:bCs/>
                      <w:sz w:val="21"/>
                      <w:szCs w:val="21"/>
                      <w:lang w:eastAsia="zh-CN"/>
                    </w:rPr>
                  </w:pPr>
                  <w:r>
                    <w:rPr>
                      <w:rFonts w:hint="eastAsia" w:cs="Times New Roman"/>
                      <w:b/>
                      <w:bCs/>
                      <w:sz w:val="21"/>
                      <w:szCs w:val="21"/>
                      <w:lang w:val="en-US" w:eastAsia="zh-CN"/>
                    </w:rPr>
                    <w:t>环境管理要求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4"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生活垃圾</w:t>
                  </w:r>
                </w:p>
              </w:tc>
              <w:tc>
                <w:tcPr>
                  <w:tcW w:w="525"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职工生活</w:t>
                  </w:r>
                </w:p>
              </w:tc>
              <w:tc>
                <w:tcPr>
                  <w:tcW w:w="687"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生活垃圾</w:t>
                  </w:r>
                </w:p>
              </w:tc>
              <w:tc>
                <w:tcPr>
                  <w:tcW w:w="1759" w:type="dxa"/>
                  <w:noWrap w:val="0"/>
                  <w:vAlign w:val="center"/>
                </w:tcPr>
                <w:p>
                  <w:pPr>
                    <w:spacing w:line="240" w:lineRule="auto"/>
                    <w:jc w:val="center"/>
                    <w:rPr>
                      <w:rFonts w:hint="default" w:ascii="Times New Roman" w:hAnsi="Times New Roman" w:cs="Times New Roman"/>
                      <w:sz w:val="21"/>
                      <w:szCs w:val="21"/>
                      <w:lang w:val="en-US"/>
                    </w:rPr>
                  </w:pPr>
                  <w:r>
                    <w:rPr>
                      <w:rFonts w:hint="default" w:ascii="Times New Roman" w:hAnsi="Times New Roman" w:eastAsia="宋体" w:cs="Times New Roman"/>
                      <w:b w:val="0"/>
                      <w:bCs/>
                      <w:color w:val="000000"/>
                      <w:kern w:val="0"/>
                      <w:sz w:val="21"/>
                      <w:szCs w:val="21"/>
                      <w:highlight w:val="none"/>
                      <w:lang w:val="en-US" w:eastAsia="zh-CN" w:bidi="ar"/>
                    </w:rPr>
                    <w:t>900-</w:t>
                  </w:r>
                  <w:r>
                    <w:rPr>
                      <w:rFonts w:hint="eastAsia" w:cs="Times New Roman"/>
                      <w:b w:val="0"/>
                      <w:bCs/>
                      <w:color w:val="000000"/>
                      <w:kern w:val="0"/>
                      <w:sz w:val="21"/>
                      <w:szCs w:val="21"/>
                      <w:highlight w:val="none"/>
                      <w:lang w:val="en-US" w:eastAsia="zh-CN" w:bidi="ar"/>
                    </w:rPr>
                    <w:t>099</w:t>
                  </w:r>
                  <w:r>
                    <w:rPr>
                      <w:rFonts w:hint="default" w:ascii="Times New Roman" w:hAnsi="Times New Roman" w:eastAsia="宋体" w:cs="Times New Roman"/>
                      <w:b w:val="0"/>
                      <w:bCs/>
                      <w:color w:val="000000"/>
                      <w:kern w:val="0"/>
                      <w:sz w:val="21"/>
                      <w:szCs w:val="21"/>
                      <w:highlight w:val="none"/>
                      <w:lang w:val="en-US" w:eastAsia="zh-CN" w:bidi="ar"/>
                    </w:rPr>
                    <w:t>-</w:t>
                  </w:r>
                  <w:r>
                    <w:rPr>
                      <w:rFonts w:hint="eastAsia" w:cs="Times New Roman"/>
                      <w:b w:val="0"/>
                      <w:bCs/>
                      <w:color w:val="000000"/>
                      <w:kern w:val="0"/>
                      <w:sz w:val="21"/>
                      <w:szCs w:val="21"/>
                      <w:highlight w:val="none"/>
                      <w:lang w:val="en-US" w:eastAsia="zh-CN" w:bidi="ar"/>
                    </w:rPr>
                    <w:t>S64</w:t>
                  </w:r>
                </w:p>
              </w:tc>
              <w:tc>
                <w:tcPr>
                  <w:tcW w:w="803" w:type="dxa"/>
                  <w:noWrap w:val="0"/>
                  <w:vAlign w:val="center"/>
                </w:tcPr>
                <w:p>
                  <w:pPr>
                    <w:spacing w:line="240" w:lineRule="auto"/>
                    <w:jc w:val="center"/>
                    <w:rPr>
                      <w:rFonts w:hint="default" w:ascii="Times New Roman" w:hAnsi="Times New Roman" w:cs="Times New Roman"/>
                      <w:sz w:val="21"/>
                      <w:szCs w:val="21"/>
                    </w:rPr>
                  </w:pPr>
                  <w:r>
                    <w:rPr>
                      <w:rFonts w:hint="eastAsia" w:cs="Times New Roman"/>
                      <w:sz w:val="21"/>
                      <w:szCs w:val="21"/>
                      <w:lang w:val="en-US" w:eastAsia="zh-CN"/>
                    </w:rPr>
                    <w:t>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t/a</w:t>
                  </w:r>
                </w:p>
              </w:tc>
              <w:tc>
                <w:tcPr>
                  <w:tcW w:w="1255"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收集后交由环卫部门统一清理</w:t>
                  </w:r>
                </w:p>
              </w:tc>
              <w:tc>
                <w:tcPr>
                  <w:tcW w:w="2142" w:type="dxa"/>
                  <w:noWrap w:val="0"/>
                  <w:vAlign w:val="center"/>
                </w:tcPr>
                <w:p>
                  <w:pPr>
                    <w:spacing w:line="240" w:lineRule="auto"/>
                    <w:jc w:val="center"/>
                    <w:rPr>
                      <w:rFonts w:hint="eastAsia" w:ascii="Times New Roman" w:hAnsi="Times New Roman" w:eastAsia="宋体" w:cs="Times New Roman"/>
                      <w:sz w:val="21"/>
                      <w:szCs w:val="21"/>
                      <w:lang w:eastAsia="zh-CN"/>
                    </w:rPr>
                  </w:pPr>
                  <w:r>
                    <w:rPr>
                      <w:rFonts w:hint="eastAsia" w:ascii="宋体" w:hAnsi="宋体" w:cs="宋体"/>
                      <w:b w:val="0"/>
                      <w:bCs w:val="0"/>
                      <w:color w:val="000000"/>
                      <w:sz w:val="20"/>
                      <w:szCs w:val="20"/>
                      <w:highlight w:val="none"/>
                      <w:lang w:val="en-US" w:eastAsia="zh-CN"/>
                    </w:rPr>
                    <w:t>妥善处理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24" w:type="dxa"/>
                  <w:vMerge w:val="restart"/>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一般固废</w:t>
                  </w:r>
                </w:p>
              </w:tc>
              <w:tc>
                <w:tcPr>
                  <w:tcW w:w="525"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筛分</w:t>
                  </w:r>
                </w:p>
              </w:tc>
              <w:tc>
                <w:tcPr>
                  <w:tcW w:w="687" w:type="dxa"/>
                  <w:noWrap w:val="0"/>
                  <w:vAlign w:val="center"/>
                </w:tcPr>
                <w:p>
                  <w:pPr>
                    <w:spacing w:line="240" w:lineRule="auto"/>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筛分废物</w:t>
                  </w:r>
                </w:p>
              </w:tc>
              <w:tc>
                <w:tcPr>
                  <w:tcW w:w="1759"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900-</w:t>
                  </w:r>
                  <w:r>
                    <w:rPr>
                      <w:rFonts w:hint="eastAsia" w:cs="Times New Roman"/>
                      <w:sz w:val="21"/>
                      <w:szCs w:val="21"/>
                      <w:lang w:val="en-US" w:eastAsia="zh-CN"/>
                    </w:rPr>
                    <w:t>0</w:t>
                  </w:r>
                  <w:r>
                    <w:rPr>
                      <w:rFonts w:hint="default" w:ascii="Times New Roman" w:hAnsi="Times New Roman" w:cs="Times New Roman"/>
                      <w:sz w:val="21"/>
                      <w:szCs w:val="21"/>
                    </w:rPr>
                    <w:t>99-</w:t>
                  </w:r>
                  <w:r>
                    <w:rPr>
                      <w:rFonts w:hint="eastAsia" w:cs="Times New Roman"/>
                      <w:sz w:val="21"/>
                      <w:szCs w:val="21"/>
                      <w:lang w:val="en-US" w:eastAsia="zh-CN"/>
                    </w:rPr>
                    <w:t>S59</w:t>
                  </w:r>
                </w:p>
              </w:tc>
              <w:tc>
                <w:tcPr>
                  <w:tcW w:w="803" w:type="dxa"/>
                  <w:noWrap w:val="0"/>
                  <w:vAlign w:val="center"/>
                </w:tcPr>
                <w:p>
                  <w:pPr>
                    <w:spacing w:line="240" w:lineRule="auto"/>
                    <w:jc w:val="center"/>
                    <w:rPr>
                      <w:rFonts w:hint="default" w:ascii="Times New Roman" w:hAnsi="Times New Roman" w:cs="Times New Roman"/>
                      <w:sz w:val="21"/>
                      <w:szCs w:val="21"/>
                    </w:rPr>
                  </w:pPr>
                  <w:r>
                    <w:rPr>
                      <w:rFonts w:hint="eastAsia" w:cs="Times New Roman"/>
                      <w:sz w:val="21"/>
                      <w:szCs w:val="21"/>
                      <w:lang w:val="en-US" w:eastAsia="zh-CN"/>
                    </w:rPr>
                    <w:t>1</w:t>
                  </w:r>
                  <w:r>
                    <w:rPr>
                      <w:rFonts w:hint="default" w:ascii="Times New Roman" w:hAnsi="Times New Roman" w:cs="Times New Roman"/>
                      <w:sz w:val="21"/>
                      <w:szCs w:val="21"/>
                    </w:rPr>
                    <w:t>t/a</w:t>
                  </w:r>
                </w:p>
              </w:tc>
              <w:tc>
                <w:tcPr>
                  <w:tcW w:w="1255"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集中</w:t>
                  </w:r>
                  <w:r>
                    <w:rPr>
                      <w:rFonts w:hint="default" w:ascii="Times New Roman" w:hAnsi="Times New Roman" w:cs="Times New Roman"/>
                      <w:sz w:val="21"/>
                      <w:szCs w:val="21"/>
                    </w:rPr>
                    <w:t>收集后</w:t>
                  </w:r>
                  <w:r>
                    <w:rPr>
                      <w:rFonts w:hint="eastAsia" w:cs="Times New Roman"/>
                      <w:sz w:val="21"/>
                      <w:szCs w:val="21"/>
                      <w:lang w:val="en-US" w:eastAsia="zh-CN"/>
                    </w:rPr>
                    <w:t>由环卫部门统一清运</w:t>
                  </w:r>
                </w:p>
              </w:tc>
              <w:tc>
                <w:tcPr>
                  <w:tcW w:w="2142" w:type="dxa"/>
                  <w:vMerge w:val="restart"/>
                  <w:noWrap w:val="0"/>
                  <w:vAlign w:val="center"/>
                </w:tcPr>
                <w:p>
                  <w:pPr>
                    <w:spacing w:line="240" w:lineRule="auto"/>
                    <w:jc w:val="center"/>
                    <w:rPr>
                      <w:rFonts w:hint="eastAsia" w:cs="Times New Roman"/>
                      <w:sz w:val="21"/>
                      <w:szCs w:val="21"/>
                      <w:lang w:val="en-US" w:eastAsia="zh-CN"/>
                    </w:rPr>
                  </w:pPr>
                </w:p>
                <w:p>
                  <w:pPr>
                    <w:spacing w:line="240" w:lineRule="auto"/>
                    <w:jc w:val="center"/>
                    <w:rPr>
                      <w:rFonts w:hint="default" w:ascii="Times New Roman" w:hAnsi="Times New Roman" w:cs="Times New Roman"/>
                      <w:sz w:val="21"/>
                      <w:szCs w:val="21"/>
                    </w:rPr>
                  </w:pPr>
                  <w:r>
                    <w:rPr>
                      <w:rFonts w:ascii="宋体" w:hAnsi="宋体" w:eastAsia="宋体" w:cs="宋体"/>
                      <w:b w:val="0"/>
                      <w:bCs w:val="0"/>
                      <w:color w:val="000000"/>
                      <w:sz w:val="20"/>
                      <w:szCs w:val="20"/>
                    </w:rPr>
                    <w:t>执行《一般工业固体废物贮存和填埋污染控制标准》（</w:t>
                  </w:r>
                  <w:r>
                    <w:rPr>
                      <w:rFonts w:ascii="TimesNewRomanPSMT" w:hAnsi="TimesNewRomanPSMT" w:eastAsia="TimesNewRomanPSMT" w:cs="TimesNewRomanPSMT"/>
                      <w:b w:val="0"/>
                      <w:bCs w:val="0"/>
                      <w:color w:val="000000"/>
                      <w:sz w:val="20"/>
                      <w:szCs w:val="20"/>
                    </w:rPr>
                    <w:t>GB185 99-2020</w:t>
                  </w:r>
                  <w:r>
                    <w:rPr>
                      <w:rFonts w:ascii="宋体" w:hAnsi="宋体" w:eastAsia="宋体" w:cs="宋体"/>
                      <w:b w:val="0"/>
                      <w:bCs w:val="0"/>
                      <w:color w:val="000000"/>
                      <w:sz w:val="20"/>
                      <w:szCs w:val="20"/>
                    </w:rPr>
                    <w:t>）贮存场相关要求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4" w:type="dxa"/>
                  <w:vMerge w:val="continue"/>
                  <w:noWrap w:val="0"/>
                  <w:vAlign w:val="center"/>
                </w:tcPr>
                <w:p>
                  <w:pPr>
                    <w:spacing w:line="240" w:lineRule="auto"/>
                    <w:jc w:val="center"/>
                    <w:rPr>
                      <w:rFonts w:hint="default" w:ascii="Times New Roman" w:hAnsi="Times New Roman" w:cs="Times New Roman"/>
                      <w:sz w:val="21"/>
                      <w:szCs w:val="21"/>
                    </w:rPr>
                  </w:pPr>
                </w:p>
              </w:tc>
              <w:tc>
                <w:tcPr>
                  <w:tcW w:w="525"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产品包装</w:t>
                  </w:r>
                </w:p>
              </w:tc>
              <w:tc>
                <w:tcPr>
                  <w:tcW w:w="687"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废包装袋</w:t>
                  </w:r>
                </w:p>
              </w:tc>
              <w:tc>
                <w:tcPr>
                  <w:tcW w:w="1759"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900-</w:t>
                  </w:r>
                  <w:r>
                    <w:rPr>
                      <w:rFonts w:hint="eastAsia" w:cs="Times New Roman"/>
                      <w:sz w:val="21"/>
                      <w:szCs w:val="21"/>
                      <w:lang w:val="en-US" w:eastAsia="zh-CN"/>
                    </w:rPr>
                    <w:t>003</w:t>
                  </w:r>
                  <w:r>
                    <w:rPr>
                      <w:rFonts w:hint="default" w:ascii="Times New Roman" w:hAnsi="Times New Roman" w:cs="Times New Roman"/>
                      <w:sz w:val="21"/>
                      <w:szCs w:val="21"/>
                    </w:rPr>
                    <w:t>-</w:t>
                  </w:r>
                  <w:r>
                    <w:rPr>
                      <w:rFonts w:hint="eastAsia" w:cs="Times New Roman"/>
                      <w:sz w:val="21"/>
                      <w:szCs w:val="21"/>
                      <w:lang w:val="en-US" w:eastAsia="zh-CN"/>
                    </w:rPr>
                    <w:t>S17</w:t>
                  </w:r>
                </w:p>
              </w:tc>
              <w:tc>
                <w:tcPr>
                  <w:tcW w:w="803"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lang w:val="en-US" w:eastAsia="zh-CN"/>
                    </w:rPr>
                    <w:t>0.1t/a</w:t>
                  </w:r>
                </w:p>
              </w:tc>
              <w:tc>
                <w:tcPr>
                  <w:tcW w:w="1255" w:type="dxa"/>
                  <w:noWrap w:val="0"/>
                  <w:vAlign w:val="center"/>
                </w:tcPr>
                <w:p>
                  <w:pPr>
                    <w:spacing w:line="240" w:lineRule="auto"/>
                    <w:jc w:val="center"/>
                    <w:rPr>
                      <w:rFonts w:hint="default" w:ascii="Times New Roman" w:hAnsi="Times New Roman" w:cs="Times New Roman"/>
                      <w:sz w:val="21"/>
                      <w:szCs w:val="21"/>
                    </w:rPr>
                  </w:pPr>
                  <w:r>
                    <w:rPr>
                      <w:rFonts w:hint="eastAsia" w:cs="Times New Roman"/>
                      <w:sz w:val="21"/>
                      <w:szCs w:val="21"/>
                      <w:lang w:val="en-US" w:eastAsia="zh-CN"/>
                    </w:rPr>
                    <w:t>集中</w:t>
                  </w:r>
                  <w:r>
                    <w:rPr>
                      <w:rFonts w:hint="default" w:ascii="Times New Roman" w:hAnsi="Times New Roman" w:cs="Times New Roman"/>
                      <w:sz w:val="21"/>
                      <w:szCs w:val="21"/>
                    </w:rPr>
                    <w:t>收集后</w:t>
                  </w:r>
                  <w:r>
                    <w:rPr>
                      <w:rFonts w:hint="eastAsia" w:cs="Times New Roman"/>
                      <w:sz w:val="21"/>
                      <w:szCs w:val="21"/>
                      <w:lang w:val="en-US" w:eastAsia="zh-CN"/>
                    </w:rPr>
                    <w:t>外售</w:t>
                  </w:r>
                </w:p>
              </w:tc>
              <w:tc>
                <w:tcPr>
                  <w:tcW w:w="2142" w:type="dxa"/>
                  <w:vMerge w:val="continue"/>
                  <w:noWrap w:val="0"/>
                  <w:vAlign w:val="center"/>
                </w:tcPr>
                <w:p>
                  <w:pPr>
                    <w:spacing w:line="240" w:lineRule="auto"/>
                    <w:jc w:val="center"/>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4" w:type="dxa"/>
                  <w:vMerge w:val="continue"/>
                  <w:noWrap w:val="0"/>
                  <w:vAlign w:val="center"/>
                </w:tcPr>
                <w:p>
                  <w:pPr>
                    <w:spacing w:line="240" w:lineRule="auto"/>
                    <w:jc w:val="center"/>
                    <w:rPr>
                      <w:rFonts w:hint="default" w:ascii="Times New Roman" w:hAnsi="Times New Roman" w:cs="Times New Roman"/>
                      <w:sz w:val="21"/>
                      <w:szCs w:val="21"/>
                    </w:rPr>
                  </w:pPr>
                </w:p>
              </w:tc>
              <w:tc>
                <w:tcPr>
                  <w:tcW w:w="525"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除尘设备</w:t>
                  </w:r>
                </w:p>
              </w:tc>
              <w:tc>
                <w:tcPr>
                  <w:tcW w:w="687"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布袋除尘收集的粉尘</w:t>
                  </w:r>
                </w:p>
              </w:tc>
              <w:tc>
                <w:tcPr>
                  <w:tcW w:w="1759" w:type="dxa"/>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900-</w:t>
                  </w:r>
                  <w:r>
                    <w:rPr>
                      <w:rFonts w:hint="eastAsia" w:cs="Times New Roman"/>
                      <w:sz w:val="21"/>
                      <w:szCs w:val="21"/>
                      <w:lang w:val="en-US" w:eastAsia="zh-CN"/>
                    </w:rPr>
                    <w:t>0</w:t>
                  </w:r>
                  <w:r>
                    <w:rPr>
                      <w:rFonts w:hint="default" w:ascii="Times New Roman" w:hAnsi="Times New Roman" w:cs="Times New Roman"/>
                      <w:sz w:val="21"/>
                      <w:szCs w:val="21"/>
                    </w:rPr>
                    <w:t>99-</w:t>
                  </w:r>
                  <w:r>
                    <w:rPr>
                      <w:rFonts w:hint="eastAsia" w:cs="Times New Roman"/>
                      <w:sz w:val="21"/>
                      <w:szCs w:val="21"/>
                      <w:lang w:val="en-US" w:eastAsia="zh-CN"/>
                    </w:rPr>
                    <w:t>S59</w:t>
                  </w:r>
                </w:p>
              </w:tc>
              <w:tc>
                <w:tcPr>
                  <w:tcW w:w="803" w:type="dxa"/>
                  <w:noWrap w:val="0"/>
                  <w:vAlign w:val="center"/>
                </w:tcPr>
                <w:p>
                  <w:pPr>
                    <w:spacing w:line="240" w:lineRule="auto"/>
                    <w:jc w:val="center"/>
                    <w:rPr>
                      <w:rFonts w:hint="default" w:ascii="Times New Roman" w:hAnsi="Times New Roman" w:cs="Times New Roman"/>
                      <w:sz w:val="21"/>
                      <w:szCs w:val="21"/>
                    </w:rPr>
                  </w:pPr>
                  <w:r>
                    <w:rPr>
                      <w:rFonts w:hint="eastAsia" w:cs="Times New Roman"/>
                      <w:sz w:val="21"/>
                      <w:szCs w:val="21"/>
                      <w:lang w:val="en-US" w:eastAsia="zh-CN"/>
                    </w:rPr>
                    <w:t>56.56</w:t>
                  </w:r>
                  <w:r>
                    <w:rPr>
                      <w:rFonts w:hint="default" w:ascii="Times New Roman" w:hAnsi="Times New Roman" w:cs="Times New Roman"/>
                      <w:sz w:val="21"/>
                      <w:szCs w:val="21"/>
                    </w:rPr>
                    <w:t>t/a</w:t>
                  </w:r>
                </w:p>
              </w:tc>
              <w:tc>
                <w:tcPr>
                  <w:tcW w:w="1255" w:type="dxa"/>
                  <w:noWrap w:val="0"/>
                  <w:vAlign w:val="center"/>
                </w:tcPr>
                <w:p>
                  <w:pPr>
                    <w:spacing w:line="240" w:lineRule="auto"/>
                    <w:jc w:val="center"/>
                    <w:rPr>
                      <w:rFonts w:hint="default" w:ascii="Times New Roman" w:hAnsi="Times New Roman" w:cs="Times New Roman"/>
                      <w:sz w:val="21"/>
                      <w:szCs w:val="21"/>
                    </w:rPr>
                  </w:pPr>
                  <w:r>
                    <w:rPr>
                      <w:rFonts w:hint="eastAsia" w:cs="Times New Roman"/>
                      <w:sz w:val="21"/>
                      <w:szCs w:val="21"/>
                      <w:lang w:val="en-US" w:eastAsia="zh-CN"/>
                    </w:rPr>
                    <w:t>集中</w:t>
                  </w:r>
                  <w:r>
                    <w:rPr>
                      <w:rFonts w:hint="default" w:ascii="Times New Roman" w:hAnsi="Times New Roman" w:cs="Times New Roman"/>
                      <w:sz w:val="21"/>
                      <w:szCs w:val="21"/>
                    </w:rPr>
                    <w:t>收集后</w:t>
                  </w:r>
                  <w:r>
                    <w:rPr>
                      <w:rFonts w:hint="eastAsia" w:cs="Times New Roman"/>
                      <w:sz w:val="21"/>
                      <w:szCs w:val="21"/>
                      <w:lang w:val="en-US" w:eastAsia="zh-CN"/>
                    </w:rPr>
                    <w:t>回用于生产</w:t>
                  </w:r>
                </w:p>
              </w:tc>
              <w:tc>
                <w:tcPr>
                  <w:tcW w:w="2142" w:type="dxa"/>
                  <w:vMerge w:val="continue"/>
                  <w:noWrap w:val="0"/>
                  <w:vAlign w:val="center"/>
                </w:tcPr>
                <w:p>
                  <w:pPr>
                    <w:spacing w:line="240" w:lineRule="auto"/>
                    <w:jc w:val="center"/>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4"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危险废物</w:t>
                  </w:r>
                </w:p>
              </w:tc>
              <w:tc>
                <w:tcPr>
                  <w:tcW w:w="525"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设备维护</w:t>
                  </w:r>
                </w:p>
              </w:tc>
              <w:tc>
                <w:tcPr>
                  <w:tcW w:w="687"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废机油</w:t>
                  </w:r>
                </w:p>
              </w:tc>
              <w:tc>
                <w:tcPr>
                  <w:tcW w:w="1759" w:type="dxa"/>
                  <w:noWrap w:val="0"/>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HW08（900-214-08）</w:t>
                  </w:r>
                </w:p>
              </w:tc>
              <w:tc>
                <w:tcPr>
                  <w:tcW w:w="803" w:type="dxa"/>
                  <w:noWrap w:val="0"/>
                  <w:vAlign w:val="center"/>
                </w:tcPr>
                <w:p>
                  <w:pPr>
                    <w:spacing w:line="240" w:lineRule="auto"/>
                    <w:jc w:val="center"/>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eastAsia="zh-CN"/>
                    </w:rPr>
                    <w:t>0.1t/a</w:t>
                  </w:r>
                </w:p>
              </w:tc>
              <w:tc>
                <w:tcPr>
                  <w:tcW w:w="1255" w:type="dxa"/>
                  <w:noWrap w:val="0"/>
                  <w:vAlign w:val="center"/>
                </w:tcPr>
                <w:p>
                  <w:pPr>
                    <w:spacing w:line="240" w:lineRule="auto"/>
                    <w:jc w:val="center"/>
                    <w:rPr>
                      <w:rStyle w:val="36"/>
                      <w:rFonts w:hint="default" w:ascii="Times New Roman" w:hAnsi="Times New Roman" w:cs="Times New Roman"/>
                      <w:kern w:val="0"/>
                      <w:sz w:val="21"/>
                      <w:szCs w:val="21"/>
                    </w:rPr>
                  </w:pPr>
                  <w:r>
                    <w:rPr>
                      <w:rStyle w:val="36"/>
                      <w:rFonts w:hint="default" w:ascii="Times New Roman" w:hAnsi="Times New Roman" w:cs="Times New Roman"/>
                      <w:kern w:val="0"/>
                      <w:sz w:val="21"/>
                      <w:szCs w:val="21"/>
                    </w:rPr>
                    <w:t>危废暂存间暂存，委托具有处理资质的单位处置</w:t>
                  </w:r>
                </w:p>
              </w:tc>
              <w:tc>
                <w:tcPr>
                  <w:tcW w:w="2142" w:type="dxa"/>
                  <w:noWrap w:val="0"/>
                  <w:vAlign w:val="center"/>
                </w:tcPr>
                <w:p>
                  <w:pPr>
                    <w:spacing w:line="240" w:lineRule="auto"/>
                    <w:jc w:val="center"/>
                    <w:rPr>
                      <w:rFonts w:hint="default" w:ascii="Times New Roman" w:hAnsi="Times New Roman" w:cs="Times New Roman"/>
                      <w:sz w:val="21"/>
                      <w:szCs w:val="21"/>
                    </w:rPr>
                  </w:pPr>
                  <w:r>
                    <w:rPr>
                      <w:rFonts w:ascii="宋体" w:hAnsi="宋体" w:eastAsia="宋体" w:cs="宋体"/>
                      <w:b w:val="0"/>
                      <w:bCs w:val="0"/>
                      <w:color w:val="000000"/>
                      <w:sz w:val="20"/>
                      <w:szCs w:val="20"/>
                    </w:rPr>
                    <w:t>执行《危险废物贮存污染控制标准》 （</w:t>
                  </w:r>
                  <w:r>
                    <w:rPr>
                      <w:rFonts w:ascii="TimesNewRomanPSMT" w:hAnsi="TimesNewRomanPSMT" w:eastAsia="TimesNewRomanPSMT" w:cs="TimesNewRomanPSMT"/>
                      <w:b w:val="0"/>
                      <w:bCs w:val="0"/>
                      <w:color w:val="000000"/>
                      <w:sz w:val="20"/>
                      <w:szCs w:val="20"/>
                    </w:rPr>
                    <w:t>GB185 97-2023</w:t>
                  </w:r>
                  <w:r>
                    <w:rPr>
                      <w:rFonts w:ascii="宋体" w:hAnsi="宋体" w:eastAsia="宋体" w:cs="宋体"/>
                      <w:b w:val="0"/>
                      <w:bCs w:val="0"/>
                      <w:color w:val="000000"/>
                      <w:sz w:val="20"/>
                      <w:szCs w:val="20"/>
                    </w:rPr>
                    <w:t>） 相关要求</w:t>
                  </w:r>
                </w:p>
              </w:tc>
            </w:tr>
          </w:tbl>
          <w:p>
            <w:pPr>
              <w:pStyle w:val="76"/>
              <w:spacing w:line="360" w:lineRule="auto"/>
              <w:rPr>
                <w:rFonts w:hint="default" w:ascii="Times New Roman" w:hAnsi="Times New Roman" w:cs="Times New Roman"/>
                <w:color w:val="000000"/>
              </w:rPr>
            </w:pPr>
            <w:r>
              <w:rPr>
                <w:rFonts w:hint="default" w:ascii="Times New Roman" w:hAnsi="Times New Roman" w:cs="Times New Roman"/>
                <w:color w:val="000000"/>
              </w:rPr>
              <w:t>由上表可以得出该项目所产生的各种固体废物均具有良好的处置方法，处置率100%，符合固体废物减量化、资源化、无害化要求，防治措施可行，不会对周围环境产生影响。</w:t>
            </w:r>
          </w:p>
          <w:p>
            <w:pPr>
              <w:pStyle w:val="61"/>
              <w:spacing w:line="360" w:lineRule="auto"/>
              <w:ind w:firstLine="0"/>
              <w:rPr>
                <w:b/>
                <w:color w:val="auto"/>
                <w:sz w:val="24"/>
                <w:szCs w:val="24"/>
                <w:highlight w:val="none"/>
              </w:rPr>
            </w:pPr>
            <w:r>
              <w:rPr>
                <w:b/>
                <w:color w:val="auto"/>
                <w:sz w:val="24"/>
                <w:szCs w:val="24"/>
                <w:highlight w:val="none"/>
              </w:rPr>
              <w:t>4.2 固体废物防治措施及环境管理要求</w:t>
            </w:r>
          </w:p>
          <w:p>
            <w:pPr>
              <w:pStyle w:val="49"/>
              <w:spacing w:line="360" w:lineRule="auto"/>
              <w:ind w:firstLine="480"/>
              <w:rPr>
                <w:rFonts w:cs="Times New Roman"/>
                <w:color w:val="auto"/>
                <w:kern w:val="2"/>
                <w:szCs w:val="24"/>
                <w:highlight w:val="none"/>
              </w:rPr>
            </w:pPr>
            <w:r>
              <w:rPr>
                <w:rFonts w:cs="Times New Roman"/>
                <w:color w:val="auto"/>
                <w:kern w:val="2"/>
                <w:szCs w:val="24"/>
                <w:highlight w:val="none"/>
              </w:rPr>
              <w:t>（1）固体废物产生及处置情况</w:t>
            </w:r>
          </w:p>
          <w:p>
            <w:pPr>
              <w:pStyle w:val="49"/>
              <w:spacing w:line="360" w:lineRule="auto"/>
              <w:ind w:firstLine="480"/>
              <w:rPr>
                <w:rFonts w:cs="Times New Roman"/>
                <w:color w:val="auto"/>
                <w:kern w:val="2"/>
                <w:szCs w:val="24"/>
                <w:highlight w:val="none"/>
              </w:rPr>
            </w:pPr>
            <w:r>
              <w:rPr>
                <w:rFonts w:cs="Times New Roman"/>
                <w:color w:val="auto"/>
                <w:kern w:val="2"/>
                <w:szCs w:val="24"/>
                <w:highlight w:val="none"/>
              </w:rPr>
              <w:t>本项目固体废物主要为</w:t>
            </w:r>
            <w:r>
              <w:rPr>
                <w:rFonts w:hint="eastAsia" w:cs="Times New Roman"/>
                <w:color w:val="auto"/>
                <w:kern w:val="2"/>
                <w:szCs w:val="24"/>
                <w:highlight w:val="none"/>
                <w:lang w:val="en-US" w:eastAsia="zh-CN"/>
              </w:rPr>
              <w:t>布袋除尘器收集的粉尘、筛分废物</w:t>
            </w:r>
            <w:r>
              <w:rPr>
                <w:rFonts w:cs="Times New Roman"/>
                <w:color w:val="auto"/>
                <w:kern w:val="2"/>
                <w:szCs w:val="24"/>
                <w:highlight w:val="none"/>
              </w:rPr>
              <w:t>、</w:t>
            </w:r>
            <w:r>
              <w:rPr>
                <w:rFonts w:hint="eastAsia" w:cs="Times New Roman"/>
                <w:color w:val="auto"/>
                <w:kern w:val="2"/>
                <w:szCs w:val="24"/>
                <w:highlight w:val="none"/>
                <w:lang w:val="en-US" w:eastAsia="zh-CN"/>
              </w:rPr>
              <w:t>废包装袋、废机油</w:t>
            </w:r>
            <w:r>
              <w:rPr>
                <w:rFonts w:cs="Times New Roman"/>
                <w:color w:val="auto"/>
                <w:kern w:val="2"/>
                <w:szCs w:val="24"/>
                <w:highlight w:val="none"/>
              </w:rPr>
              <w:t>以及员工生活垃圾。员工生活垃圾</w:t>
            </w:r>
            <w:r>
              <w:rPr>
                <w:rFonts w:hint="default" w:ascii="Times New Roman" w:hAnsi="Times New Roman" w:cs="Times New Roman"/>
                <w:sz w:val="24"/>
                <w:szCs w:val="24"/>
              </w:rPr>
              <w:t>收集后交由环卫部门统一清理</w:t>
            </w:r>
            <w:r>
              <w:rPr>
                <w:rFonts w:hint="eastAsia" w:cs="Times New Roman"/>
                <w:sz w:val="24"/>
                <w:szCs w:val="24"/>
                <w:lang w:eastAsia="zh-CN"/>
              </w:rPr>
              <w:t>；</w:t>
            </w:r>
            <w:r>
              <w:rPr>
                <w:rFonts w:hint="eastAsia"/>
                <w:color w:val="auto"/>
                <w:highlight w:val="none"/>
              </w:rPr>
              <w:t>项目产生的</w:t>
            </w:r>
            <w:r>
              <w:rPr>
                <w:rFonts w:hint="eastAsia" w:cs="Times New Roman"/>
                <w:color w:val="auto"/>
                <w:kern w:val="2"/>
                <w:szCs w:val="24"/>
                <w:highlight w:val="none"/>
                <w:lang w:val="en-US" w:eastAsia="zh-CN"/>
              </w:rPr>
              <w:t>布袋除尘器收集的颗粒物</w:t>
            </w:r>
            <w:r>
              <w:rPr>
                <w:rFonts w:hint="eastAsia"/>
                <w:color w:val="auto"/>
                <w:highlight w:val="none"/>
              </w:rPr>
              <w:t>集中收集后</w:t>
            </w:r>
            <w:r>
              <w:rPr>
                <w:rFonts w:hint="eastAsia"/>
                <w:color w:val="auto"/>
                <w:highlight w:val="none"/>
                <w:lang w:val="en-US" w:eastAsia="zh-CN"/>
              </w:rPr>
              <w:t>回用于生产，</w:t>
            </w:r>
            <w:r>
              <w:rPr>
                <w:rFonts w:hint="eastAsia" w:cs="Times New Roman"/>
                <w:color w:val="auto"/>
                <w:kern w:val="2"/>
                <w:szCs w:val="24"/>
                <w:highlight w:val="none"/>
                <w:lang w:val="en-US" w:eastAsia="zh-CN"/>
              </w:rPr>
              <w:t>筛分废物集中收集后</w:t>
            </w:r>
            <w:r>
              <w:rPr>
                <w:rFonts w:hint="default" w:ascii="Times New Roman" w:hAnsi="Times New Roman" w:cs="Times New Roman"/>
                <w:sz w:val="24"/>
                <w:szCs w:val="24"/>
              </w:rPr>
              <w:t>由环卫部门统一清理</w:t>
            </w:r>
            <w:r>
              <w:rPr>
                <w:rFonts w:hint="eastAsia" w:ascii="Times New Roman" w:hAnsi="Times New Roman" w:cs="Times New Roman"/>
                <w:sz w:val="24"/>
                <w:szCs w:val="24"/>
                <w:lang w:eastAsia="zh-CN"/>
              </w:rPr>
              <w:t>，</w:t>
            </w:r>
            <w:r>
              <w:rPr>
                <w:rFonts w:hint="eastAsia" w:cs="Times New Roman"/>
                <w:color w:val="auto"/>
                <w:kern w:val="2"/>
                <w:szCs w:val="24"/>
                <w:highlight w:val="none"/>
                <w:lang w:val="en-US" w:eastAsia="zh-CN"/>
              </w:rPr>
              <w:t>废包装袋</w:t>
            </w:r>
            <w:r>
              <w:rPr>
                <w:rFonts w:hint="eastAsia"/>
                <w:color w:val="auto"/>
                <w:highlight w:val="none"/>
              </w:rPr>
              <w:t>集中收集后外售；</w:t>
            </w:r>
            <w:r>
              <w:rPr>
                <w:rFonts w:hint="eastAsia" w:cs="Times New Roman"/>
                <w:color w:val="auto"/>
                <w:kern w:val="2"/>
                <w:szCs w:val="24"/>
                <w:highlight w:val="none"/>
                <w:lang w:val="en-US" w:eastAsia="zh-CN"/>
              </w:rPr>
              <w:t>废机油</w:t>
            </w:r>
            <w:r>
              <w:rPr>
                <w:rFonts w:hint="eastAsia"/>
                <w:color w:val="auto"/>
                <w:highlight w:val="none"/>
              </w:rPr>
              <w:t>集中收集至危废暂存间后，定期委托有相关资质的单位统一处置</w:t>
            </w:r>
            <w:r>
              <w:rPr>
                <w:rFonts w:cs="Times New Roman"/>
                <w:color w:val="auto"/>
                <w:kern w:val="2"/>
                <w:szCs w:val="24"/>
                <w:highlight w:val="none"/>
              </w:rPr>
              <w:t>。</w:t>
            </w:r>
          </w:p>
          <w:p>
            <w:pPr>
              <w:pStyle w:val="49"/>
              <w:spacing w:line="360" w:lineRule="auto"/>
              <w:ind w:firstLine="480"/>
              <w:rPr>
                <w:rFonts w:cs="Times New Roman"/>
                <w:color w:val="auto"/>
                <w:kern w:val="2"/>
                <w:szCs w:val="24"/>
                <w:highlight w:val="none"/>
              </w:rPr>
            </w:pPr>
            <w:r>
              <w:rPr>
                <w:rFonts w:cs="Times New Roman"/>
                <w:color w:val="auto"/>
                <w:kern w:val="2"/>
                <w:szCs w:val="24"/>
                <w:highlight w:val="none"/>
              </w:rPr>
              <w:t>综上，项目固体废物可得到合理处置，对外环境影响较小。</w:t>
            </w:r>
          </w:p>
          <w:p>
            <w:pPr>
              <w:pStyle w:val="49"/>
              <w:spacing w:line="360" w:lineRule="auto"/>
              <w:ind w:firstLine="480"/>
              <w:rPr>
                <w:rFonts w:cs="Times New Roman"/>
                <w:color w:val="auto"/>
                <w:kern w:val="2"/>
                <w:szCs w:val="24"/>
                <w:highlight w:val="none"/>
              </w:rPr>
            </w:pPr>
            <w:r>
              <w:rPr>
                <w:rFonts w:cs="Times New Roman"/>
                <w:color w:val="auto"/>
                <w:kern w:val="2"/>
                <w:szCs w:val="24"/>
                <w:highlight w:val="none"/>
              </w:rPr>
              <w:t>（2）一般固废暂存要求</w:t>
            </w:r>
          </w:p>
          <w:p>
            <w:pPr>
              <w:pStyle w:val="49"/>
              <w:spacing w:line="360" w:lineRule="auto"/>
              <w:ind w:firstLine="480"/>
              <w:rPr>
                <w:rFonts w:cs="Times New Roman"/>
                <w:color w:val="auto"/>
                <w:kern w:val="2"/>
                <w:szCs w:val="24"/>
                <w:highlight w:val="none"/>
              </w:rPr>
            </w:pPr>
            <w:r>
              <w:rPr>
                <w:rFonts w:cs="Times New Roman"/>
                <w:color w:val="auto"/>
                <w:kern w:val="2"/>
                <w:szCs w:val="24"/>
                <w:highlight w:val="none"/>
              </w:rPr>
              <w:t>根据一般固废种类进行分类收集，分类贮存，贮存场所设置挡风、挡雨和防渗措施，可有效防止扬尘、渗滤液对周围环境造成影响。一般固废临时暂存场所按照《一般工业固体废物贮存和填埋污染控制标准》（GB18599-2020）的相关要求进行设置。同时，</w:t>
            </w:r>
            <w:r>
              <w:rPr>
                <w:rFonts w:hint="eastAsia" w:cs="Times New Roman"/>
                <w:color w:val="auto"/>
                <w:kern w:val="2"/>
                <w:szCs w:val="24"/>
                <w:highlight w:val="none"/>
                <w:lang w:val="en-US" w:eastAsia="zh-CN"/>
              </w:rPr>
              <w:t>根据</w:t>
            </w:r>
            <w:r>
              <w:rPr>
                <w:rFonts w:hint="eastAsia" w:ascii="宋体" w:hAnsi="宋体" w:eastAsia="宋体" w:cs="宋体"/>
                <w:b w:val="0"/>
                <w:bCs w:val="0"/>
                <w:color w:val="000000" w:themeColor="text1"/>
                <w:kern w:val="0"/>
                <w:sz w:val="24"/>
                <w:szCs w:val="24"/>
                <w:lang w:bidi="ar"/>
                <w14:textFill>
                  <w14:solidFill>
                    <w14:schemeClr w14:val="tx1"/>
                  </w14:solidFill>
                </w14:textFill>
              </w:rPr>
              <w:t>《一般工业固体废物管理台账制定指南（试行）》</w:t>
            </w:r>
            <w:r>
              <w:rPr>
                <w:rFonts w:hint="eastAsia" w:ascii="宋体" w:hAnsi="宋体" w:cs="宋体"/>
                <w:b w:val="0"/>
                <w:bCs w:val="0"/>
                <w:color w:val="000000" w:themeColor="text1"/>
                <w:kern w:val="0"/>
                <w:sz w:val="24"/>
                <w:szCs w:val="24"/>
                <w:lang w:eastAsia="zh-CN" w:bidi="ar"/>
                <w14:textFill>
                  <w14:solidFill>
                    <w14:schemeClr w14:val="tx1"/>
                  </w14:solidFill>
                </w14:textFill>
              </w:rPr>
              <w:t>，</w:t>
            </w:r>
            <w:r>
              <w:rPr>
                <w:rFonts w:hint="eastAsia" w:cs="Times New Roman"/>
                <w:color w:val="auto"/>
                <w:kern w:val="2"/>
                <w:szCs w:val="24"/>
                <w:highlight w:val="none"/>
                <w:lang w:val="en-US" w:eastAsia="zh-CN"/>
              </w:rPr>
              <w:t>建立一般工业固体废物管理台账，一般工业固体废物管理台账实施分级管理，主要用于记录固体废物的基础信息及流向信息，每一批次固体废物的出厂以及转移信息均应当如实记录。企业应设置专人负责台账的管理与归档，一般工业固体废物管理台账保存期限不少于5年，台账记录的负责人要对各表单记录信息的真实性、完整性和规范性负责</w:t>
            </w:r>
            <w:r>
              <w:rPr>
                <w:rFonts w:cs="Times New Roman"/>
                <w:color w:val="auto"/>
                <w:kern w:val="2"/>
                <w:szCs w:val="24"/>
                <w:highlight w:val="none"/>
              </w:rPr>
              <w:t>。</w:t>
            </w:r>
          </w:p>
          <w:p>
            <w:pPr>
              <w:pStyle w:val="49"/>
              <w:numPr>
                <w:ilvl w:val="0"/>
                <w:numId w:val="0"/>
              </w:numPr>
              <w:spacing w:line="360" w:lineRule="auto"/>
              <w:ind w:left="0" w:leftChars="0" w:firstLine="480" w:firstLineChars="200"/>
              <w:rPr>
                <w:rFonts w:cs="Times New Roman"/>
                <w:color w:val="auto"/>
                <w:kern w:val="2"/>
                <w:szCs w:val="24"/>
                <w:highlight w:val="none"/>
              </w:rPr>
            </w:pPr>
            <w:r>
              <w:rPr>
                <w:rFonts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3</w:t>
            </w:r>
            <w:r>
              <w:rPr>
                <w:rFonts w:ascii="Times New Roman" w:hAnsi="Times New Roman" w:eastAsia="宋体" w:cs="Times New Roman"/>
                <w:color w:val="auto"/>
                <w:kern w:val="2"/>
                <w:sz w:val="24"/>
                <w:szCs w:val="24"/>
                <w:lang w:val="en-US" w:eastAsia="zh-CN" w:bidi="ar-SA"/>
              </w:rPr>
              <w:t>）</w:t>
            </w:r>
            <w:r>
              <w:rPr>
                <w:rFonts w:cs="Times New Roman"/>
                <w:color w:val="auto"/>
                <w:kern w:val="2"/>
                <w:szCs w:val="24"/>
                <w:highlight w:val="none"/>
              </w:rPr>
              <w:t>危废管理基本要求</w:t>
            </w:r>
          </w:p>
          <w:p>
            <w:pPr>
              <w:pStyle w:val="76"/>
              <w:spacing w:line="360" w:lineRule="auto"/>
              <w:rPr>
                <w:rFonts w:hint="default" w:ascii="Times New Roman" w:hAnsi="Times New Roman" w:cs="Times New Roman"/>
              </w:rPr>
            </w:pPr>
            <w:r>
              <w:rPr>
                <w:rFonts w:hint="default" w:ascii="Times New Roman" w:hAnsi="Times New Roman" w:cs="Times New Roman"/>
              </w:rPr>
              <w:t>本项目要求危废暂存间按照《危险废物贮存污染控制标准》（GB18597-2023）</w:t>
            </w:r>
            <w:r>
              <w:rPr>
                <w:rFonts w:hint="default" w:ascii="Times New Roman" w:hAnsi="Times New Roman" w:cs="Times New Roman"/>
                <w:lang w:val="en-US" w:eastAsia="zh-CN"/>
              </w:rPr>
              <w:t>和</w:t>
            </w:r>
            <w:r>
              <w:rPr>
                <w:rFonts w:hint="default" w:ascii="Times New Roman" w:hAnsi="Times New Roman" w:cs="Times New Roman"/>
              </w:rPr>
              <w:t>《危险废物收集贮存运输技术规范》(HJ2025-2012)的要求建设。现将本次危废暂存间设计、建设和运行阶段应采取的污染防治措施说明如下：</w:t>
            </w:r>
          </w:p>
          <w:p>
            <w:pPr>
              <w:pStyle w:val="76"/>
              <w:spacing w:line="360" w:lineRule="auto"/>
              <w:rPr>
                <w:rFonts w:hint="default" w:ascii="Times New Roman" w:hAnsi="Times New Roman" w:cs="Times New Roman"/>
              </w:rPr>
            </w:pPr>
            <w:r>
              <w:rPr>
                <w:rFonts w:hint="default" w:ascii="Times New Roman" w:hAnsi="Times New Roman" w:cs="Times New Roman"/>
              </w:rPr>
              <w:t>1）危废暂存间设计原则</w:t>
            </w:r>
          </w:p>
          <w:p>
            <w:pPr>
              <w:pStyle w:val="76"/>
              <w:spacing w:line="360" w:lineRule="auto"/>
              <w:rPr>
                <w:rFonts w:hint="default" w:ascii="Times New Roman" w:hAnsi="Times New Roman" w:cs="Times New Roman"/>
              </w:rPr>
            </w:pPr>
            <w:r>
              <w:rPr>
                <w:rFonts w:hint="eastAsia" w:ascii="宋体" w:hAnsi="宋体" w:eastAsia="宋体" w:cs="宋体"/>
              </w:rPr>
              <w:t>①</w:t>
            </w:r>
            <w:r>
              <w:rPr>
                <w:rFonts w:hint="default" w:ascii="Times New Roman" w:hAnsi="Times New Roman" w:cs="Times New Roman"/>
              </w:rPr>
              <w:t>危废暂存间地面与裙脚用坚固、防渗的材料建造，建筑材料必须与危险废物相容。地基承载力特征值fak≥200kPa；墙裙角防渗处理高度同挡土墙高度。</w:t>
            </w:r>
          </w:p>
          <w:p>
            <w:pPr>
              <w:pStyle w:val="76"/>
              <w:spacing w:line="360" w:lineRule="auto"/>
              <w:rPr>
                <w:rFonts w:hint="default" w:ascii="Times New Roman" w:hAnsi="Times New Roman" w:cs="Times New Roman"/>
              </w:rPr>
            </w:pPr>
            <w:r>
              <w:rPr>
                <w:rFonts w:hint="eastAsia" w:ascii="宋体" w:hAnsi="宋体" w:eastAsia="宋体" w:cs="宋体"/>
              </w:rPr>
              <w:t>②</w:t>
            </w:r>
            <w:r>
              <w:rPr>
                <w:rFonts w:hint="default" w:ascii="Times New Roman" w:hAnsi="Times New Roman" w:cs="Times New Roman"/>
              </w:rPr>
              <w:t>设施内要有安全照明设施和观察窗口。</w:t>
            </w:r>
          </w:p>
          <w:p>
            <w:pPr>
              <w:pStyle w:val="76"/>
              <w:spacing w:line="360" w:lineRule="auto"/>
              <w:rPr>
                <w:rFonts w:hint="default" w:ascii="Times New Roman" w:hAnsi="Times New Roman" w:cs="Times New Roman"/>
              </w:rPr>
            </w:pPr>
            <w:r>
              <w:rPr>
                <w:rFonts w:hint="eastAsia" w:ascii="宋体" w:hAnsi="宋体" w:eastAsia="宋体" w:cs="宋体"/>
                <w:lang w:val="en-US" w:eastAsia="zh-CN"/>
              </w:rPr>
              <w:t>③</w:t>
            </w:r>
            <w:r>
              <w:rPr>
                <w:rFonts w:hint="default" w:ascii="Times New Roman" w:hAnsi="Times New Roman" w:cs="Times New Roman"/>
              </w:rPr>
              <w:t>防渗衬里要能够覆盖危险废物或其溶出物可能涉及到的范围。衬里材料与堆放危险废物相容。</w:t>
            </w:r>
          </w:p>
          <w:p>
            <w:pPr>
              <w:pStyle w:val="76"/>
              <w:spacing w:line="360" w:lineRule="auto"/>
              <w:rPr>
                <w:rFonts w:hint="default" w:ascii="Times New Roman" w:hAnsi="Times New Roman" w:cs="Times New Roman"/>
              </w:rPr>
            </w:pPr>
            <w:r>
              <w:rPr>
                <w:rFonts w:hint="default" w:ascii="Times New Roman" w:hAnsi="Times New Roman" w:cs="Times New Roman"/>
              </w:rPr>
              <w:t>2）危废暂存间运行与管理</w:t>
            </w:r>
          </w:p>
          <w:p>
            <w:pPr>
              <w:pStyle w:val="76"/>
              <w:spacing w:line="360" w:lineRule="auto"/>
              <w:rPr>
                <w:rFonts w:hint="default" w:ascii="Times New Roman" w:hAnsi="Times New Roman" w:cs="Times New Roman"/>
              </w:rPr>
            </w:pPr>
            <w:r>
              <w:rPr>
                <w:rFonts w:hint="eastAsia" w:ascii="宋体" w:hAnsi="宋体" w:eastAsia="宋体" w:cs="宋体"/>
              </w:rPr>
              <w:t>①</w:t>
            </w:r>
            <w:r>
              <w:rPr>
                <w:rFonts w:hint="default" w:ascii="Times New Roman" w:hAnsi="Times New Roman" w:cs="Times New Roman"/>
              </w:rPr>
              <w:t>危险废物转移过程应按《危险废物转移管理办法》执行。</w:t>
            </w:r>
          </w:p>
          <w:p>
            <w:pPr>
              <w:pStyle w:val="76"/>
              <w:spacing w:line="360" w:lineRule="auto"/>
              <w:rPr>
                <w:rFonts w:hint="default" w:ascii="Times New Roman" w:hAnsi="Times New Roman" w:cs="Times New Roman"/>
              </w:rPr>
            </w:pPr>
            <w:r>
              <w:rPr>
                <w:rFonts w:hint="eastAsia" w:ascii="宋体" w:hAnsi="宋体" w:eastAsia="宋体" w:cs="宋体"/>
              </w:rPr>
              <w:t>②</w:t>
            </w:r>
            <w:r>
              <w:rPr>
                <w:rFonts w:hint="default" w:ascii="Times New Roman" w:hAnsi="Times New Roman" w:cs="Times New Roman"/>
              </w:rPr>
              <w:t>废机油入暂存间贮存前应进行检验，并登记注册。建立档案制度，在废机油的收集、贮存、转运及处理过程中，实行“转移联单制度”，对暂存的废机油数量、存放库位、存入日期、运出日期等详细记录在案并长期保存。建立定期巡查、维护制度。</w:t>
            </w:r>
          </w:p>
          <w:p>
            <w:pPr>
              <w:pStyle w:val="76"/>
              <w:spacing w:line="360" w:lineRule="auto"/>
              <w:rPr>
                <w:rFonts w:hint="default" w:ascii="Times New Roman" w:hAnsi="Times New Roman" w:cs="Times New Roman"/>
              </w:rPr>
            </w:pPr>
            <w:r>
              <w:rPr>
                <w:rFonts w:hint="eastAsia" w:ascii="宋体" w:hAnsi="宋体" w:eastAsia="宋体" w:cs="宋体"/>
              </w:rPr>
              <w:t>③</w:t>
            </w:r>
            <w:r>
              <w:rPr>
                <w:rFonts w:hint="default" w:ascii="Times New Roman" w:hAnsi="Times New Roman" w:cs="Times New Roman"/>
                <w:lang w:val="en-US" w:eastAsia="zh-CN"/>
              </w:rPr>
              <w:t>根据</w:t>
            </w:r>
            <w:r>
              <w:rPr>
                <w:rFonts w:hint="default" w:ascii="Times New Roman" w:hAnsi="Times New Roman" w:cs="Times New Roman"/>
              </w:rPr>
              <w:t>《危险废物管理计划和管理台账制定技术导则》（HJ1259-2022）</w:t>
            </w:r>
            <w:r>
              <w:rPr>
                <w:rFonts w:hint="default" w:ascii="Times New Roman" w:hAnsi="Times New Roman" w:cs="Times New Roman"/>
                <w:lang w:val="en-US" w:eastAsia="zh-CN"/>
              </w:rPr>
              <w:t>要求，</w:t>
            </w:r>
            <w:r>
              <w:rPr>
                <w:rFonts w:hint="default" w:ascii="Times New Roman" w:hAnsi="Times New Roman" w:cs="Times New Roman"/>
              </w:rPr>
              <w:t>建立危险废物管理台账，对转移的危险废物进行计量称重，如实记录、妥善保管转移危险废物的种类、重量（数量）和接受人等相关信息。填写、运行危险废物转移联单，在危险废物转移联单中如实填写移出人、承运人、接受人信息，转移危险废物的种类、重量（数量）、危险特性等信息，以及突发环境事件的防范措施等。</w:t>
            </w:r>
          </w:p>
          <w:p>
            <w:pPr>
              <w:pStyle w:val="76"/>
              <w:spacing w:line="360" w:lineRule="auto"/>
              <w:rPr>
                <w:rFonts w:hint="default" w:ascii="Times New Roman" w:hAnsi="Times New Roman" w:cs="Times New Roman"/>
              </w:rPr>
            </w:pPr>
            <w:r>
              <w:rPr>
                <w:rFonts w:hint="eastAsia" w:ascii="宋体" w:hAnsi="宋体" w:eastAsia="宋体" w:cs="宋体"/>
              </w:rPr>
              <w:t>④</w:t>
            </w:r>
            <w:r>
              <w:rPr>
                <w:rFonts w:hint="default" w:ascii="Times New Roman" w:hAnsi="Times New Roman" w:cs="Times New Roman"/>
              </w:rPr>
              <w:t>必须定期对所贮存的危险废物包装容器及贮存设施进行检查，发现破损，应及时采取措施清理更换。</w:t>
            </w:r>
          </w:p>
          <w:p>
            <w:pPr>
              <w:pStyle w:val="76"/>
              <w:spacing w:line="360" w:lineRule="auto"/>
              <w:rPr>
                <w:rFonts w:hint="default" w:ascii="Times New Roman" w:hAnsi="Times New Roman" w:cs="Times New Roman"/>
              </w:rPr>
            </w:pPr>
            <w:r>
              <w:rPr>
                <w:rFonts w:hint="eastAsia" w:ascii="宋体" w:hAnsi="宋体" w:eastAsia="宋体" w:cs="宋体"/>
              </w:rPr>
              <w:t>⑤</w:t>
            </w:r>
            <w:r>
              <w:rPr>
                <w:rFonts w:hint="default" w:ascii="Times New Roman" w:hAnsi="Times New Roman" w:cs="Times New Roman"/>
              </w:rPr>
              <w:t>危险废物贮存设施必须按《危险废物识别标志设置技术规范》（HJ1276-2022）及《环境保护图形标志</w:t>
            </w:r>
            <w:r>
              <w:rPr>
                <w:rFonts w:hint="eastAsia" w:cs="Times New Roman"/>
                <w:lang w:val="en-US" w:eastAsia="zh-CN"/>
              </w:rPr>
              <w:t>-</w:t>
            </w:r>
            <w:r>
              <w:rPr>
                <w:rFonts w:hint="default" w:ascii="Times New Roman" w:hAnsi="Times New Roman" w:cs="Times New Roman"/>
              </w:rPr>
              <w:t>固体废物贮存（处置）场》（GB15562.2</w:t>
            </w:r>
            <w:r>
              <w:rPr>
                <w:rFonts w:hint="eastAsia" w:cs="Times New Roman"/>
                <w:lang w:val="en-US" w:eastAsia="zh-CN"/>
              </w:rPr>
              <w:t>-1995</w:t>
            </w:r>
            <w:r>
              <w:rPr>
                <w:rFonts w:hint="default" w:ascii="Times New Roman" w:hAnsi="Times New Roman" w:cs="Times New Roman"/>
              </w:rPr>
              <w:t>）</w:t>
            </w:r>
            <w:r>
              <w:rPr>
                <w:rFonts w:hint="eastAsia" w:cs="Times New Roman"/>
                <w:lang w:val="en-US" w:eastAsia="zh-CN"/>
              </w:rPr>
              <w:t>修改单</w:t>
            </w:r>
            <w:r>
              <w:rPr>
                <w:rFonts w:hint="default" w:ascii="Times New Roman" w:hAnsi="Times New Roman" w:cs="Times New Roman"/>
              </w:rPr>
              <w:t>的规定设置警示标志。</w:t>
            </w:r>
          </w:p>
          <w:p>
            <w:pPr>
              <w:pStyle w:val="76"/>
              <w:spacing w:line="360" w:lineRule="auto"/>
              <w:rPr>
                <w:rFonts w:hint="default" w:ascii="Times New Roman" w:hAnsi="Times New Roman" w:cs="Times New Roman"/>
              </w:rPr>
            </w:pPr>
            <w:r>
              <w:rPr>
                <w:rFonts w:hint="eastAsia" w:ascii="宋体" w:hAnsi="宋体" w:eastAsia="宋体" w:cs="宋体"/>
              </w:rPr>
              <w:t>⑥</w:t>
            </w:r>
            <w:r>
              <w:rPr>
                <w:rFonts w:hint="default" w:ascii="Times New Roman" w:hAnsi="Times New Roman" w:cs="Times New Roman"/>
              </w:rPr>
              <w:t>危险废物贮存期限应符合《中华人民共和国固体废物污染环境防治法》的有关规定，不得超过1年。</w:t>
            </w:r>
          </w:p>
          <w:p>
            <w:pPr>
              <w:pStyle w:val="76"/>
              <w:spacing w:line="360" w:lineRule="auto"/>
              <w:rPr>
                <w:rFonts w:hint="default" w:ascii="Times New Roman" w:hAnsi="Times New Roman" w:cs="Times New Roman"/>
              </w:rPr>
            </w:pPr>
            <w:r>
              <w:rPr>
                <w:rFonts w:hint="eastAsia" w:ascii="宋体" w:hAnsi="宋体" w:eastAsia="宋体" w:cs="宋体"/>
              </w:rPr>
              <w:t>⑦</w:t>
            </w:r>
            <w:r>
              <w:rPr>
                <w:rFonts w:hint="default" w:ascii="Times New Roman" w:hAnsi="Times New Roman" w:cs="Times New Roman"/>
              </w:rPr>
              <w:t>应建立规范的管理和技术人员培训制度，定期针对管理和技术人员进行培训。培训内容至少应包括危险废物鉴别要求、危险废物转移联单管理、危险废物包装和标识、危险废物运输要求、危险废物事故应急方法。</w:t>
            </w:r>
          </w:p>
          <w:p>
            <w:pPr>
              <w:pStyle w:val="76"/>
              <w:spacing w:line="360" w:lineRule="auto"/>
              <w:rPr>
                <w:rFonts w:hint="default" w:ascii="Times New Roman" w:hAnsi="Times New Roman" w:cs="Times New Roman"/>
              </w:rPr>
            </w:pPr>
            <w:r>
              <w:rPr>
                <w:rFonts w:hint="eastAsia" w:ascii="宋体" w:hAnsi="宋体" w:eastAsia="宋体" w:cs="宋体"/>
                <w:lang w:val="en-US" w:eastAsia="zh-CN"/>
              </w:rPr>
              <w:t>⑧</w:t>
            </w:r>
            <w:r>
              <w:rPr>
                <w:rFonts w:hint="default" w:ascii="Times New Roman" w:hAnsi="Times New Roman" w:cs="Times New Roman"/>
              </w:rPr>
              <w:t>危险废物暂存间设置安全照明设施和观察窗口。</w:t>
            </w:r>
          </w:p>
          <w:p>
            <w:pPr>
              <w:bidi w:val="0"/>
              <w:rPr>
                <w:b/>
                <w:bCs/>
                <w:sz w:val="24"/>
                <w:szCs w:val="32"/>
              </w:rPr>
            </w:pPr>
            <w:r>
              <w:rPr>
                <w:b/>
                <w:bCs/>
                <w:sz w:val="24"/>
                <w:szCs w:val="32"/>
              </w:rPr>
              <w:t>4.3 固废治理措施及其可行性论证</w:t>
            </w:r>
          </w:p>
          <w:p>
            <w:pPr>
              <w:spacing w:line="360" w:lineRule="auto"/>
              <w:ind w:firstLine="480" w:firstLineChars="200"/>
              <w:rPr>
                <w:color w:val="auto"/>
                <w:highlight w:val="none"/>
              </w:rPr>
            </w:pPr>
            <w:r>
              <w:rPr>
                <w:color w:val="auto"/>
                <w:sz w:val="24"/>
                <w:highlight w:val="none"/>
              </w:rPr>
              <w:t>项目产生的固体废物按要求进行分类收集、贮存、处置，固体废物按要求贮存后，贮存过程不会对环境空气、地下水、土壤产生不良影响。企业在落实各项固废处置措施后，项目产生的各类固废均能妥善处理处置，只要加强管理，则固废处置对周围环境不会造成二次污染，对周围环境影响不大。</w:t>
            </w:r>
          </w:p>
          <w:p>
            <w:pPr>
              <w:spacing w:line="360" w:lineRule="auto"/>
              <w:ind w:firstLine="480" w:firstLineChars="200"/>
              <w:rPr>
                <w:color w:val="auto"/>
                <w:highlight w:val="none"/>
              </w:rPr>
            </w:pPr>
            <w:r>
              <w:rPr>
                <w:color w:val="auto"/>
                <w:sz w:val="24"/>
                <w:highlight w:val="none"/>
              </w:rPr>
              <w:t>综上所述，本项目产生的各类固废均得到合理处置，不会对环境产生不利影响。</w:t>
            </w:r>
          </w:p>
          <w:p>
            <w:pPr>
              <w:pStyle w:val="61"/>
              <w:spacing w:line="360" w:lineRule="auto"/>
              <w:ind w:firstLine="0"/>
              <w:rPr>
                <w:b/>
                <w:color w:val="auto"/>
                <w:sz w:val="24"/>
                <w:szCs w:val="24"/>
                <w:highlight w:val="none"/>
              </w:rPr>
            </w:pPr>
            <w:r>
              <w:rPr>
                <w:b/>
                <w:color w:val="auto"/>
                <w:sz w:val="24"/>
                <w:szCs w:val="24"/>
                <w:highlight w:val="none"/>
              </w:rPr>
              <w:t>5 地下水、土壤环境影响及保护措施</w:t>
            </w:r>
          </w:p>
          <w:p>
            <w:pPr>
              <w:pStyle w:val="76"/>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zh-CN"/>
              </w:rPr>
              <w:t>根据</w:t>
            </w:r>
            <w:r>
              <w:rPr>
                <w:rFonts w:hint="default" w:ascii="Times New Roman" w:hAnsi="Times New Roman" w:cs="Times New Roman"/>
                <w:color w:val="auto"/>
                <w:sz w:val="24"/>
                <w:szCs w:val="24"/>
              </w:rPr>
              <w:t>《建设项目环境影响报告表编制技术指南（污染影响类）（试行）》要求：“5.地下水、土壤。分析地下水、土壤污染源、污染物类型和污染途径，按照分区防控要求提出相应的防控措施，并根据分析结果提出跟踪监测要求（监测点位、监测因子、监测频次）。</w:t>
            </w:r>
          </w:p>
          <w:p>
            <w:pPr>
              <w:adjustRightInd w:val="0"/>
              <w:snapToGrid w:val="0"/>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rPr>
              <w:t>5.1污染源分析</w:t>
            </w:r>
          </w:p>
          <w:p>
            <w:pPr>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本项目地下水污染源主要为</w:t>
            </w:r>
            <w:r>
              <w:rPr>
                <w:rFonts w:hint="eastAsia" w:cs="Times New Roman"/>
                <w:color w:val="auto"/>
                <w:sz w:val="24"/>
                <w:lang w:val="en-US" w:eastAsia="zh-CN"/>
              </w:rPr>
              <w:t>生活污水</w:t>
            </w:r>
            <w:r>
              <w:rPr>
                <w:rFonts w:hint="default" w:ascii="Times New Roman" w:hAnsi="Times New Roman" w:cs="Times New Roman"/>
                <w:color w:val="auto"/>
                <w:sz w:val="24"/>
              </w:rPr>
              <w:t>。其主要污染物</w:t>
            </w:r>
            <w:r>
              <w:rPr>
                <w:rFonts w:hint="default" w:ascii="Times New Roman" w:hAnsi="Times New Roman" w:cs="Times New Roman"/>
                <w:color w:val="auto"/>
                <w:sz w:val="24"/>
                <w:lang w:val="en-US" w:eastAsia="zh-CN"/>
              </w:rPr>
              <w:t>为SS、</w:t>
            </w:r>
            <w:r>
              <w:rPr>
                <w:rFonts w:hint="eastAsia" w:cs="Times New Roman"/>
                <w:color w:val="auto"/>
                <w:sz w:val="24"/>
                <w:lang w:val="en-US" w:eastAsia="zh-CN"/>
              </w:rPr>
              <w:t>CODcr</w:t>
            </w:r>
            <w:r>
              <w:rPr>
                <w:rFonts w:hint="default" w:ascii="Times New Roman" w:hAnsi="Times New Roman" w:cs="Times New Roman"/>
                <w:color w:val="auto"/>
                <w:sz w:val="24"/>
                <w:vertAlign w:val="baseline"/>
                <w:lang w:val="en-US" w:eastAsia="zh-CN"/>
              </w:rPr>
              <w:t>、BOD</w:t>
            </w:r>
            <w:r>
              <w:rPr>
                <w:rFonts w:hint="default" w:ascii="Times New Roman" w:hAnsi="Times New Roman" w:cs="Times New Roman"/>
                <w:color w:val="auto"/>
                <w:sz w:val="24"/>
                <w:vertAlign w:val="subscript"/>
                <w:lang w:val="en-US" w:eastAsia="zh-CN"/>
              </w:rPr>
              <w:t>5</w:t>
            </w:r>
            <w:r>
              <w:rPr>
                <w:rFonts w:hint="default" w:ascii="Times New Roman" w:hAnsi="Times New Roman" w:cs="Times New Roman"/>
                <w:color w:val="auto"/>
                <w:sz w:val="24"/>
                <w:vertAlign w:val="baseline"/>
                <w:lang w:val="en-US" w:eastAsia="zh-CN"/>
              </w:rPr>
              <w:t>、</w:t>
            </w:r>
            <w:r>
              <w:rPr>
                <w:rFonts w:hint="eastAsia" w:cs="Times New Roman"/>
                <w:color w:val="auto"/>
                <w:sz w:val="24"/>
                <w:highlight w:val="none"/>
                <w:vertAlign w:val="baseline"/>
                <w:lang w:val="en-US" w:eastAsia="zh-CN"/>
              </w:rPr>
              <w:t>NH</w:t>
            </w:r>
            <w:r>
              <w:rPr>
                <w:rFonts w:hint="eastAsia" w:cs="Times New Roman"/>
                <w:color w:val="auto"/>
                <w:sz w:val="24"/>
                <w:highlight w:val="none"/>
                <w:vertAlign w:val="subscript"/>
                <w:lang w:val="en-US" w:eastAsia="zh-CN"/>
              </w:rPr>
              <w:t>3</w:t>
            </w:r>
            <w:r>
              <w:rPr>
                <w:rFonts w:hint="eastAsia" w:cs="Times New Roman"/>
                <w:color w:val="auto"/>
                <w:sz w:val="24"/>
                <w:highlight w:val="none"/>
                <w:vertAlign w:val="baseline"/>
                <w:lang w:val="en-US" w:eastAsia="zh-CN"/>
              </w:rPr>
              <w:t>-N</w:t>
            </w:r>
            <w:r>
              <w:rPr>
                <w:rFonts w:hint="default" w:ascii="Times New Roman" w:hAnsi="Times New Roman" w:cs="Times New Roman"/>
                <w:color w:val="auto"/>
                <w:sz w:val="24"/>
                <w:vertAlign w:val="baseline"/>
                <w:lang w:val="en-US" w:eastAsia="zh-CN"/>
              </w:rPr>
              <w:t>等</w:t>
            </w:r>
            <w:r>
              <w:rPr>
                <w:rFonts w:hint="default" w:ascii="Times New Roman" w:hAnsi="Times New Roman" w:cs="Times New Roman"/>
                <w:color w:val="auto"/>
                <w:sz w:val="24"/>
              </w:rPr>
              <w:t>。</w:t>
            </w:r>
          </w:p>
          <w:p>
            <w:pPr>
              <w:adjustRightInd w:val="0"/>
              <w:snapToGrid w:val="0"/>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rPr>
              <w:t>5.2污染防控措施</w:t>
            </w:r>
          </w:p>
          <w:p>
            <w:pPr>
              <w:adjustRightInd w:val="0"/>
              <w:snapToGrid w:val="0"/>
              <w:spacing w:line="360" w:lineRule="auto"/>
              <w:ind w:firstLine="480" w:firstLineChars="200"/>
              <w:rPr>
                <w:rFonts w:hint="default" w:ascii="Times New Roman" w:hAnsi="Times New Roman" w:cs="Times New Roman"/>
                <w:b/>
                <w:bCs/>
                <w:color w:val="auto"/>
                <w:sz w:val="24"/>
                <w:lang w:val="en-US" w:eastAsia="zh-CN"/>
              </w:rPr>
            </w:pPr>
            <w:r>
              <w:rPr>
                <w:rFonts w:hint="eastAsia" w:cs="Times New Roman"/>
                <w:color w:val="auto"/>
                <w:sz w:val="24"/>
                <w:lang w:val="en-US" w:eastAsia="zh-CN"/>
              </w:rPr>
              <w:t>生活污水直排园区污水管网，最终进入</w:t>
            </w:r>
            <w:r>
              <w:rPr>
                <w:rFonts w:hint="eastAsia" w:cs="Times New Roman"/>
                <w:color w:val="auto"/>
                <w:sz w:val="24"/>
                <w:highlight w:val="none"/>
                <w:lang w:val="en-US" w:eastAsia="zh-CN"/>
              </w:rPr>
              <w:t>喇嘛湖梁工业园区污水处理厂</w:t>
            </w:r>
            <w:r>
              <w:rPr>
                <w:rFonts w:hint="eastAsia" w:cs="Times New Roman"/>
                <w:color w:val="auto"/>
                <w:sz w:val="24"/>
                <w:lang w:val="en-US" w:eastAsia="zh-CN"/>
              </w:rPr>
              <w:t>深度</w:t>
            </w:r>
            <w:r>
              <w:rPr>
                <w:rFonts w:hint="default" w:ascii="Times New Roman" w:hAnsi="Times New Roman" w:cs="Times New Roman"/>
                <w:color w:val="auto"/>
                <w:sz w:val="24"/>
                <w:lang w:val="en-US" w:eastAsia="zh-CN"/>
              </w:rPr>
              <w:t>处理</w:t>
            </w:r>
            <w:r>
              <w:rPr>
                <w:rFonts w:hint="default" w:ascii="Times New Roman" w:hAnsi="Times New Roman" w:cs="Times New Roman"/>
                <w:color w:val="auto"/>
                <w:sz w:val="24"/>
              </w:rPr>
              <w:t>。</w:t>
            </w:r>
          </w:p>
          <w:p>
            <w:pPr>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b/>
                <w:bCs/>
                <w:color w:val="auto"/>
                <w:sz w:val="24"/>
                <w:lang w:val="en-US" w:eastAsia="zh-CN"/>
              </w:rPr>
              <w:t>5.3</w:t>
            </w:r>
            <w:r>
              <w:rPr>
                <w:rFonts w:hint="default" w:ascii="Times New Roman" w:hAnsi="Times New Roman" w:cs="Times New Roman"/>
                <w:b/>
                <w:bCs/>
                <w:color w:val="auto"/>
                <w:sz w:val="24"/>
              </w:rPr>
              <w:t>分区防渗要求</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根据可能泄漏至地面的污染物的性质和生产单元的构建方式，结合项目总平面布置情况，本项目为</w:t>
            </w:r>
            <w:r>
              <w:rPr>
                <w:rFonts w:hint="eastAsia" w:cs="Times New Roman"/>
                <w:color w:val="auto"/>
                <w:sz w:val="24"/>
                <w:lang w:val="en-US" w:eastAsia="zh-CN"/>
              </w:rPr>
              <w:t>腐植酸钾、腐植酸有机肥</w:t>
            </w:r>
            <w:r>
              <w:rPr>
                <w:rFonts w:hint="default" w:ascii="Times New Roman" w:hAnsi="Times New Roman" w:cs="Times New Roman"/>
                <w:color w:val="auto"/>
                <w:sz w:val="24"/>
                <w:lang w:val="en-US" w:eastAsia="zh-CN"/>
              </w:rPr>
              <w:t>生产项目，厂房为一般防渗区，危废暂存间</w:t>
            </w:r>
            <w:r>
              <w:rPr>
                <w:rFonts w:hint="eastAsia" w:cs="Times New Roman"/>
                <w:color w:val="auto"/>
                <w:sz w:val="24"/>
                <w:lang w:val="en-US" w:eastAsia="zh-CN"/>
              </w:rPr>
              <w:t>、危化品库</w:t>
            </w:r>
            <w:r>
              <w:rPr>
                <w:rFonts w:hint="default" w:ascii="Times New Roman" w:hAnsi="Times New Roman" w:cs="Times New Roman"/>
                <w:color w:val="auto"/>
                <w:sz w:val="24"/>
                <w:lang w:val="en-US" w:eastAsia="zh-CN"/>
              </w:rPr>
              <w:t>为重点防渗区</w:t>
            </w:r>
            <w:r>
              <w:rPr>
                <w:rFonts w:hint="default" w:ascii="Times New Roman" w:hAnsi="Times New Roman" w:cs="Times New Roman"/>
                <w:color w:val="auto"/>
                <w:sz w:val="24"/>
              </w:rPr>
              <w:t>。对厂区可能泄漏污染物的地面进行防渗处理，可有效防治污染物渗入地下，并及时地将泄漏/渗漏的污染物收集并进行集中处理。</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一般防渗结构区主要为</w:t>
            </w:r>
            <w:r>
              <w:rPr>
                <w:rFonts w:hint="eastAsia" w:cs="Times New Roman"/>
                <w:color w:val="auto"/>
                <w:sz w:val="24"/>
                <w:lang w:val="en-US" w:eastAsia="zh-CN"/>
              </w:rPr>
              <w:t>生产车间</w:t>
            </w:r>
            <w:r>
              <w:rPr>
                <w:rFonts w:hint="default" w:ascii="Times New Roman" w:hAnsi="Times New Roman" w:cs="Times New Roman"/>
                <w:color w:val="auto"/>
                <w:sz w:val="24"/>
              </w:rPr>
              <w:t>，地面硬化处理，并按照相关要求设置防渗层，可选用天然或人工材料构筑防渗层，防渗层的防渗性能不应低于1.5m厚渗透系数为1.0×10</w:t>
            </w:r>
            <w:r>
              <w:rPr>
                <w:rFonts w:hint="default" w:ascii="Times New Roman" w:hAnsi="Times New Roman" w:cs="Times New Roman"/>
                <w:color w:val="auto"/>
                <w:sz w:val="24"/>
                <w:vertAlign w:val="superscript"/>
              </w:rPr>
              <w:t>-7</w:t>
            </w:r>
            <w:r>
              <w:rPr>
                <w:rFonts w:hint="default" w:ascii="Times New Roman" w:hAnsi="Times New Roman" w:cs="Times New Roman"/>
                <w:color w:val="auto"/>
                <w:sz w:val="24"/>
              </w:rPr>
              <w:t>cm/s的等效黏土层的防渗性能。</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危化品库</w:t>
            </w:r>
            <w:r>
              <w:rPr>
                <w:rFonts w:hint="default" w:ascii="Times New Roman" w:hAnsi="Times New Roman" w:cs="Times New Roman"/>
                <w:color w:val="auto"/>
                <w:sz w:val="24"/>
                <w:lang w:val="en-US" w:eastAsia="zh-CN"/>
              </w:rPr>
              <w:t>和危废暂存间为重点防渗区，</w:t>
            </w:r>
            <w:r>
              <w:rPr>
                <w:rFonts w:hint="default" w:ascii="Times New Roman" w:hAnsi="Times New Roman" w:cs="Times New Roman"/>
                <w:color w:val="auto"/>
                <w:sz w:val="24"/>
              </w:rPr>
              <w:t>重点防渗区防渗技术要求等效黏土防渗层Mb≥6.0m，K≤1×10</w:t>
            </w:r>
            <w:r>
              <w:rPr>
                <w:rFonts w:hint="default" w:ascii="Times New Roman" w:hAnsi="Times New Roman" w:cs="Times New Roman"/>
                <w:color w:val="auto"/>
                <w:sz w:val="24"/>
                <w:vertAlign w:val="superscript"/>
              </w:rPr>
              <w:t>-7</w:t>
            </w:r>
            <w:r>
              <w:rPr>
                <w:rFonts w:hint="default" w:ascii="Times New Roman" w:hAnsi="Times New Roman" w:cs="Times New Roman"/>
                <w:color w:val="auto"/>
                <w:sz w:val="24"/>
              </w:rPr>
              <w:t>cm/s。</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除上述区域外的场区，按常规建筑结构要求进行地面处理。</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本项目全厂污染防治分区情况详见表4-</w:t>
            </w:r>
            <w:r>
              <w:rPr>
                <w:rFonts w:hint="default" w:ascii="Times New Roman" w:hAnsi="Times New Roman" w:cs="Times New Roman"/>
                <w:color w:val="auto"/>
                <w:sz w:val="24"/>
                <w:lang w:val="en-US" w:eastAsia="zh-CN"/>
              </w:rPr>
              <w:t>1</w:t>
            </w:r>
            <w:r>
              <w:rPr>
                <w:rFonts w:hint="eastAsia" w:cs="Times New Roman"/>
                <w:color w:val="auto"/>
                <w:sz w:val="24"/>
                <w:lang w:val="en-US" w:eastAsia="zh-CN"/>
              </w:rPr>
              <w:t>1</w:t>
            </w:r>
            <w:r>
              <w:rPr>
                <w:rFonts w:hint="default" w:ascii="Times New Roman" w:hAnsi="Times New Roman" w:cs="Times New Roman"/>
                <w:color w:val="auto"/>
                <w:sz w:val="24"/>
              </w:rPr>
              <w:t>。</w:t>
            </w:r>
          </w:p>
          <w:p>
            <w:pPr>
              <w:widowControl/>
              <w:spacing w:line="240" w:lineRule="auto"/>
              <w:ind w:firstLine="422" w:firstLineChars="200"/>
              <w:jc w:val="center"/>
              <w:rPr>
                <w:rFonts w:hint="default" w:ascii="Times New Roman" w:hAnsi="Times New Roman" w:eastAsia="黑体" w:cs="Times New Roman"/>
                <w:color w:val="auto"/>
                <w:sz w:val="24"/>
              </w:rPr>
            </w:pPr>
            <w:r>
              <w:rPr>
                <w:rFonts w:hint="default" w:ascii="Times New Roman" w:hAnsi="Times New Roman" w:eastAsia="宋体" w:cs="Times New Roman"/>
                <w:b/>
                <w:bCs/>
                <w:color w:val="auto"/>
                <w:sz w:val="21"/>
                <w:szCs w:val="21"/>
              </w:rPr>
              <w:t>表</w:t>
            </w:r>
            <w:r>
              <w:rPr>
                <w:rFonts w:hint="default" w:ascii="Times New Roman" w:hAnsi="Times New Roman" w:eastAsia="黑体" w:cs="Times New Roman"/>
                <w:color w:val="auto"/>
                <w:sz w:val="21"/>
                <w:szCs w:val="21"/>
              </w:rPr>
              <w:t>4-</w:t>
            </w:r>
            <w:r>
              <w:rPr>
                <w:rFonts w:hint="default" w:ascii="Times New Roman" w:hAnsi="Times New Roman" w:eastAsia="黑体" w:cs="Times New Roman"/>
                <w:color w:val="auto"/>
                <w:sz w:val="21"/>
                <w:szCs w:val="21"/>
                <w:lang w:val="en-US" w:eastAsia="zh-CN"/>
              </w:rPr>
              <w:t>1</w:t>
            </w:r>
            <w:r>
              <w:rPr>
                <w:rFonts w:hint="eastAsia" w:eastAsia="黑体" w:cs="Times New Roman"/>
                <w:color w:val="auto"/>
                <w:sz w:val="21"/>
                <w:szCs w:val="21"/>
                <w:lang w:val="en-US" w:eastAsia="zh-CN"/>
              </w:rPr>
              <w:t>1</w:t>
            </w:r>
            <w:r>
              <w:rPr>
                <w:rFonts w:hint="default" w:ascii="Times New Roman" w:hAnsi="Times New Roman" w:eastAsia="黑体" w:cs="Times New Roman"/>
                <w:color w:val="auto"/>
                <w:sz w:val="24"/>
              </w:rPr>
              <w:t xml:space="preserve"> </w:t>
            </w:r>
            <w:r>
              <w:rPr>
                <w:rFonts w:hint="default" w:ascii="Times New Roman" w:hAnsi="Times New Roman" w:eastAsia="宋体" w:cs="Times New Roman"/>
                <w:b/>
                <w:bCs/>
                <w:color w:val="auto"/>
                <w:sz w:val="21"/>
                <w:szCs w:val="21"/>
              </w:rPr>
              <w:t>本项目地下水污染防治分区情况表</w:t>
            </w:r>
          </w:p>
          <w:tbl>
            <w:tblPr>
              <w:tblStyle w:val="3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57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5" w:type="pct"/>
                  <w:tcBorders>
                    <w:tl2br w:val="nil"/>
                    <w:tr2bl w:val="nil"/>
                  </w:tcBorders>
                  <w:noWrap w:val="0"/>
                  <w:vAlign w:val="top"/>
                </w:tcPr>
                <w:p>
                  <w:pPr>
                    <w:pStyle w:val="17"/>
                    <w:spacing w:line="240" w:lineRule="auto"/>
                    <w:jc w:val="center"/>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3754" w:type="pct"/>
                  <w:tcBorders>
                    <w:tl2br w:val="nil"/>
                    <w:tr2bl w:val="nil"/>
                  </w:tcBorders>
                  <w:noWrap w:val="0"/>
                  <w:vAlign w:val="top"/>
                </w:tcPr>
                <w:p>
                  <w:pPr>
                    <w:pStyle w:val="17"/>
                    <w:spacing w:line="240" w:lineRule="auto"/>
                    <w:jc w:val="center"/>
                    <w:rPr>
                      <w:rFonts w:hint="default" w:ascii="Times New Roman" w:hAnsi="Times New Roman" w:cs="Times New Roman"/>
                      <w:b/>
                      <w:bCs/>
                      <w:color w:val="auto"/>
                    </w:rPr>
                  </w:pPr>
                  <w:r>
                    <w:rPr>
                      <w:rFonts w:hint="default" w:ascii="Times New Roman" w:hAnsi="Times New Roman" w:cs="Times New Roman"/>
                      <w:b/>
                      <w:bCs/>
                      <w:color w:val="auto"/>
                    </w:rPr>
                    <w:t>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5" w:type="pct"/>
                  <w:tcBorders>
                    <w:tl2br w:val="nil"/>
                    <w:tr2bl w:val="nil"/>
                  </w:tcBorders>
                  <w:noWrap w:val="0"/>
                  <w:vAlign w:val="top"/>
                </w:tcPr>
                <w:p>
                  <w:pPr>
                    <w:pStyle w:val="17"/>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重点防渗区</w:t>
                  </w:r>
                </w:p>
              </w:tc>
              <w:tc>
                <w:tcPr>
                  <w:tcW w:w="3754" w:type="pct"/>
                  <w:tcBorders>
                    <w:tl2br w:val="nil"/>
                    <w:tr2bl w:val="nil"/>
                  </w:tcBorders>
                  <w:noWrap w:val="0"/>
                  <w:vAlign w:val="top"/>
                </w:tcPr>
                <w:p>
                  <w:pPr>
                    <w:pStyle w:val="17"/>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危废暂存间</w:t>
                  </w:r>
                  <w:r>
                    <w:rPr>
                      <w:rFonts w:hint="eastAsia" w:ascii="Times New Roman" w:hAnsi="Times New Roman" w:cs="Times New Roman"/>
                      <w:color w:val="auto"/>
                      <w:lang w:val="en-US" w:eastAsia="zh-CN"/>
                    </w:rPr>
                    <w:t>、</w:t>
                  </w:r>
                  <w:r>
                    <w:rPr>
                      <w:rFonts w:hint="eastAsia" w:ascii="Times New Roman" w:hAnsi="Times New Roman" w:cs="Times New Roman"/>
                      <w:color w:val="auto"/>
                      <w:highlight w:val="none"/>
                      <w:lang w:val="en-US" w:eastAsia="zh-CN"/>
                    </w:rPr>
                    <w:t>危化品库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5" w:type="pct"/>
                  <w:tcBorders>
                    <w:tl2br w:val="nil"/>
                    <w:tr2bl w:val="nil"/>
                  </w:tcBorders>
                  <w:noWrap w:val="0"/>
                  <w:vAlign w:val="top"/>
                </w:tcPr>
                <w:p>
                  <w:pPr>
                    <w:pStyle w:val="17"/>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一般防渗区</w:t>
                  </w:r>
                </w:p>
              </w:tc>
              <w:tc>
                <w:tcPr>
                  <w:tcW w:w="3754" w:type="pct"/>
                  <w:tcBorders>
                    <w:tl2br w:val="nil"/>
                    <w:tr2bl w:val="nil"/>
                  </w:tcBorders>
                  <w:noWrap w:val="0"/>
                  <w:vAlign w:val="top"/>
                </w:tcPr>
                <w:p>
                  <w:pPr>
                    <w:pStyle w:val="17"/>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5" w:type="pct"/>
                  <w:tcBorders>
                    <w:tl2br w:val="nil"/>
                    <w:tr2bl w:val="nil"/>
                  </w:tcBorders>
                  <w:noWrap w:val="0"/>
                  <w:vAlign w:val="top"/>
                </w:tcPr>
                <w:p>
                  <w:pPr>
                    <w:pStyle w:val="17"/>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简单防渗区</w:t>
                  </w:r>
                </w:p>
              </w:tc>
              <w:tc>
                <w:tcPr>
                  <w:tcW w:w="3754" w:type="pct"/>
                  <w:tcBorders>
                    <w:tl2br w:val="nil"/>
                    <w:tr2bl w:val="nil"/>
                  </w:tcBorders>
                  <w:noWrap w:val="0"/>
                  <w:vAlign w:val="top"/>
                </w:tcPr>
                <w:p>
                  <w:pPr>
                    <w:pStyle w:val="17"/>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其他区域</w:t>
                  </w:r>
                </w:p>
              </w:tc>
            </w:tr>
          </w:tbl>
          <w:p>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此外要加强管理，提高操作人员技术水平，完善管理机制，建立严格的生产管理制度，遵守操作规程。采取以上措施后，能最大限度地减少项目污染物的排放对土壤和地下水的影响。建议企业做好废气、废水污染防治设施的维护及检修；严格做好分区防渗措施。故本项目对地下水和土壤影响不大。</w:t>
            </w:r>
          </w:p>
          <w:p>
            <w:pPr>
              <w:shd w:val="clea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 环境风险分析</w:t>
            </w:r>
          </w:p>
          <w:p>
            <w:pPr>
              <w:shd w:val="clear"/>
              <w:spacing w:line="360" w:lineRule="auto"/>
              <w:rPr>
                <w:rFonts w:hint="default" w:ascii="Times New Roman" w:hAnsi="Times New Roman" w:eastAsia="宋体" w:cs="Times New Roman"/>
                <w:b/>
                <w:bCs/>
                <w:color w:val="auto"/>
                <w:sz w:val="24"/>
                <w:highlight w:val="none"/>
                <w:lang w:eastAsia="zh-CN"/>
              </w:rPr>
            </w:pPr>
            <w:r>
              <w:rPr>
                <w:rFonts w:hint="default" w:ascii="Times New Roman" w:hAnsi="Times New Roman" w:cs="Times New Roman"/>
                <w:b/>
                <w:bCs/>
                <w:color w:val="auto"/>
                <w:sz w:val="24"/>
                <w:highlight w:val="none"/>
              </w:rPr>
              <w:t xml:space="preserve">6.1 </w:t>
            </w:r>
            <w:r>
              <w:rPr>
                <w:rFonts w:hint="default" w:ascii="Times New Roman" w:hAnsi="Times New Roman" w:cs="Times New Roman"/>
                <w:b/>
                <w:bCs/>
                <w:color w:val="auto"/>
                <w:sz w:val="24"/>
                <w:highlight w:val="none"/>
                <w:lang w:val="en-US" w:eastAsia="zh-CN"/>
              </w:rPr>
              <w:t>环境风险评价目的</w:t>
            </w:r>
          </w:p>
          <w:p>
            <w:pPr>
              <w:pStyle w:val="76"/>
              <w:shd w:val="clear"/>
              <w:spacing w:line="360" w:lineRule="auto"/>
              <w:rPr>
                <w:rFonts w:hint="default" w:ascii="Times New Roman" w:hAnsi="Times New Roman" w:cs="Times New Roman"/>
                <w:kern w:val="0"/>
              </w:rPr>
            </w:pPr>
            <w:r>
              <w:rPr>
                <w:rFonts w:hint="default" w:ascii="Times New Roman" w:hAnsi="Times New Roman" w:cs="Times New Roman"/>
              </w:rPr>
              <w:t>本</w:t>
            </w:r>
            <w:r>
              <w:rPr>
                <w:rFonts w:hint="default" w:ascii="Times New Roman" w:hAnsi="Times New Roman" w:cs="Times New Roman"/>
                <w:kern w:val="0"/>
              </w:rPr>
              <w:t>环境风险评价的目的是分析和预测建设项目存在的潜在危险、有害因素、建设项目建设和生产运行期间可能发生的突发性事件或事故（一般不包括人为破坏及自然灾害）引起易燃易爆等物质燃烧爆炸，所造成的人身安全与环境影响和损害程度，提出合理可行的防范、应急与减缓措施，以使建设项目事故率、损失和环境影响达到可接受水平。</w:t>
            </w:r>
          </w:p>
          <w:p>
            <w:pPr>
              <w:shd w:val="clear"/>
              <w:spacing w:line="360" w:lineRule="auto"/>
              <w:rPr>
                <w:rFonts w:hint="default" w:ascii="Times New Roman" w:hAnsi="Times New Roman" w:eastAsia="宋体" w:cs="Times New Roman"/>
                <w:b/>
                <w:bCs/>
                <w:color w:val="auto"/>
                <w:sz w:val="24"/>
                <w:highlight w:val="none"/>
                <w:lang w:eastAsia="zh-CN"/>
              </w:rPr>
            </w:pPr>
            <w:r>
              <w:rPr>
                <w:rFonts w:hint="default" w:ascii="Times New Roman" w:hAnsi="Times New Roman" w:cs="Times New Roman"/>
                <w:b/>
                <w:bCs/>
                <w:color w:val="auto"/>
                <w:sz w:val="24"/>
                <w:highlight w:val="none"/>
              </w:rPr>
              <w:t>6.</w:t>
            </w: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 xml:space="preserve"> </w:t>
            </w:r>
            <w:r>
              <w:rPr>
                <w:rFonts w:hint="default" w:ascii="Times New Roman" w:hAnsi="Times New Roman" w:cs="Times New Roman"/>
                <w:b/>
                <w:bCs/>
                <w:color w:val="auto"/>
                <w:sz w:val="24"/>
                <w:highlight w:val="none"/>
                <w:lang w:val="en-US" w:eastAsia="zh-CN"/>
              </w:rPr>
              <w:t>风险调查</w:t>
            </w:r>
          </w:p>
          <w:p>
            <w:pPr>
              <w:keepNext w:val="0"/>
              <w:keepLines w:val="0"/>
              <w:widowControl/>
              <w:suppressLineNumbers w:val="0"/>
              <w:spacing w:line="360" w:lineRule="auto"/>
              <w:ind w:firstLine="480" w:firstLineChars="200"/>
              <w:jc w:val="left"/>
              <w:rPr>
                <w:rFonts w:hint="default" w:ascii="Times New Roman" w:hAnsi="Times New Roman" w:cs="Times New Roman"/>
                <w:kern w:val="0"/>
              </w:rPr>
            </w:pPr>
            <w:r>
              <w:rPr>
                <w:rFonts w:hint="default" w:ascii="Times New Roman" w:hAnsi="Times New Roman" w:eastAsia="宋体" w:cs="Times New Roman"/>
                <w:color w:val="000000"/>
                <w:kern w:val="0"/>
                <w:sz w:val="24"/>
                <w:szCs w:val="24"/>
                <w:lang w:val="en-US" w:eastAsia="zh-CN" w:bidi="ar"/>
              </w:rPr>
              <w:t>根据《建设项目环境风险评价技术导则》（HJ169-2018）附录 B 中规定，本项目风险物质为油类物质</w:t>
            </w:r>
            <w:r>
              <w:rPr>
                <w:rFonts w:hint="eastAsia" w:cs="Times New Roman"/>
                <w:color w:val="000000"/>
                <w:kern w:val="0"/>
                <w:sz w:val="24"/>
                <w:szCs w:val="24"/>
                <w:highlight w:val="none"/>
                <w:lang w:val="en-US" w:eastAsia="zh-CN" w:bidi="ar"/>
              </w:rPr>
              <w:t>废机油</w:t>
            </w:r>
            <w:r>
              <w:rPr>
                <w:rFonts w:hint="default" w:ascii="Times New Roman" w:hAnsi="Times New Roman" w:eastAsia="宋体" w:cs="Times New Roman"/>
                <w:color w:val="000000"/>
                <w:kern w:val="0"/>
                <w:sz w:val="24"/>
                <w:szCs w:val="24"/>
                <w:highlight w:val="none"/>
                <w:lang w:val="en-US" w:eastAsia="zh-CN" w:bidi="ar"/>
              </w:rPr>
              <w:t>。</w:t>
            </w:r>
          </w:p>
          <w:p>
            <w:pPr>
              <w:shd w:val="clear"/>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w:t>
            </w:r>
            <w:r>
              <w:rPr>
                <w:rFonts w:hint="default"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 xml:space="preserve"> 环境风险潜势初判</w:t>
            </w:r>
          </w:p>
          <w:p>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1）危险物质数量与临界量比值（Q） </w:t>
            </w:r>
          </w:p>
          <w:p>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根据《建设项目环境风险评价技术导则》（HJ169-2018）和《危险化学品重大危险源辨识》（GB18218-2018），危险化学品重大危险源是指“长期地或临时地生产、加工、搬运、使用或储存危险化学品，且危险化学品的数量等于或超过临界量的单元”。计算所涉及的每种危险物质在厂界内的最大存在总量与其在附录B中对应临界量的比值Q。在不同厂区的同一种物质，按其在厂界内的最大存在总量计算。单元内存在的危险化学品的数量根据处理危险化学品的多少，区分为以下两种情况： </w:t>
            </w:r>
          </w:p>
          <w:p>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①当只涉及一种危险物质时，计算该物质的总量与其临界量比值，即为 Q； </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②当存在多种危险物质时，则按下式计算物质总量与其临界量比值（Q）：</w:t>
            </w:r>
          </w:p>
          <w:p>
            <w:pPr>
              <w:keepNext w:val="0"/>
              <w:keepLines w:val="0"/>
              <w:widowControl/>
              <w:suppressLineNumbers w:val="0"/>
              <w:spacing w:line="36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1417320" cy="44196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1417320" cy="441960"/>
                          </a:xfrm>
                          <a:prstGeom prst="rect">
                            <a:avLst/>
                          </a:prstGeom>
                          <a:noFill/>
                          <a:ln>
                            <a:noFill/>
                          </a:ln>
                        </pic:spPr>
                      </pic:pic>
                    </a:graphicData>
                  </a:graphic>
                </wp:inline>
              </w:drawing>
            </w:r>
          </w:p>
          <w:p>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式中：q</w:t>
            </w:r>
            <w:r>
              <w:rPr>
                <w:rFonts w:hint="default" w:ascii="Times New Roman" w:hAnsi="Times New Roman" w:eastAsia="宋体" w:cs="Times New Roman"/>
                <w:color w:val="000000"/>
                <w:kern w:val="0"/>
                <w:sz w:val="15"/>
                <w:szCs w:val="15"/>
                <w:lang w:val="en-US" w:eastAsia="zh-CN" w:bidi="ar"/>
              </w:rPr>
              <w:t>1</w:t>
            </w: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5"/>
                <w:szCs w:val="15"/>
                <w:lang w:val="en-US" w:eastAsia="zh-CN" w:bidi="ar"/>
              </w:rPr>
              <w:t>2</w:t>
            </w: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5"/>
                <w:szCs w:val="15"/>
                <w:lang w:val="en-US" w:eastAsia="zh-CN" w:bidi="ar"/>
              </w:rPr>
              <w:t>n</w:t>
            </w:r>
            <w:r>
              <w:rPr>
                <w:rFonts w:hint="default" w:ascii="Times New Roman" w:hAnsi="Times New Roman" w:eastAsia="宋体" w:cs="Times New Roman"/>
                <w:color w:val="000000"/>
                <w:kern w:val="0"/>
                <w:sz w:val="24"/>
                <w:szCs w:val="24"/>
                <w:lang w:val="en-US" w:eastAsia="zh-CN" w:bidi="ar"/>
              </w:rPr>
              <w:t xml:space="preserve">——每种危险物质的最大总存在量，t； </w:t>
            </w:r>
          </w:p>
          <w:p>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5"/>
                <w:szCs w:val="15"/>
                <w:lang w:val="en-US" w:eastAsia="zh-CN" w:bidi="ar"/>
              </w:rPr>
              <w:t>1</w:t>
            </w: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5"/>
                <w:szCs w:val="15"/>
                <w:lang w:val="en-US" w:eastAsia="zh-CN" w:bidi="ar"/>
              </w:rPr>
              <w:t>2</w:t>
            </w:r>
            <w:r>
              <w:rPr>
                <w:rFonts w:hint="default" w:ascii="Times New Roman" w:hAnsi="Times New Roman" w:eastAsia="宋体" w:cs="Times New Roman"/>
                <w:color w:val="000000"/>
                <w:kern w:val="0"/>
                <w:sz w:val="24"/>
                <w:szCs w:val="24"/>
                <w:lang w:val="en-US" w:eastAsia="zh-CN" w:bidi="ar"/>
              </w:rPr>
              <w:t>，...，Q</w:t>
            </w:r>
            <w:r>
              <w:rPr>
                <w:rFonts w:hint="default" w:ascii="Times New Roman" w:hAnsi="Times New Roman" w:eastAsia="宋体" w:cs="Times New Roman"/>
                <w:color w:val="000000"/>
                <w:kern w:val="0"/>
                <w:sz w:val="15"/>
                <w:szCs w:val="15"/>
                <w:lang w:val="en-US" w:eastAsia="zh-CN" w:bidi="ar"/>
              </w:rPr>
              <w:t>n</w:t>
            </w:r>
            <w:r>
              <w:rPr>
                <w:rFonts w:hint="default" w:ascii="Times New Roman" w:hAnsi="Times New Roman" w:eastAsia="宋体" w:cs="Times New Roman"/>
                <w:color w:val="000000"/>
                <w:kern w:val="0"/>
                <w:sz w:val="24"/>
                <w:szCs w:val="24"/>
                <w:lang w:val="en-US" w:eastAsia="zh-CN" w:bidi="ar"/>
              </w:rPr>
              <w:t xml:space="preserve">——每种危险物质的临界量，t； </w:t>
            </w:r>
          </w:p>
          <w:p>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当 Q＜1 时，该项目环境风险潜势为Ⅰ； </w:t>
            </w:r>
          </w:p>
          <w:p>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当 Q≥1 时，将 Q 值划分为：1≤Q＜10；10≤Q＜100；Q≥100。 </w:t>
            </w:r>
          </w:p>
          <w:p>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本项目涉及的危险物质存在量与临界量比值见表 4-</w:t>
            </w:r>
            <w:r>
              <w:rPr>
                <w:rFonts w:hint="eastAsia" w:cs="Times New Roman"/>
                <w:color w:val="000000"/>
                <w:kern w:val="0"/>
                <w:sz w:val="24"/>
                <w:szCs w:val="24"/>
                <w:lang w:val="en-US" w:eastAsia="zh-CN" w:bidi="ar"/>
              </w:rPr>
              <w:t>12</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kern w:val="0"/>
                <w:sz w:val="21"/>
                <w:szCs w:val="21"/>
                <w:lang w:val="en-US" w:eastAsia="zh-CN" w:bidi="ar"/>
              </w:rPr>
              <w:t>表 4-</w:t>
            </w:r>
            <w:r>
              <w:rPr>
                <w:rFonts w:hint="eastAsia" w:eastAsia="黑体" w:cs="Times New Roman"/>
                <w:color w:val="000000"/>
                <w:kern w:val="0"/>
                <w:sz w:val="21"/>
                <w:szCs w:val="21"/>
                <w:lang w:val="en-US" w:eastAsia="zh-CN" w:bidi="ar"/>
              </w:rPr>
              <w:t>12</w:t>
            </w:r>
            <w:r>
              <w:rPr>
                <w:rFonts w:hint="default" w:ascii="Times New Roman" w:hAnsi="Times New Roman" w:eastAsia="黑体" w:cs="Times New Roman"/>
                <w:color w:val="000000"/>
                <w:kern w:val="0"/>
                <w:sz w:val="21"/>
                <w:szCs w:val="21"/>
                <w:lang w:val="en-US" w:eastAsia="zh-CN" w:bidi="ar"/>
              </w:rPr>
              <w:t xml:space="preserve"> 危险物质存在量与临界量比值一览表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36"/>
              <w:gridCol w:w="1538"/>
              <w:gridCol w:w="1539"/>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tcPr>
                <w:p>
                  <w:pPr>
                    <w:keepNext w:val="0"/>
                    <w:keepLines w:val="0"/>
                    <w:widowControl/>
                    <w:suppressLineNumbers w:val="0"/>
                    <w:spacing w:line="240" w:lineRule="auto"/>
                    <w:jc w:val="center"/>
                    <w:rPr>
                      <w:rFonts w:hint="default" w:ascii="Times New Roman" w:hAnsi="Times New Roman" w:cs="Times New Roman"/>
                      <w:spacing w:val="4"/>
                      <w:sz w:val="21"/>
                      <w:szCs w:val="21"/>
                      <w:vertAlign w:val="baseline"/>
                    </w:rPr>
                  </w:pPr>
                  <w:r>
                    <w:rPr>
                      <w:rFonts w:hint="default" w:ascii="Times New Roman" w:hAnsi="Times New Roman" w:eastAsia="宋体" w:cs="Times New Roman"/>
                      <w:color w:val="000000"/>
                      <w:kern w:val="0"/>
                      <w:sz w:val="21"/>
                      <w:szCs w:val="21"/>
                      <w:lang w:val="en-US" w:eastAsia="zh-CN" w:bidi="ar"/>
                    </w:rPr>
                    <w:t>物质名称</w:t>
                  </w:r>
                </w:p>
              </w:tc>
              <w:tc>
                <w:tcPr>
                  <w:tcW w:w="1536" w:type="dxa"/>
                </w:tcPr>
                <w:p>
                  <w:pPr>
                    <w:keepNext w:val="0"/>
                    <w:keepLines w:val="0"/>
                    <w:widowControl/>
                    <w:suppressLineNumbers w:val="0"/>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临界量（Qi）</w:t>
                  </w:r>
                </w:p>
                <w:p>
                  <w:pPr>
                    <w:pStyle w:val="76"/>
                    <w:spacing w:line="240" w:lineRule="auto"/>
                    <w:jc w:val="center"/>
                    <w:rPr>
                      <w:rFonts w:hint="default" w:ascii="Times New Roman" w:hAnsi="Times New Roman" w:cs="Times New Roman"/>
                      <w:spacing w:val="4"/>
                      <w:sz w:val="21"/>
                      <w:szCs w:val="21"/>
                      <w:vertAlign w:val="baseline"/>
                    </w:rPr>
                  </w:pPr>
                </w:p>
              </w:tc>
              <w:tc>
                <w:tcPr>
                  <w:tcW w:w="1538" w:type="dxa"/>
                </w:tcPr>
                <w:p>
                  <w:pPr>
                    <w:keepNext w:val="0"/>
                    <w:keepLines w:val="0"/>
                    <w:widowControl/>
                    <w:suppressLineNumbers w:val="0"/>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存在量（qi）</w:t>
                  </w:r>
                </w:p>
                <w:p>
                  <w:pPr>
                    <w:pStyle w:val="76"/>
                    <w:spacing w:line="240" w:lineRule="auto"/>
                    <w:jc w:val="center"/>
                    <w:rPr>
                      <w:rFonts w:hint="default" w:ascii="Times New Roman" w:hAnsi="Times New Roman" w:cs="Times New Roman"/>
                      <w:spacing w:val="4"/>
                      <w:sz w:val="21"/>
                      <w:szCs w:val="21"/>
                      <w:vertAlign w:val="baseline"/>
                    </w:rPr>
                  </w:pPr>
                </w:p>
              </w:tc>
              <w:tc>
                <w:tcPr>
                  <w:tcW w:w="1539" w:type="dxa"/>
                </w:tcPr>
                <w:p>
                  <w:pPr>
                    <w:keepNext w:val="0"/>
                    <w:keepLines w:val="0"/>
                    <w:widowControl/>
                    <w:suppressLineNumbers w:val="0"/>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qi/Qi</w:t>
                  </w:r>
                </w:p>
                <w:p>
                  <w:pPr>
                    <w:pStyle w:val="76"/>
                    <w:spacing w:line="240" w:lineRule="auto"/>
                    <w:jc w:val="center"/>
                    <w:rPr>
                      <w:rFonts w:hint="default" w:ascii="Times New Roman" w:hAnsi="Times New Roman" w:cs="Times New Roman"/>
                      <w:spacing w:val="4"/>
                      <w:sz w:val="21"/>
                      <w:szCs w:val="21"/>
                      <w:vertAlign w:val="baseline"/>
                    </w:rPr>
                  </w:pPr>
                </w:p>
              </w:tc>
              <w:tc>
                <w:tcPr>
                  <w:tcW w:w="1535" w:type="dxa"/>
                </w:tcPr>
                <w:p>
                  <w:pPr>
                    <w:keepNext w:val="0"/>
                    <w:keepLines w:val="0"/>
                    <w:widowControl/>
                    <w:suppressLineNumbers w:val="0"/>
                    <w:spacing w:line="240" w:lineRule="auto"/>
                    <w:jc w:val="center"/>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是否构成重</w:t>
                  </w:r>
                </w:p>
                <w:p>
                  <w:pPr>
                    <w:keepNext w:val="0"/>
                    <w:keepLines w:val="0"/>
                    <w:widowControl/>
                    <w:suppressLineNumbers w:val="0"/>
                    <w:spacing w:line="240" w:lineRule="auto"/>
                    <w:jc w:val="center"/>
                    <w:rPr>
                      <w:rFonts w:hint="default" w:ascii="Times New Roman" w:hAnsi="Times New Roman" w:cs="Times New Roman"/>
                      <w:spacing w:val="4"/>
                      <w:sz w:val="21"/>
                      <w:szCs w:val="21"/>
                      <w:vertAlign w:val="baseline"/>
                    </w:rPr>
                  </w:pPr>
                  <w:r>
                    <w:rPr>
                      <w:rFonts w:hint="default" w:ascii="Times New Roman" w:hAnsi="Times New Roman" w:eastAsia="宋体" w:cs="Times New Roman"/>
                      <w:color w:val="000000"/>
                      <w:kern w:val="0"/>
                      <w:sz w:val="21"/>
                      <w:szCs w:val="21"/>
                      <w:lang w:val="en-US" w:eastAsia="zh-CN" w:bidi="ar"/>
                    </w:rPr>
                    <w:t>大危险源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tcPr>
                <w:p>
                  <w:pPr>
                    <w:keepNext w:val="0"/>
                    <w:keepLines w:val="0"/>
                    <w:widowControl/>
                    <w:suppressLineNumbers w:val="0"/>
                    <w:spacing w:line="240" w:lineRule="auto"/>
                    <w:jc w:val="center"/>
                    <w:rPr>
                      <w:rFonts w:hint="default" w:ascii="Times New Roman" w:hAnsi="Times New Roman" w:cs="Times New Roman"/>
                      <w:spacing w:val="4"/>
                      <w:sz w:val="21"/>
                      <w:szCs w:val="21"/>
                      <w:vertAlign w:val="baseline"/>
                    </w:rPr>
                  </w:pPr>
                  <w:r>
                    <w:rPr>
                      <w:rFonts w:hint="default" w:ascii="Times New Roman" w:hAnsi="Times New Roman" w:eastAsia="宋体" w:cs="Times New Roman"/>
                      <w:color w:val="000000"/>
                      <w:kern w:val="0"/>
                      <w:sz w:val="21"/>
                      <w:szCs w:val="21"/>
                      <w:lang w:val="en-US" w:eastAsia="zh-CN" w:bidi="ar"/>
                    </w:rPr>
                    <w:t>油类物质</w:t>
                  </w:r>
                  <w:r>
                    <w:rPr>
                      <w:rFonts w:hint="default" w:ascii="Times New Roman" w:hAnsi="Times New Roman" w:eastAsia="宋体" w:cs="Times New Roman"/>
                      <w:color w:val="000000"/>
                      <w:kern w:val="0"/>
                      <w:sz w:val="21"/>
                      <w:szCs w:val="21"/>
                      <w:highlight w:val="none"/>
                      <w:lang w:val="en-US" w:eastAsia="zh-CN" w:bidi="ar"/>
                    </w:rPr>
                    <w:t>（</w:t>
                  </w:r>
                  <w:r>
                    <w:rPr>
                      <w:rFonts w:hint="eastAsia" w:cs="Times New Roman"/>
                      <w:color w:val="000000"/>
                      <w:kern w:val="0"/>
                      <w:sz w:val="21"/>
                      <w:szCs w:val="21"/>
                      <w:highlight w:val="none"/>
                      <w:lang w:val="en-US" w:eastAsia="zh-CN" w:bidi="ar"/>
                    </w:rPr>
                    <w:t>废机油</w:t>
                  </w:r>
                  <w:r>
                    <w:rPr>
                      <w:rFonts w:hint="default" w:ascii="Times New Roman" w:hAnsi="Times New Roman" w:eastAsia="宋体" w:cs="Times New Roman"/>
                      <w:color w:val="000000"/>
                      <w:kern w:val="0"/>
                      <w:sz w:val="21"/>
                      <w:szCs w:val="21"/>
                      <w:highlight w:val="none"/>
                      <w:lang w:val="en-US" w:eastAsia="zh-CN" w:bidi="ar"/>
                    </w:rPr>
                    <w:t>）</w:t>
                  </w:r>
                </w:p>
              </w:tc>
              <w:tc>
                <w:tcPr>
                  <w:tcW w:w="1536" w:type="dxa"/>
                </w:tcPr>
                <w:p>
                  <w:pPr>
                    <w:keepNext w:val="0"/>
                    <w:keepLines w:val="0"/>
                    <w:widowControl/>
                    <w:suppressLineNumbers w:val="0"/>
                    <w:spacing w:line="240" w:lineRule="auto"/>
                    <w:jc w:val="center"/>
                    <w:rPr>
                      <w:rFonts w:hint="default" w:ascii="Times New Roman" w:hAnsi="Times New Roman" w:cs="Times New Roman"/>
                      <w:spacing w:val="4"/>
                      <w:sz w:val="21"/>
                      <w:szCs w:val="21"/>
                      <w:vertAlign w:val="baseline"/>
                    </w:rPr>
                  </w:pPr>
                  <w:r>
                    <w:rPr>
                      <w:rFonts w:hint="default" w:ascii="Times New Roman" w:hAnsi="Times New Roman" w:eastAsia="宋体" w:cs="Times New Roman"/>
                      <w:color w:val="000000"/>
                      <w:kern w:val="0"/>
                      <w:sz w:val="21"/>
                      <w:szCs w:val="21"/>
                      <w:lang w:val="en-US" w:eastAsia="zh-CN" w:bidi="ar"/>
                    </w:rPr>
                    <w:t>2500t</w:t>
                  </w:r>
                </w:p>
              </w:tc>
              <w:tc>
                <w:tcPr>
                  <w:tcW w:w="1538"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0.01t</w:t>
                  </w:r>
                </w:p>
              </w:tc>
              <w:tc>
                <w:tcPr>
                  <w:tcW w:w="1539"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0.00004</w:t>
                  </w:r>
                </w:p>
              </w:tc>
              <w:tc>
                <w:tcPr>
                  <w:tcW w:w="1535" w:type="dxa"/>
                  <w:vMerge w:val="restart"/>
                  <w:vAlign w:val="center"/>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tcPr>
                <w:p>
                  <w:pPr>
                    <w:keepNext w:val="0"/>
                    <w:keepLines w:val="0"/>
                    <w:widowControl/>
                    <w:suppressLineNumbers w:val="0"/>
                    <w:spacing w:line="240" w:lineRule="auto"/>
                    <w:jc w:val="center"/>
                    <w:rPr>
                      <w:rFonts w:hint="default" w:ascii="Times New Roman" w:hAnsi="Times New Roman" w:cs="Times New Roman"/>
                      <w:spacing w:val="4"/>
                      <w:sz w:val="21"/>
                      <w:szCs w:val="21"/>
                      <w:vertAlign w:val="baseline"/>
                    </w:rPr>
                  </w:pPr>
                  <w:r>
                    <w:rPr>
                      <w:rFonts w:hint="default" w:ascii="Times New Roman" w:hAnsi="Times New Roman" w:eastAsia="宋体" w:cs="Times New Roman"/>
                      <w:color w:val="auto"/>
                      <w:kern w:val="0"/>
                      <w:sz w:val="21"/>
                      <w:szCs w:val="21"/>
                      <w:lang w:val="en-US" w:eastAsia="zh-CN" w:bidi="ar"/>
                    </w:rPr>
                    <w:t>氢氧化钾</w:t>
                  </w:r>
                </w:p>
              </w:tc>
              <w:tc>
                <w:tcPr>
                  <w:tcW w:w="1536"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highlight w:val="none"/>
                      <w:vertAlign w:val="baseline"/>
                      <w:lang w:val="en-US" w:eastAsia="zh-CN"/>
                    </w:rPr>
                  </w:pPr>
                  <w:r>
                    <w:rPr>
                      <w:rFonts w:hint="default" w:ascii="Times New Roman" w:hAnsi="Times New Roman" w:cs="Times New Roman"/>
                      <w:spacing w:val="4"/>
                      <w:sz w:val="21"/>
                      <w:szCs w:val="21"/>
                      <w:highlight w:val="none"/>
                      <w:vertAlign w:val="baseline"/>
                      <w:lang w:val="en-US" w:eastAsia="zh-CN"/>
                    </w:rPr>
                    <w:t>/</w:t>
                  </w:r>
                </w:p>
              </w:tc>
              <w:tc>
                <w:tcPr>
                  <w:tcW w:w="1538"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2t</w:t>
                  </w:r>
                </w:p>
              </w:tc>
              <w:tc>
                <w:tcPr>
                  <w:tcW w:w="1539"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w:t>
                  </w:r>
                </w:p>
              </w:tc>
              <w:tc>
                <w:tcPr>
                  <w:tcW w:w="1535" w:type="dxa"/>
                  <w:vMerge w:val="continue"/>
                </w:tcPr>
                <w:p>
                  <w:pPr>
                    <w:pStyle w:val="76"/>
                    <w:spacing w:line="360" w:lineRule="auto"/>
                    <w:rPr>
                      <w:rFonts w:hint="default" w:ascii="Times New Roman" w:hAnsi="Times New Roman" w:cs="Times New Roman"/>
                      <w:spacing w:val="4"/>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氢氧化钠</w:t>
                  </w:r>
                </w:p>
              </w:tc>
              <w:tc>
                <w:tcPr>
                  <w:tcW w:w="1536"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highlight w:val="none"/>
                      <w:vertAlign w:val="baseline"/>
                      <w:lang w:val="en-US" w:eastAsia="zh-CN"/>
                    </w:rPr>
                  </w:pPr>
                  <w:r>
                    <w:rPr>
                      <w:rFonts w:hint="default" w:ascii="Times New Roman" w:hAnsi="Times New Roman" w:cs="Times New Roman"/>
                      <w:spacing w:val="4"/>
                      <w:sz w:val="21"/>
                      <w:szCs w:val="21"/>
                      <w:highlight w:val="none"/>
                      <w:vertAlign w:val="baseline"/>
                      <w:lang w:val="en-US" w:eastAsia="zh-CN"/>
                    </w:rPr>
                    <w:t>/</w:t>
                  </w:r>
                </w:p>
              </w:tc>
              <w:tc>
                <w:tcPr>
                  <w:tcW w:w="1538"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1t</w:t>
                  </w:r>
                </w:p>
              </w:tc>
              <w:tc>
                <w:tcPr>
                  <w:tcW w:w="1539"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w:t>
                  </w:r>
                </w:p>
              </w:tc>
              <w:tc>
                <w:tcPr>
                  <w:tcW w:w="1535" w:type="dxa"/>
                  <w:vMerge w:val="continue"/>
                </w:tcPr>
                <w:p>
                  <w:pPr>
                    <w:pStyle w:val="76"/>
                    <w:spacing w:line="360" w:lineRule="auto"/>
                    <w:rPr>
                      <w:rFonts w:hint="default" w:ascii="Times New Roman" w:hAnsi="Times New Roman" w:cs="Times New Roman"/>
                      <w:spacing w:val="4"/>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7" w:type="dxa"/>
                </w:tcPr>
                <w:p>
                  <w:pPr>
                    <w:keepNext w:val="0"/>
                    <w:keepLines w:val="0"/>
                    <w:widowControl/>
                    <w:suppressLineNumbers w:val="0"/>
                    <w:spacing w:line="240" w:lineRule="auto"/>
                    <w:jc w:val="center"/>
                    <w:rPr>
                      <w:rFonts w:hint="default" w:ascii="Times New Roman" w:hAnsi="Times New Roman" w:cs="Times New Roman"/>
                      <w:spacing w:val="4"/>
                      <w:sz w:val="21"/>
                      <w:szCs w:val="21"/>
                      <w:vertAlign w:val="baseline"/>
                    </w:rPr>
                  </w:pPr>
                  <w:r>
                    <w:rPr>
                      <w:rFonts w:hint="default" w:ascii="Times New Roman" w:hAnsi="Times New Roman" w:eastAsia="宋体" w:cs="Times New Roman"/>
                      <w:color w:val="000000"/>
                      <w:kern w:val="0"/>
                      <w:sz w:val="21"/>
                      <w:szCs w:val="21"/>
                      <w:lang w:val="en-US" w:eastAsia="zh-CN" w:bidi="ar"/>
                    </w:rPr>
                    <w:t>∑（qi/Qi）</w:t>
                  </w:r>
                </w:p>
              </w:tc>
              <w:tc>
                <w:tcPr>
                  <w:tcW w:w="1536"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w:t>
                  </w:r>
                </w:p>
              </w:tc>
              <w:tc>
                <w:tcPr>
                  <w:tcW w:w="1538"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w:t>
                  </w:r>
                </w:p>
              </w:tc>
              <w:tc>
                <w:tcPr>
                  <w:tcW w:w="1539" w:type="dxa"/>
                </w:tcPr>
                <w:p>
                  <w:pPr>
                    <w:pStyle w:val="76"/>
                    <w:spacing w:line="240" w:lineRule="auto"/>
                    <w:ind w:left="0" w:leftChars="0" w:firstLine="0" w:firstLineChars="0"/>
                    <w:jc w:val="center"/>
                    <w:rPr>
                      <w:rFonts w:hint="default" w:ascii="Times New Roman" w:hAnsi="Times New Roman" w:eastAsia="宋体" w:cs="Times New Roman"/>
                      <w:spacing w:val="4"/>
                      <w:sz w:val="21"/>
                      <w:szCs w:val="21"/>
                      <w:vertAlign w:val="baseline"/>
                      <w:lang w:val="en-US" w:eastAsia="zh-CN"/>
                    </w:rPr>
                  </w:pPr>
                  <w:r>
                    <w:rPr>
                      <w:rFonts w:hint="default" w:ascii="Times New Roman" w:hAnsi="Times New Roman" w:cs="Times New Roman"/>
                      <w:spacing w:val="4"/>
                      <w:sz w:val="21"/>
                      <w:szCs w:val="21"/>
                      <w:vertAlign w:val="baseline"/>
                      <w:lang w:val="en-US" w:eastAsia="zh-CN"/>
                    </w:rPr>
                    <w:t>0.00004</w:t>
                  </w:r>
                </w:p>
              </w:tc>
              <w:tc>
                <w:tcPr>
                  <w:tcW w:w="1535" w:type="dxa"/>
                  <w:vMerge w:val="continue"/>
                </w:tcPr>
                <w:p>
                  <w:pPr>
                    <w:pStyle w:val="76"/>
                    <w:spacing w:line="360" w:lineRule="auto"/>
                    <w:rPr>
                      <w:rFonts w:hint="default" w:ascii="Times New Roman" w:hAnsi="Times New Roman" w:cs="Times New Roman"/>
                      <w:spacing w:val="4"/>
                      <w:sz w:val="21"/>
                      <w:szCs w:val="21"/>
                      <w:vertAlign w:val="baseline"/>
                    </w:rPr>
                  </w:pPr>
                </w:p>
              </w:tc>
            </w:tr>
          </w:tbl>
          <w:p>
            <w:pPr>
              <w:keepNext w:val="0"/>
              <w:keepLines w:val="0"/>
              <w:widowControl/>
              <w:suppressLineNumbers w:val="0"/>
              <w:spacing w:line="360" w:lineRule="auto"/>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本项目危险物质未构成重大危险源，其存在量和临界量比值（Q）＜1，则该项目环境风险潜势为I</w:t>
            </w:r>
            <w:r>
              <w:rPr>
                <w:rFonts w:hint="default" w:ascii="Times New Roman" w:hAnsi="Times New Roman" w:cs="Times New Roman"/>
                <w:color w:val="000000"/>
                <w:kern w:val="0"/>
                <w:sz w:val="24"/>
                <w:szCs w:val="24"/>
                <w:lang w:val="en-US" w:eastAsia="zh-CN" w:bidi="ar"/>
              </w:rPr>
              <w:t>。</w:t>
            </w:r>
          </w:p>
          <w:p>
            <w:pPr>
              <w:spacing w:line="360" w:lineRule="auto"/>
              <w:ind w:firstLine="480" w:firstLineChars="200"/>
              <w:rPr>
                <w:b w:val="0"/>
                <w:bCs w:val="0"/>
                <w:color w:val="auto"/>
                <w:sz w:val="24"/>
                <w:highlight w:val="none"/>
              </w:rPr>
            </w:pPr>
            <w:r>
              <w:rPr>
                <w:rFonts w:hint="eastAsia"/>
                <w:b w:val="0"/>
                <w:bCs w:val="0"/>
                <w:color w:val="auto"/>
                <w:sz w:val="24"/>
                <w:highlight w:val="none"/>
                <w:lang w:val="en-US" w:eastAsia="zh-CN"/>
              </w:rPr>
              <w:t>2）</w:t>
            </w:r>
            <w:r>
              <w:rPr>
                <w:b w:val="0"/>
                <w:bCs w:val="0"/>
                <w:color w:val="auto"/>
                <w:sz w:val="24"/>
                <w:highlight w:val="none"/>
              </w:rPr>
              <w:t>环境风险评价工作等级</w:t>
            </w:r>
          </w:p>
          <w:p>
            <w:pPr>
              <w:spacing w:line="360" w:lineRule="auto"/>
              <w:ind w:firstLine="480"/>
              <w:rPr>
                <w:color w:val="auto"/>
                <w:sz w:val="24"/>
                <w:highlight w:val="none"/>
              </w:rPr>
            </w:pPr>
            <w:r>
              <w:rPr>
                <w:color w:val="auto"/>
                <w:sz w:val="24"/>
                <w:highlight w:val="none"/>
              </w:rPr>
              <w:t>《建设项目环境风险评价技术导则》（HJ 169-2018）中环境风险评价工作级别划分的判据见表</w:t>
            </w:r>
            <w:r>
              <w:rPr>
                <w:rFonts w:hint="eastAsia"/>
                <w:color w:val="auto"/>
                <w:sz w:val="24"/>
                <w:highlight w:val="none"/>
                <w:lang w:val="en-US" w:eastAsia="zh-CN"/>
              </w:rPr>
              <w:t>4-13</w:t>
            </w:r>
            <w:r>
              <w:rPr>
                <w:color w:val="auto"/>
                <w:sz w:val="24"/>
                <w:highlight w:val="none"/>
              </w:rPr>
              <w:t>。</w:t>
            </w:r>
          </w:p>
          <w:p>
            <w:pPr>
              <w:pStyle w:val="9"/>
              <w:spacing w:line="240" w:lineRule="auto"/>
              <w:rPr>
                <w:color w:val="auto"/>
                <w:sz w:val="21"/>
                <w:szCs w:val="21"/>
                <w:highlight w:val="none"/>
              </w:rPr>
            </w:pPr>
            <w:r>
              <w:rPr>
                <w:color w:val="auto"/>
                <w:sz w:val="21"/>
                <w:szCs w:val="21"/>
                <w:highlight w:val="none"/>
              </w:rPr>
              <w:t>表</w:t>
            </w:r>
            <w:r>
              <w:rPr>
                <w:rFonts w:hint="eastAsia"/>
                <w:color w:val="auto"/>
                <w:sz w:val="21"/>
                <w:szCs w:val="21"/>
                <w:highlight w:val="none"/>
                <w:lang w:val="en-US" w:eastAsia="zh-CN"/>
              </w:rPr>
              <w:t>4-13</w:t>
            </w:r>
            <w:r>
              <w:rPr>
                <w:color w:val="auto"/>
                <w:sz w:val="21"/>
                <w:szCs w:val="21"/>
                <w:highlight w:val="none"/>
              </w:rPr>
              <w:t xml:space="preserve">    评价工作等级划分表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533"/>
              <w:gridCol w:w="1535"/>
              <w:gridCol w:w="153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98" w:type="pct"/>
                  <w:vAlign w:val="center"/>
                </w:tcPr>
                <w:p>
                  <w:pPr>
                    <w:spacing w:line="240" w:lineRule="auto"/>
                    <w:jc w:val="center"/>
                    <w:rPr>
                      <w:b/>
                      <w:bCs/>
                      <w:color w:val="auto"/>
                      <w:highlight w:val="none"/>
                    </w:rPr>
                  </w:pPr>
                  <w:r>
                    <w:rPr>
                      <w:b/>
                      <w:bCs/>
                      <w:color w:val="auto"/>
                      <w:highlight w:val="none"/>
                    </w:rPr>
                    <w:t>环境风险潜势</w:t>
                  </w:r>
                </w:p>
              </w:tc>
              <w:tc>
                <w:tcPr>
                  <w:tcW w:w="998" w:type="pct"/>
                  <w:vAlign w:val="center"/>
                </w:tcPr>
                <w:p>
                  <w:pPr>
                    <w:spacing w:line="240" w:lineRule="auto"/>
                    <w:jc w:val="center"/>
                    <w:rPr>
                      <w:b/>
                      <w:bCs/>
                      <w:color w:val="auto"/>
                      <w:highlight w:val="none"/>
                    </w:rPr>
                  </w:pPr>
                  <w:r>
                    <w:rPr>
                      <w:b/>
                      <w:bCs/>
                      <w:color w:val="auto"/>
                      <w:highlight w:val="none"/>
                    </w:rPr>
                    <w:t>Ⅳ、Ⅳ</w:t>
                  </w:r>
                  <w:r>
                    <w:rPr>
                      <w:b/>
                      <w:bCs/>
                      <w:color w:val="auto"/>
                      <w:highlight w:val="none"/>
                      <w:vertAlign w:val="superscript"/>
                    </w:rPr>
                    <w:t>+</w:t>
                  </w:r>
                </w:p>
              </w:tc>
              <w:tc>
                <w:tcPr>
                  <w:tcW w:w="999" w:type="pct"/>
                  <w:vAlign w:val="center"/>
                </w:tcPr>
                <w:p>
                  <w:pPr>
                    <w:spacing w:line="240" w:lineRule="auto"/>
                    <w:jc w:val="center"/>
                    <w:rPr>
                      <w:b/>
                      <w:bCs/>
                      <w:color w:val="auto"/>
                      <w:highlight w:val="none"/>
                    </w:rPr>
                  </w:pPr>
                  <w:r>
                    <w:rPr>
                      <w:b/>
                      <w:bCs/>
                      <w:color w:val="auto"/>
                      <w:highlight w:val="none"/>
                    </w:rPr>
                    <w:t>Ⅲ</w:t>
                  </w:r>
                </w:p>
              </w:tc>
              <w:tc>
                <w:tcPr>
                  <w:tcW w:w="999" w:type="pct"/>
                  <w:vAlign w:val="center"/>
                </w:tcPr>
                <w:p>
                  <w:pPr>
                    <w:spacing w:line="240" w:lineRule="auto"/>
                    <w:jc w:val="center"/>
                    <w:rPr>
                      <w:b/>
                      <w:bCs/>
                      <w:color w:val="auto"/>
                      <w:highlight w:val="none"/>
                    </w:rPr>
                  </w:pPr>
                  <w:r>
                    <w:rPr>
                      <w:b/>
                      <w:bCs/>
                      <w:color w:val="auto"/>
                      <w:highlight w:val="none"/>
                    </w:rPr>
                    <w:t>Ⅱ</w:t>
                  </w:r>
                </w:p>
              </w:tc>
              <w:tc>
                <w:tcPr>
                  <w:tcW w:w="1004" w:type="pct"/>
                  <w:vAlign w:val="center"/>
                </w:tcPr>
                <w:p>
                  <w:pPr>
                    <w:spacing w:line="240" w:lineRule="auto"/>
                    <w:jc w:val="center"/>
                    <w:rPr>
                      <w:b/>
                      <w:bCs/>
                      <w:color w:val="auto"/>
                      <w:highlight w:val="none"/>
                    </w:rPr>
                  </w:pPr>
                  <w:r>
                    <w:rPr>
                      <w:b/>
                      <w:bCs/>
                      <w:color w:val="auto"/>
                      <w:highlight w:val="none"/>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8" w:type="pct"/>
                  <w:tcBorders>
                    <w:tl2br w:val="nil"/>
                    <w:tr2bl w:val="nil"/>
                  </w:tcBorders>
                  <w:vAlign w:val="center"/>
                </w:tcPr>
                <w:p>
                  <w:pPr>
                    <w:spacing w:line="240" w:lineRule="auto"/>
                    <w:jc w:val="center"/>
                    <w:rPr>
                      <w:color w:val="auto"/>
                      <w:highlight w:val="none"/>
                    </w:rPr>
                  </w:pPr>
                  <w:r>
                    <w:rPr>
                      <w:color w:val="auto"/>
                      <w:highlight w:val="none"/>
                    </w:rPr>
                    <w:t>评价工作等级</w:t>
                  </w:r>
                </w:p>
              </w:tc>
              <w:tc>
                <w:tcPr>
                  <w:tcW w:w="998" w:type="pct"/>
                  <w:tcBorders>
                    <w:tl2br w:val="nil"/>
                    <w:tr2bl w:val="nil"/>
                  </w:tcBorders>
                  <w:vAlign w:val="center"/>
                </w:tcPr>
                <w:p>
                  <w:pPr>
                    <w:spacing w:line="240" w:lineRule="auto"/>
                    <w:jc w:val="center"/>
                    <w:rPr>
                      <w:color w:val="auto"/>
                      <w:highlight w:val="none"/>
                    </w:rPr>
                  </w:pPr>
                  <w:r>
                    <w:rPr>
                      <w:color w:val="auto"/>
                      <w:highlight w:val="none"/>
                    </w:rPr>
                    <w:t>一</w:t>
                  </w:r>
                </w:p>
              </w:tc>
              <w:tc>
                <w:tcPr>
                  <w:tcW w:w="999" w:type="pct"/>
                  <w:tcBorders>
                    <w:tl2br w:val="nil"/>
                    <w:tr2bl w:val="nil"/>
                  </w:tcBorders>
                  <w:vAlign w:val="center"/>
                </w:tcPr>
                <w:p>
                  <w:pPr>
                    <w:spacing w:line="240" w:lineRule="auto"/>
                    <w:jc w:val="center"/>
                    <w:rPr>
                      <w:color w:val="auto"/>
                      <w:highlight w:val="none"/>
                    </w:rPr>
                  </w:pPr>
                  <w:r>
                    <w:rPr>
                      <w:color w:val="auto"/>
                      <w:highlight w:val="none"/>
                    </w:rPr>
                    <w:t>二</w:t>
                  </w:r>
                </w:p>
              </w:tc>
              <w:tc>
                <w:tcPr>
                  <w:tcW w:w="999" w:type="pct"/>
                  <w:tcBorders>
                    <w:tl2br w:val="nil"/>
                    <w:tr2bl w:val="nil"/>
                  </w:tcBorders>
                  <w:vAlign w:val="center"/>
                </w:tcPr>
                <w:p>
                  <w:pPr>
                    <w:spacing w:line="240" w:lineRule="auto"/>
                    <w:jc w:val="center"/>
                    <w:rPr>
                      <w:color w:val="auto"/>
                      <w:highlight w:val="none"/>
                    </w:rPr>
                  </w:pPr>
                  <w:r>
                    <w:rPr>
                      <w:color w:val="auto"/>
                      <w:highlight w:val="none"/>
                    </w:rPr>
                    <w:t>三</w:t>
                  </w:r>
                </w:p>
              </w:tc>
              <w:tc>
                <w:tcPr>
                  <w:tcW w:w="1004" w:type="pct"/>
                  <w:tcBorders>
                    <w:tl2br w:val="nil"/>
                    <w:tr2bl w:val="nil"/>
                  </w:tcBorders>
                  <w:vAlign w:val="center"/>
                </w:tcPr>
                <w:p>
                  <w:pPr>
                    <w:spacing w:line="240" w:lineRule="auto"/>
                    <w:jc w:val="center"/>
                    <w:rPr>
                      <w:color w:val="auto"/>
                      <w:highlight w:val="none"/>
                    </w:rPr>
                  </w:pPr>
                  <w:r>
                    <w:rPr>
                      <w:color w:val="auto"/>
                      <w:highlight w:val="none"/>
                    </w:rPr>
                    <w:t>简单分析</w:t>
                  </w:r>
                  <w:r>
                    <w:rPr>
                      <w:color w:val="auto"/>
                      <w:highlight w:val="none"/>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5"/>
                  <w:tcBorders>
                    <w:tl2br w:val="nil"/>
                    <w:tr2bl w:val="nil"/>
                  </w:tcBorders>
                  <w:vAlign w:val="center"/>
                </w:tcPr>
                <w:p>
                  <w:pPr>
                    <w:ind w:firstLine="420" w:firstLineChars="200"/>
                    <w:rPr>
                      <w:color w:val="auto"/>
                      <w:highlight w:val="none"/>
                    </w:rPr>
                  </w:pPr>
                  <w:r>
                    <w:rPr>
                      <w:color w:val="auto"/>
                      <w:highlight w:val="none"/>
                    </w:rPr>
                    <w:t>a是相对于详细评价工作内容而言，在描述危险物质、环境影响途径、环境危害后果、风险防范措施等方面给出定性的说明。</w:t>
                  </w:r>
                </w:p>
              </w:tc>
            </w:tr>
          </w:tbl>
          <w:p>
            <w:pPr>
              <w:spacing w:line="360" w:lineRule="auto"/>
              <w:ind w:firstLine="480" w:firstLineChars="200"/>
              <w:rPr>
                <w:color w:val="auto"/>
                <w:sz w:val="24"/>
                <w:highlight w:val="none"/>
              </w:rPr>
            </w:pPr>
            <w:r>
              <w:rPr>
                <w:color w:val="auto"/>
                <w:sz w:val="24"/>
                <w:highlight w:val="none"/>
              </w:rPr>
              <w:t>本项目环境风险潜势为Ⅰ，根据《建设项目环境风险评价技术导则》（HJ/T169-2018）环境风险评价工作级别划分的判据，确定本工程环境风险评价工作级别为简单分析。</w:t>
            </w:r>
          </w:p>
          <w:p>
            <w:pPr>
              <w:spacing w:line="360" w:lineRule="auto"/>
              <w:ind w:firstLine="480" w:firstLineChars="200"/>
              <w:rPr>
                <w:b w:val="0"/>
                <w:bCs w:val="0"/>
                <w:color w:val="auto"/>
                <w:sz w:val="24"/>
                <w:highlight w:val="none"/>
              </w:rPr>
            </w:pPr>
            <w:r>
              <w:rPr>
                <w:rFonts w:hint="eastAsia"/>
                <w:b w:val="0"/>
                <w:bCs w:val="0"/>
                <w:color w:val="auto"/>
                <w:sz w:val="24"/>
                <w:highlight w:val="none"/>
                <w:lang w:val="en-US" w:eastAsia="zh-CN"/>
              </w:rPr>
              <w:t>3）</w:t>
            </w:r>
            <w:r>
              <w:rPr>
                <w:b w:val="0"/>
                <w:bCs w:val="0"/>
                <w:color w:val="auto"/>
                <w:sz w:val="24"/>
                <w:highlight w:val="none"/>
              </w:rPr>
              <w:t>环境风险物质识别</w:t>
            </w:r>
          </w:p>
          <w:p>
            <w:pPr>
              <w:keepNext w:val="0"/>
              <w:keepLines w:val="0"/>
              <w:widowControl/>
              <w:suppressLineNumbers w:val="0"/>
              <w:spacing w:line="360" w:lineRule="auto"/>
              <w:ind w:firstLine="480" w:firstLineChars="200"/>
              <w:jc w:val="left"/>
              <w:rPr>
                <w:color w:val="auto"/>
                <w:sz w:val="24"/>
                <w:highlight w:val="none"/>
              </w:rPr>
            </w:pPr>
            <w:r>
              <w:rPr>
                <w:rFonts w:hint="eastAsia" w:ascii="宋体" w:hAnsi="宋体" w:eastAsia="宋体" w:cs="宋体"/>
                <w:color w:val="000000"/>
                <w:kern w:val="0"/>
                <w:sz w:val="24"/>
                <w:szCs w:val="24"/>
                <w:lang w:val="en-US" w:eastAsia="zh-CN" w:bidi="ar"/>
              </w:rPr>
              <w:t>根据《建设项目环境风险评价技术导则》（</w:t>
            </w:r>
            <w:r>
              <w:rPr>
                <w:rFonts w:hint="default" w:ascii="Times New Roman" w:hAnsi="Times New Roman" w:eastAsia="宋体" w:cs="Times New Roman"/>
                <w:color w:val="000000"/>
                <w:kern w:val="0"/>
                <w:sz w:val="24"/>
                <w:szCs w:val="24"/>
                <w:lang w:val="en-US" w:eastAsia="zh-CN" w:bidi="ar"/>
              </w:rPr>
              <w:t>HJ169-2018</w:t>
            </w:r>
            <w:r>
              <w:rPr>
                <w:rFonts w:hint="eastAsia" w:ascii="宋体" w:hAnsi="宋体" w:eastAsia="宋体" w:cs="宋体"/>
                <w:color w:val="000000"/>
                <w:kern w:val="0"/>
                <w:sz w:val="24"/>
                <w:szCs w:val="24"/>
                <w:lang w:val="en-US" w:eastAsia="zh-CN" w:bidi="ar"/>
              </w:rPr>
              <w:t>）内容，本项目涉及的危险物质为废机油、固体氢氧化钾、固体氢氧化钠。</w:t>
            </w:r>
          </w:p>
          <w:p>
            <w:pPr>
              <w:spacing w:line="360" w:lineRule="auto"/>
              <w:rPr>
                <w:b/>
                <w:bCs/>
                <w:color w:val="auto"/>
                <w:sz w:val="24"/>
                <w:highlight w:val="none"/>
              </w:rPr>
            </w:pPr>
            <w:r>
              <w:rPr>
                <w:b/>
                <w:bCs/>
                <w:color w:val="auto"/>
                <w:sz w:val="24"/>
                <w:highlight w:val="none"/>
              </w:rPr>
              <w:t>6.4 环境风险影响分析</w:t>
            </w:r>
          </w:p>
          <w:p>
            <w:pPr>
              <w:spacing w:line="360" w:lineRule="auto"/>
              <w:ind w:firstLine="480"/>
              <w:rPr>
                <w:rFonts w:hint="default" w:eastAsia="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1）危险废物管理、处置不善风险分析</w:t>
            </w:r>
          </w:p>
          <w:p>
            <w:pPr>
              <w:spacing w:line="360" w:lineRule="auto"/>
              <w:ind w:firstLine="480"/>
              <w:rPr>
                <w:color w:val="auto"/>
                <w:sz w:val="24"/>
                <w:highlight w:val="none"/>
              </w:rPr>
            </w:pPr>
            <w:r>
              <w:rPr>
                <w:rFonts w:hint="eastAsia"/>
                <w:color w:val="auto"/>
                <w:sz w:val="24"/>
                <w:highlight w:val="none"/>
              </w:rPr>
              <w:t>项目区在运营期中产生</w:t>
            </w:r>
            <w:r>
              <w:rPr>
                <w:rFonts w:hint="eastAsia"/>
                <w:color w:val="auto"/>
                <w:sz w:val="24"/>
                <w:highlight w:val="none"/>
                <w:lang w:val="en-US" w:eastAsia="zh-CN"/>
              </w:rPr>
              <w:t>的废机油</w:t>
            </w:r>
            <w:r>
              <w:rPr>
                <w:rFonts w:hint="eastAsia"/>
                <w:color w:val="auto"/>
                <w:sz w:val="24"/>
                <w:highlight w:val="none"/>
              </w:rPr>
              <w:t>属于危险废物，</w:t>
            </w:r>
            <w:r>
              <w:rPr>
                <w:rFonts w:hint="eastAsia"/>
                <w:color w:val="auto"/>
                <w:sz w:val="24"/>
                <w:highlight w:val="none"/>
                <w:lang w:val="en-US" w:eastAsia="zh-CN"/>
              </w:rPr>
              <w:t>废机油危废</w:t>
            </w:r>
            <w:r>
              <w:rPr>
                <w:rFonts w:hint="eastAsia"/>
                <w:color w:val="auto"/>
                <w:sz w:val="24"/>
                <w:highlight w:val="none"/>
              </w:rPr>
              <w:t>在危废暂存间内暂存，交危废处置单位清运处置。若管理、处置不善，发生泄漏、丢失，将会对周围环境及人体健康将造成危害。</w:t>
            </w:r>
          </w:p>
          <w:p>
            <w:pPr>
              <w:spacing w:line="360" w:lineRule="auto"/>
              <w:ind w:firstLine="480"/>
              <w:rPr>
                <w:color w:val="auto"/>
                <w:sz w:val="24"/>
                <w:highlight w:val="none"/>
              </w:rPr>
            </w:pPr>
            <w:r>
              <w:rPr>
                <w:color w:val="auto"/>
                <w:sz w:val="24"/>
                <w:highlight w:val="none"/>
              </w:rPr>
              <w:t>（2）废气非正常排放环境风险分析</w:t>
            </w:r>
          </w:p>
          <w:p>
            <w:pPr>
              <w:spacing w:line="360" w:lineRule="auto"/>
              <w:ind w:firstLine="480"/>
              <w:rPr>
                <w:color w:val="auto"/>
                <w:sz w:val="24"/>
                <w:highlight w:val="none"/>
              </w:rPr>
            </w:pPr>
            <w:r>
              <w:rPr>
                <w:color w:val="auto"/>
                <w:sz w:val="24"/>
                <w:highlight w:val="none"/>
              </w:rPr>
              <w:t>本项目</w:t>
            </w:r>
            <w:r>
              <w:rPr>
                <w:rFonts w:hint="eastAsia"/>
                <w:color w:val="auto"/>
                <w:sz w:val="24"/>
                <w:highlight w:val="none"/>
                <w:lang w:val="en-US" w:eastAsia="zh-CN"/>
              </w:rPr>
              <w:t>生产过程中产生</w:t>
            </w:r>
            <w:r>
              <w:rPr>
                <w:color w:val="auto"/>
                <w:sz w:val="24"/>
                <w:highlight w:val="none"/>
              </w:rPr>
              <w:t>的</w:t>
            </w:r>
            <w:r>
              <w:rPr>
                <w:rFonts w:hint="eastAsia"/>
                <w:color w:val="auto"/>
                <w:sz w:val="24"/>
                <w:highlight w:val="none"/>
                <w:lang w:val="en-US" w:eastAsia="zh-CN"/>
              </w:rPr>
              <w:t>颗粒物经过环保设备处理后，产生的颗粒物</w:t>
            </w:r>
            <w:r>
              <w:rPr>
                <w:color w:val="auto"/>
                <w:sz w:val="24"/>
                <w:highlight w:val="none"/>
              </w:rPr>
              <w:t>可得到有效处置后达标排放</w:t>
            </w:r>
            <w:r>
              <w:rPr>
                <w:rFonts w:hint="eastAsia"/>
                <w:color w:val="auto"/>
                <w:sz w:val="24"/>
                <w:highlight w:val="none"/>
                <w:lang w:eastAsia="zh-CN"/>
              </w:rPr>
              <w:t>，</w:t>
            </w:r>
            <w:r>
              <w:rPr>
                <w:color w:val="auto"/>
                <w:sz w:val="24"/>
                <w:highlight w:val="none"/>
              </w:rPr>
              <w:t>若</w:t>
            </w:r>
            <w:r>
              <w:rPr>
                <w:rFonts w:hint="eastAsia"/>
                <w:color w:val="auto"/>
                <w:sz w:val="24"/>
                <w:highlight w:val="none"/>
                <w:lang w:val="en-US" w:eastAsia="zh-CN"/>
              </w:rPr>
              <w:t>除尘设备产生故障，导致产生的颗粒物、</w:t>
            </w:r>
            <w:r>
              <w:rPr>
                <w:color w:val="auto"/>
                <w:sz w:val="24"/>
                <w:highlight w:val="none"/>
              </w:rPr>
              <w:t>未经处理直接排放，将对周边的环境空气造成影响</w:t>
            </w:r>
            <w:r>
              <w:rPr>
                <w:rFonts w:hint="eastAsia"/>
                <w:color w:val="auto"/>
                <w:sz w:val="24"/>
                <w:highlight w:val="none"/>
                <w:lang w:eastAsia="zh-CN"/>
              </w:rPr>
              <w:t>。</w:t>
            </w:r>
          </w:p>
          <w:p>
            <w:pPr>
              <w:spacing w:line="360" w:lineRule="auto"/>
              <w:ind w:firstLine="480"/>
              <w:rPr>
                <w:rFonts w:hint="default"/>
                <w:color w:val="auto"/>
                <w:sz w:val="24"/>
                <w:highlight w:val="none"/>
                <w:lang w:val="en-US"/>
              </w:rPr>
            </w:pP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w:t>
            </w:r>
            <w:r>
              <w:rPr>
                <w:rFonts w:hint="eastAsia"/>
                <w:color w:val="auto"/>
                <w:sz w:val="24"/>
                <w:highlight w:val="none"/>
                <w:lang w:val="en-US" w:eastAsia="zh-CN"/>
              </w:rPr>
              <w:t>废水非正常排放环境风险分析</w:t>
            </w:r>
          </w:p>
          <w:p>
            <w:pPr>
              <w:adjustRightInd w:val="0"/>
              <w:snapToGrid w:val="0"/>
              <w:spacing w:line="360" w:lineRule="auto"/>
              <w:ind w:firstLine="480" w:firstLineChars="200"/>
              <w:rPr>
                <w:rFonts w:hint="eastAsia" w:cs="Times New Roman"/>
                <w:kern w:val="0"/>
                <w:sz w:val="24"/>
                <w:szCs w:val="24"/>
                <w:lang w:val="en-US" w:eastAsia="zh-CN"/>
              </w:rPr>
            </w:pPr>
            <w:r>
              <w:rPr>
                <w:rFonts w:hint="eastAsia" w:cs="Times New Roman"/>
                <w:color w:val="000000"/>
                <w:kern w:val="0"/>
                <w:sz w:val="24"/>
                <w:lang w:val="en-US" w:eastAsia="zh-CN" w:bidi="ar"/>
              </w:rPr>
              <w:t>本项目生产</w:t>
            </w:r>
            <w:r>
              <w:rPr>
                <w:rFonts w:hint="eastAsia" w:cs="Times New Roman"/>
                <w:kern w:val="0"/>
                <w:sz w:val="24"/>
                <w:szCs w:val="24"/>
                <w:lang w:val="en-US" w:eastAsia="zh-CN"/>
              </w:rPr>
              <w:t>循环使用不外排</w:t>
            </w:r>
            <w:r>
              <w:rPr>
                <w:rFonts w:hint="default" w:ascii="Times New Roman" w:hAnsi="Times New Roman" w:cs="Times New Roman"/>
                <w:kern w:val="0"/>
                <w:sz w:val="24"/>
                <w:szCs w:val="24"/>
              </w:rPr>
              <w:t>，</w:t>
            </w:r>
            <w:r>
              <w:rPr>
                <w:rFonts w:hint="eastAsia" w:cs="Times New Roman"/>
                <w:kern w:val="0"/>
                <w:sz w:val="24"/>
                <w:szCs w:val="24"/>
                <w:lang w:val="en-US" w:eastAsia="zh-CN"/>
              </w:rPr>
              <w:t>生活污水直排园区污水管网，最终进入喇嘛湖梁工业园区</w:t>
            </w:r>
            <w:r>
              <w:rPr>
                <w:rFonts w:hint="default" w:ascii="Times New Roman" w:hAnsi="Times New Roman" w:cs="Times New Roman"/>
                <w:kern w:val="0"/>
                <w:sz w:val="24"/>
                <w:szCs w:val="24"/>
              </w:rPr>
              <w:t>污水处理</w:t>
            </w:r>
            <w:r>
              <w:rPr>
                <w:rFonts w:hint="eastAsia" w:cs="Times New Roman"/>
                <w:kern w:val="0"/>
                <w:sz w:val="24"/>
                <w:szCs w:val="24"/>
                <w:lang w:val="en-US" w:eastAsia="zh-CN"/>
              </w:rPr>
              <w:t>厂深度处理。园区排水管网进水管泄露，会导致污水流失，造成环境污染。</w:t>
            </w:r>
          </w:p>
          <w:p>
            <w:pPr>
              <w:spacing w:line="360" w:lineRule="auto"/>
              <w:ind w:firstLine="480"/>
              <w:rPr>
                <w:rFonts w:hint="eastAsia"/>
                <w:color w:val="auto"/>
                <w:sz w:val="24"/>
                <w:highlight w:val="none"/>
              </w:rPr>
            </w:pPr>
            <w:r>
              <w:rPr>
                <w:rFonts w:hint="eastAsia"/>
                <w:color w:val="auto"/>
                <w:sz w:val="24"/>
                <w:highlight w:val="none"/>
              </w:rPr>
              <w:t>（</w:t>
            </w:r>
            <w:r>
              <w:rPr>
                <w:rFonts w:hint="eastAsia"/>
                <w:color w:val="auto"/>
                <w:sz w:val="24"/>
                <w:highlight w:val="none"/>
                <w:lang w:val="en-US" w:eastAsia="zh-CN"/>
              </w:rPr>
              <w:t>4</w:t>
            </w:r>
            <w:r>
              <w:rPr>
                <w:rFonts w:hint="eastAsia"/>
                <w:color w:val="auto"/>
                <w:sz w:val="24"/>
                <w:highlight w:val="none"/>
              </w:rPr>
              <w:t>）火灾环境风险影响分析</w:t>
            </w:r>
          </w:p>
          <w:p>
            <w:pPr>
              <w:spacing w:line="360" w:lineRule="auto"/>
              <w:ind w:firstLine="480"/>
              <w:rPr>
                <w:rFonts w:hint="eastAsia"/>
                <w:color w:val="auto"/>
                <w:sz w:val="24"/>
                <w:highlight w:val="none"/>
              </w:rPr>
            </w:pPr>
            <w:r>
              <w:rPr>
                <w:rFonts w:hint="eastAsia"/>
                <w:color w:val="auto"/>
                <w:sz w:val="24"/>
                <w:highlight w:val="none"/>
              </w:rPr>
              <w:t>本项目为保证原料及时有效供应设置原料存放区、成品存放区，原料及成品储存过程中存在的环境风险为火灾问题。诱发火灾的因素主要有：违章吸烟、动火；使用气焊、电焊等进行维修时，未采取有效防护措施；电气线路和电气设施在开关断开、接触不良、短路、漏电时产生火花，以及静电放电火花；未采取有效避雷措施，或者避雷措施失效而导致雷击失火等。</w:t>
            </w:r>
          </w:p>
          <w:p>
            <w:pPr>
              <w:spacing w:line="360" w:lineRule="auto"/>
              <w:ind w:firstLine="480"/>
              <w:rPr>
                <w:rFonts w:hint="eastAsia"/>
                <w:color w:val="auto"/>
                <w:sz w:val="24"/>
                <w:highlight w:val="none"/>
              </w:rPr>
            </w:pPr>
            <w:r>
              <w:rPr>
                <w:rFonts w:hint="eastAsia"/>
                <w:color w:val="auto"/>
                <w:sz w:val="24"/>
                <w:highlight w:val="none"/>
              </w:rPr>
              <w:t>（</w:t>
            </w: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lang w:val="en-US" w:eastAsia="zh-CN"/>
              </w:rPr>
              <w:t>危化品库</w:t>
            </w:r>
            <w:r>
              <w:rPr>
                <w:rFonts w:hint="eastAsia"/>
                <w:color w:val="auto"/>
                <w:sz w:val="24"/>
                <w:highlight w:val="none"/>
              </w:rPr>
              <w:t>风险影响分析</w:t>
            </w:r>
          </w:p>
          <w:p>
            <w:pPr>
              <w:spacing w:line="360" w:lineRule="auto"/>
              <w:ind w:firstLine="480"/>
              <w:rPr>
                <w:rFonts w:hint="default" w:eastAsia="宋体"/>
                <w:color w:val="auto"/>
                <w:sz w:val="24"/>
                <w:highlight w:val="none"/>
                <w:lang w:val="en-US" w:eastAsia="zh-CN"/>
              </w:rPr>
            </w:pPr>
            <w:r>
              <w:rPr>
                <w:rFonts w:hint="eastAsia"/>
                <w:color w:val="auto"/>
                <w:sz w:val="24"/>
                <w:highlight w:val="none"/>
              </w:rPr>
              <w:t>本项目为保证</w:t>
            </w:r>
            <w:r>
              <w:rPr>
                <w:rFonts w:hint="eastAsia"/>
                <w:color w:val="auto"/>
                <w:sz w:val="24"/>
                <w:highlight w:val="none"/>
                <w:lang w:val="en-US" w:eastAsia="zh-CN"/>
              </w:rPr>
              <w:t>氢氧化钾、氢氧化钠原料安全</w:t>
            </w:r>
            <w:r>
              <w:rPr>
                <w:rFonts w:hint="eastAsia"/>
                <w:color w:val="auto"/>
                <w:sz w:val="24"/>
                <w:highlight w:val="none"/>
              </w:rPr>
              <w:t>有效供应设置</w:t>
            </w:r>
            <w:r>
              <w:rPr>
                <w:rFonts w:hint="eastAsia"/>
                <w:color w:val="auto"/>
                <w:sz w:val="24"/>
                <w:highlight w:val="none"/>
                <w:lang w:val="en-US" w:eastAsia="zh-CN"/>
              </w:rPr>
              <w:t>危化品库</w:t>
            </w:r>
            <w:r>
              <w:rPr>
                <w:rFonts w:hint="eastAsia"/>
                <w:color w:val="auto"/>
                <w:sz w:val="24"/>
                <w:highlight w:val="none"/>
              </w:rPr>
              <w:t>，原料储存过程中存在的环境风险为火灾问题</w:t>
            </w:r>
            <w:r>
              <w:rPr>
                <w:rFonts w:hint="eastAsia"/>
                <w:color w:val="auto"/>
                <w:sz w:val="24"/>
                <w:highlight w:val="none"/>
                <w:lang w:eastAsia="zh-CN"/>
              </w:rPr>
              <w:t>、</w:t>
            </w:r>
            <w:r>
              <w:rPr>
                <w:rFonts w:hint="eastAsia"/>
                <w:color w:val="auto"/>
                <w:sz w:val="24"/>
                <w:highlight w:val="none"/>
                <w:lang w:val="en-US" w:eastAsia="zh-CN"/>
              </w:rPr>
              <w:t>危险品泄露问题</w:t>
            </w:r>
            <w:r>
              <w:rPr>
                <w:rFonts w:hint="eastAsia"/>
                <w:color w:val="auto"/>
                <w:sz w:val="24"/>
                <w:highlight w:val="none"/>
              </w:rPr>
              <w:t>。诱发火灾的因素主要有：违章吸烟、动火；使用气焊、电焊等进行维修时，未采取有效防护措施；电气线路和电气设施在开关断开、接触不良、短路、漏电时产生火花，以及静电放电火花；未采取有效避雷措施，或者避雷措施失效而导致雷击失火等。</w:t>
            </w:r>
            <w:r>
              <w:rPr>
                <w:rFonts w:hint="eastAsia"/>
                <w:color w:val="auto"/>
                <w:sz w:val="24"/>
                <w:highlight w:val="none"/>
                <w:lang w:val="en-US" w:eastAsia="zh-CN"/>
              </w:rPr>
              <w:t>诱发泄露问题因素有：员工安全意识不足，原料储存、运输过程中未采取有效防范措施；员工管理不当，危化品混合堆放，未分区管理储存，未张贴相应的标识等。</w:t>
            </w:r>
          </w:p>
          <w:p>
            <w:pPr>
              <w:spacing w:line="360" w:lineRule="auto"/>
              <w:rPr>
                <w:color w:val="auto"/>
                <w:sz w:val="24"/>
                <w:highlight w:val="none"/>
              </w:rPr>
            </w:pPr>
            <w:r>
              <w:rPr>
                <w:b/>
                <w:bCs/>
                <w:color w:val="auto"/>
                <w:sz w:val="24"/>
                <w:highlight w:val="none"/>
              </w:rPr>
              <w:t>6.</w:t>
            </w:r>
            <w:r>
              <w:rPr>
                <w:rFonts w:hint="eastAsia"/>
                <w:b/>
                <w:bCs/>
                <w:color w:val="auto"/>
                <w:sz w:val="24"/>
                <w:highlight w:val="none"/>
              </w:rPr>
              <w:t>5</w:t>
            </w:r>
            <w:r>
              <w:rPr>
                <w:b/>
                <w:bCs/>
                <w:color w:val="auto"/>
                <w:sz w:val="24"/>
                <w:highlight w:val="none"/>
              </w:rPr>
              <w:t xml:space="preserve"> 环境风险防控措施及应急要求</w:t>
            </w:r>
          </w:p>
          <w:p>
            <w:pPr>
              <w:spacing w:line="360" w:lineRule="auto"/>
              <w:ind w:firstLine="480" w:firstLineChars="200"/>
              <w:rPr>
                <w:rFonts w:hint="default" w:eastAsia="宋体"/>
                <w:color w:val="auto"/>
                <w:sz w:val="24"/>
                <w:highlight w:val="none"/>
                <w:lang w:val="en-US" w:eastAsia="zh-CN"/>
              </w:rPr>
            </w:pPr>
            <w:r>
              <w:rPr>
                <w:color w:val="auto"/>
                <w:sz w:val="24"/>
                <w:highlight w:val="none"/>
              </w:rPr>
              <w:t>（1）</w:t>
            </w:r>
            <w:r>
              <w:rPr>
                <w:rFonts w:hint="eastAsia"/>
                <w:color w:val="auto"/>
                <w:sz w:val="24"/>
                <w:highlight w:val="none"/>
                <w:lang w:val="en-US" w:eastAsia="zh-CN"/>
              </w:rPr>
              <w:t>危险废物管理、处置不善环境风险措施</w:t>
            </w:r>
          </w:p>
          <w:p>
            <w:pPr>
              <w:spacing w:line="360" w:lineRule="auto"/>
              <w:ind w:firstLine="480" w:firstLineChars="200"/>
              <w:rPr>
                <w:rFonts w:hint="default"/>
                <w:color w:val="auto"/>
                <w:sz w:val="24"/>
                <w:highlight w:val="none"/>
                <w:lang w:val="zh-CN" w:eastAsia="zh-CN"/>
              </w:rPr>
            </w:pPr>
            <w:r>
              <w:rPr>
                <w:rFonts w:hint="eastAsia"/>
                <w:color w:val="auto"/>
                <w:sz w:val="24"/>
                <w:highlight w:val="none"/>
                <w:lang w:val="en-US" w:eastAsia="zh-CN"/>
              </w:rPr>
              <w:t>①</w:t>
            </w:r>
            <w:r>
              <w:rPr>
                <w:rFonts w:hint="default"/>
                <w:color w:val="auto"/>
                <w:sz w:val="24"/>
                <w:highlight w:val="none"/>
                <w:lang w:val="zh-CN" w:eastAsia="zh-CN"/>
              </w:rPr>
              <w:t>工程措施</w:t>
            </w:r>
          </w:p>
          <w:p>
            <w:pPr>
              <w:spacing w:line="360" w:lineRule="auto"/>
              <w:ind w:firstLine="480" w:firstLineChars="200"/>
              <w:rPr>
                <w:rFonts w:hint="default"/>
                <w:color w:val="auto"/>
                <w:sz w:val="24"/>
                <w:highlight w:val="none"/>
                <w:lang w:val="zh-CN" w:eastAsia="zh-CN"/>
              </w:rPr>
            </w:pPr>
            <w:r>
              <w:rPr>
                <w:rFonts w:hint="default"/>
                <w:color w:val="auto"/>
                <w:sz w:val="24"/>
                <w:highlight w:val="none"/>
                <w:lang w:val="zh-CN" w:eastAsia="zh-CN"/>
              </w:rPr>
              <w:t>危废暂存间严格按照《危险废物贮存污染控制标准》（GB18597-2023）</w:t>
            </w:r>
            <w:r>
              <w:rPr>
                <w:rFonts w:hint="eastAsia"/>
                <w:color w:val="auto"/>
                <w:sz w:val="24"/>
                <w:highlight w:val="none"/>
                <w:lang w:val="en-US" w:eastAsia="zh-CN"/>
              </w:rPr>
              <w:t>相关</w:t>
            </w:r>
            <w:r>
              <w:rPr>
                <w:rFonts w:hint="default"/>
                <w:color w:val="auto"/>
                <w:sz w:val="24"/>
                <w:highlight w:val="none"/>
                <w:lang w:val="zh-CN" w:eastAsia="zh-CN"/>
              </w:rPr>
              <w:t>要求设置，要求做到以下几点：</w:t>
            </w:r>
          </w:p>
          <w:p>
            <w:pPr>
              <w:numPr>
                <w:ilvl w:val="0"/>
                <w:numId w:val="11"/>
              </w:numPr>
              <w:spacing w:line="360" w:lineRule="auto"/>
              <w:ind w:firstLine="480" w:firstLineChars="200"/>
              <w:rPr>
                <w:rFonts w:hint="default"/>
                <w:color w:val="auto"/>
                <w:sz w:val="24"/>
                <w:highlight w:val="none"/>
                <w:lang w:val="zh-CN" w:eastAsia="zh-CN"/>
              </w:rPr>
            </w:pPr>
            <w:r>
              <w:rPr>
                <w:rFonts w:hint="eastAsia"/>
                <w:color w:val="auto"/>
                <w:sz w:val="24"/>
                <w:highlight w:val="none"/>
                <w:lang w:val="en-US" w:eastAsia="zh-CN"/>
              </w:rPr>
              <w:t>危废暂存间、危化品库</w:t>
            </w:r>
            <w:r>
              <w:rPr>
                <w:rFonts w:hint="default"/>
                <w:color w:val="auto"/>
                <w:sz w:val="24"/>
                <w:highlight w:val="none"/>
                <w:lang w:val="zh-CN" w:eastAsia="zh-CN"/>
              </w:rPr>
              <w:t>不同贮存分区之间应采取隔离措施。隔离措施可根据危险废物特性采用过道、隔板或隔墙等方式；</w:t>
            </w:r>
          </w:p>
          <w:p>
            <w:pPr>
              <w:numPr>
                <w:ilvl w:val="0"/>
                <w:numId w:val="11"/>
              </w:numPr>
              <w:spacing w:line="360" w:lineRule="auto"/>
              <w:ind w:firstLine="480" w:firstLineChars="200"/>
              <w:rPr>
                <w:rFonts w:hint="default"/>
                <w:color w:val="auto"/>
                <w:sz w:val="24"/>
                <w:highlight w:val="none"/>
                <w:lang w:val="zh-CN" w:eastAsia="zh-CN"/>
              </w:rPr>
            </w:pPr>
            <w:r>
              <w:rPr>
                <w:rFonts w:hint="default"/>
                <w:color w:val="auto"/>
                <w:sz w:val="24"/>
                <w:highlight w:val="none"/>
                <w:lang w:val="zh-CN" w:eastAsia="zh-CN"/>
              </w:rPr>
              <w:t>危废暂存间</w:t>
            </w:r>
            <w:r>
              <w:rPr>
                <w:rFonts w:hint="eastAsia"/>
                <w:color w:val="auto"/>
                <w:sz w:val="24"/>
                <w:highlight w:val="none"/>
                <w:lang w:val="zh-CN" w:eastAsia="zh-CN"/>
              </w:rPr>
              <w:t>、</w:t>
            </w:r>
            <w:r>
              <w:rPr>
                <w:rFonts w:hint="eastAsia"/>
                <w:color w:val="auto"/>
                <w:sz w:val="24"/>
                <w:highlight w:val="none"/>
                <w:lang w:val="en-US" w:eastAsia="zh-CN"/>
              </w:rPr>
              <w:t>危化品库</w:t>
            </w:r>
            <w:r>
              <w:rPr>
                <w:rFonts w:hint="default"/>
                <w:color w:val="auto"/>
                <w:sz w:val="24"/>
                <w:highlight w:val="none"/>
                <w:lang w:val="zh-CN" w:eastAsia="zh-CN"/>
              </w:rPr>
              <w:t>应根据危险废物的形态、物理化学性质、包装形式和污染物迁移途径，采取必要的防风、防晒、防雨、防漏、防渗、防腐以及其他环境污染防治措施，不应露天堆放危险废物；</w:t>
            </w:r>
          </w:p>
          <w:p>
            <w:pPr>
              <w:numPr>
                <w:ilvl w:val="0"/>
                <w:numId w:val="11"/>
              </w:numPr>
              <w:spacing w:line="360" w:lineRule="auto"/>
              <w:ind w:firstLine="480" w:firstLineChars="200"/>
              <w:rPr>
                <w:rFonts w:hint="default"/>
                <w:color w:val="auto"/>
                <w:sz w:val="24"/>
                <w:highlight w:val="none"/>
                <w:lang w:val="zh-CN" w:eastAsia="zh-CN"/>
              </w:rPr>
            </w:pPr>
            <w:r>
              <w:rPr>
                <w:rFonts w:hint="default"/>
                <w:color w:val="auto"/>
                <w:sz w:val="24"/>
                <w:highlight w:val="none"/>
                <w:lang w:val="zh-CN" w:eastAsia="zh-CN"/>
              </w:rPr>
              <w:t>危废暂存间</w:t>
            </w:r>
            <w:r>
              <w:rPr>
                <w:rFonts w:hint="eastAsia"/>
                <w:color w:val="auto"/>
                <w:sz w:val="24"/>
                <w:highlight w:val="none"/>
                <w:lang w:val="zh-CN" w:eastAsia="zh-CN"/>
              </w:rPr>
              <w:t>、</w:t>
            </w:r>
            <w:r>
              <w:rPr>
                <w:rFonts w:hint="eastAsia"/>
                <w:color w:val="auto"/>
                <w:sz w:val="24"/>
                <w:highlight w:val="none"/>
                <w:lang w:val="en-US" w:eastAsia="zh-CN"/>
              </w:rPr>
              <w:t>危化品库</w:t>
            </w:r>
            <w:r>
              <w:rPr>
                <w:rFonts w:hint="default"/>
                <w:color w:val="auto"/>
                <w:sz w:val="24"/>
                <w:highlight w:val="none"/>
                <w:lang w:val="zh-CN" w:eastAsia="zh-CN"/>
              </w:rPr>
              <w:t>应根据危险废物的类别、数量、形态、物理化学性质和污染防治等要求设置必要的贮存分区，避免不相容的危险废物接触、混合；</w:t>
            </w:r>
          </w:p>
          <w:p>
            <w:pPr>
              <w:numPr>
                <w:ilvl w:val="0"/>
                <w:numId w:val="11"/>
              </w:numPr>
              <w:spacing w:line="360" w:lineRule="auto"/>
              <w:ind w:firstLine="480" w:firstLineChars="200"/>
              <w:rPr>
                <w:rFonts w:hint="default"/>
                <w:color w:val="auto"/>
                <w:sz w:val="24"/>
                <w:highlight w:val="none"/>
                <w:lang w:val="zh-CN" w:eastAsia="zh-CN"/>
              </w:rPr>
            </w:pPr>
            <w:r>
              <w:rPr>
                <w:rFonts w:hint="default"/>
                <w:color w:val="auto"/>
                <w:sz w:val="24"/>
                <w:highlight w:val="none"/>
                <w:lang w:val="zh-CN" w:eastAsia="zh-CN"/>
              </w:rPr>
              <w:t>危废暂存间</w:t>
            </w:r>
            <w:r>
              <w:rPr>
                <w:rFonts w:hint="eastAsia"/>
                <w:color w:val="auto"/>
                <w:sz w:val="24"/>
                <w:highlight w:val="none"/>
                <w:lang w:val="zh-CN" w:eastAsia="zh-CN"/>
              </w:rPr>
              <w:t>、</w:t>
            </w:r>
            <w:r>
              <w:rPr>
                <w:rFonts w:hint="eastAsia"/>
                <w:color w:val="auto"/>
                <w:sz w:val="24"/>
                <w:highlight w:val="none"/>
                <w:lang w:val="en-US" w:eastAsia="zh-CN"/>
              </w:rPr>
              <w:t>危化品库</w:t>
            </w:r>
            <w:r>
              <w:rPr>
                <w:rFonts w:hint="default"/>
                <w:color w:val="auto"/>
                <w:sz w:val="24"/>
                <w:highlight w:val="none"/>
                <w:lang w:val="zh-CN" w:eastAsia="zh-CN"/>
              </w:rPr>
              <w:t>或贮存分区内地面、墙面裙脚、堵截泄漏的围堰、接触危险废物的隔板和墙体等应采用坚固的材料建造，表面无裂；</w:t>
            </w:r>
          </w:p>
          <w:p>
            <w:pPr>
              <w:numPr>
                <w:ilvl w:val="0"/>
                <w:numId w:val="11"/>
              </w:numPr>
              <w:spacing w:line="360" w:lineRule="auto"/>
              <w:ind w:firstLine="480" w:firstLineChars="200"/>
              <w:rPr>
                <w:rFonts w:hint="default"/>
                <w:color w:val="auto"/>
                <w:sz w:val="24"/>
                <w:highlight w:val="none"/>
                <w:lang w:val="zh-CN" w:eastAsia="zh-CN"/>
              </w:rPr>
            </w:pPr>
            <w:r>
              <w:rPr>
                <w:rFonts w:hint="default"/>
                <w:color w:val="auto"/>
                <w:sz w:val="24"/>
                <w:highlight w:val="none"/>
                <w:lang w:val="zh-CN" w:eastAsia="zh-CN"/>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color w:val="auto"/>
                <w:sz w:val="24"/>
                <w:highlight w:val="none"/>
                <w:vertAlign w:val="superscript"/>
                <w:lang w:val="zh-CN" w:eastAsia="zh-CN"/>
              </w:rPr>
              <w:t>-7</w:t>
            </w:r>
            <w:r>
              <w:rPr>
                <w:rFonts w:hint="default"/>
                <w:color w:val="auto"/>
                <w:sz w:val="24"/>
                <w:highlight w:val="none"/>
                <w:lang w:val="zh-CN" w:eastAsia="zh-CN"/>
              </w:rPr>
              <w:t>cm/s）</w:t>
            </w:r>
            <w:r>
              <w:rPr>
                <w:rFonts w:hint="eastAsia"/>
                <w:color w:val="auto"/>
                <w:sz w:val="24"/>
                <w:highlight w:val="none"/>
                <w:lang w:val="zh-CN" w:eastAsia="zh-CN"/>
              </w:rPr>
              <w:t>，</w:t>
            </w:r>
            <w:r>
              <w:rPr>
                <w:rFonts w:hint="default"/>
                <w:color w:val="auto"/>
                <w:sz w:val="24"/>
                <w:highlight w:val="none"/>
                <w:lang w:val="zh-CN" w:eastAsia="zh-CN"/>
              </w:rPr>
              <w:t>或其他防渗性能等效的材料；</w:t>
            </w:r>
          </w:p>
          <w:p>
            <w:pPr>
              <w:numPr>
                <w:ilvl w:val="0"/>
                <w:numId w:val="11"/>
              </w:numPr>
              <w:spacing w:line="360" w:lineRule="auto"/>
              <w:ind w:firstLine="480" w:firstLineChars="200"/>
              <w:rPr>
                <w:rFonts w:hint="default"/>
                <w:color w:val="auto"/>
                <w:sz w:val="24"/>
                <w:highlight w:val="none"/>
                <w:lang w:val="zh-CN" w:eastAsia="zh-CN"/>
              </w:rPr>
            </w:pPr>
            <w:r>
              <w:rPr>
                <w:rFonts w:hint="default"/>
                <w:color w:val="auto"/>
                <w:sz w:val="24"/>
                <w:highlight w:val="none"/>
                <w:lang w:val="zh-CN" w:eastAsia="zh-CN"/>
              </w:rPr>
              <w:t>同一贮存设施宜采用相同的防渗、防腐工艺（包括防渗、防腐结构或材料），防渗、防腐材料应覆盖所有可能与废物及其渗滤液、渗漏液等接触的构筑物表面；采用不同防渗、防腐工艺应分别建设贮存分区。</w:t>
            </w:r>
          </w:p>
          <w:p>
            <w:pPr>
              <w:numPr>
                <w:ilvl w:val="0"/>
                <w:numId w:val="11"/>
              </w:numPr>
              <w:spacing w:line="360" w:lineRule="auto"/>
              <w:ind w:firstLine="480" w:firstLineChars="200"/>
              <w:rPr>
                <w:rFonts w:hint="default"/>
                <w:color w:val="auto"/>
                <w:sz w:val="24"/>
                <w:highlight w:val="none"/>
                <w:lang w:val="zh-CN" w:eastAsia="zh-CN"/>
              </w:rPr>
            </w:pPr>
            <w:r>
              <w:rPr>
                <w:rFonts w:hint="default"/>
                <w:color w:val="auto"/>
                <w:sz w:val="24"/>
                <w:highlight w:val="none"/>
                <w:lang w:val="zh-CN" w:eastAsia="zh-CN"/>
              </w:rPr>
              <w:t>贮存设施必须按危险废物识别标志设置技术规范》（HJ1276-2022）的规定设置警示标志</w:t>
            </w:r>
            <w:r>
              <w:rPr>
                <w:rFonts w:hint="eastAsia"/>
                <w:color w:val="auto"/>
                <w:sz w:val="24"/>
                <w:highlight w:val="none"/>
                <w:lang w:val="zh-CN" w:eastAsia="zh-CN"/>
              </w:rPr>
              <w:t>。</w:t>
            </w:r>
          </w:p>
          <w:p>
            <w:pPr>
              <w:spacing w:line="360" w:lineRule="auto"/>
              <w:ind w:firstLine="480" w:firstLineChars="200"/>
              <w:rPr>
                <w:rFonts w:hint="default"/>
                <w:color w:val="auto"/>
                <w:sz w:val="24"/>
                <w:highlight w:val="none"/>
                <w:lang w:val="zh-CN" w:eastAsia="zh-CN"/>
              </w:rPr>
            </w:pPr>
            <w:r>
              <w:rPr>
                <w:rFonts w:hint="eastAsia"/>
                <w:color w:val="auto"/>
                <w:sz w:val="24"/>
                <w:highlight w:val="none"/>
                <w:lang w:val="en-US" w:eastAsia="zh-CN"/>
              </w:rPr>
              <w:t>②</w:t>
            </w:r>
            <w:r>
              <w:rPr>
                <w:rFonts w:hint="default"/>
                <w:color w:val="auto"/>
                <w:sz w:val="24"/>
                <w:highlight w:val="none"/>
                <w:lang w:val="zh-CN" w:eastAsia="zh-CN"/>
              </w:rPr>
              <w:t>管理措施</w:t>
            </w:r>
          </w:p>
          <w:p>
            <w:pPr>
              <w:spacing w:line="360" w:lineRule="auto"/>
              <w:ind w:firstLine="480" w:firstLineChars="200"/>
              <w:rPr>
                <w:rFonts w:hint="default"/>
                <w:color w:val="auto"/>
                <w:sz w:val="24"/>
                <w:highlight w:val="none"/>
                <w:lang w:val="zh-CN" w:eastAsia="zh-CN"/>
              </w:rPr>
            </w:pPr>
            <w:r>
              <w:rPr>
                <w:rFonts w:hint="default"/>
                <w:color w:val="auto"/>
                <w:sz w:val="24"/>
                <w:highlight w:val="none"/>
                <w:lang w:val="zh-CN" w:eastAsia="zh-CN"/>
              </w:rPr>
              <w:t>严格按照《危险废物贮存污染控制标准》（GB18597-2023）要求设置作好危险废物情况的记录，记录上注明危险废物的名称、来源、数量、特性和包装容器的类别、入库日期、存放库位、废物出库日期及接收单位名称，实行转移联单制度，建立危废管理台账。</w:t>
            </w:r>
          </w:p>
          <w:p>
            <w:pPr>
              <w:spacing w:line="360" w:lineRule="auto"/>
              <w:ind w:firstLine="480" w:firstLineChars="200"/>
              <w:rPr>
                <w:color w:val="auto"/>
                <w:sz w:val="24"/>
                <w:highlight w:val="none"/>
              </w:rPr>
            </w:pPr>
            <w:r>
              <w:rPr>
                <w:color w:val="auto"/>
                <w:sz w:val="24"/>
                <w:highlight w:val="none"/>
              </w:rPr>
              <w:t>（2）废气非正常排放环境风险措施</w:t>
            </w:r>
          </w:p>
          <w:p>
            <w:pPr>
              <w:spacing w:line="360" w:lineRule="auto"/>
              <w:ind w:firstLine="480" w:firstLineChars="200"/>
              <w:rPr>
                <w:color w:val="auto"/>
                <w:sz w:val="24"/>
                <w:highlight w:val="none"/>
              </w:rPr>
            </w:pPr>
            <w:r>
              <w:rPr>
                <w:color w:val="auto"/>
                <w:sz w:val="24"/>
                <w:highlight w:val="none"/>
              </w:rPr>
              <w:t>本项目可能对大气环境造成影响为废气处理设施故障导致生产过程中产生的废气未经处理直接排放，污染外环境。企业采取了以下措施：</w:t>
            </w:r>
          </w:p>
          <w:p>
            <w:pPr>
              <w:spacing w:line="360" w:lineRule="auto"/>
              <w:ind w:firstLine="480" w:firstLineChars="200"/>
              <w:rPr>
                <w:color w:val="auto"/>
                <w:sz w:val="24"/>
                <w:highlight w:val="none"/>
              </w:rPr>
            </w:pPr>
            <w:r>
              <w:rPr>
                <w:color w:val="auto"/>
                <w:sz w:val="24"/>
                <w:highlight w:val="none"/>
              </w:rPr>
              <w:t>①制定设备检修计划，定期</w:t>
            </w:r>
            <w:r>
              <w:rPr>
                <w:rFonts w:hint="eastAsia"/>
                <w:color w:val="auto"/>
                <w:sz w:val="24"/>
                <w:highlight w:val="none"/>
                <w:lang w:val="en-US" w:eastAsia="zh-CN"/>
              </w:rPr>
              <w:t>检修除尘设备</w:t>
            </w:r>
            <w:r>
              <w:rPr>
                <w:color w:val="auto"/>
                <w:sz w:val="24"/>
                <w:highlight w:val="none"/>
              </w:rPr>
              <w:t>。</w:t>
            </w:r>
          </w:p>
          <w:p>
            <w:pPr>
              <w:spacing w:line="360" w:lineRule="auto"/>
              <w:ind w:firstLine="480" w:firstLineChars="200"/>
              <w:rPr>
                <w:color w:val="auto"/>
                <w:sz w:val="24"/>
                <w:highlight w:val="none"/>
              </w:rPr>
            </w:pPr>
            <w:r>
              <w:rPr>
                <w:color w:val="auto"/>
                <w:sz w:val="24"/>
                <w:highlight w:val="none"/>
              </w:rPr>
              <w:t>②建立定时巡检制度，发现问题及时处理。</w:t>
            </w:r>
          </w:p>
          <w:p>
            <w:pPr>
              <w:spacing w:line="360" w:lineRule="auto"/>
              <w:ind w:firstLine="480" w:firstLineChars="200"/>
              <w:rPr>
                <w:color w:val="auto"/>
                <w:highlight w:val="none"/>
              </w:rPr>
            </w:pPr>
            <w:r>
              <w:rPr>
                <w:color w:val="auto"/>
                <w:sz w:val="24"/>
                <w:highlight w:val="none"/>
              </w:rPr>
              <w:t>③发生事故后应及时与有关部门联系。</w:t>
            </w:r>
          </w:p>
          <w:p>
            <w:pPr>
              <w:pStyle w:val="49"/>
              <w:spacing w:line="360" w:lineRule="auto"/>
              <w:ind w:firstLine="480"/>
              <w:rPr>
                <w:rFonts w:hint="eastAsia" w:cs="Times New Roman"/>
                <w:color w:val="auto"/>
                <w:highlight w:val="none"/>
              </w:rPr>
            </w:pPr>
            <w:r>
              <w:rPr>
                <w:rFonts w:hint="eastAsia" w:cs="Times New Roman"/>
                <w:color w:val="auto"/>
                <w:highlight w:val="none"/>
              </w:rPr>
              <w:t>（</w:t>
            </w:r>
            <w:r>
              <w:rPr>
                <w:rFonts w:hint="eastAsia" w:cs="Times New Roman"/>
                <w:color w:val="auto"/>
                <w:highlight w:val="none"/>
                <w:lang w:val="en-US" w:eastAsia="zh-CN"/>
              </w:rPr>
              <w:t>3</w:t>
            </w:r>
            <w:r>
              <w:rPr>
                <w:rFonts w:hint="eastAsia" w:cs="Times New Roman"/>
                <w:color w:val="auto"/>
                <w:highlight w:val="none"/>
              </w:rPr>
              <w:t>）生产及储存风险防范措施</w:t>
            </w:r>
          </w:p>
          <w:p>
            <w:pPr>
              <w:pStyle w:val="49"/>
              <w:spacing w:line="360" w:lineRule="auto"/>
              <w:ind w:firstLine="480"/>
              <w:rPr>
                <w:rFonts w:hint="eastAsia" w:cs="Times New Roman"/>
                <w:color w:val="auto"/>
                <w:highlight w:val="none"/>
              </w:rPr>
            </w:pPr>
            <w:r>
              <w:rPr>
                <w:rFonts w:hint="eastAsia" w:cs="Times New Roman"/>
                <w:color w:val="auto"/>
                <w:highlight w:val="none"/>
              </w:rPr>
              <w:t>①生产场地属禁火区，应远离明火，不得存放易燃易爆物品，设置明显警示牌并配备灭火器材；</w:t>
            </w:r>
          </w:p>
          <w:p>
            <w:pPr>
              <w:pStyle w:val="49"/>
              <w:spacing w:line="360" w:lineRule="auto"/>
              <w:ind w:firstLine="480"/>
              <w:rPr>
                <w:rFonts w:hint="eastAsia" w:cs="Times New Roman"/>
                <w:color w:val="auto"/>
                <w:highlight w:val="none"/>
              </w:rPr>
            </w:pPr>
            <w:r>
              <w:rPr>
                <w:rFonts w:hint="eastAsia" w:cs="Times New Roman"/>
                <w:color w:val="auto"/>
                <w:highlight w:val="none"/>
              </w:rPr>
              <w:t>②厂区设防火通道，禁止在通道内堆放物品；</w:t>
            </w:r>
          </w:p>
          <w:p>
            <w:pPr>
              <w:pStyle w:val="49"/>
              <w:spacing w:line="360" w:lineRule="auto"/>
              <w:ind w:firstLine="480"/>
              <w:rPr>
                <w:rFonts w:hint="eastAsia" w:cs="Times New Roman"/>
                <w:color w:val="auto"/>
                <w:highlight w:val="none"/>
              </w:rPr>
            </w:pPr>
            <w:r>
              <w:rPr>
                <w:rFonts w:hint="eastAsia" w:cs="Times New Roman"/>
                <w:color w:val="auto"/>
                <w:highlight w:val="none"/>
              </w:rPr>
              <w:t>③消防器材定员管理，定期检查，过期更换；</w:t>
            </w:r>
          </w:p>
          <w:p>
            <w:pPr>
              <w:pStyle w:val="49"/>
              <w:spacing w:line="360" w:lineRule="auto"/>
              <w:ind w:firstLine="480"/>
              <w:rPr>
                <w:rFonts w:hint="eastAsia" w:cs="Times New Roman"/>
                <w:color w:val="auto"/>
                <w:highlight w:val="none"/>
              </w:rPr>
            </w:pPr>
            <w:r>
              <w:rPr>
                <w:rFonts w:hint="eastAsia" w:cs="Times New Roman"/>
                <w:color w:val="auto"/>
                <w:highlight w:val="none"/>
              </w:rPr>
              <w:t>④厂区电器采用防爆型设备，工作场所禁止吸烟；</w:t>
            </w:r>
          </w:p>
          <w:p>
            <w:pPr>
              <w:pStyle w:val="49"/>
              <w:spacing w:line="360" w:lineRule="auto"/>
              <w:ind w:firstLine="480"/>
              <w:rPr>
                <w:rFonts w:hint="eastAsia" w:cs="Times New Roman"/>
                <w:color w:val="auto"/>
                <w:highlight w:val="none"/>
              </w:rPr>
            </w:pPr>
            <w:r>
              <w:rPr>
                <w:rFonts w:hint="eastAsia" w:cs="Times New Roman"/>
                <w:color w:val="auto"/>
                <w:highlight w:val="none"/>
              </w:rPr>
              <w:t>（</w:t>
            </w:r>
            <w:r>
              <w:rPr>
                <w:rFonts w:hint="eastAsia" w:cs="Times New Roman"/>
                <w:color w:val="auto"/>
                <w:highlight w:val="none"/>
                <w:lang w:val="en-US" w:eastAsia="zh-CN"/>
              </w:rPr>
              <w:t>4</w:t>
            </w:r>
            <w:r>
              <w:rPr>
                <w:rFonts w:hint="eastAsia" w:cs="Times New Roman"/>
                <w:color w:val="auto"/>
                <w:highlight w:val="none"/>
              </w:rPr>
              <w:t>）火灾处理措施</w:t>
            </w:r>
          </w:p>
          <w:p>
            <w:pPr>
              <w:pStyle w:val="49"/>
              <w:spacing w:line="360" w:lineRule="auto"/>
              <w:ind w:firstLine="480"/>
              <w:rPr>
                <w:rFonts w:hint="eastAsia" w:cs="Times New Roman"/>
                <w:color w:val="auto"/>
                <w:spacing w:val="-6"/>
                <w:highlight w:val="none"/>
              </w:rPr>
            </w:pPr>
            <w:r>
              <w:rPr>
                <w:rFonts w:hint="eastAsia" w:cs="Times New Roman"/>
                <w:color w:val="auto"/>
                <w:highlight w:val="none"/>
              </w:rPr>
              <w:t>一旦发生火灾，厂房应立即报警，通过消防灭火；组织救援小组，封锁现场，指挥人员疏散，并组织消防力量进行自救灭火；</w:t>
            </w:r>
            <w:r>
              <w:rPr>
                <w:rFonts w:hint="eastAsia" w:cs="Times New Roman"/>
                <w:color w:val="auto"/>
                <w:spacing w:val="-6"/>
                <w:highlight w:val="none"/>
              </w:rPr>
              <w:t>事故后对起火原因做调查和鉴定，提出切实可行的防范措施。</w:t>
            </w:r>
          </w:p>
          <w:p>
            <w:pPr>
              <w:pStyle w:val="49"/>
              <w:spacing w:line="360" w:lineRule="auto"/>
              <w:ind w:firstLine="480"/>
              <w:rPr>
                <w:rFonts w:hint="eastAsia" w:cs="Times New Roman"/>
                <w:color w:val="auto"/>
                <w:highlight w:val="none"/>
              </w:rPr>
            </w:pPr>
            <w:r>
              <w:rPr>
                <w:rFonts w:hint="eastAsia" w:cs="Times New Roman"/>
                <w:color w:val="auto"/>
                <w:highlight w:val="none"/>
              </w:rPr>
              <w:t>（</w:t>
            </w:r>
            <w:r>
              <w:rPr>
                <w:rFonts w:hint="eastAsia" w:cs="Times New Roman"/>
                <w:color w:val="auto"/>
                <w:highlight w:val="none"/>
                <w:lang w:val="en-US" w:eastAsia="zh-CN"/>
              </w:rPr>
              <w:t>5</w:t>
            </w:r>
            <w:r>
              <w:rPr>
                <w:rFonts w:hint="eastAsia" w:cs="Times New Roman"/>
                <w:color w:val="auto"/>
                <w:highlight w:val="none"/>
              </w:rPr>
              <w:t>）</w:t>
            </w:r>
            <w:r>
              <w:rPr>
                <w:rFonts w:hint="eastAsia" w:cs="Times New Roman"/>
                <w:color w:val="auto"/>
                <w:highlight w:val="none"/>
                <w:lang w:val="en-US" w:eastAsia="zh-CN"/>
              </w:rPr>
              <w:t>危化品库风险</w:t>
            </w:r>
            <w:r>
              <w:rPr>
                <w:rFonts w:hint="eastAsia" w:cs="Times New Roman"/>
                <w:color w:val="auto"/>
                <w:highlight w:val="none"/>
              </w:rPr>
              <w:t>处理措施</w:t>
            </w:r>
          </w:p>
          <w:p>
            <w:pPr>
              <w:pStyle w:val="49"/>
              <w:spacing w:line="360" w:lineRule="auto"/>
              <w:ind w:firstLine="480"/>
              <w:rPr>
                <w:rFonts w:hint="eastAsia" w:cs="Times New Roman"/>
                <w:color w:val="auto"/>
                <w:highlight w:val="none"/>
              </w:rPr>
            </w:pPr>
            <w:r>
              <w:rPr>
                <w:rFonts w:hint="eastAsia" w:cs="Times New Roman"/>
                <w:color w:val="auto"/>
                <w:highlight w:val="none"/>
                <w:lang w:val="en-US" w:eastAsia="zh-CN"/>
              </w:rPr>
              <w:t>危化品库配备自动报警装置及相应的消防设施，在发生火灾或危险品泄漏时第一时间报警</w:t>
            </w:r>
            <w:r>
              <w:rPr>
                <w:rFonts w:hint="eastAsia" w:cs="Times New Roman"/>
                <w:color w:val="auto"/>
                <w:spacing w:val="-6"/>
                <w:highlight w:val="none"/>
                <w:lang w:eastAsia="zh-CN"/>
              </w:rPr>
              <w:t>，</w:t>
            </w:r>
            <w:r>
              <w:rPr>
                <w:rFonts w:hint="eastAsia" w:cs="Times New Roman"/>
                <w:color w:val="auto"/>
                <w:spacing w:val="-6"/>
                <w:highlight w:val="none"/>
                <w:lang w:val="en-US" w:eastAsia="zh-CN"/>
              </w:rPr>
              <w:t>通过消防灭火，或采用防范措施处理危险品泄露问题，防范措施需要不断更新技术设施和设备。危险品的管理人员及运输人员必须经过专门的培训，掌握相应的危险品操作技能及防范处理措施、应急处理技术等，同时要建立危化品库资料管理台账，危险品的入库、出库必须严谨记录，危险品严禁混合堆放，必须分区贮存，危险品张贴相应的标识标牌，标明该危险品的特性、容易引发的危险及防范措施等。</w:t>
            </w:r>
          </w:p>
          <w:p>
            <w:pPr>
              <w:pStyle w:val="49"/>
              <w:spacing w:line="360" w:lineRule="auto"/>
              <w:ind w:firstLine="480"/>
              <w:rPr>
                <w:rFonts w:cs="Times New Roman"/>
                <w:color w:val="auto"/>
                <w:highlight w:val="none"/>
              </w:rPr>
            </w:pPr>
            <w:r>
              <w:rPr>
                <w:rFonts w:cs="Times New Roman"/>
                <w:color w:val="auto"/>
                <w:highlight w:val="none"/>
              </w:rPr>
              <w:t>（</w:t>
            </w:r>
            <w:r>
              <w:rPr>
                <w:rFonts w:hint="eastAsia" w:cs="Times New Roman"/>
                <w:color w:val="auto"/>
                <w:highlight w:val="none"/>
                <w:lang w:val="en-US" w:eastAsia="zh-CN"/>
              </w:rPr>
              <w:t>6</w:t>
            </w:r>
            <w:r>
              <w:rPr>
                <w:rFonts w:cs="Times New Roman"/>
                <w:color w:val="auto"/>
                <w:highlight w:val="none"/>
              </w:rPr>
              <w:t>）其他风险防范措施</w:t>
            </w:r>
          </w:p>
          <w:p>
            <w:pPr>
              <w:pStyle w:val="49"/>
              <w:spacing w:line="360" w:lineRule="auto"/>
              <w:ind w:firstLine="480"/>
              <w:rPr>
                <w:rFonts w:cs="Times New Roman"/>
                <w:color w:val="auto"/>
                <w:highlight w:val="none"/>
              </w:rPr>
            </w:pPr>
            <w:r>
              <w:rPr>
                <w:rFonts w:cs="Times New Roman"/>
                <w:color w:val="auto"/>
                <w:highlight w:val="none"/>
              </w:rPr>
              <w:t>①存储场内不得设置移动照明、配电线路与</w:t>
            </w:r>
            <w:r>
              <w:rPr>
                <w:rFonts w:hint="eastAsia" w:cs="Times New Roman"/>
                <w:color w:val="auto"/>
                <w:highlight w:val="none"/>
                <w:lang w:val="en-US" w:eastAsia="zh-CN"/>
              </w:rPr>
              <w:t>原料</w:t>
            </w:r>
            <w:r>
              <w:rPr>
                <w:rFonts w:cs="Times New Roman"/>
                <w:color w:val="auto"/>
                <w:highlight w:val="none"/>
              </w:rPr>
              <w:t>之间应按规范的要求保持足够的防火间距，不得在</w:t>
            </w:r>
            <w:r>
              <w:rPr>
                <w:rFonts w:hint="eastAsia" w:cs="Times New Roman"/>
                <w:color w:val="auto"/>
                <w:highlight w:val="none"/>
                <w:lang w:val="en-US" w:eastAsia="zh-CN"/>
              </w:rPr>
              <w:t>原料</w:t>
            </w:r>
            <w:r>
              <w:rPr>
                <w:rFonts w:cs="Times New Roman"/>
                <w:color w:val="auto"/>
                <w:highlight w:val="none"/>
              </w:rPr>
              <w:t>堆放处设临时线路，不得设置移动照明和配电板等。对生产区及其他需要配置的地方，安装事故应急照明和疏散指示标志。</w:t>
            </w:r>
          </w:p>
          <w:p>
            <w:pPr>
              <w:pStyle w:val="49"/>
              <w:spacing w:line="360" w:lineRule="auto"/>
              <w:ind w:firstLine="480"/>
              <w:rPr>
                <w:rFonts w:cs="Times New Roman"/>
                <w:color w:val="auto"/>
                <w:highlight w:val="none"/>
              </w:rPr>
            </w:pPr>
            <w:r>
              <w:rPr>
                <w:rFonts w:cs="Times New Roman"/>
                <w:color w:val="auto"/>
                <w:highlight w:val="none"/>
              </w:rPr>
              <w:t>②加强消防设施的维护与保养使其保持在良好的性能状态，减少机械伤害的发生。</w:t>
            </w:r>
          </w:p>
          <w:p>
            <w:pPr>
              <w:pStyle w:val="49"/>
              <w:spacing w:line="360" w:lineRule="auto"/>
              <w:ind w:firstLine="480"/>
              <w:rPr>
                <w:rFonts w:cs="Times New Roman"/>
                <w:color w:val="auto"/>
                <w:highlight w:val="none"/>
              </w:rPr>
            </w:pPr>
            <w:r>
              <w:rPr>
                <w:rFonts w:cs="Times New Roman"/>
                <w:color w:val="auto"/>
                <w:highlight w:val="none"/>
              </w:rPr>
              <w:t>③加强安全教育，强化安全意识，具备相应的安全知识，原料区域安全管理人员必须增强安全意识和法制观念，掌握安全卫生基本知识，具有一定的安全管理和决策能力。</w:t>
            </w:r>
          </w:p>
          <w:p>
            <w:pPr>
              <w:pStyle w:val="49"/>
              <w:spacing w:line="360" w:lineRule="auto"/>
              <w:ind w:firstLine="480"/>
              <w:rPr>
                <w:rFonts w:hint="eastAsia" w:eastAsia="宋体" w:cs="Times New Roman"/>
                <w:color w:val="auto"/>
                <w:highlight w:val="none"/>
                <w:lang w:val="en-US" w:eastAsia="zh-CN"/>
              </w:rPr>
            </w:pPr>
            <w:r>
              <w:rPr>
                <w:rFonts w:cs="Times New Roman"/>
                <w:color w:val="auto"/>
                <w:highlight w:val="none"/>
              </w:rPr>
              <w:t>④要落实消防安全责任制，严格各项规章制度。生产区的各项消防安全规章制度不能光挂在墙上，关键要落到实处，加强违规违章操作人员的管理和查处，要经常进行消防安全教育，实行车辆进出的登记查问制度、火种管理制度、动用明火制度、货物进出仓库的检查制度、货物堆放制度、巡查制度。</w:t>
            </w:r>
          </w:p>
          <w:p>
            <w:pPr>
              <w:pStyle w:val="62"/>
              <w:adjustRightInd/>
              <w:snapToGrid/>
              <w:spacing w:line="360" w:lineRule="auto"/>
              <w:ind w:firstLine="0" w:firstLineChars="0"/>
              <w:rPr>
                <w:rFonts w:ascii="Times New Roman" w:hAnsi="Times New Roman"/>
                <w:b/>
                <w:bCs/>
                <w:color w:val="auto"/>
                <w:highlight w:val="none"/>
              </w:rPr>
            </w:pPr>
            <w:r>
              <w:rPr>
                <w:rFonts w:ascii="Times New Roman" w:hAnsi="Times New Roman"/>
                <w:b/>
                <w:bCs/>
                <w:color w:val="auto"/>
                <w:highlight w:val="none"/>
              </w:rPr>
              <w:t>6.</w:t>
            </w:r>
            <w:r>
              <w:rPr>
                <w:rFonts w:hint="eastAsia" w:ascii="Times New Roman" w:hAnsi="Times New Roman"/>
                <w:b/>
                <w:bCs/>
                <w:color w:val="auto"/>
                <w:highlight w:val="none"/>
              </w:rPr>
              <w:t>6</w:t>
            </w:r>
            <w:r>
              <w:rPr>
                <w:rFonts w:ascii="Times New Roman" w:hAnsi="Times New Roman"/>
                <w:b/>
                <w:bCs/>
                <w:color w:val="auto"/>
                <w:highlight w:val="none"/>
              </w:rPr>
              <w:t xml:space="preserve"> 应急预案</w:t>
            </w:r>
          </w:p>
          <w:p>
            <w:pPr>
              <w:pStyle w:val="62"/>
              <w:adjustRightInd/>
              <w:snapToGrid/>
              <w:spacing w:line="360" w:lineRule="auto"/>
              <w:rPr>
                <w:rFonts w:ascii="Times New Roman" w:hAnsi="Times New Roman"/>
                <w:color w:val="auto"/>
                <w:highlight w:val="none"/>
              </w:rPr>
            </w:pPr>
            <w:r>
              <w:rPr>
                <w:rFonts w:ascii="Times New Roman" w:hAnsi="Times New Roman"/>
                <w:color w:val="auto"/>
                <w:highlight w:val="none"/>
              </w:rPr>
              <w:t>建设单位应按照《企业事业单位突发环境事件应急预案备案管理办法（试行）》（</w:t>
            </w:r>
            <w:r>
              <w:rPr>
                <w:rFonts w:hint="eastAsia" w:ascii="Times New Roman" w:hAnsi="Times New Roman"/>
                <w:color w:val="auto"/>
                <w:highlight w:val="none"/>
                <w:lang w:val="en-US" w:eastAsia="zh-CN"/>
              </w:rPr>
              <w:t>新</w:t>
            </w:r>
            <w:r>
              <w:rPr>
                <w:rFonts w:ascii="Times New Roman" w:hAnsi="Times New Roman"/>
                <w:color w:val="auto"/>
                <w:highlight w:val="none"/>
              </w:rPr>
              <w:t>环发〔2015〕4号）的要求建立环境风险事故应急预案，应急预案所要求的基本内容可参照表</w:t>
            </w:r>
            <w:r>
              <w:rPr>
                <w:rFonts w:hint="eastAsia" w:ascii="Times New Roman" w:hAnsi="Times New Roman"/>
                <w:bCs/>
                <w:color w:val="auto"/>
                <w:spacing w:val="-10"/>
                <w:highlight w:val="none"/>
                <w:lang w:val="en-US" w:eastAsia="zh-CN"/>
              </w:rPr>
              <w:t>4-14</w:t>
            </w:r>
            <w:r>
              <w:rPr>
                <w:rFonts w:ascii="Times New Roman" w:hAnsi="Times New Roman"/>
                <w:color w:val="auto"/>
                <w:highlight w:val="none"/>
              </w:rPr>
              <w:t>中的相关内容。</w:t>
            </w:r>
          </w:p>
          <w:p>
            <w:pPr>
              <w:pStyle w:val="9"/>
              <w:spacing w:line="240" w:lineRule="auto"/>
              <w:rPr>
                <w:color w:val="auto"/>
                <w:sz w:val="21"/>
                <w:szCs w:val="21"/>
                <w:highlight w:val="none"/>
              </w:rPr>
            </w:pPr>
            <w:r>
              <w:rPr>
                <w:color w:val="auto"/>
                <w:sz w:val="21"/>
                <w:szCs w:val="21"/>
                <w:highlight w:val="none"/>
              </w:rPr>
              <w:t>表</w:t>
            </w:r>
            <w:r>
              <w:rPr>
                <w:rFonts w:hint="eastAsia"/>
                <w:color w:val="auto"/>
                <w:sz w:val="21"/>
                <w:szCs w:val="21"/>
                <w:highlight w:val="none"/>
                <w:lang w:val="en-US" w:eastAsia="zh-CN"/>
              </w:rPr>
              <w:t>4-14</w:t>
            </w:r>
            <w:r>
              <w:rPr>
                <w:color w:val="auto"/>
                <w:sz w:val="21"/>
                <w:szCs w:val="21"/>
                <w:highlight w:val="none"/>
              </w:rPr>
              <w:t xml:space="preserve">    应急预案内容一览表</w:t>
            </w:r>
          </w:p>
          <w:tbl>
            <w:tblPr>
              <w:tblStyle w:val="30"/>
              <w:tblW w:w="4998" w:type="pct"/>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080"/>
              <w:gridCol w:w="4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vAlign w:val="center"/>
                </w:tcPr>
                <w:p>
                  <w:pPr>
                    <w:spacing w:line="240" w:lineRule="auto"/>
                    <w:jc w:val="center"/>
                    <w:rPr>
                      <w:b/>
                      <w:bCs/>
                      <w:color w:val="auto"/>
                      <w:highlight w:val="none"/>
                    </w:rPr>
                  </w:pPr>
                  <w:r>
                    <w:rPr>
                      <w:b/>
                      <w:bCs/>
                      <w:color w:val="auto"/>
                      <w:highlight w:val="none"/>
                    </w:rPr>
                    <w:t>序号</w:t>
                  </w:r>
                </w:p>
              </w:tc>
              <w:tc>
                <w:tcPr>
                  <w:tcW w:w="1353" w:type="pct"/>
                  <w:vAlign w:val="center"/>
                </w:tcPr>
                <w:p>
                  <w:pPr>
                    <w:spacing w:line="240" w:lineRule="auto"/>
                    <w:jc w:val="center"/>
                    <w:rPr>
                      <w:b/>
                      <w:bCs/>
                      <w:color w:val="auto"/>
                      <w:highlight w:val="none"/>
                    </w:rPr>
                  </w:pPr>
                  <w:r>
                    <w:rPr>
                      <w:b/>
                      <w:bCs/>
                      <w:color w:val="auto"/>
                      <w:highlight w:val="none"/>
                    </w:rPr>
                    <w:t>项目</w:t>
                  </w:r>
                </w:p>
              </w:tc>
              <w:tc>
                <w:tcPr>
                  <w:tcW w:w="3225" w:type="pct"/>
                  <w:vAlign w:val="center"/>
                </w:tcPr>
                <w:p>
                  <w:pPr>
                    <w:spacing w:line="240" w:lineRule="auto"/>
                    <w:jc w:val="center"/>
                    <w:rPr>
                      <w:b/>
                      <w:bCs/>
                      <w:color w:val="auto"/>
                      <w:highlight w:val="none"/>
                    </w:rPr>
                  </w:pPr>
                  <w:r>
                    <w:rPr>
                      <w:b/>
                      <w:bCs/>
                      <w:color w:val="auto"/>
                      <w:highlight w:val="none"/>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1</w:t>
                  </w:r>
                </w:p>
              </w:tc>
              <w:tc>
                <w:tcPr>
                  <w:tcW w:w="1353" w:type="pct"/>
                  <w:tcBorders>
                    <w:tl2br w:val="nil"/>
                    <w:tr2bl w:val="nil"/>
                  </w:tcBorders>
                  <w:vAlign w:val="center"/>
                </w:tcPr>
                <w:p>
                  <w:pPr>
                    <w:spacing w:line="240" w:lineRule="auto"/>
                    <w:jc w:val="center"/>
                    <w:rPr>
                      <w:color w:val="auto"/>
                      <w:highlight w:val="none"/>
                    </w:rPr>
                  </w:pPr>
                  <w:r>
                    <w:rPr>
                      <w:color w:val="auto"/>
                      <w:highlight w:val="none"/>
                    </w:rPr>
                    <w:t>应急计划区</w:t>
                  </w:r>
                </w:p>
              </w:tc>
              <w:tc>
                <w:tcPr>
                  <w:tcW w:w="3225" w:type="pct"/>
                  <w:tcBorders>
                    <w:tl2br w:val="nil"/>
                    <w:tr2bl w:val="nil"/>
                  </w:tcBorders>
                  <w:vAlign w:val="center"/>
                </w:tcPr>
                <w:p>
                  <w:pPr>
                    <w:spacing w:line="240" w:lineRule="auto"/>
                    <w:jc w:val="center"/>
                    <w:rPr>
                      <w:color w:val="auto"/>
                      <w:highlight w:val="none"/>
                    </w:rPr>
                  </w:pPr>
                  <w:r>
                    <w:rPr>
                      <w:color w:val="auto"/>
                      <w:highlight w:val="none"/>
                    </w:rPr>
                    <w:t>主要危险源</w:t>
                  </w:r>
                  <w:r>
                    <w:rPr>
                      <w:rFonts w:hint="eastAsia"/>
                      <w:color w:val="auto"/>
                      <w:highlight w:val="none"/>
                      <w:lang w:eastAsia="zh-CN"/>
                    </w:rPr>
                    <w:t>；</w:t>
                  </w:r>
                  <w:r>
                    <w:rPr>
                      <w:color w:val="auto"/>
                      <w:highlight w:val="none"/>
                    </w:rPr>
                    <w:t>相关环保设施等；环境保护目标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2</w:t>
                  </w:r>
                </w:p>
              </w:tc>
              <w:tc>
                <w:tcPr>
                  <w:tcW w:w="1353" w:type="pct"/>
                  <w:tcBorders>
                    <w:tl2br w:val="nil"/>
                    <w:tr2bl w:val="nil"/>
                  </w:tcBorders>
                  <w:vAlign w:val="center"/>
                </w:tcPr>
                <w:p>
                  <w:pPr>
                    <w:spacing w:line="240" w:lineRule="auto"/>
                    <w:jc w:val="center"/>
                    <w:rPr>
                      <w:color w:val="auto"/>
                      <w:highlight w:val="none"/>
                    </w:rPr>
                  </w:pPr>
                  <w:r>
                    <w:rPr>
                      <w:color w:val="auto"/>
                      <w:highlight w:val="none"/>
                    </w:rPr>
                    <w:t>应急组织机构、人员</w:t>
                  </w:r>
                </w:p>
              </w:tc>
              <w:tc>
                <w:tcPr>
                  <w:tcW w:w="3225" w:type="pct"/>
                  <w:tcBorders>
                    <w:tl2br w:val="nil"/>
                    <w:tr2bl w:val="nil"/>
                  </w:tcBorders>
                  <w:vAlign w:val="center"/>
                </w:tcPr>
                <w:p>
                  <w:pPr>
                    <w:spacing w:line="240" w:lineRule="auto"/>
                    <w:jc w:val="center"/>
                    <w:rPr>
                      <w:color w:val="auto"/>
                      <w:highlight w:val="none"/>
                    </w:rPr>
                  </w:pPr>
                  <w:r>
                    <w:rPr>
                      <w:color w:val="auto"/>
                      <w:kern w:val="0"/>
                      <w:highlight w:val="none"/>
                    </w:rPr>
                    <w:t>公司设置应急组织机构，经理为应急计划、协调第一人，应急人员必须为培训上岗熟练工；区域应急组织结构由当地政府、相关行业专家、卫生安全相关单位组成，并由当地政府进行统一调度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3</w:t>
                  </w:r>
                </w:p>
              </w:tc>
              <w:tc>
                <w:tcPr>
                  <w:tcW w:w="1353" w:type="pct"/>
                  <w:tcBorders>
                    <w:tl2br w:val="nil"/>
                    <w:tr2bl w:val="nil"/>
                  </w:tcBorders>
                  <w:vAlign w:val="center"/>
                </w:tcPr>
                <w:p>
                  <w:pPr>
                    <w:spacing w:line="240" w:lineRule="auto"/>
                    <w:jc w:val="center"/>
                    <w:rPr>
                      <w:color w:val="auto"/>
                      <w:highlight w:val="none"/>
                    </w:rPr>
                  </w:pPr>
                  <w:r>
                    <w:rPr>
                      <w:color w:val="auto"/>
                      <w:highlight w:val="none"/>
                    </w:rPr>
                    <w:t>预案分级响应条件</w:t>
                  </w:r>
                </w:p>
              </w:tc>
              <w:tc>
                <w:tcPr>
                  <w:tcW w:w="3225" w:type="pct"/>
                  <w:tcBorders>
                    <w:tl2br w:val="nil"/>
                    <w:tr2bl w:val="nil"/>
                  </w:tcBorders>
                  <w:vAlign w:val="center"/>
                </w:tcPr>
                <w:p>
                  <w:pPr>
                    <w:spacing w:line="240" w:lineRule="auto"/>
                    <w:jc w:val="center"/>
                    <w:rPr>
                      <w:color w:val="auto"/>
                      <w:highlight w:val="none"/>
                    </w:rPr>
                  </w:pPr>
                  <w:r>
                    <w:rPr>
                      <w:color w:val="auto"/>
                      <w:kern w:val="0"/>
                      <w:highlight w:val="none"/>
                    </w:rPr>
                    <w:t>根据事故的严重程度制定相应级别的应急预案，以及适合相应情况的处理措施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4</w:t>
                  </w:r>
                </w:p>
              </w:tc>
              <w:tc>
                <w:tcPr>
                  <w:tcW w:w="1353" w:type="pct"/>
                  <w:tcBorders>
                    <w:tl2br w:val="nil"/>
                    <w:tr2bl w:val="nil"/>
                  </w:tcBorders>
                  <w:vAlign w:val="center"/>
                </w:tcPr>
                <w:p>
                  <w:pPr>
                    <w:spacing w:line="240" w:lineRule="auto"/>
                    <w:jc w:val="center"/>
                    <w:rPr>
                      <w:color w:val="auto"/>
                      <w:highlight w:val="none"/>
                    </w:rPr>
                  </w:pPr>
                  <w:r>
                    <w:rPr>
                      <w:color w:val="auto"/>
                      <w:highlight w:val="none"/>
                    </w:rPr>
                    <w:t>应急救援保障</w:t>
                  </w:r>
                </w:p>
              </w:tc>
              <w:tc>
                <w:tcPr>
                  <w:tcW w:w="3225" w:type="pct"/>
                  <w:tcBorders>
                    <w:tl2br w:val="nil"/>
                    <w:tr2bl w:val="nil"/>
                  </w:tcBorders>
                  <w:vAlign w:val="center"/>
                </w:tcPr>
                <w:p>
                  <w:pPr>
                    <w:spacing w:line="240" w:lineRule="auto"/>
                    <w:jc w:val="center"/>
                    <w:rPr>
                      <w:color w:val="auto"/>
                      <w:highlight w:val="none"/>
                    </w:rPr>
                  </w:pPr>
                  <w:r>
                    <w:rPr>
                      <w:color w:val="auto"/>
                      <w:highlight w:val="none"/>
                    </w:rPr>
                    <w:t>应急设施，设备与器材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5</w:t>
                  </w:r>
                </w:p>
              </w:tc>
              <w:tc>
                <w:tcPr>
                  <w:tcW w:w="1353" w:type="pct"/>
                  <w:tcBorders>
                    <w:tl2br w:val="nil"/>
                    <w:tr2bl w:val="nil"/>
                  </w:tcBorders>
                  <w:vAlign w:val="center"/>
                </w:tcPr>
                <w:p>
                  <w:pPr>
                    <w:spacing w:line="240" w:lineRule="auto"/>
                    <w:jc w:val="center"/>
                    <w:rPr>
                      <w:color w:val="auto"/>
                      <w:highlight w:val="none"/>
                    </w:rPr>
                  </w:pPr>
                  <w:r>
                    <w:rPr>
                      <w:color w:val="auto"/>
                      <w:highlight w:val="none"/>
                    </w:rPr>
                    <w:t>报警、通讯联络方式</w:t>
                  </w:r>
                </w:p>
              </w:tc>
              <w:tc>
                <w:tcPr>
                  <w:tcW w:w="3225" w:type="pct"/>
                  <w:tcBorders>
                    <w:tl2br w:val="nil"/>
                    <w:tr2bl w:val="nil"/>
                  </w:tcBorders>
                  <w:vAlign w:val="center"/>
                </w:tcPr>
                <w:p>
                  <w:pPr>
                    <w:spacing w:line="240" w:lineRule="auto"/>
                    <w:jc w:val="center"/>
                    <w:rPr>
                      <w:color w:val="auto"/>
                      <w:highlight w:val="none"/>
                    </w:rPr>
                  </w:pPr>
                  <w:r>
                    <w:rPr>
                      <w:color w:val="auto"/>
                      <w:kern w:val="0"/>
                      <w:highlight w:val="none"/>
                    </w:rPr>
                    <w:t>逐一细化应急状态下各主要负责部门的报警通讯方式、地点、电话号码以及相关配套的交通保障、管制、消防联络方法，涉及跨区域的还应与相关区域环境保护部门和上级环保部门保持联系，及时通报事故处理情况，以获得区域性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6</w:t>
                  </w:r>
                </w:p>
              </w:tc>
              <w:tc>
                <w:tcPr>
                  <w:tcW w:w="1353" w:type="pct"/>
                  <w:tcBorders>
                    <w:tl2br w:val="nil"/>
                    <w:tr2bl w:val="nil"/>
                  </w:tcBorders>
                  <w:vAlign w:val="center"/>
                </w:tcPr>
                <w:p>
                  <w:pPr>
                    <w:spacing w:line="240" w:lineRule="auto"/>
                    <w:jc w:val="center"/>
                    <w:rPr>
                      <w:color w:val="auto"/>
                      <w:highlight w:val="none"/>
                    </w:rPr>
                  </w:pPr>
                  <w:r>
                    <w:rPr>
                      <w:color w:val="auto"/>
                      <w:highlight w:val="none"/>
                    </w:rPr>
                    <w:t>应急环境监测、抢险、救援及控制措施</w:t>
                  </w:r>
                </w:p>
              </w:tc>
              <w:tc>
                <w:tcPr>
                  <w:tcW w:w="3225" w:type="pct"/>
                  <w:tcBorders>
                    <w:tl2br w:val="nil"/>
                    <w:tr2bl w:val="nil"/>
                  </w:tcBorders>
                  <w:vAlign w:val="center"/>
                </w:tcPr>
                <w:p>
                  <w:pPr>
                    <w:spacing w:line="240" w:lineRule="auto"/>
                    <w:jc w:val="center"/>
                    <w:rPr>
                      <w:color w:val="auto"/>
                      <w:highlight w:val="none"/>
                    </w:rPr>
                  </w:pPr>
                  <w:r>
                    <w:rPr>
                      <w:color w:val="auto"/>
                      <w:highlight w:val="none"/>
                    </w:rPr>
                    <w:t>由专业队伍负责对事故现场进行侦查监测，对事故性质、参数与后果进行评估，为指挥部门提供决策依据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7</w:t>
                  </w:r>
                </w:p>
              </w:tc>
              <w:tc>
                <w:tcPr>
                  <w:tcW w:w="1353" w:type="pct"/>
                  <w:tcBorders>
                    <w:tl2br w:val="nil"/>
                    <w:tr2bl w:val="nil"/>
                  </w:tcBorders>
                  <w:vAlign w:val="center"/>
                </w:tcPr>
                <w:p>
                  <w:pPr>
                    <w:spacing w:line="240" w:lineRule="auto"/>
                    <w:jc w:val="center"/>
                    <w:rPr>
                      <w:color w:val="auto"/>
                      <w:highlight w:val="none"/>
                    </w:rPr>
                  </w:pPr>
                  <w:r>
                    <w:rPr>
                      <w:color w:val="auto"/>
                      <w:highlight w:val="none"/>
                    </w:rPr>
                    <w:t>应急检测、防护措施、清楚泄露措施和器材</w:t>
                  </w:r>
                </w:p>
              </w:tc>
              <w:tc>
                <w:tcPr>
                  <w:tcW w:w="3225" w:type="pct"/>
                  <w:tcBorders>
                    <w:tl2br w:val="nil"/>
                    <w:tr2bl w:val="nil"/>
                  </w:tcBorders>
                  <w:vAlign w:val="center"/>
                </w:tcPr>
                <w:p>
                  <w:pPr>
                    <w:spacing w:line="240" w:lineRule="auto"/>
                    <w:jc w:val="center"/>
                    <w:rPr>
                      <w:color w:val="auto"/>
                      <w:highlight w:val="none"/>
                    </w:rPr>
                  </w:pPr>
                  <w:r>
                    <w:rPr>
                      <w:color w:val="auto"/>
                      <w:highlight w:val="none"/>
                    </w:rPr>
                    <w:t>事故现场、临近区域、控制防火措施，控制和清楚污染措施及相应设备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8</w:t>
                  </w:r>
                </w:p>
              </w:tc>
              <w:tc>
                <w:tcPr>
                  <w:tcW w:w="1353" w:type="pct"/>
                  <w:tcBorders>
                    <w:tl2br w:val="nil"/>
                    <w:tr2bl w:val="nil"/>
                  </w:tcBorders>
                  <w:vAlign w:val="center"/>
                </w:tcPr>
                <w:p>
                  <w:pPr>
                    <w:spacing w:line="240" w:lineRule="auto"/>
                    <w:jc w:val="center"/>
                    <w:rPr>
                      <w:color w:val="auto"/>
                      <w:highlight w:val="none"/>
                    </w:rPr>
                  </w:pPr>
                  <w:r>
                    <w:rPr>
                      <w:color w:val="auto"/>
                      <w:highlight w:val="none"/>
                    </w:rPr>
                    <w:t>人员紧急撤离、疏散，应急剂量控制、撤离组织计划</w:t>
                  </w:r>
                </w:p>
              </w:tc>
              <w:tc>
                <w:tcPr>
                  <w:tcW w:w="3225" w:type="pct"/>
                  <w:tcBorders>
                    <w:tl2br w:val="nil"/>
                    <w:tr2bl w:val="nil"/>
                  </w:tcBorders>
                  <w:vAlign w:val="center"/>
                </w:tcPr>
                <w:p>
                  <w:pPr>
                    <w:spacing w:line="240" w:lineRule="auto"/>
                    <w:jc w:val="center"/>
                    <w:rPr>
                      <w:color w:val="auto"/>
                      <w:highlight w:val="none"/>
                    </w:rPr>
                  </w:pPr>
                  <w:r>
                    <w:rPr>
                      <w:color w:val="auto"/>
                      <w:highlight w:val="none"/>
                    </w:rPr>
                    <w:t>事故现场、厂区临近区、受事故影响的区域人员及公众对毒物应急剂量控制规定，撤离组织计划及救护，医疗救护与公众健康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9</w:t>
                  </w:r>
                </w:p>
              </w:tc>
              <w:tc>
                <w:tcPr>
                  <w:tcW w:w="1353" w:type="pct"/>
                  <w:tcBorders>
                    <w:tl2br w:val="nil"/>
                    <w:tr2bl w:val="nil"/>
                  </w:tcBorders>
                  <w:vAlign w:val="center"/>
                </w:tcPr>
                <w:p>
                  <w:pPr>
                    <w:spacing w:line="240" w:lineRule="auto"/>
                    <w:jc w:val="center"/>
                    <w:rPr>
                      <w:color w:val="auto"/>
                      <w:highlight w:val="none"/>
                    </w:rPr>
                  </w:pPr>
                  <w:r>
                    <w:rPr>
                      <w:color w:val="auto"/>
                      <w:highlight w:val="none"/>
                    </w:rPr>
                    <w:t>事故应急救援关闭程序与恢复措施</w:t>
                  </w:r>
                </w:p>
              </w:tc>
              <w:tc>
                <w:tcPr>
                  <w:tcW w:w="3225" w:type="pct"/>
                  <w:tcBorders>
                    <w:tl2br w:val="nil"/>
                    <w:tr2bl w:val="nil"/>
                  </w:tcBorders>
                  <w:vAlign w:val="center"/>
                </w:tcPr>
                <w:p>
                  <w:pPr>
                    <w:spacing w:line="240" w:lineRule="auto"/>
                    <w:jc w:val="center"/>
                    <w:rPr>
                      <w:color w:val="auto"/>
                      <w:highlight w:val="none"/>
                    </w:rPr>
                  </w:pPr>
                  <w:r>
                    <w:rPr>
                      <w:color w:val="auto"/>
                      <w:kern w:val="0"/>
                      <w:highlight w:val="none"/>
                    </w:rPr>
                    <w:t>制定相关应急状态终止程序，事故现场、受影响范围内的善后处理、恢复措施，邻近区域解除事故警戒及善后恢复措施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10</w:t>
                  </w:r>
                </w:p>
              </w:tc>
              <w:tc>
                <w:tcPr>
                  <w:tcW w:w="1353" w:type="pct"/>
                  <w:tcBorders>
                    <w:tl2br w:val="nil"/>
                    <w:tr2bl w:val="nil"/>
                  </w:tcBorders>
                  <w:vAlign w:val="center"/>
                </w:tcPr>
                <w:p>
                  <w:pPr>
                    <w:spacing w:line="240" w:lineRule="auto"/>
                    <w:jc w:val="center"/>
                    <w:rPr>
                      <w:color w:val="auto"/>
                      <w:highlight w:val="none"/>
                    </w:rPr>
                  </w:pPr>
                  <w:r>
                    <w:rPr>
                      <w:color w:val="auto"/>
                      <w:highlight w:val="none"/>
                    </w:rPr>
                    <w:t>应急培训计划</w:t>
                  </w:r>
                </w:p>
              </w:tc>
              <w:tc>
                <w:tcPr>
                  <w:tcW w:w="3225" w:type="pct"/>
                  <w:tcBorders>
                    <w:tl2br w:val="nil"/>
                    <w:tr2bl w:val="nil"/>
                  </w:tcBorders>
                  <w:vAlign w:val="center"/>
                </w:tcPr>
                <w:p>
                  <w:pPr>
                    <w:spacing w:line="240" w:lineRule="auto"/>
                    <w:jc w:val="center"/>
                    <w:rPr>
                      <w:color w:val="auto"/>
                      <w:highlight w:val="none"/>
                    </w:rPr>
                  </w:pPr>
                  <w:r>
                    <w:rPr>
                      <w:color w:val="auto"/>
                      <w:highlight w:val="none"/>
                    </w:rPr>
                    <w:t>定期安排有关人员进行培训与演练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0" w:type="pct"/>
                  <w:tcBorders>
                    <w:tl2br w:val="nil"/>
                    <w:tr2bl w:val="nil"/>
                  </w:tcBorders>
                  <w:vAlign w:val="center"/>
                </w:tcPr>
                <w:p>
                  <w:pPr>
                    <w:spacing w:line="240" w:lineRule="auto"/>
                    <w:jc w:val="center"/>
                    <w:rPr>
                      <w:color w:val="auto"/>
                      <w:highlight w:val="none"/>
                    </w:rPr>
                  </w:pPr>
                  <w:r>
                    <w:rPr>
                      <w:color w:val="auto"/>
                      <w:highlight w:val="none"/>
                    </w:rPr>
                    <w:t>11</w:t>
                  </w:r>
                </w:p>
              </w:tc>
              <w:tc>
                <w:tcPr>
                  <w:tcW w:w="1353" w:type="pct"/>
                  <w:tcBorders>
                    <w:tl2br w:val="nil"/>
                    <w:tr2bl w:val="nil"/>
                  </w:tcBorders>
                  <w:vAlign w:val="center"/>
                </w:tcPr>
                <w:p>
                  <w:pPr>
                    <w:spacing w:line="240" w:lineRule="auto"/>
                    <w:jc w:val="center"/>
                    <w:rPr>
                      <w:color w:val="auto"/>
                      <w:highlight w:val="none"/>
                    </w:rPr>
                  </w:pPr>
                  <w:r>
                    <w:rPr>
                      <w:color w:val="auto"/>
                      <w:highlight w:val="none"/>
                    </w:rPr>
                    <w:t>公众教育和信息</w:t>
                  </w:r>
                </w:p>
              </w:tc>
              <w:tc>
                <w:tcPr>
                  <w:tcW w:w="3225" w:type="pct"/>
                  <w:tcBorders>
                    <w:tl2br w:val="nil"/>
                    <w:tr2bl w:val="nil"/>
                  </w:tcBorders>
                  <w:vAlign w:val="center"/>
                </w:tcPr>
                <w:p>
                  <w:pPr>
                    <w:spacing w:line="240" w:lineRule="auto"/>
                    <w:jc w:val="center"/>
                    <w:rPr>
                      <w:color w:val="auto"/>
                      <w:highlight w:val="none"/>
                    </w:rPr>
                  </w:pPr>
                  <w:r>
                    <w:rPr>
                      <w:color w:val="auto"/>
                      <w:highlight w:val="none"/>
                    </w:rPr>
                    <w:t>对工厂邻近地区开展公众教育、培训和发布有关信息</w:t>
                  </w:r>
                </w:p>
              </w:tc>
            </w:tr>
          </w:tbl>
          <w:p>
            <w:pPr>
              <w:spacing w:line="360" w:lineRule="auto"/>
              <w:rPr>
                <w:rFonts w:hint="default" w:ascii="Times New Roman" w:hAnsi="Times New Roman" w:cs="Times New Roman"/>
              </w:rPr>
            </w:pPr>
            <w:r>
              <w:rPr>
                <w:b/>
                <w:bCs/>
                <w:color w:val="auto"/>
                <w:sz w:val="24"/>
                <w:highlight w:val="none"/>
              </w:rPr>
              <w:t>6.</w:t>
            </w:r>
            <w:r>
              <w:rPr>
                <w:rFonts w:hint="eastAsia"/>
                <w:b/>
                <w:bCs/>
                <w:color w:val="auto"/>
                <w:sz w:val="24"/>
                <w:highlight w:val="none"/>
              </w:rPr>
              <w:t>7</w:t>
            </w:r>
            <w:r>
              <w:rPr>
                <w:b/>
                <w:bCs/>
                <w:color w:val="auto"/>
                <w:sz w:val="24"/>
                <w:highlight w:val="none"/>
              </w:rPr>
              <w:t xml:space="preserve"> 环境风险评价结论</w:t>
            </w:r>
          </w:p>
          <w:p>
            <w:pPr>
              <w:pStyle w:val="76"/>
              <w:spacing w:line="360" w:lineRule="auto"/>
              <w:rPr>
                <w:rFonts w:hint="default" w:ascii="Times New Roman" w:hAnsi="Times New Roman" w:cs="Times New Roman"/>
              </w:rPr>
            </w:pPr>
            <w:r>
              <w:rPr>
                <w:rFonts w:hint="default" w:ascii="Times New Roman" w:hAnsi="Times New Roman" w:cs="Times New Roman"/>
              </w:rPr>
              <w:t>建设单位应定期</w:t>
            </w:r>
            <w:r>
              <w:rPr>
                <w:rFonts w:hint="default" w:ascii="Times New Roman" w:hAnsi="Times New Roman" w:cs="Times New Roman"/>
                <w:lang w:val="en-US" w:eastAsia="zh-CN"/>
              </w:rPr>
              <w:t>巡检生产车间</w:t>
            </w:r>
            <w:r>
              <w:rPr>
                <w:rFonts w:hint="default" w:ascii="Times New Roman" w:hAnsi="Times New Roman" w:cs="Times New Roman"/>
              </w:rPr>
              <w:t>，并完善和强化事故应急预案和对策。在事故发生时组织事故源危害及范围区域内人群的及时安全疏散及事故现场的善后工作，将事故影响范围和程度将至最低。同时建设单位需制定环境风险应急预案并到当地生态环境部门备案，并按照要求执行相关规定。在认真落实工程拟采取的安全措施及评价所提出的安全设施和安全对策后，工程的事故对周围影响是基本可以接受的。</w:t>
            </w:r>
          </w:p>
          <w:p>
            <w:pPr>
              <w:pStyle w:val="75"/>
              <w:spacing w:line="240" w:lineRule="auto"/>
              <w:ind w:firstLine="422" w:firstLineChars="200"/>
              <w:rPr>
                <w:rFonts w:hint="default" w:ascii="Times New Roman" w:hAnsi="Times New Roman" w:cs="Times New Roman"/>
              </w:rPr>
            </w:pPr>
            <w:r>
              <w:rPr>
                <w:rFonts w:hint="default" w:ascii="Times New Roman" w:hAnsi="Times New Roman" w:eastAsia="宋体" w:cs="Times New Roman"/>
                <w:b/>
                <w:bCs/>
                <w:sz w:val="21"/>
                <w:szCs w:val="21"/>
              </w:rPr>
              <w:t>表</w:t>
            </w:r>
            <w:r>
              <w:rPr>
                <w:rFonts w:hint="default" w:ascii="Times New Roman" w:hAnsi="Times New Roman" w:cs="Times New Roman"/>
                <w:sz w:val="21"/>
                <w:szCs w:val="21"/>
              </w:rPr>
              <w:t>4-</w:t>
            </w:r>
            <w:r>
              <w:rPr>
                <w:rFonts w:hint="eastAsia" w:ascii="Times New Roman" w:hAnsi="Times New Roman" w:cs="Times New Roman"/>
                <w:sz w:val="21"/>
                <w:szCs w:val="21"/>
                <w:lang w:val="en-US" w:eastAsia="zh-CN"/>
              </w:rPr>
              <w:t>15</w:t>
            </w:r>
            <w:r>
              <w:rPr>
                <w:rFonts w:hint="default" w:ascii="Times New Roman" w:hAnsi="Times New Roman" w:cs="Times New Roman"/>
              </w:rPr>
              <w:t xml:space="preserve">  </w:t>
            </w:r>
            <w:r>
              <w:rPr>
                <w:rFonts w:hint="default" w:ascii="Times New Roman" w:hAnsi="Times New Roman" w:eastAsia="宋体" w:cs="Times New Roman"/>
                <w:b/>
                <w:bCs/>
                <w:sz w:val="21"/>
                <w:szCs w:val="21"/>
              </w:rPr>
              <w:t>建设项目环境风险简单分析内容表</w:t>
            </w:r>
          </w:p>
          <w:tbl>
            <w:tblPr>
              <w:tblStyle w:val="30"/>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862"/>
              <w:gridCol w:w="3132"/>
              <w:gridCol w:w="269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210" w:type="pct"/>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建设项目名称</w:t>
                  </w:r>
                </w:p>
              </w:tc>
              <w:tc>
                <w:tcPr>
                  <w:tcW w:w="3789" w:type="pct"/>
                  <w:gridSpan w:val="2"/>
                  <w:noWrap w:val="0"/>
                  <w:vAlign w:val="center"/>
                </w:tcPr>
                <w:p>
                  <w:pPr>
                    <w:snapToGrid w:val="0"/>
                    <w:spacing w:line="240" w:lineRule="auto"/>
                    <w:jc w:val="center"/>
                    <w:rPr>
                      <w:rFonts w:hint="default" w:cs="Times New Roman"/>
                      <w:szCs w:val="21"/>
                      <w:lang w:val="en-US" w:eastAsia="zh-CN"/>
                    </w:rPr>
                  </w:pPr>
                  <w:r>
                    <w:rPr>
                      <w:rFonts w:hint="eastAsia" w:cs="Times New Roman"/>
                      <w:szCs w:val="21"/>
                      <w:lang w:val="en-US" w:eastAsia="zh-CN"/>
                    </w:rPr>
                    <w:t>新疆康源新材料有限公司腐植酸盐有机肥生产项目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210" w:type="pct"/>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建设地点</w:t>
                  </w:r>
                </w:p>
              </w:tc>
              <w:tc>
                <w:tcPr>
                  <w:tcW w:w="6021" w:type="dxa"/>
                  <w:gridSpan w:val="2"/>
                  <w:noWrap w:val="0"/>
                  <w:vAlign w:val="center"/>
                </w:tcPr>
                <w:p>
                  <w:pPr>
                    <w:snapToGrid w:val="0"/>
                    <w:spacing w:line="240" w:lineRule="auto"/>
                    <w:jc w:val="center"/>
                    <w:rPr>
                      <w:rFonts w:hint="default" w:cs="Times New Roman"/>
                      <w:szCs w:val="21"/>
                      <w:lang w:val="en-US" w:eastAsia="zh-CN"/>
                    </w:rPr>
                  </w:pPr>
                  <w:r>
                    <w:rPr>
                      <w:rFonts w:hint="eastAsia" w:cs="Times New Roman"/>
                      <w:szCs w:val="21"/>
                      <w:lang w:val="en-US" w:eastAsia="zh-CN"/>
                    </w:rPr>
                    <w:t>新疆维吾尔自治区奇台县喇嘛湖梁工业园安宁路与兴和路交汇处</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210" w:type="pct"/>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地理坐标</w:t>
                  </w:r>
                </w:p>
              </w:tc>
              <w:tc>
                <w:tcPr>
                  <w:tcW w:w="3234" w:type="dxa"/>
                  <w:noWrap w:val="0"/>
                  <w:vAlign w:val="center"/>
                </w:tcPr>
                <w:p>
                  <w:pPr>
                    <w:snapToGrid w:val="0"/>
                    <w:spacing w:line="240" w:lineRule="auto"/>
                    <w:jc w:val="center"/>
                    <w:rPr>
                      <w:rFonts w:hint="default" w:cs="Times New Roman"/>
                      <w:szCs w:val="21"/>
                      <w:lang w:val="en-US" w:eastAsia="zh-CN"/>
                    </w:rPr>
                  </w:pPr>
                  <w:r>
                    <w:rPr>
                      <w:rFonts w:hint="default" w:cs="Times New Roman"/>
                      <w:szCs w:val="21"/>
                      <w:lang w:val="en-US" w:eastAsia="zh-CN"/>
                    </w:rPr>
                    <w:t>经度：89°39</w:t>
                  </w:r>
                  <w:r>
                    <w:rPr>
                      <w:rFonts w:hint="eastAsia" w:cs="Times New Roman"/>
                      <w:szCs w:val="21"/>
                      <w:lang w:val="en-US" w:eastAsia="zh-CN"/>
                    </w:rPr>
                    <w:t>´</w:t>
                  </w:r>
                  <w:r>
                    <w:rPr>
                      <w:rFonts w:hint="default" w:cs="Times New Roman"/>
                      <w:szCs w:val="21"/>
                      <w:lang w:val="en-US" w:eastAsia="zh-CN"/>
                    </w:rPr>
                    <w:t>10.21</w:t>
                  </w:r>
                  <w:r>
                    <w:rPr>
                      <w:rFonts w:hint="eastAsia" w:cs="Times New Roman"/>
                      <w:szCs w:val="21"/>
                      <w:lang w:val="en-US" w:eastAsia="zh-CN"/>
                    </w:rPr>
                    <w:t>1</w:t>
                  </w:r>
                  <w:r>
                    <w:rPr>
                      <w:rFonts w:hint="default" w:cs="Times New Roman"/>
                      <w:szCs w:val="21"/>
                      <w:lang w:val="en-US" w:eastAsia="zh-CN"/>
                    </w:rPr>
                    <w:t>"</w:t>
                  </w:r>
                </w:p>
              </w:tc>
              <w:tc>
                <w:tcPr>
                  <w:tcW w:w="2787" w:type="dxa"/>
                  <w:noWrap w:val="0"/>
                  <w:vAlign w:val="center"/>
                </w:tcPr>
                <w:p>
                  <w:pPr>
                    <w:snapToGrid w:val="0"/>
                    <w:spacing w:line="240" w:lineRule="auto"/>
                    <w:jc w:val="center"/>
                    <w:rPr>
                      <w:rFonts w:hint="default" w:cs="Times New Roman"/>
                      <w:szCs w:val="21"/>
                      <w:lang w:val="en-US" w:eastAsia="zh-CN"/>
                    </w:rPr>
                  </w:pPr>
                  <w:r>
                    <w:rPr>
                      <w:rFonts w:hint="default" w:cs="Times New Roman"/>
                      <w:szCs w:val="21"/>
                      <w:lang w:val="en-US" w:eastAsia="zh-CN"/>
                    </w:rPr>
                    <w:t>纬度：</w:t>
                  </w:r>
                  <w:r>
                    <w:rPr>
                      <w:rFonts w:hint="eastAsia" w:cs="Times New Roman"/>
                      <w:szCs w:val="21"/>
                      <w:lang w:val="en-US" w:eastAsia="zh-CN"/>
                    </w:rPr>
                    <w:t>44</w:t>
                  </w:r>
                  <w:r>
                    <w:rPr>
                      <w:rFonts w:hint="default" w:cs="Times New Roman"/>
                      <w:szCs w:val="21"/>
                      <w:lang w:val="en-US" w:eastAsia="zh-CN"/>
                    </w:rPr>
                    <w:t>°</w:t>
                  </w:r>
                  <w:r>
                    <w:rPr>
                      <w:rFonts w:hint="eastAsia" w:cs="Times New Roman"/>
                      <w:szCs w:val="21"/>
                      <w:lang w:val="en-US" w:eastAsia="zh-CN"/>
                    </w:rPr>
                    <w:t>03´56.253"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210" w:type="pct"/>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主要危险物质及分布</w:t>
                  </w:r>
                </w:p>
              </w:tc>
              <w:tc>
                <w:tcPr>
                  <w:tcW w:w="3789" w:type="pct"/>
                  <w:gridSpan w:val="2"/>
                  <w:noWrap w:val="0"/>
                  <w:vAlign w:val="center"/>
                </w:tcPr>
                <w:p>
                  <w:pPr>
                    <w:snapToGrid w:val="0"/>
                    <w:spacing w:line="240" w:lineRule="auto"/>
                    <w:jc w:val="center"/>
                    <w:rPr>
                      <w:rFonts w:hint="default" w:ascii="Times New Roman" w:hAnsi="Times New Roman" w:eastAsia="宋体" w:cs="Times New Roman"/>
                      <w:szCs w:val="21"/>
                      <w:lang w:val="en-US" w:eastAsia="zh-CN"/>
                    </w:rPr>
                  </w:pPr>
                  <w:r>
                    <w:rPr>
                      <w:rFonts w:hint="eastAsia" w:cs="Times New Roman"/>
                      <w:szCs w:val="21"/>
                      <w:lang w:val="en-US" w:eastAsia="zh-CN"/>
                    </w:rPr>
                    <w:t>所涉及的主要危险废物</w:t>
                  </w:r>
                  <w:r>
                    <w:rPr>
                      <w:rFonts w:hint="eastAsia" w:cs="Times New Roman"/>
                      <w:szCs w:val="21"/>
                      <w:highlight w:val="none"/>
                      <w:lang w:val="en-US" w:eastAsia="zh-CN"/>
                    </w:rPr>
                    <w:t>是废机油，</w:t>
                  </w:r>
                  <w:r>
                    <w:rPr>
                      <w:rFonts w:hint="eastAsia" w:cs="Times New Roman"/>
                      <w:szCs w:val="21"/>
                      <w:lang w:val="en-US" w:eastAsia="zh-CN"/>
                    </w:rPr>
                    <w:t>位于危废暂存间；固体氢氧化钠、固体氢氧化钾，位于危化品库。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210" w:type="pct"/>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环境影响途径及危害后果（大气、地表水、地下水等）</w:t>
                  </w:r>
                </w:p>
              </w:tc>
              <w:tc>
                <w:tcPr>
                  <w:tcW w:w="3789" w:type="pct"/>
                  <w:gridSpan w:val="2"/>
                  <w:noWrap w:val="0"/>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本项目可能发生的事故包括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①</w:t>
                  </w:r>
                  <w:r>
                    <w:rPr>
                      <w:rFonts w:hint="eastAsia" w:ascii="宋体" w:hAnsi="宋体" w:cs="宋体"/>
                      <w:color w:val="000000"/>
                      <w:kern w:val="0"/>
                      <w:sz w:val="21"/>
                      <w:szCs w:val="21"/>
                      <w:lang w:val="en-US" w:eastAsia="zh-CN" w:bidi="ar"/>
                    </w:rPr>
                    <w:t>废机油</w:t>
                  </w:r>
                  <w:r>
                    <w:rPr>
                      <w:rFonts w:hint="eastAsia" w:ascii="宋体" w:hAnsi="宋体" w:eastAsia="宋体" w:cs="宋体"/>
                      <w:color w:val="000000"/>
                      <w:kern w:val="0"/>
                      <w:sz w:val="21"/>
                      <w:szCs w:val="21"/>
                      <w:lang w:val="en-US" w:eastAsia="zh-CN" w:bidi="ar"/>
                    </w:rPr>
                    <w:t xml:space="preserve">泄漏，引起火灾、爆炸风险事故；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②废气处理设施故障，造成周围环境影响； </w:t>
                  </w:r>
                </w:p>
                <w:p>
                  <w:pPr>
                    <w:keepNext w:val="0"/>
                    <w:keepLines w:val="0"/>
                    <w:widowControl/>
                    <w:suppressLineNumbers w:val="0"/>
                    <w:jc w:val="left"/>
                    <w:rPr>
                      <w:rFonts w:hint="default" w:ascii="Times New Roman" w:hAnsi="Times New Roman" w:cs="Times New Roman"/>
                      <w:szCs w:val="21"/>
                    </w:rPr>
                  </w:pPr>
                  <w:r>
                    <w:rPr>
                      <w:rFonts w:hint="eastAsia" w:ascii="宋体" w:hAnsi="宋体" w:eastAsia="宋体" w:cs="宋体"/>
                      <w:color w:val="000000"/>
                      <w:kern w:val="0"/>
                      <w:sz w:val="21"/>
                      <w:szCs w:val="21"/>
                      <w:lang w:val="en-US" w:eastAsia="zh-CN" w:bidi="ar"/>
                    </w:rPr>
                    <w:t>③</w:t>
                  </w:r>
                  <w:r>
                    <w:rPr>
                      <w:rFonts w:hint="eastAsia" w:ascii="宋体" w:hAnsi="宋体" w:cs="宋体"/>
                      <w:color w:val="000000"/>
                      <w:kern w:val="0"/>
                      <w:sz w:val="21"/>
                      <w:szCs w:val="21"/>
                      <w:lang w:val="en-US" w:eastAsia="zh-CN" w:bidi="ar"/>
                    </w:rPr>
                    <w:t>危化品</w:t>
                  </w:r>
                  <w:r>
                    <w:rPr>
                      <w:rFonts w:hint="eastAsia" w:ascii="宋体" w:hAnsi="宋体" w:eastAsia="宋体" w:cs="宋体"/>
                      <w:color w:val="000000"/>
                      <w:kern w:val="0"/>
                      <w:sz w:val="21"/>
                      <w:szCs w:val="21"/>
                      <w:lang w:val="en-US" w:eastAsia="zh-CN" w:bidi="ar"/>
                    </w:rPr>
                    <w:t>泄露造成环境污染。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210" w:type="pct"/>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风险防范措施要求</w:t>
                  </w:r>
                </w:p>
              </w:tc>
              <w:tc>
                <w:tcPr>
                  <w:tcW w:w="3789" w:type="pct"/>
                  <w:gridSpan w:val="2"/>
                  <w:noWrap w:val="0"/>
                  <w:vAlign w:val="center"/>
                </w:tcPr>
                <w:p>
                  <w:pPr>
                    <w:keepNext w:val="0"/>
                    <w:keepLines w:val="0"/>
                    <w:widowControl/>
                    <w:suppressLineNumbers w:val="0"/>
                    <w:jc w:val="left"/>
                    <w:rPr>
                      <w:rFonts w:hint="default" w:ascii="Times New Roman" w:hAnsi="Times New Roman" w:cs="Times New Roman"/>
                      <w:szCs w:val="21"/>
                    </w:rPr>
                  </w:pPr>
                  <w:r>
                    <w:rPr>
                      <w:rFonts w:hint="eastAsia" w:ascii="宋体" w:hAnsi="宋体" w:eastAsia="宋体" w:cs="宋体"/>
                      <w:color w:val="000000"/>
                      <w:kern w:val="0"/>
                      <w:sz w:val="20"/>
                      <w:szCs w:val="20"/>
                      <w:lang w:val="en-US" w:eastAsia="zh-CN" w:bidi="ar"/>
                    </w:rPr>
                    <w:t>设置消火栓、灭火器；建筑物构筑物之间的距离设计合理的防火间距；设备的安全管理；控制物料输运流程；各生产区保证一定的距离，设有隔离带，设双重管理。生产车间的布局和建筑设计符合相关要求，并在生产车间设置消防系统，达到消防部门要求；生产车间内严格管控明火的使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210" w:type="pct"/>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填表说明（列出项目相关信息及评价说明）</w:t>
                  </w:r>
                </w:p>
              </w:tc>
              <w:tc>
                <w:tcPr>
                  <w:tcW w:w="3789" w:type="pct"/>
                  <w:gridSpan w:val="2"/>
                  <w:noWrap w:val="0"/>
                  <w:vAlign w:val="center"/>
                </w:tcPr>
                <w:p>
                  <w:pPr>
                    <w:snapToGrid w:val="0"/>
                    <w:spacing w:line="240" w:lineRule="auto"/>
                    <w:rPr>
                      <w:rFonts w:hint="default" w:ascii="Times New Roman" w:hAnsi="Times New Roman" w:cs="Times New Roman"/>
                      <w:szCs w:val="21"/>
                    </w:rPr>
                  </w:pPr>
                  <w:r>
                    <w:rPr>
                      <w:rFonts w:hint="eastAsia" w:cs="Times New Roman"/>
                      <w:szCs w:val="21"/>
                      <w:lang w:val="en-US" w:eastAsia="zh-CN"/>
                    </w:rPr>
                    <w:t>根据</w:t>
                  </w:r>
                  <w:r>
                    <w:rPr>
                      <w:rFonts w:hint="default" w:ascii="Times New Roman" w:hAnsi="Times New Roman" w:cs="Times New Roman"/>
                      <w:szCs w:val="21"/>
                    </w:rPr>
                    <w:t>《建设项目环境风险评价技术导则》（HJ169-2018）表1，可知项目环境风险评价工作等级为简单分析</w:t>
                  </w:r>
                </w:p>
              </w:tc>
            </w:tr>
          </w:tbl>
          <w:p>
            <w:pPr>
              <w:bidi w:val="0"/>
              <w:spacing w:line="360" w:lineRule="auto"/>
              <w:rPr>
                <w:b/>
                <w:bCs/>
                <w:sz w:val="24"/>
                <w:szCs w:val="32"/>
              </w:rPr>
            </w:pPr>
            <w:r>
              <w:rPr>
                <w:b/>
                <w:bCs/>
                <w:sz w:val="24"/>
                <w:szCs w:val="32"/>
              </w:rPr>
              <w:t>7 环境管理及监测</w:t>
            </w:r>
          </w:p>
          <w:p>
            <w:pPr>
              <w:spacing w:line="360" w:lineRule="auto"/>
              <w:rPr>
                <w:b/>
                <w:bCs/>
                <w:color w:val="auto"/>
                <w:sz w:val="24"/>
                <w:highlight w:val="none"/>
              </w:rPr>
            </w:pPr>
            <w:r>
              <w:rPr>
                <w:b/>
                <w:bCs/>
                <w:color w:val="auto"/>
                <w:sz w:val="24"/>
                <w:highlight w:val="none"/>
              </w:rPr>
              <w:t>7.1 环境管理</w:t>
            </w:r>
          </w:p>
          <w:p>
            <w:pPr>
              <w:spacing w:line="360" w:lineRule="auto"/>
              <w:ind w:firstLine="480" w:firstLineChars="200"/>
              <w:rPr>
                <w:color w:val="auto"/>
                <w:sz w:val="24"/>
                <w:highlight w:val="none"/>
              </w:rPr>
            </w:pPr>
            <w:r>
              <w:rPr>
                <w:color w:val="auto"/>
                <w:sz w:val="24"/>
                <w:highlight w:val="none"/>
              </w:rPr>
              <w:t>环境管理就是指工程在施工期、营运期时全面执行和遵守国家、省、市有关环境保护法律、法规、政策和标准，接受地方环境保护主管部门的环境监督，调整和制定环境保护规划和目标，力争把不利影响减小到最低，加强项目环境管理，协调解决实现目标过程中的具体问题，及时调整工程运行方式和环境保护措施，以取得更好的综合环境效益，最终达到保护环境的目的。建设项目环境管理是工程管理的重要组成部分，是工程环境保护工作能够有效实施的关键。根据本项目的污染物排放特征，其产生的废气及固体废物存在一定的污染隐患。一旦管理不善将可能出现污染事故，从而影响周围环境。因此，运营期的环境管理十分重要，运营期应做好以下工作：</w:t>
            </w:r>
          </w:p>
          <w:p>
            <w:pPr>
              <w:spacing w:line="360" w:lineRule="auto"/>
              <w:ind w:firstLine="480" w:firstLineChars="200"/>
              <w:rPr>
                <w:color w:val="auto"/>
                <w:sz w:val="24"/>
                <w:highlight w:val="none"/>
              </w:rPr>
            </w:pPr>
            <w:r>
              <w:rPr>
                <w:color w:val="auto"/>
                <w:sz w:val="24"/>
                <w:highlight w:val="none"/>
              </w:rPr>
              <w:t>（1）制定污染治理操作规程，记录污染治理设施运行及检修情况，确保治理设施常年正常运行。</w:t>
            </w:r>
          </w:p>
          <w:p>
            <w:pPr>
              <w:spacing w:line="360" w:lineRule="auto"/>
              <w:ind w:firstLine="480" w:firstLineChars="200"/>
              <w:rPr>
                <w:color w:val="auto"/>
                <w:sz w:val="24"/>
                <w:highlight w:val="none"/>
              </w:rPr>
            </w:pPr>
            <w:r>
              <w:rPr>
                <w:color w:val="auto"/>
                <w:sz w:val="24"/>
                <w:highlight w:val="none"/>
              </w:rPr>
              <w:t>（2）安全环保科除执行各项有关环境保护工作的指令外，还应接受当地环境保护局的监督检查，组织环保监测及统计工作，配合上级部门对本企业环保项目进行检查验收，定期与不定期地上报各项管理工作的执行情况以及各项有关环境参数、污染源排放指标，建立污染源及厂区周围环境质量监测数据档案，定期编写环保简报，制定全厂环保年度计划和长远规划，为区域整体环境控制服务。</w:t>
            </w:r>
          </w:p>
          <w:p>
            <w:pPr>
              <w:spacing w:line="360" w:lineRule="auto"/>
              <w:ind w:firstLine="480" w:firstLineChars="200"/>
              <w:rPr>
                <w:color w:val="auto"/>
                <w:sz w:val="24"/>
                <w:highlight w:val="none"/>
              </w:rPr>
            </w:pPr>
            <w:r>
              <w:rPr>
                <w:color w:val="auto"/>
                <w:sz w:val="24"/>
                <w:highlight w:val="none"/>
              </w:rPr>
              <w:t xml:space="preserve">（3）确保污染治理措施执行“三同时”，检查、监督全厂环保设施的正常高效运行，使各项治理设施达到设计要求。 </w:t>
            </w:r>
          </w:p>
          <w:p>
            <w:pPr>
              <w:spacing w:line="360" w:lineRule="auto"/>
              <w:ind w:firstLine="480" w:firstLineChars="200"/>
              <w:rPr>
                <w:color w:val="auto"/>
                <w:sz w:val="24"/>
                <w:highlight w:val="none"/>
              </w:rPr>
            </w:pPr>
            <w:r>
              <w:rPr>
                <w:color w:val="auto"/>
                <w:sz w:val="24"/>
                <w:highlight w:val="none"/>
              </w:rPr>
              <w:t>（4）控制场内运输过程中粉尘无组织排放。运输产生粉尘的物料，其车辆应采取密闭、苫盖等措施。厂区道路应硬化，并采取洒水、喷雾等降尘措施。</w:t>
            </w:r>
          </w:p>
          <w:p>
            <w:pPr>
              <w:spacing w:line="360" w:lineRule="auto"/>
              <w:ind w:firstLine="480" w:firstLineChars="200"/>
              <w:rPr>
                <w:color w:val="auto"/>
                <w:sz w:val="24"/>
                <w:highlight w:val="none"/>
              </w:rPr>
            </w:pPr>
            <w:r>
              <w:rPr>
                <w:color w:val="auto"/>
                <w:sz w:val="24"/>
                <w:highlight w:val="none"/>
              </w:rPr>
              <w:t>（5）污染防治设施应在满足设计工况的条件下运行，并根据工艺要求，定期对设备、电气、自控仪表及构筑物进行检查维护，确保污染防治设施可靠运行。</w:t>
            </w:r>
          </w:p>
          <w:p>
            <w:pPr>
              <w:spacing w:line="360" w:lineRule="auto"/>
              <w:ind w:firstLine="480" w:firstLineChars="200"/>
              <w:rPr>
                <w:color w:val="auto"/>
                <w:sz w:val="24"/>
                <w:highlight w:val="none"/>
              </w:rPr>
            </w:pPr>
            <w:r>
              <w:rPr>
                <w:color w:val="auto"/>
                <w:sz w:val="24"/>
                <w:highlight w:val="none"/>
              </w:rPr>
              <w:t>（6）加强环保知识宣传教育，提高职工环境意识，把环境意识贯彻到</w:t>
            </w:r>
            <w:r>
              <w:rPr>
                <w:color w:val="auto"/>
                <w:spacing w:val="-6"/>
                <w:sz w:val="24"/>
                <w:highlight w:val="none"/>
              </w:rPr>
              <w:t>企业各车间班组及每个职工的日常生产、生活中；推广治理方面的先进技术。</w:t>
            </w:r>
          </w:p>
          <w:p>
            <w:pPr>
              <w:spacing w:line="360" w:lineRule="auto"/>
              <w:ind w:firstLine="480" w:firstLineChars="200"/>
              <w:rPr>
                <w:color w:val="auto"/>
                <w:sz w:val="24"/>
                <w:highlight w:val="none"/>
              </w:rPr>
            </w:pPr>
            <w:r>
              <w:rPr>
                <w:color w:val="auto"/>
                <w:sz w:val="24"/>
                <w:highlight w:val="none"/>
              </w:rPr>
              <w:t>（7）组织制定环境保护管理的规章制度并监督执行；制定并组织实施各项环境保护的规划和计划；贯彻执行环境保护法规和标准。</w:t>
            </w:r>
          </w:p>
          <w:p>
            <w:pPr>
              <w:spacing w:line="360" w:lineRule="auto"/>
              <w:ind w:firstLine="480" w:firstLineChars="200"/>
              <w:rPr>
                <w:color w:val="auto"/>
                <w:sz w:val="24"/>
                <w:highlight w:val="none"/>
              </w:rPr>
            </w:pPr>
            <w:r>
              <w:rPr>
                <w:color w:val="auto"/>
                <w:sz w:val="24"/>
                <w:highlight w:val="none"/>
              </w:rPr>
              <w:t>（8）项目建成后及时进行环保验收并申请排污许可证。</w:t>
            </w:r>
            <w:r>
              <w:rPr>
                <w:rFonts w:hint="default"/>
                <w:color w:val="auto"/>
                <w:sz w:val="24"/>
                <w:highlight w:val="none"/>
              </w:rPr>
              <w:t>排污单位在申请排污许可证时，应按</w:t>
            </w:r>
            <w:r>
              <w:rPr>
                <w:rFonts w:hint="eastAsia"/>
                <w:color w:val="auto"/>
                <w:sz w:val="24"/>
                <w:highlight w:val="none"/>
                <w:lang w:eastAsia="zh-CN"/>
              </w:rPr>
              <w:t>《排污许可证申请与核发技术规范 橡胶和塑料制品》（HJ 1122-2020）</w:t>
            </w:r>
            <w:r>
              <w:rPr>
                <w:rFonts w:hint="eastAsia"/>
                <w:color w:val="auto"/>
                <w:sz w:val="24"/>
                <w:highlight w:val="none"/>
                <w:lang w:val="en-US" w:eastAsia="zh-CN"/>
              </w:rPr>
              <w:t>相关</w:t>
            </w:r>
            <w:r>
              <w:rPr>
                <w:rFonts w:hint="default"/>
                <w:color w:val="auto"/>
                <w:sz w:val="24"/>
                <w:highlight w:val="none"/>
              </w:rPr>
              <w:t>标准规定，在全国排污许可证管理信息平台中明确环境管理台账记录要求。建立环境管理台账制度，落实环境管理台账记录的责任单位和责任人，明确工作职责，包括台账的记录、整理、维护和管理等，台账记录频次和内容须满足排污许可证环境管理要求，并对台账记录结果的真实性、完整性和规范性负责。</w:t>
            </w:r>
          </w:p>
          <w:p>
            <w:pPr>
              <w:spacing w:line="360" w:lineRule="auto"/>
              <w:rPr>
                <w:rFonts w:hint="default" w:eastAsia="宋体"/>
                <w:b/>
                <w:bCs/>
                <w:color w:val="auto"/>
                <w:sz w:val="24"/>
                <w:highlight w:val="none"/>
                <w:lang w:val="en-US" w:eastAsia="zh-CN"/>
              </w:rPr>
            </w:pPr>
            <w:r>
              <w:rPr>
                <w:b/>
                <w:bCs/>
                <w:color w:val="auto"/>
                <w:sz w:val="24"/>
                <w:highlight w:val="none"/>
              </w:rPr>
              <w:t xml:space="preserve">7.2 </w:t>
            </w:r>
            <w:r>
              <w:rPr>
                <w:rFonts w:hint="eastAsia"/>
                <w:b/>
                <w:bCs/>
                <w:color w:val="auto"/>
                <w:sz w:val="24"/>
                <w:highlight w:val="none"/>
                <w:lang w:val="en-US" w:eastAsia="zh-CN"/>
              </w:rPr>
              <w:t>危险废物环境管理计划</w:t>
            </w:r>
          </w:p>
          <w:p>
            <w:pPr>
              <w:spacing w:line="360" w:lineRule="auto"/>
              <w:ind w:firstLine="480" w:firstLineChars="200"/>
              <w:rPr>
                <w:rFonts w:hint="eastAsia"/>
                <w:color w:val="auto"/>
                <w:sz w:val="24"/>
                <w:highlight w:val="none"/>
              </w:rPr>
            </w:pPr>
            <w:r>
              <w:rPr>
                <w:rFonts w:hint="eastAsia"/>
                <w:color w:val="auto"/>
                <w:sz w:val="24"/>
                <w:highlight w:val="none"/>
              </w:rPr>
              <w:t>（1）危险废物产生</w:t>
            </w:r>
          </w:p>
          <w:p>
            <w:pPr>
              <w:spacing w:line="360" w:lineRule="auto"/>
              <w:ind w:firstLine="480" w:firstLineChars="200"/>
              <w:rPr>
                <w:rFonts w:hint="eastAsia"/>
                <w:color w:val="auto"/>
                <w:sz w:val="24"/>
                <w:highlight w:val="none"/>
              </w:rPr>
            </w:pPr>
            <w:r>
              <w:rPr>
                <w:rFonts w:hint="eastAsia"/>
                <w:color w:val="auto"/>
                <w:sz w:val="24"/>
                <w:highlight w:val="none"/>
              </w:rPr>
              <w:t>危险废物产生情况应按《危险废物管理计划和管理台账制定技术导则》（HJ1259-2022）附录A.3填写，填写应满足以下要求。</w:t>
            </w:r>
          </w:p>
          <w:p>
            <w:pPr>
              <w:spacing w:line="360" w:lineRule="auto"/>
              <w:ind w:firstLine="480" w:firstLineChars="200"/>
              <w:rPr>
                <w:rFonts w:hint="eastAsia"/>
                <w:color w:val="auto"/>
                <w:sz w:val="24"/>
                <w:highlight w:val="none"/>
              </w:rPr>
            </w:pPr>
            <w:r>
              <w:rPr>
                <w:rFonts w:hint="eastAsia"/>
                <w:color w:val="auto"/>
                <w:sz w:val="24"/>
                <w:highlight w:val="none"/>
              </w:rPr>
              <w:t>①危险废物名称、类别、代码和危险特性：依据《国家危险废物名录》或根据GB 5085.1~7和HJ 298判定并填写。有行业俗称或单位内部名称的，同时填写行业俗称或单位内部名称。</w:t>
            </w:r>
          </w:p>
          <w:p>
            <w:pPr>
              <w:spacing w:line="360" w:lineRule="auto"/>
              <w:ind w:firstLine="480" w:firstLineChars="200"/>
              <w:rPr>
                <w:rFonts w:hint="eastAsia"/>
                <w:color w:val="auto"/>
                <w:sz w:val="24"/>
                <w:highlight w:val="none"/>
              </w:rPr>
            </w:pPr>
            <w:r>
              <w:rPr>
                <w:rFonts w:hint="eastAsia"/>
                <w:color w:val="auto"/>
                <w:sz w:val="24"/>
                <w:highlight w:val="none"/>
              </w:rPr>
              <w:t>②有害成分名称：危险废物中对环境有害的主要污染物名称，如苯系物、氰化物、砷等。</w:t>
            </w:r>
          </w:p>
          <w:p>
            <w:pPr>
              <w:spacing w:line="360" w:lineRule="auto"/>
              <w:ind w:firstLine="480" w:firstLineChars="200"/>
              <w:rPr>
                <w:rFonts w:hint="eastAsia"/>
                <w:color w:val="auto"/>
                <w:sz w:val="24"/>
                <w:highlight w:val="none"/>
              </w:rPr>
            </w:pPr>
            <w:r>
              <w:rPr>
                <w:rFonts w:hint="eastAsia"/>
                <w:color w:val="auto"/>
                <w:sz w:val="24"/>
                <w:highlight w:val="none"/>
              </w:rPr>
              <w:t>③产生危险废物设施名称和编码：依据排污许可证副本中载明的编码。若无编码，则根据HJ 608进行编码并填写生产设施名称、生产设施编码，可由国家危险废物信息管理系统自动生成。</w:t>
            </w:r>
          </w:p>
          <w:p>
            <w:pPr>
              <w:spacing w:line="360" w:lineRule="auto"/>
              <w:ind w:firstLine="480" w:firstLineChars="200"/>
              <w:rPr>
                <w:rFonts w:hint="eastAsia"/>
                <w:color w:val="auto"/>
                <w:sz w:val="24"/>
                <w:highlight w:val="none"/>
              </w:rPr>
            </w:pPr>
            <w:r>
              <w:rPr>
                <w:rFonts w:hint="eastAsia"/>
                <w:color w:val="auto"/>
                <w:sz w:val="24"/>
                <w:highlight w:val="none"/>
              </w:rPr>
              <w:t>④本年度预计产生量：本年度预计产生的危险废物量。</w:t>
            </w:r>
          </w:p>
          <w:p>
            <w:pPr>
              <w:spacing w:line="360" w:lineRule="auto"/>
              <w:ind w:firstLine="480" w:firstLineChars="200"/>
              <w:rPr>
                <w:rFonts w:hint="eastAsia"/>
                <w:color w:val="auto"/>
                <w:sz w:val="24"/>
                <w:highlight w:val="none"/>
              </w:rPr>
            </w:pPr>
            <w:r>
              <w:rPr>
                <w:rFonts w:hint="eastAsia"/>
                <w:color w:val="auto"/>
                <w:sz w:val="24"/>
                <w:highlight w:val="none"/>
              </w:rPr>
              <w:t>⑤计量单位：填写吨。以升、立方米等体积计量的，应折算成重量吨；以个数作为计量单位的，除填写个数外，还应折算成重量吨。</w:t>
            </w:r>
          </w:p>
          <w:p>
            <w:pPr>
              <w:spacing w:line="360" w:lineRule="auto"/>
              <w:ind w:firstLine="480" w:firstLineChars="200"/>
              <w:rPr>
                <w:rFonts w:hint="eastAsia"/>
                <w:color w:val="auto"/>
                <w:sz w:val="24"/>
                <w:highlight w:val="none"/>
              </w:rPr>
            </w:pPr>
            <w:r>
              <w:rPr>
                <w:rFonts w:hint="eastAsia"/>
                <w:color w:val="auto"/>
                <w:sz w:val="24"/>
                <w:highlight w:val="none"/>
              </w:rPr>
              <w:t>⑥内部治理方式及去向：自行利用设施编码、自行处置设施编码和贮存设施编码依据本标准第</w:t>
            </w:r>
          </w:p>
          <w:p>
            <w:pPr>
              <w:spacing w:line="360" w:lineRule="auto"/>
              <w:ind w:firstLine="480" w:firstLineChars="200"/>
              <w:rPr>
                <w:rFonts w:hint="eastAsia"/>
                <w:color w:val="auto"/>
                <w:sz w:val="24"/>
                <w:highlight w:val="none"/>
              </w:rPr>
            </w:pPr>
            <w:r>
              <w:rPr>
                <w:rFonts w:hint="eastAsia"/>
                <w:color w:val="auto"/>
                <w:sz w:val="24"/>
                <w:highlight w:val="none"/>
              </w:rPr>
              <w:t>⑦部分填写的污染防治设施编码填写，可由国家危险废物信息管理系统自动生成。</w:t>
            </w:r>
          </w:p>
          <w:p>
            <w:pPr>
              <w:spacing w:line="360" w:lineRule="auto"/>
              <w:ind w:firstLine="480" w:firstLineChars="200"/>
              <w:rPr>
                <w:rFonts w:hint="eastAsia"/>
                <w:color w:val="auto"/>
                <w:sz w:val="24"/>
                <w:highlight w:val="none"/>
              </w:rPr>
            </w:pPr>
            <w:r>
              <w:rPr>
                <w:rFonts w:hint="eastAsia"/>
                <w:color w:val="auto"/>
                <w:sz w:val="24"/>
                <w:highlight w:val="none"/>
              </w:rPr>
              <w:t>（2）危险废物贮存</w:t>
            </w:r>
          </w:p>
          <w:p>
            <w:pPr>
              <w:spacing w:line="360" w:lineRule="auto"/>
              <w:ind w:firstLine="480" w:firstLineChars="200"/>
              <w:rPr>
                <w:rFonts w:hint="eastAsia"/>
                <w:color w:val="auto"/>
                <w:sz w:val="24"/>
                <w:highlight w:val="none"/>
              </w:rPr>
            </w:pPr>
            <w:r>
              <w:rPr>
                <w:rFonts w:hint="eastAsia"/>
                <w:color w:val="auto"/>
                <w:sz w:val="24"/>
                <w:highlight w:val="none"/>
              </w:rPr>
              <w:t>危险废物贮存情况应按《危险废物管理计划和管理台账制定技术导则》（HJ1259-2022）附录A.4填写，填写应满足以下要求。</w:t>
            </w:r>
          </w:p>
          <w:p>
            <w:pPr>
              <w:spacing w:line="360" w:lineRule="auto"/>
              <w:ind w:firstLine="480" w:firstLineChars="200"/>
              <w:rPr>
                <w:rFonts w:hint="eastAsia"/>
                <w:color w:val="auto"/>
                <w:sz w:val="24"/>
                <w:highlight w:val="none"/>
              </w:rPr>
            </w:pPr>
            <w:r>
              <w:rPr>
                <w:rFonts w:hint="eastAsia"/>
                <w:color w:val="auto"/>
                <w:sz w:val="24"/>
                <w:highlight w:val="none"/>
              </w:rPr>
              <w:t>①危险废物名称、类别、代码、有害成分名称、形态、危险特性的相关信息填写，可由国家危险废物信息管理系统自动生成。</w:t>
            </w:r>
          </w:p>
          <w:p>
            <w:pPr>
              <w:spacing w:line="360" w:lineRule="auto"/>
              <w:ind w:firstLine="480" w:firstLineChars="200"/>
              <w:rPr>
                <w:rFonts w:hint="eastAsia"/>
                <w:color w:val="auto"/>
                <w:sz w:val="24"/>
                <w:highlight w:val="none"/>
              </w:rPr>
            </w:pPr>
            <w:r>
              <w:rPr>
                <w:rFonts w:hint="eastAsia"/>
                <w:color w:val="auto"/>
                <w:sz w:val="24"/>
                <w:highlight w:val="none"/>
              </w:rPr>
              <w:t>②贮存设施编码：依据排污许可证副本中载明的编码。若无编码，则根据HJ 608进行编码并填写生产设施名称、生产设施编码，可由国家危险废物信息管理系统自动生成。</w:t>
            </w:r>
          </w:p>
          <w:p>
            <w:pPr>
              <w:spacing w:line="360" w:lineRule="auto"/>
              <w:ind w:firstLine="480" w:firstLineChars="200"/>
              <w:rPr>
                <w:rFonts w:hint="eastAsia"/>
                <w:color w:val="auto"/>
                <w:sz w:val="24"/>
                <w:highlight w:val="none"/>
              </w:rPr>
            </w:pPr>
            <w:r>
              <w:rPr>
                <w:rFonts w:hint="eastAsia"/>
                <w:color w:val="auto"/>
                <w:sz w:val="24"/>
                <w:highlight w:val="none"/>
              </w:rPr>
              <w:t>③贮存设施类型：根据GB 18597中贮存设施类型填写。</w:t>
            </w:r>
          </w:p>
          <w:p>
            <w:pPr>
              <w:spacing w:line="360" w:lineRule="auto"/>
              <w:ind w:firstLine="480" w:firstLineChars="200"/>
              <w:rPr>
                <w:rFonts w:hint="eastAsia"/>
                <w:color w:val="auto"/>
                <w:sz w:val="24"/>
                <w:highlight w:val="none"/>
              </w:rPr>
            </w:pPr>
            <w:r>
              <w:rPr>
                <w:rFonts w:hint="eastAsia"/>
                <w:color w:val="auto"/>
                <w:sz w:val="24"/>
                <w:highlight w:val="none"/>
              </w:rPr>
              <w:t>④包装形式：包括包装容器、材质、规格等。</w:t>
            </w:r>
          </w:p>
          <w:p>
            <w:pPr>
              <w:spacing w:line="360" w:lineRule="auto"/>
              <w:ind w:firstLine="480" w:firstLineChars="200"/>
              <w:rPr>
                <w:rFonts w:hint="eastAsia"/>
                <w:color w:val="auto"/>
                <w:sz w:val="24"/>
                <w:highlight w:val="none"/>
              </w:rPr>
            </w:pPr>
            <w:r>
              <w:rPr>
                <w:rFonts w:hint="eastAsia"/>
                <w:color w:val="auto"/>
                <w:sz w:val="24"/>
                <w:highlight w:val="none"/>
              </w:rPr>
              <w:t>⑤本年度预计剩余贮存量：预计截至本年底贮存设施内危险废物的库存量。</w:t>
            </w:r>
          </w:p>
          <w:p>
            <w:pPr>
              <w:spacing w:line="360" w:lineRule="auto"/>
              <w:ind w:firstLine="480" w:firstLineChars="200"/>
              <w:rPr>
                <w:rFonts w:hint="eastAsia"/>
                <w:color w:val="auto"/>
                <w:sz w:val="24"/>
                <w:highlight w:val="none"/>
              </w:rPr>
            </w:pPr>
            <w:r>
              <w:rPr>
                <w:rFonts w:hint="eastAsia"/>
                <w:color w:val="auto"/>
                <w:sz w:val="24"/>
                <w:highlight w:val="none"/>
              </w:rPr>
              <w:t>⑥计量单位：填写吨。以升、立方米等体积计量的，应折算成重量吨；以个数作为计量单位的，除填写个数外，还应折算成重量吨。</w:t>
            </w:r>
          </w:p>
          <w:p>
            <w:pPr>
              <w:spacing w:line="360" w:lineRule="auto"/>
              <w:ind w:firstLine="480" w:firstLineChars="200"/>
              <w:rPr>
                <w:rFonts w:hint="eastAsia"/>
                <w:color w:val="auto"/>
                <w:sz w:val="24"/>
                <w:highlight w:val="none"/>
              </w:rPr>
            </w:pPr>
            <w:r>
              <w:rPr>
                <w:rFonts w:hint="eastAsia"/>
                <w:color w:val="auto"/>
                <w:sz w:val="24"/>
                <w:highlight w:val="none"/>
              </w:rPr>
              <w:t>⑦危险废物贮存能力应与排污许可证副本中载明的保持一致，或根据产生危险废物的单位环境影响评价文件及审批意见确定。</w:t>
            </w:r>
          </w:p>
          <w:p>
            <w:pPr>
              <w:spacing w:line="360" w:lineRule="auto"/>
              <w:ind w:firstLine="480" w:firstLineChars="200"/>
              <w:rPr>
                <w:rFonts w:hint="eastAsia"/>
                <w:color w:val="auto"/>
                <w:sz w:val="24"/>
                <w:highlight w:val="none"/>
              </w:rPr>
            </w:pP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）危险废物转移</w:t>
            </w:r>
          </w:p>
          <w:p>
            <w:pPr>
              <w:spacing w:line="360" w:lineRule="auto"/>
              <w:ind w:firstLine="480" w:firstLineChars="200"/>
              <w:rPr>
                <w:rFonts w:hint="eastAsia"/>
                <w:color w:val="auto"/>
                <w:sz w:val="24"/>
                <w:highlight w:val="none"/>
              </w:rPr>
            </w:pPr>
            <w:r>
              <w:rPr>
                <w:rFonts w:hint="eastAsia"/>
                <w:color w:val="auto"/>
                <w:sz w:val="24"/>
                <w:highlight w:val="none"/>
              </w:rPr>
              <w:t>危险废物转移情况应按《危险废物管理计划和管理台账制定技术导则》（HJ1259-2022）附录A.7填写，填写应满足以下要求。</w:t>
            </w:r>
          </w:p>
          <w:p>
            <w:pPr>
              <w:spacing w:line="360" w:lineRule="auto"/>
              <w:ind w:firstLine="480" w:firstLineChars="200"/>
              <w:rPr>
                <w:rFonts w:hint="eastAsia"/>
                <w:color w:val="auto"/>
                <w:sz w:val="24"/>
                <w:highlight w:val="none"/>
              </w:rPr>
            </w:pPr>
            <w:r>
              <w:rPr>
                <w:rFonts w:hint="eastAsia"/>
                <w:color w:val="auto"/>
                <w:sz w:val="24"/>
                <w:highlight w:val="none"/>
              </w:rPr>
              <w:t>①转移类型：指省内转移、跨省转移和境外转移。</w:t>
            </w:r>
          </w:p>
          <w:p>
            <w:pPr>
              <w:spacing w:line="360" w:lineRule="auto"/>
              <w:ind w:firstLine="480" w:firstLineChars="200"/>
              <w:rPr>
                <w:rFonts w:hint="eastAsia"/>
                <w:color w:val="auto"/>
                <w:sz w:val="24"/>
                <w:highlight w:val="none"/>
              </w:rPr>
            </w:pPr>
            <w:r>
              <w:rPr>
                <w:rFonts w:hint="eastAsia"/>
                <w:color w:val="auto"/>
                <w:sz w:val="24"/>
                <w:highlight w:val="none"/>
              </w:rPr>
              <w:t>②危险废物名称、类别、代码、有害成分名称、形态、危险特性填写相关信息，可由国家危险废物信息管理系统自动生成。</w:t>
            </w:r>
          </w:p>
          <w:p>
            <w:pPr>
              <w:spacing w:line="360" w:lineRule="auto"/>
              <w:ind w:firstLine="480" w:firstLineChars="200"/>
              <w:rPr>
                <w:rFonts w:hint="eastAsia"/>
                <w:color w:val="auto"/>
                <w:sz w:val="24"/>
                <w:highlight w:val="none"/>
              </w:rPr>
            </w:pPr>
            <w:r>
              <w:rPr>
                <w:rFonts w:hint="eastAsia"/>
                <w:color w:val="auto"/>
                <w:sz w:val="24"/>
                <w:highlight w:val="none"/>
              </w:rPr>
              <w:t>②本年度预计转移量：本年度预计转移的危险废物量。</w:t>
            </w:r>
          </w:p>
          <w:p>
            <w:pPr>
              <w:spacing w:line="360" w:lineRule="auto"/>
              <w:ind w:firstLine="480" w:firstLineChars="200"/>
              <w:rPr>
                <w:rFonts w:hint="eastAsia"/>
                <w:color w:val="auto"/>
                <w:sz w:val="24"/>
                <w:highlight w:val="none"/>
              </w:rPr>
            </w:pPr>
            <w:r>
              <w:rPr>
                <w:rFonts w:hint="eastAsia"/>
                <w:color w:val="auto"/>
                <w:sz w:val="24"/>
                <w:highlight w:val="none"/>
              </w:rPr>
              <w:t>③计量单位：填写吨。以升、立方米等体积计量的，应折算成重量吨；以个数作为计量单位的，除填写个数外，还应折算成重量吨。</w:t>
            </w:r>
          </w:p>
          <w:p>
            <w:pPr>
              <w:spacing w:line="360" w:lineRule="auto"/>
              <w:ind w:firstLine="480" w:firstLineChars="200"/>
              <w:rPr>
                <w:rFonts w:hint="eastAsia"/>
                <w:color w:val="auto"/>
                <w:sz w:val="24"/>
                <w:highlight w:val="none"/>
              </w:rPr>
            </w:pPr>
            <w:r>
              <w:rPr>
                <w:rFonts w:hint="eastAsia"/>
                <w:color w:val="auto"/>
                <w:sz w:val="24"/>
                <w:highlight w:val="none"/>
              </w:rPr>
              <w:t>④利用/处置方式代码：根据HJ 1033附录F填写。</w:t>
            </w:r>
          </w:p>
          <w:p>
            <w:pPr>
              <w:spacing w:line="360" w:lineRule="auto"/>
              <w:ind w:firstLine="480" w:firstLineChars="200"/>
              <w:rPr>
                <w:rFonts w:hint="eastAsia"/>
                <w:color w:val="auto"/>
                <w:sz w:val="24"/>
                <w:highlight w:val="none"/>
              </w:rPr>
            </w:pPr>
            <w:r>
              <w:rPr>
                <w:rFonts w:hint="eastAsia"/>
                <w:color w:val="auto"/>
                <w:sz w:val="24"/>
                <w:highlight w:val="none"/>
              </w:rPr>
              <w:t>⑤拟接收单位类型：危险废物经营许可证持有单位、危险废物利用处置环节豁免管理单位、中华人民共和国境外的危险废物利用处置单位等。</w:t>
            </w:r>
          </w:p>
          <w:p>
            <w:pPr>
              <w:spacing w:line="360" w:lineRule="auto"/>
              <w:ind w:firstLine="480" w:firstLineChars="200"/>
              <w:rPr>
                <w:rFonts w:hint="eastAsia"/>
                <w:color w:val="auto"/>
                <w:sz w:val="24"/>
                <w:highlight w:val="none"/>
              </w:rPr>
            </w:pPr>
            <w:r>
              <w:rPr>
                <w:rFonts w:hint="eastAsia"/>
                <w:color w:val="auto"/>
                <w:sz w:val="24"/>
                <w:highlight w:val="none"/>
              </w:rPr>
              <w:t>⑥拟接收危险废物经营许可证持有单位名称、经营许可证编号：应当与国家危险废物信息管理系统中登记的危险废物经营许可证持有单位相关信息关联并一致，可由国家危险废物信息管理系统自动生成。</w:t>
            </w:r>
          </w:p>
          <w:p>
            <w:pPr>
              <w:spacing w:line="360" w:lineRule="auto"/>
              <w:ind w:firstLine="480" w:firstLineChars="200"/>
              <w:rPr>
                <w:rFonts w:hint="eastAsia"/>
                <w:color w:val="auto"/>
                <w:sz w:val="24"/>
                <w:highlight w:val="none"/>
              </w:rPr>
            </w:pPr>
            <w:r>
              <w:rPr>
                <w:rFonts w:hint="eastAsia"/>
                <w:color w:val="auto"/>
                <w:sz w:val="24"/>
                <w:highlight w:val="none"/>
              </w:rPr>
              <w:t>⑦危险废物利用处置环节豁免管理单位的相关信息应在国家危险废物信息管理系统中登记。</w:t>
            </w:r>
          </w:p>
          <w:p>
            <w:pPr>
              <w:spacing w:line="360" w:lineRule="auto"/>
              <w:ind w:firstLine="480" w:firstLineChars="200"/>
              <w:rPr>
                <w:rFonts w:hint="eastAsia" w:eastAsia="宋体"/>
                <w:b/>
                <w:bCs/>
                <w:color w:val="auto"/>
                <w:sz w:val="24"/>
                <w:highlight w:val="none"/>
                <w:lang w:eastAsia="zh-CN"/>
              </w:rPr>
            </w:pPr>
            <w:r>
              <w:rPr>
                <w:rFonts w:hint="eastAsia"/>
                <w:color w:val="auto"/>
                <w:sz w:val="24"/>
                <w:highlight w:val="none"/>
              </w:rPr>
              <w:t>⑧危险废物出口至境外的，应在国家危险废物信息管理系统中填写中华人民共和国境外的危险废物利用处置单位信息。</w:t>
            </w:r>
          </w:p>
          <w:p>
            <w:pPr>
              <w:spacing w:line="360" w:lineRule="auto"/>
              <w:rPr>
                <w:b/>
                <w:bCs/>
                <w:color w:val="auto"/>
                <w:sz w:val="24"/>
                <w:highlight w:val="none"/>
              </w:rPr>
            </w:pPr>
            <w:r>
              <w:rPr>
                <w:b/>
                <w:bCs/>
                <w:color w:val="auto"/>
                <w:sz w:val="24"/>
                <w:highlight w:val="none"/>
              </w:rPr>
              <w:t>7.</w:t>
            </w:r>
            <w:r>
              <w:rPr>
                <w:rFonts w:hint="eastAsia"/>
                <w:b/>
                <w:bCs/>
                <w:color w:val="auto"/>
                <w:sz w:val="24"/>
                <w:highlight w:val="none"/>
                <w:lang w:val="en-US" w:eastAsia="zh-CN"/>
              </w:rPr>
              <w:t>3</w:t>
            </w:r>
            <w:r>
              <w:rPr>
                <w:b/>
                <w:bCs/>
                <w:color w:val="auto"/>
                <w:sz w:val="24"/>
                <w:highlight w:val="none"/>
              </w:rPr>
              <w:t xml:space="preserve"> 环境监测</w:t>
            </w:r>
          </w:p>
          <w:p>
            <w:pPr>
              <w:spacing w:line="360" w:lineRule="auto"/>
              <w:ind w:firstLine="480" w:firstLineChars="200"/>
              <w:rPr>
                <w:color w:val="auto"/>
                <w:sz w:val="24"/>
                <w:highlight w:val="none"/>
              </w:rPr>
            </w:pPr>
            <w:r>
              <w:rPr>
                <w:color w:val="auto"/>
                <w:sz w:val="24"/>
                <w:highlight w:val="none"/>
              </w:rPr>
              <w:t>环境监测是保证环境管理措施落实的一个基本手段。环境监测能及时、准确地提供环境质量、污染源状况及发展趋势、环保设施运行效果的信息。及时发现环境管理措施的不足而及时修正，使环境质量和环境资源维持在期望值之内。</w:t>
            </w:r>
          </w:p>
          <w:p>
            <w:pPr>
              <w:spacing w:line="360" w:lineRule="auto"/>
              <w:ind w:firstLine="480" w:firstLineChars="200"/>
              <w:rPr>
                <w:color w:val="auto"/>
                <w:sz w:val="24"/>
                <w:highlight w:val="none"/>
              </w:rPr>
            </w:pPr>
            <w:r>
              <w:rPr>
                <w:color w:val="auto"/>
                <w:sz w:val="24"/>
                <w:highlight w:val="none"/>
              </w:rPr>
              <w:t>根据《排污单位自行监测技术指南 总则》（HJ 819-2017）相关规定，排污单位应按照最新的监测方案开展监测活动，可根据自身条件和能力，利用自有人员、场所和设备进行自行监测；也可委托其他有资质的的检（监）测机构代其开展自行监测。排污单位应建立自行监测质量管理制度，按照相关技术规范要求做好监测质量保证与质量控制，记录好与监测有关的数据，按照规定进行保存并依据《企业事业单位环境信息公开办法》（环境保护部令第31号）、《国家重点监控企业自行监测及信息公开办法（试行）》（环发〔2013〕81号）要求向社会公开监测结果。非重点排污单位的信息公开要求有地方环境保护主管部门确定。</w:t>
            </w:r>
          </w:p>
          <w:p>
            <w:pPr>
              <w:spacing w:line="360" w:lineRule="auto"/>
              <w:ind w:firstLine="480" w:firstLineChars="200"/>
              <w:rPr>
                <w:rFonts w:hint="default"/>
                <w:color w:val="auto"/>
                <w:sz w:val="24"/>
                <w:highlight w:val="none"/>
                <w:lang w:val="en-US" w:eastAsia="zh-CN"/>
              </w:rPr>
            </w:pPr>
            <w:r>
              <w:rPr>
                <w:color w:val="auto"/>
                <w:sz w:val="24"/>
                <w:highlight w:val="none"/>
              </w:rPr>
              <w:t>根据生产特征和污染物的排放特征，依据国家颁布的环境质量标准，污染物排放标准及地方环保部门的要求，根据《排污单位自行监测技术指南总则》（HJ 819-2017）有关规定，结合本项目主要排污特点，监测项目应包括大气污染物、厂界噪声。采样、分析方法按国家环保局颁发的GB/T16157、HJ/T397、HJ/T75、HJ/T76以及《环境监测技术规范》、《空气与废气监测分析方法》等进行。</w:t>
            </w:r>
            <w:r>
              <w:rPr>
                <w:rFonts w:hint="eastAsia"/>
                <w:color w:val="auto"/>
                <w:sz w:val="24"/>
                <w:highlight w:val="none"/>
                <w:lang w:val="en-US" w:eastAsia="zh-CN"/>
              </w:rPr>
              <w:t>具体监测计划表见表4-16。</w:t>
            </w:r>
          </w:p>
          <w:p>
            <w:pPr>
              <w:spacing w:line="360" w:lineRule="auto"/>
              <w:jc w:val="center"/>
              <w:rPr>
                <w:rFonts w:hint="default"/>
                <w:b/>
                <w:bCs/>
                <w:color w:val="auto"/>
                <w:sz w:val="21"/>
                <w:szCs w:val="21"/>
                <w:highlight w:val="none"/>
                <w:vertAlign w:val="baseline"/>
                <w:lang w:val="en-US" w:eastAsia="zh-CN"/>
              </w:rPr>
            </w:pPr>
            <w:r>
              <w:rPr>
                <w:rFonts w:hint="eastAsia"/>
                <w:b/>
                <w:bCs/>
                <w:color w:val="auto"/>
                <w:sz w:val="21"/>
                <w:szCs w:val="21"/>
                <w:highlight w:val="none"/>
                <w:lang w:val="en-US" w:eastAsia="zh-CN"/>
              </w:rPr>
              <w:t>表4-16  项目监测计划一览表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717"/>
              <w:gridCol w:w="548"/>
              <w:gridCol w:w="578"/>
              <w:gridCol w:w="880"/>
              <w:gridCol w:w="462"/>
              <w:gridCol w:w="843"/>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分类</w:t>
                  </w:r>
                </w:p>
              </w:tc>
              <w:tc>
                <w:tcPr>
                  <w:tcW w:w="46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监测对象</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污染源</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监测项目</w:t>
                  </w:r>
                </w:p>
              </w:tc>
              <w:tc>
                <w:tcPr>
                  <w:tcW w:w="575"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监测位置</w:t>
                  </w:r>
                </w:p>
              </w:tc>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采样频次</w:t>
                  </w:r>
                </w:p>
              </w:tc>
              <w:tc>
                <w:tcPr>
                  <w:tcW w:w="551"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监测单位</w:t>
                  </w:r>
                </w:p>
              </w:tc>
              <w:tc>
                <w:tcPr>
                  <w:tcW w:w="2080"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废气</w:t>
                  </w:r>
                </w:p>
              </w:tc>
              <w:tc>
                <w:tcPr>
                  <w:tcW w:w="46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有组织排放颗粒物</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排气筒口</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颗粒物</w:t>
                  </w:r>
                </w:p>
              </w:tc>
              <w:tc>
                <w:tcPr>
                  <w:tcW w:w="575"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排气筒口</w:t>
                  </w:r>
                </w:p>
              </w:tc>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1次/年</w:t>
                  </w:r>
                </w:p>
              </w:tc>
              <w:tc>
                <w:tcPr>
                  <w:tcW w:w="551" w:type="pct"/>
                  <w:vMerge w:val="restart"/>
                  <w:vAlign w:val="center"/>
                </w:tcPr>
                <w:p>
                  <w:pPr>
                    <w:spacing w:line="240" w:lineRule="auto"/>
                    <w:jc w:val="center"/>
                    <w:rPr>
                      <w:rFonts w:hint="default"/>
                      <w:color w:val="auto"/>
                      <w:sz w:val="21"/>
                      <w:szCs w:val="21"/>
                      <w:highlight w:val="none"/>
                      <w:vertAlign w:val="baseline"/>
                      <w:lang w:val="en-US" w:eastAsia="zh-CN"/>
                    </w:rPr>
                  </w:pPr>
                  <w:r>
                    <w:rPr>
                      <w:rFonts w:hint="default" w:ascii="Times New Roman" w:hAnsi="Times New Roman" w:cs="Times New Roman"/>
                      <w:iCs/>
                      <w:sz w:val="21"/>
                      <w:szCs w:val="21"/>
                      <w:highlight w:val="none"/>
                    </w:rPr>
                    <w:t>委托第三方监测单位监测</w:t>
                  </w:r>
                </w:p>
              </w:tc>
              <w:tc>
                <w:tcPr>
                  <w:tcW w:w="2080" w:type="pct"/>
                  <w:vAlign w:val="center"/>
                </w:tcPr>
                <w:p>
                  <w:pPr>
                    <w:spacing w:line="240" w:lineRule="auto"/>
                    <w:jc w:val="center"/>
                    <w:rPr>
                      <w:rFonts w:hint="default"/>
                      <w:color w:val="auto"/>
                      <w:sz w:val="21"/>
                      <w:szCs w:val="21"/>
                      <w:highlight w:val="none"/>
                      <w:vertAlign w:val="baseline"/>
                      <w:lang w:val="en-US" w:eastAsia="zh-CN"/>
                    </w:rPr>
                  </w:pPr>
                  <w:r>
                    <w:rPr>
                      <w:rFonts w:hint="default" w:ascii="Times New Roman" w:hAnsi="Times New Roman" w:cs="Times New Roman"/>
                      <w:snapToGrid w:val="0"/>
                      <w:color w:val="auto"/>
                      <w:kern w:val="0"/>
                      <w:sz w:val="21"/>
                      <w:szCs w:val="21"/>
                      <w:highlight w:val="none"/>
                    </w:rPr>
                    <w:t>《大气污染物综合排放标准》（GB16297-1996）表2颗粒物二级排放限值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废气</w:t>
                  </w:r>
                </w:p>
              </w:tc>
              <w:tc>
                <w:tcPr>
                  <w:tcW w:w="46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无组织排放颗粒物</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厂界</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颗粒物</w:t>
                  </w:r>
                </w:p>
              </w:tc>
              <w:tc>
                <w:tcPr>
                  <w:tcW w:w="575" w:type="pct"/>
                  <w:vAlign w:val="center"/>
                </w:tcPr>
                <w:p>
                  <w:pPr>
                    <w:keepNext w:val="0"/>
                    <w:keepLines w:val="0"/>
                    <w:widowControl/>
                    <w:suppressLineNumbers w:val="0"/>
                    <w:spacing w:line="240" w:lineRule="auto"/>
                    <w:jc w:val="both"/>
                    <w:rPr>
                      <w:sz w:val="21"/>
                      <w:szCs w:val="21"/>
                      <w:highlight w:val="none"/>
                    </w:rPr>
                  </w:pPr>
                  <w:r>
                    <w:rPr>
                      <w:rFonts w:hint="eastAsia" w:ascii="宋体" w:hAnsi="宋体" w:eastAsia="宋体" w:cs="宋体"/>
                      <w:color w:val="000000"/>
                      <w:kern w:val="0"/>
                      <w:sz w:val="21"/>
                      <w:szCs w:val="21"/>
                      <w:highlight w:val="none"/>
                      <w:lang w:val="en-US" w:eastAsia="zh-CN" w:bidi="ar"/>
                    </w:rPr>
                    <w:t>厂界上风向</w:t>
                  </w:r>
                  <w:r>
                    <w:rPr>
                      <w:rFonts w:hint="default" w:ascii="Times New Roman" w:hAnsi="Times New Roman" w:eastAsia="宋体" w:cs="Times New Roman"/>
                      <w:color w:val="000000"/>
                      <w:kern w:val="0"/>
                      <w:sz w:val="21"/>
                      <w:szCs w:val="21"/>
                      <w:highlight w:val="none"/>
                      <w:lang w:val="en-US" w:eastAsia="zh-CN" w:bidi="ar"/>
                    </w:rPr>
                    <w:t>10m</w:t>
                  </w:r>
                  <w:r>
                    <w:rPr>
                      <w:rFonts w:hint="eastAsia" w:ascii="宋体" w:hAnsi="宋体" w:eastAsia="宋体" w:cs="宋体"/>
                      <w:color w:val="000000"/>
                      <w:kern w:val="0"/>
                      <w:sz w:val="21"/>
                      <w:szCs w:val="21"/>
                      <w:highlight w:val="none"/>
                      <w:lang w:val="en-US" w:eastAsia="zh-CN" w:bidi="ar"/>
                    </w:rPr>
                    <w:t>处</w:t>
                  </w:r>
                  <w:r>
                    <w:rPr>
                      <w:rFonts w:hint="default" w:ascii="Times New Roman" w:hAnsi="Times New Roman" w:eastAsia="宋体" w:cs="Times New Roman"/>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个点，下风向</w:t>
                  </w:r>
                </w:p>
                <w:p>
                  <w:pPr>
                    <w:keepNext w:val="0"/>
                    <w:keepLines w:val="0"/>
                    <w:widowControl/>
                    <w:suppressLineNumbers w:val="0"/>
                    <w:spacing w:line="240" w:lineRule="auto"/>
                    <w:jc w:val="both"/>
                    <w:rPr>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内</w:t>
                  </w:r>
                  <w:r>
                    <w:rPr>
                      <w:rFonts w:hint="default" w:ascii="Times New Roman" w:hAnsi="Times New Roman" w:eastAsia="宋体" w:cs="Times New Roman"/>
                      <w:color w:val="000000"/>
                      <w:kern w:val="0"/>
                      <w:sz w:val="21"/>
                      <w:szCs w:val="21"/>
                      <w:highlight w:val="none"/>
                      <w:lang w:val="en-US" w:eastAsia="zh-CN" w:bidi="ar"/>
                    </w:rPr>
                    <w:t xml:space="preserve">3 </w:t>
                  </w:r>
                  <w:r>
                    <w:rPr>
                      <w:rFonts w:hint="eastAsia" w:ascii="宋体" w:hAnsi="宋体" w:eastAsia="宋体" w:cs="宋体"/>
                      <w:color w:val="000000"/>
                      <w:kern w:val="0"/>
                      <w:sz w:val="21"/>
                      <w:szCs w:val="21"/>
                      <w:highlight w:val="none"/>
                      <w:lang w:val="en-US" w:eastAsia="zh-CN" w:bidi="ar"/>
                    </w:rPr>
                    <w:t>个点</w:t>
                  </w:r>
                </w:p>
                <w:p>
                  <w:pPr>
                    <w:spacing w:line="240" w:lineRule="auto"/>
                    <w:jc w:val="center"/>
                    <w:rPr>
                      <w:rFonts w:hint="default"/>
                      <w:color w:val="auto"/>
                      <w:sz w:val="21"/>
                      <w:szCs w:val="21"/>
                      <w:highlight w:val="none"/>
                      <w:vertAlign w:val="baseline"/>
                      <w:lang w:val="en-US" w:eastAsia="zh-CN"/>
                    </w:rPr>
                  </w:pPr>
                </w:p>
              </w:tc>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1次/年</w:t>
                  </w:r>
                </w:p>
              </w:tc>
              <w:tc>
                <w:tcPr>
                  <w:tcW w:w="551" w:type="pct"/>
                  <w:vMerge w:val="continue"/>
                  <w:vAlign w:val="center"/>
                </w:tcPr>
                <w:p>
                  <w:pPr>
                    <w:spacing w:line="240" w:lineRule="auto"/>
                    <w:jc w:val="center"/>
                    <w:rPr>
                      <w:rFonts w:hint="default"/>
                      <w:color w:val="auto"/>
                      <w:sz w:val="21"/>
                      <w:szCs w:val="21"/>
                      <w:highlight w:val="none"/>
                      <w:vertAlign w:val="baseline"/>
                      <w:lang w:val="en-US" w:eastAsia="zh-CN"/>
                    </w:rPr>
                  </w:pPr>
                </w:p>
              </w:tc>
              <w:tc>
                <w:tcPr>
                  <w:tcW w:w="2080" w:type="pct"/>
                  <w:vAlign w:val="center"/>
                </w:tcPr>
                <w:p>
                  <w:pPr>
                    <w:spacing w:line="240" w:lineRule="auto"/>
                    <w:jc w:val="center"/>
                    <w:rPr>
                      <w:rFonts w:hint="default"/>
                      <w:color w:val="auto"/>
                      <w:sz w:val="21"/>
                      <w:szCs w:val="21"/>
                      <w:highlight w:val="none"/>
                      <w:vertAlign w:val="baseline"/>
                      <w:lang w:val="en-US" w:eastAsia="zh-CN"/>
                    </w:rPr>
                  </w:pPr>
                  <w:r>
                    <w:rPr>
                      <w:rFonts w:hint="default" w:ascii="Times New Roman" w:hAnsi="Times New Roman" w:cs="Times New Roman"/>
                      <w:sz w:val="21"/>
                      <w:szCs w:val="21"/>
                      <w:highlight w:val="none"/>
                    </w:rPr>
                    <w:t>《大气污染物综合排放标准》（GB16297-1996）无组织颗粒物排放浓度1mg/m</w:t>
                  </w:r>
                  <w:r>
                    <w:rPr>
                      <w:rFonts w:hint="default" w:ascii="Times New Roman" w:hAnsi="Times New Roman" w:cs="Times New Roman"/>
                      <w:sz w:val="21"/>
                      <w:szCs w:val="21"/>
                      <w:highlight w:val="none"/>
                      <w:vertAlign w:val="superscript"/>
                    </w:rPr>
                    <w:t>3</w:t>
                  </w:r>
                  <w:r>
                    <w:rPr>
                      <w:rFonts w:hint="default" w:ascii="Times New Roman" w:hAnsi="Times New Roman" w:cs="Times New Roman"/>
                      <w:sz w:val="21"/>
                      <w:szCs w:val="21"/>
                      <w:highlight w:val="none"/>
                    </w:rPr>
                    <w:t>的限值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废气</w:t>
                  </w:r>
                </w:p>
              </w:tc>
              <w:tc>
                <w:tcPr>
                  <w:tcW w:w="46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特征污染物</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厂界</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TSP</w:t>
                  </w:r>
                </w:p>
              </w:tc>
              <w:tc>
                <w:tcPr>
                  <w:tcW w:w="575" w:type="pct"/>
                  <w:vAlign w:val="center"/>
                </w:tcPr>
                <w:p>
                  <w:pPr>
                    <w:keepNext w:val="0"/>
                    <w:keepLines w:val="0"/>
                    <w:widowControl/>
                    <w:suppressLineNumbers w:val="0"/>
                    <w:spacing w:line="240" w:lineRule="auto"/>
                    <w:jc w:val="both"/>
                    <w:rPr>
                      <w:sz w:val="21"/>
                      <w:szCs w:val="21"/>
                      <w:highlight w:val="none"/>
                    </w:rPr>
                  </w:pPr>
                  <w:r>
                    <w:rPr>
                      <w:rFonts w:hint="eastAsia" w:ascii="宋体" w:hAnsi="宋体" w:eastAsia="宋体" w:cs="宋体"/>
                      <w:color w:val="000000"/>
                      <w:kern w:val="0"/>
                      <w:sz w:val="21"/>
                      <w:szCs w:val="21"/>
                      <w:highlight w:val="none"/>
                      <w:lang w:val="en-US" w:eastAsia="zh-CN" w:bidi="ar"/>
                    </w:rPr>
                    <w:t>厂界上风向</w:t>
                  </w:r>
                  <w:r>
                    <w:rPr>
                      <w:rFonts w:hint="default" w:ascii="Times New Roman" w:hAnsi="Times New Roman" w:eastAsia="宋体" w:cs="Times New Roman"/>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个点，下风向</w:t>
                  </w:r>
                </w:p>
                <w:p>
                  <w:pPr>
                    <w:keepNext w:val="0"/>
                    <w:keepLines w:val="0"/>
                    <w:widowControl/>
                    <w:suppressLineNumbers w:val="0"/>
                    <w:spacing w:line="240" w:lineRule="auto"/>
                    <w:jc w:val="both"/>
                    <w:rPr>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内</w:t>
                  </w:r>
                  <w:r>
                    <w:rPr>
                      <w:rFonts w:hint="default" w:ascii="Times New Roman" w:hAnsi="Times New Roman" w:eastAsia="宋体" w:cs="Times New Roman"/>
                      <w:color w:val="000000"/>
                      <w:kern w:val="0"/>
                      <w:sz w:val="21"/>
                      <w:szCs w:val="21"/>
                      <w:highlight w:val="none"/>
                      <w:lang w:val="en-US" w:eastAsia="zh-CN" w:bidi="ar"/>
                    </w:rPr>
                    <w:t xml:space="preserve">3 </w:t>
                  </w:r>
                  <w:r>
                    <w:rPr>
                      <w:rFonts w:hint="eastAsia" w:ascii="宋体" w:hAnsi="宋体" w:eastAsia="宋体" w:cs="宋体"/>
                      <w:color w:val="000000"/>
                      <w:kern w:val="0"/>
                      <w:sz w:val="21"/>
                      <w:szCs w:val="21"/>
                      <w:highlight w:val="none"/>
                      <w:lang w:val="en-US" w:eastAsia="zh-CN" w:bidi="ar"/>
                    </w:rPr>
                    <w:t>个点</w:t>
                  </w:r>
                </w:p>
                <w:p>
                  <w:pPr>
                    <w:spacing w:line="240" w:lineRule="auto"/>
                    <w:jc w:val="center"/>
                    <w:rPr>
                      <w:rFonts w:hint="default"/>
                      <w:color w:val="auto"/>
                      <w:sz w:val="21"/>
                      <w:szCs w:val="21"/>
                      <w:highlight w:val="none"/>
                      <w:vertAlign w:val="baseline"/>
                      <w:lang w:val="en-US" w:eastAsia="zh-CN"/>
                    </w:rPr>
                  </w:pPr>
                </w:p>
              </w:tc>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1次/年</w:t>
                  </w:r>
                </w:p>
              </w:tc>
              <w:tc>
                <w:tcPr>
                  <w:tcW w:w="551" w:type="pct"/>
                  <w:vMerge w:val="continue"/>
                  <w:vAlign w:val="center"/>
                </w:tcPr>
                <w:p>
                  <w:pPr>
                    <w:spacing w:line="240" w:lineRule="auto"/>
                    <w:jc w:val="center"/>
                    <w:rPr>
                      <w:rFonts w:hint="default"/>
                      <w:color w:val="auto"/>
                      <w:sz w:val="21"/>
                      <w:szCs w:val="21"/>
                      <w:highlight w:val="none"/>
                      <w:vertAlign w:val="baseline"/>
                      <w:lang w:val="en-US" w:eastAsia="zh-CN"/>
                    </w:rPr>
                  </w:pPr>
                </w:p>
              </w:tc>
              <w:tc>
                <w:tcPr>
                  <w:tcW w:w="2080" w:type="pct"/>
                  <w:vAlign w:val="center"/>
                </w:tcPr>
                <w:p>
                  <w:pPr>
                    <w:spacing w:line="240" w:lineRule="auto"/>
                    <w:jc w:val="center"/>
                    <w:rPr>
                      <w:rFonts w:hint="default" w:ascii="Times New Roman" w:hAnsi="Times New Roman" w:cs="Times New Roman"/>
                      <w:sz w:val="21"/>
                      <w:szCs w:val="21"/>
                      <w:highlight w:val="none"/>
                    </w:rPr>
                  </w:pPr>
                  <w:r>
                    <w:rPr>
                      <w:sz w:val="21"/>
                      <w:szCs w:val="21"/>
                      <w:highlight w:val="none"/>
                    </w:rPr>
                    <w:t>环境空气质量标准》（</w:t>
                  </w:r>
                  <w:r>
                    <w:rPr>
                      <w:rFonts w:hint="default"/>
                      <w:sz w:val="21"/>
                      <w:szCs w:val="21"/>
                      <w:highlight w:val="none"/>
                    </w:rPr>
                    <w:t>GB 3095-2012</w:t>
                  </w:r>
                  <w:r>
                    <w:rPr>
                      <w:sz w:val="21"/>
                      <w:szCs w:val="21"/>
                      <w:highlight w:val="none"/>
                    </w:rPr>
                    <w:t>）及修改单中二级标准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噪声</w:t>
                  </w:r>
                </w:p>
              </w:tc>
              <w:tc>
                <w:tcPr>
                  <w:tcW w:w="46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厂界</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厂界</w:t>
                  </w:r>
                </w:p>
              </w:tc>
              <w:tc>
                <w:tcPr>
                  <w:tcW w:w="359"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噪声</w:t>
                  </w:r>
                </w:p>
              </w:tc>
              <w:tc>
                <w:tcPr>
                  <w:tcW w:w="575"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厂界</w:t>
                  </w:r>
                </w:p>
              </w:tc>
              <w:tc>
                <w:tcPr>
                  <w:tcW w:w="303" w:type="pct"/>
                  <w:vAlign w:val="center"/>
                </w:tcPr>
                <w:p>
                  <w:pPr>
                    <w:spacing w:line="240" w:lineRule="auto"/>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1次/季度</w:t>
                  </w:r>
                </w:p>
              </w:tc>
              <w:tc>
                <w:tcPr>
                  <w:tcW w:w="551" w:type="pct"/>
                  <w:vMerge w:val="continue"/>
                  <w:vAlign w:val="center"/>
                </w:tcPr>
                <w:p>
                  <w:pPr>
                    <w:spacing w:line="240" w:lineRule="auto"/>
                    <w:jc w:val="center"/>
                    <w:rPr>
                      <w:rFonts w:hint="default"/>
                      <w:color w:val="auto"/>
                      <w:sz w:val="21"/>
                      <w:szCs w:val="21"/>
                      <w:highlight w:val="none"/>
                      <w:vertAlign w:val="baseline"/>
                      <w:lang w:val="en-US" w:eastAsia="zh-CN"/>
                    </w:rPr>
                  </w:pPr>
                </w:p>
              </w:tc>
              <w:tc>
                <w:tcPr>
                  <w:tcW w:w="2080" w:type="pct"/>
                  <w:vAlign w:val="center"/>
                </w:tcPr>
                <w:p>
                  <w:pPr>
                    <w:spacing w:line="240" w:lineRule="auto"/>
                    <w:jc w:val="center"/>
                    <w:rPr>
                      <w:rFonts w:hint="default"/>
                      <w:color w:val="auto"/>
                      <w:sz w:val="21"/>
                      <w:szCs w:val="21"/>
                      <w:highlight w:val="none"/>
                      <w:vertAlign w:val="baseline"/>
                      <w:lang w:val="en-US" w:eastAsia="zh-CN"/>
                    </w:rPr>
                  </w:pPr>
                  <w:r>
                    <w:rPr>
                      <w:color w:val="auto"/>
                      <w:sz w:val="21"/>
                      <w:szCs w:val="21"/>
                      <w:highlight w:val="none"/>
                    </w:rPr>
                    <w:t>厂界噪声达《工业企业厂界环境噪声排放标准》（GB12348-2008）中的3类标准</w:t>
                  </w:r>
                </w:p>
              </w:tc>
            </w:tr>
          </w:tbl>
          <w:p>
            <w:pPr>
              <w:spacing w:line="360" w:lineRule="auto"/>
              <w:rPr>
                <w:b/>
                <w:bCs/>
                <w:color w:val="auto"/>
                <w:sz w:val="24"/>
                <w:highlight w:val="none"/>
              </w:rPr>
            </w:pPr>
            <w:r>
              <w:rPr>
                <w:b/>
                <w:bCs/>
                <w:color w:val="auto"/>
                <w:sz w:val="24"/>
                <w:highlight w:val="none"/>
              </w:rPr>
              <w:t>8 环保投资分析</w:t>
            </w:r>
          </w:p>
          <w:p>
            <w:pPr>
              <w:widowControl/>
              <w:autoSpaceDE w:val="0"/>
              <w:autoSpaceDN w:val="0"/>
              <w:spacing w:line="360" w:lineRule="auto"/>
              <w:ind w:firstLine="480" w:firstLineChars="200"/>
              <w:rPr>
                <w:rFonts w:hint="default" w:ascii="Times New Roman" w:hAnsi="Times New Roman" w:cs="Times New Roman"/>
                <w:snapToGrid w:val="0"/>
                <w:color w:val="000000"/>
                <w:sz w:val="24"/>
              </w:rPr>
            </w:pPr>
            <w:r>
              <w:rPr>
                <w:rFonts w:hint="default" w:ascii="Times New Roman" w:hAnsi="Times New Roman" w:cs="Times New Roman"/>
                <w:color w:val="000000"/>
                <w:sz w:val="24"/>
              </w:rPr>
              <w:t>本</w:t>
            </w:r>
            <w:r>
              <w:rPr>
                <w:rFonts w:hint="default" w:ascii="Times New Roman" w:hAnsi="Times New Roman" w:cs="Times New Roman"/>
                <w:snapToGrid w:val="0"/>
                <w:color w:val="000000"/>
                <w:sz w:val="24"/>
              </w:rPr>
              <w:t>项目</w:t>
            </w:r>
            <w:r>
              <w:rPr>
                <w:rFonts w:hint="eastAsia" w:cs="Times New Roman"/>
                <w:snapToGrid w:val="0"/>
                <w:color w:val="000000"/>
                <w:sz w:val="24"/>
                <w:lang w:val="en-US" w:eastAsia="zh-CN"/>
              </w:rPr>
              <w:t>总投资7000万元，</w:t>
            </w:r>
            <w:r>
              <w:rPr>
                <w:rFonts w:hint="default" w:ascii="Times New Roman" w:hAnsi="Times New Roman" w:cs="Times New Roman"/>
                <w:snapToGrid w:val="0"/>
                <w:color w:val="000000"/>
                <w:sz w:val="24"/>
              </w:rPr>
              <w:t>环保投资合计为</w:t>
            </w:r>
            <w:r>
              <w:rPr>
                <w:rFonts w:hint="eastAsia" w:cs="Times New Roman"/>
                <w:snapToGrid w:val="0"/>
                <w:color w:val="000000"/>
                <w:sz w:val="24"/>
                <w:highlight w:val="none"/>
                <w:lang w:val="en-US" w:eastAsia="zh-CN"/>
              </w:rPr>
              <w:t>22.5</w:t>
            </w:r>
            <w:r>
              <w:rPr>
                <w:rFonts w:hint="default" w:ascii="Times New Roman" w:hAnsi="Times New Roman" w:cs="Times New Roman"/>
                <w:snapToGrid w:val="0"/>
                <w:color w:val="000000"/>
                <w:sz w:val="24"/>
              </w:rPr>
              <w:t>万元，</w:t>
            </w:r>
            <w:r>
              <w:rPr>
                <w:rFonts w:hint="eastAsia" w:cs="Times New Roman"/>
                <w:snapToGrid w:val="0"/>
                <w:color w:val="000000"/>
                <w:sz w:val="24"/>
                <w:lang w:val="en-US" w:eastAsia="zh-CN"/>
              </w:rPr>
              <w:t>环保投资占比</w:t>
            </w:r>
            <w:r>
              <w:rPr>
                <w:rFonts w:hint="eastAsia" w:cs="Times New Roman"/>
                <w:snapToGrid w:val="0"/>
                <w:color w:val="000000"/>
                <w:sz w:val="24"/>
                <w:highlight w:val="none"/>
                <w:lang w:val="en-US" w:eastAsia="zh-CN"/>
              </w:rPr>
              <w:t>0.3%</w:t>
            </w:r>
            <w:r>
              <w:rPr>
                <w:rFonts w:hint="eastAsia" w:cs="Times New Roman"/>
                <w:snapToGrid w:val="0"/>
                <w:color w:val="000000"/>
                <w:sz w:val="24"/>
                <w:lang w:val="en-US" w:eastAsia="zh-CN"/>
              </w:rPr>
              <w:t>，</w:t>
            </w:r>
            <w:r>
              <w:rPr>
                <w:rFonts w:hint="default" w:ascii="Times New Roman" w:hAnsi="Times New Roman" w:cs="Times New Roman"/>
                <w:snapToGrid w:val="0"/>
                <w:color w:val="000000"/>
                <w:sz w:val="24"/>
              </w:rPr>
              <w:t>本项目环保投资分析估算见表</w:t>
            </w:r>
            <w:r>
              <w:rPr>
                <w:rFonts w:hint="default" w:ascii="Times New Roman" w:hAnsi="Times New Roman" w:eastAsia="黑体" w:cs="Times New Roman"/>
                <w:color w:val="000000"/>
                <w:sz w:val="24"/>
              </w:rPr>
              <w:t>4-</w:t>
            </w:r>
            <w:r>
              <w:rPr>
                <w:rFonts w:hint="eastAsia" w:eastAsia="黑体" w:cs="Times New Roman"/>
                <w:color w:val="000000"/>
                <w:sz w:val="24"/>
                <w:lang w:val="en-US" w:eastAsia="zh-CN"/>
              </w:rPr>
              <w:t>17</w:t>
            </w:r>
            <w:r>
              <w:rPr>
                <w:rFonts w:hint="default" w:ascii="Times New Roman" w:hAnsi="Times New Roman" w:cs="Times New Roman"/>
                <w:snapToGrid w:val="0"/>
                <w:color w:val="000000"/>
                <w:sz w:val="24"/>
              </w:rPr>
              <w:t>。</w:t>
            </w:r>
          </w:p>
          <w:p>
            <w:pPr>
              <w:widowControl/>
              <w:spacing w:line="240" w:lineRule="auto"/>
              <w:jc w:val="center"/>
              <w:rPr>
                <w:rFonts w:hint="default" w:ascii="Times New Roman" w:hAnsi="Times New Roman" w:eastAsia="黑体" w:cs="Times New Roman"/>
                <w:sz w:val="21"/>
                <w:szCs w:val="21"/>
              </w:rPr>
            </w:pPr>
            <w:r>
              <w:rPr>
                <w:rFonts w:hint="default" w:ascii="Times New Roman" w:hAnsi="Times New Roman" w:eastAsia="宋体" w:cs="Times New Roman"/>
                <w:b/>
                <w:bCs/>
                <w:sz w:val="21"/>
                <w:szCs w:val="21"/>
              </w:rPr>
              <w:t>表</w:t>
            </w:r>
            <w:r>
              <w:rPr>
                <w:rFonts w:hint="default" w:ascii="Times New Roman" w:hAnsi="Times New Roman" w:eastAsia="黑体" w:cs="Times New Roman"/>
                <w:sz w:val="21"/>
                <w:szCs w:val="21"/>
              </w:rPr>
              <w:t>4-</w:t>
            </w:r>
            <w:r>
              <w:rPr>
                <w:rFonts w:hint="eastAsia" w:eastAsia="黑体" w:cs="Times New Roman"/>
                <w:sz w:val="21"/>
                <w:szCs w:val="21"/>
                <w:lang w:val="en-US" w:eastAsia="zh-CN"/>
              </w:rPr>
              <w:t>17</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 xml:space="preserve"> </w:t>
            </w:r>
            <w:r>
              <w:rPr>
                <w:rFonts w:hint="default" w:ascii="Times New Roman" w:hAnsi="Times New Roman" w:eastAsia="宋体" w:cs="Times New Roman"/>
                <w:b/>
                <w:bCs/>
                <w:sz w:val="21"/>
                <w:szCs w:val="21"/>
              </w:rPr>
              <w:t xml:space="preserve"> 环保投资估算</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21"/>
              <w:gridCol w:w="982"/>
              <w:gridCol w:w="3773"/>
              <w:gridCol w:w="191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302" w:type="pct"/>
                  <w:gridSpan w:val="2"/>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类别</w:t>
                  </w:r>
                </w:p>
              </w:tc>
              <w:tc>
                <w:tcPr>
                  <w:tcW w:w="2451" w:type="pct"/>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环保措施</w:t>
                  </w:r>
                </w:p>
              </w:tc>
              <w:tc>
                <w:tcPr>
                  <w:tcW w:w="1245" w:type="pct"/>
                  <w:noWrap w:val="0"/>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总投资（万元）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664" w:type="pct"/>
                  <w:vMerge w:val="restart"/>
                  <w:noWrap w:val="0"/>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运营期</w:t>
                  </w:r>
                </w:p>
              </w:tc>
              <w:tc>
                <w:tcPr>
                  <w:tcW w:w="638" w:type="pct"/>
                  <w:vMerge w:val="restart"/>
                  <w:noWrap w:val="0"/>
                  <w:vAlign w:val="center"/>
                </w:tcPr>
                <w:p>
                  <w:pPr>
                    <w:snapToGrid w:val="0"/>
                    <w:spacing w:line="240" w:lineRule="auto"/>
                    <w:jc w:val="center"/>
                    <w:rPr>
                      <w:rStyle w:val="36"/>
                      <w:rFonts w:hint="default" w:ascii="Times New Roman" w:hAnsi="Times New Roman" w:cs="Times New Roman"/>
                    </w:rPr>
                  </w:pPr>
                  <w:r>
                    <w:rPr>
                      <w:rStyle w:val="36"/>
                      <w:rFonts w:hint="default" w:ascii="Times New Roman" w:hAnsi="Times New Roman" w:cs="Times New Roman"/>
                    </w:rPr>
                    <w:t>废气</w:t>
                  </w:r>
                </w:p>
              </w:tc>
              <w:tc>
                <w:tcPr>
                  <w:tcW w:w="2451" w:type="pct"/>
                  <w:noWrap w:val="0"/>
                  <w:vAlign w:val="center"/>
                </w:tcPr>
                <w:p>
                  <w:pPr>
                    <w:snapToGrid w:val="0"/>
                    <w:spacing w:line="240" w:lineRule="auto"/>
                    <w:jc w:val="center"/>
                    <w:rPr>
                      <w:rFonts w:hint="default" w:ascii="Times New Roman" w:hAnsi="Times New Roman" w:eastAsia="宋体" w:cs="Times New Roman"/>
                      <w:szCs w:val="21"/>
                      <w:lang w:val="en-US" w:eastAsia="zh-CN"/>
                    </w:rPr>
                  </w:pPr>
                  <w:r>
                    <w:rPr>
                      <w:rFonts w:hint="eastAsia" w:cs="Times New Roman"/>
                      <w:szCs w:val="21"/>
                      <w:lang w:val="en-US" w:eastAsia="zh-CN"/>
                    </w:rPr>
                    <w:t>颗粒物收集设施</w:t>
                  </w:r>
                </w:p>
              </w:tc>
              <w:tc>
                <w:tcPr>
                  <w:tcW w:w="1245" w:type="pct"/>
                  <w:noWrap w:val="0"/>
                  <w:vAlign w:val="center"/>
                </w:tcPr>
                <w:p>
                  <w:pPr>
                    <w:snapToGrid w:val="0"/>
                    <w:spacing w:line="240" w:lineRule="auto"/>
                    <w:jc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664" w:type="pct"/>
                  <w:vMerge w:val="continue"/>
                  <w:noWrap w:val="0"/>
                  <w:vAlign w:val="center"/>
                </w:tcPr>
                <w:p>
                  <w:pPr>
                    <w:snapToGrid w:val="0"/>
                    <w:spacing w:line="240" w:lineRule="auto"/>
                    <w:jc w:val="center"/>
                    <w:rPr>
                      <w:rFonts w:hint="default" w:ascii="Times New Roman" w:hAnsi="Times New Roman" w:cs="Times New Roman"/>
                      <w:szCs w:val="21"/>
                    </w:rPr>
                  </w:pPr>
                </w:p>
              </w:tc>
              <w:tc>
                <w:tcPr>
                  <w:tcW w:w="638" w:type="pct"/>
                  <w:vMerge w:val="continue"/>
                  <w:noWrap w:val="0"/>
                  <w:vAlign w:val="center"/>
                </w:tcPr>
                <w:p>
                  <w:pPr>
                    <w:snapToGrid w:val="0"/>
                    <w:spacing w:line="240" w:lineRule="auto"/>
                    <w:jc w:val="center"/>
                    <w:rPr>
                      <w:rStyle w:val="36"/>
                      <w:rFonts w:hint="default" w:ascii="Times New Roman" w:hAnsi="Times New Roman" w:cs="Times New Roman"/>
                    </w:rPr>
                  </w:pPr>
                </w:p>
              </w:tc>
              <w:tc>
                <w:tcPr>
                  <w:tcW w:w="2451" w:type="pct"/>
                  <w:noWrap w:val="0"/>
                  <w:vAlign w:val="center"/>
                </w:tcPr>
                <w:p>
                  <w:pPr>
                    <w:snapToGrid w:val="0"/>
                    <w:spacing w:line="240" w:lineRule="auto"/>
                    <w:jc w:val="center"/>
                    <w:rPr>
                      <w:rFonts w:hint="default" w:ascii="Times New Roman" w:hAnsi="Times New Roman" w:cs="Times New Roman"/>
                      <w:szCs w:val="21"/>
                    </w:rPr>
                  </w:pPr>
                  <w:r>
                    <w:rPr>
                      <w:rFonts w:hint="eastAsia" w:cs="Times New Roman"/>
                      <w:szCs w:val="21"/>
                      <w:lang w:val="en-US" w:eastAsia="zh-CN"/>
                    </w:rPr>
                    <w:t>集气罩+</w:t>
                  </w:r>
                  <w:r>
                    <w:rPr>
                      <w:rFonts w:hint="default" w:ascii="Times New Roman" w:hAnsi="Times New Roman" w:cs="Times New Roman"/>
                      <w:szCs w:val="21"/>
                    </w:rPr>
                    <w:t>1套布袋除尘设备+15m排气筒</w:t>
                  </w:r>
                </w:p>
              </w:tc>
              <w:tc>
                <w:tcPr>
                  <w:tcW w:w="1245" w:type="pct"/>
                  <w:noWrap w:val="0"/>
                  <w:vAlign w:val="center"/>
                </w:tcPr>
                <w:p>
                  <w:pPr>
                    <w:snapToGrid w:val="0"/>
                    <w:spacing w:line="24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rPr>
                    <w:t>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664" w:type="pct"/>
                  <w:vMerge w:val="continue"/>
                  <w:noWrap w:val="0"/>
                  <w:vAlign w:val="center"/>
                </w:tcPr>
                <w:p>
                  <w:pPr>
                    <w:snapToGrid w:val="0"/>
                    <w:spacing w:line="240" w:lineRule="auto"/>
                    <w:jc w:val="center"/>
                    <w:rPr>
                      <w:rFonts w:hint="default" w:ascii="Times New Roman" w:hAnsi="Times New Roman" w:cs="Times New Roman"/>
                      <w:szCs w:val="21"/>
                    </w:rPr>
                  </w:pPr>
                </w:p>
              </w:tc>
              <w:tc>
                <w:tcPr>
                  <w:tcW w:w="638" w:type="pct"/>
                  <w:vMerge w:val="continue"/>
                  <w:noWrap w:val="0"/>
                  <w:vAlign w:val="center"/>
                </w:tcPr>
                <w:p>
                  <w:pPr>
                    <w:snapToGrid w:val="0"/>
                    <w:spacing w:line="240" w:lineRule="auto"/>
                    <w:jc w:val="center"/>
                    <w:rPr>
                      <w:rStyle w:val="36"/>
                      <w:rFonts w:hint="default" w:ascii="Times New Roman" w:hAnsi="Times New Roman" w:cs="Times New Roman"/>
                    </w:rPr>
                  </w:pPr>
                </w:p>
              </w:tc>
              <w:tc>
                <w:tcPr>
                  <w:tcW w:w="2451" w:type="pct"/>
                  <w:noWrap w:val="0"/>
                  <w:vAlign w:val="center"/>
                </w:tcPr>
                <w:p>
                  <w:pPr>
                    <w:snapToGrid w:val="0"/>
                    <w:spacing w:line="240"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食堂油烟净化器</w:t>
                  </w:r>
                </w:p>
              </w:tc>
              <w:tc>
                <w:tcPr>
                  <w:tcW w:w="1245" w:type="pct"/>
                  <w:noWrap w:val="0"/>
                  <w:vAlign w:val="center"/>
                </w:tcPr>
                <w:p>
                  <w:pPr>
                    <w:snapToGrid w:val="0"/>
                    <w:spacing w:line="240" w:lineRule="auto"/>
                    <w:jc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64" w:type="pct"/>
                  <w:vMerge w:val="continue"/>
                  <w:noWrap w:val="0"/>
                  <w:vAlign w:val="center"/>
                </w:tcPr>
                <w:p>
                  <w:pPr>
                    <w:snapToGrid w:val="0"/>
                    <w:spacing w:line="240" w:lineRule="auto"/>
                    <w:jc w:val="center"/>
                    <w:rPr>
                      <w:rFonts w:hint="default" w:ascii="Times New Roman" w:hAnsi="Times New Roman" w:cs="Times New Roman"/>
                      <w:szCs w:val="21"/>
                    </w:rPr>
                  </w:pPr>
                </w:p>
              </w:tc>
              <w:tc>
                <w:tcPr>
                  <w:tcW w:w="638" w:type="pct"/>
                  <w:noWrap w:val="0"/>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噪声</w:t>
                  </w:r>
                </w:p>
              </w:tc>
              <w:tc>
                <w:tcPr>
                  <w:tcW w:w="2451" w:type="pct"/>
                  <w:noWrap w:val="0"/>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减震垫、隔声门窗、选用低噪声设备</w:t>
                  </w:r>
                </w:p>
              </w:tc>
              <w:tc>
                <w:tcPr>
                  <w:tcW w:w="1245" w:type="pct"/>
                  <w:noWrap w:val="0"/>
                  <w:vAlign w:val="center"/>
                </w:tcPr>
                <w:p>
                  <w:pPr>
                    <w:snapToGrid w:val="0"/>
                    <w:spacing w:line="240" w:lineRule="auto"/>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64" w:type="pct"/>
                  <w:vMerge w:val="continue"/>
                  <w:noWrap w:val="0"/>
                  <w:vAlign w:val="center"/>
                </w:tcPr>
                <w:p>
                  <w:pPr>
                    <w:snapToGrid w:val="0"/>
                    <w:spacing w:line="240" w:lineRule="auto"/>
                    <w:jc w:val="center"/>
                    <w:rPr>
                      <w:rFonts w:hint="default" w:ascii="Times New Roman" w:hAnsi="Times New Roman" w:cs="Times New Roman"/>
                      <w:szCs w:val="21"/>
                    </w:rPr>
                  </w:pPr>
                </w:p>
              </w:tc>
              <w:tc>
                <w:tcPr>
                  <w:tcW w:w="638" w:type="pct"/>
                  <w:noWrap w:val="0"/>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固废</w:t>
                  </w:r>
                </w:p>
              </w:tc>
              <w:tc>
                <w:tcPr>
                  <w:tcW w:w="2451" w:type="pct"/>
                  <w:noWrap w:val="0"/>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生活垃圾箱、集中收集后委托环卫部门清运</w:t>
                  </w:r>
                </w:p>
              </w:tc>
              <w:tc>
                <w:tcPr>
                  <w:tcW w:w="1245" w:type="pct"/>
                  <w:noWrap w:val="0"/>
                  <w:vAlign w:val="center"/>
                </w:tcPr>
                <w:p>
                  <w:pPr>
                    <w:snapToGrid w:val="0"/>
                    <w:spacing w:line="240" w:lineRule="auto"/>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64" w:type="pct"/>
                  <w:vMerge w:val="continue"/>
                  <w:noWrap w:val="0"/>
                  <w:vAlign w:val="center"/>
                </w:tcPr>
                <w:p>
                  <w:pPr>
                    <w:snapToGrid w:val="0"/>
                    <w:spacing w:line="240" w:lineRule="auto"/>
                    <w:jc w:val="center"/>
                    <w:rPr>
                      <w:rFonts w:hint="default" w:ascii="Times New Roman" w:hAnsi="Times New Roman" w:cs="Times New Roman"/>
                      <w:szCs w:val="21"/>
                    </w:rPr>
                  </w:pPr>
                </w:p>
              </w:tc>
              <w:tc>
                <w:tcPr>
                  <w:tcW w:w="638" w:type="pct"/>
                  <w:noWrap w:val="0"/>
                  <w:vAlign w:val="center"/>
                </w:tcPr>
                <w:p>
                  <w:pPr>
                    <w:snapToGrid w:val="0"/>
                    <w:spacing w:line="24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危废</w:t>
                  </w:r>
                </w:p>
              </w:tc>
              <w:tc>
                <w:tcPr>
                  <w:tcW w:w="2451" w:type="pct"/>
                  <w:noWrap w:val="0"/>
                  <w:vAlign w:val="center"/>
                </w:tcPr>
                <w:p>
                  <w:pPr>
                    <w:snapToGrid w:val="0"/>
                    <w:spacing w:line="24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危废暂存间</w:t>
                  </w:r>
                </w:p>
              </w:tc>
              <w:tc>
                <w:tcPr>
                  <w:tcW w:w="1245" w:type="pct"/>
                  <w:noWrap w:val="0"/>
                  <w:vAlign w:val="center"/>
                </w:tcPr>
                <w:p>
                  <w:pPr>
                    <w:snapToGrid w:val="0"/>
                    <w:spacing w:line="240" w:lineRule="auto"/>
                    <w:jc w:val="center"/>
                    <w:rPr>
                      <w:rFonts w:hint="default" w:ascii="Times New Roman" w:hAnsi="Times New Roman" w:cs="Times New Roman"/>
                      <w:color w:val="000000"/>
                      <w:szCs w:val="21"/>
                      <w:highlight w:val="none"/>
                      <w:lang w:val="en-US" w:eastAsia="zh-CN"/>
                    </w:rPr>
                  </w:pPr>
                  <w:r>
                    <w:rPr>
                      <w:rFonts w:hint="eastAsia" w:cs="Times New Roman"/>
                      <w:color w:val="000000"/>
                      <w:szCs w:val="21"/>
                      <w:highlight w:val="none"/>
                      <w:lang w:val="en-US" w:eastAsia="zh-CN"/>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754" w:type="pct"/>
                  <w:gridSpan w:val="3"/>
                  <w:noWrap w:val="0"/>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合  计</w:t>
                  </w:r>
                </w:p>
              </w:tc>
              <w:tc>
                <w:tcPr>
                  <w:tcW w:w="1245" w:type="pct"/>
                  <w:noWrap w:val="0"/>
                  <w:vAlign w:val="top"/>
                </w:tcPr>
                <w:p>
                  <w:pPr>
                    <w:snapToGrid w:val="0"/>
                    <w:spacing w:line="240" w:lineRule="auto"/>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22.5</w:t>
                  </w:r>
                </w:p>
              </w:tc>
            </w:tr>
          </w:tbl>
          <w:p>
            <w:pPr>
              <w:spacing w:line="360" w:lineRule="auto"/>
              <w:rPr>
                <w:b/>
                <w:bCs/>
                <w:color w:val="auto"/>
                <w:sz w:val="24"/>
                <w:highlight w:val="none"/>
              </w:rPr>
            </w:pPr>
            <w:r>
              <w:rPr>
                <w:b/>
                <w:bCs/>
                <w:color w:val="auto"/>
                <w:sz w:val="24"/>
                <w:highlight w:val="none"/>
              </w:rPr>
              <w:t>9 建设项目竣工环保验收</w:t>
            </w:r>
          </w:p>
          <w:p>
            <w:pPr>
              <w:topLinePunct/>
              <w:adjustRightInd w:val="0"/>
              <w:snapToGrid w:val="0"/>
              <w:spacing w:line="360" w:lineRule="auto"/>
              <w:ind w:firstLine="480" w:firstLineChars="200"/>
              <w:jc w:val="left"/>
              <w:rPr>
                <w:color w:val="auto"/>
                <w:sz w:val="21"/>
                <w:szCs w:val="21"/>
                <w:highlight w:val="none"/>
              </w:rPr>
            </w:pPr>
            <w:r>
              <w:rPr>
                <w:color w:val="auto"/>
                <w:kern w:val="0"/>
                <w:sz w:val="24"/>
                <w:highlight w:val="none"/>
              </w:rPr>
              <w:t>建设项目竣工环保“三同时”验收内容具体见表</w:t>
            </w:r>
            <w:r>
              <w:rPr>
                <w:rFonts w:hint="eastAsia"/>
                <w:color w:val="auto"/>
                <w:kern w:val="0"/>
                <w:sz w:val="24"/>
                <w:highlight w:val="none"/>
                <w:lang w:val="en-US" w:eastAsia="zh-CN"/>
              </w:rPr>
              <w:t>4-18</w:t>
            </w:r>
            <w:r>
              <w:rPr>
                <w:color w:val="auto"/>
                <w:kern w:val="0"/>
                <w:sz w:val="24"/>
                <w:highlight w:val="none"/>
              </w:rPr>
              <w:t>。</w:t>
            </w:r>
          </w:p>
          <w:p>
            <w:pPr>
              <w:pStyle w:val="9"/>
              <w:spacing w:line="240" w:lineRule="auto"/>
              <w:rPr>
                <w:color w:val="auto"/>
                <w:sz w:val="21"/>
                <w:szCs w:val="21"/>
                <w:highlight w:val="none"/>
              </w:rPr>
            </w:pPr>
            <w:r>
              <w:rPr>
                <w:color w:val="auto"/>
                <w:sz w:val="21"/>
                <w:szCs w:val="21"/>
                <w:highlight w:val="none"/>
              </w:rPr>
              <w:t>表</w:t>
            </w:r>
            <w:r>
              <w:rPr>
                <w:rFonts w:hint="eastAsia"/>
                <w:color w:val="auto"/>
                <w:sz w:val="21"/>
                <w:szCs w:val="21"/>
                <w:highlight w:val="none"/>
                <w:lang w:val="en-US" w:eastAsia="zh-CN"/>
              </w:rPr>
              <w:t>4-18</w:t>
            </w:r>
            <w:r>
              <w:rPr>
                <w:color w:val="auto"/>
                <w:sz w:val="21"/>
                <w:szCs w:val="21"/>
                <w:highlight w:val="none"/>
              </w:rPr>
              <w:t xml:space="preserve">    环保“三同时”验收一览表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715"/>
              <w:gridCol w:w="1070"/>
              <w:gridCol w:w="1364"/>
              <w:gridCol w:w="2764"/>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Align w:val="center"/>
                </w:tcPr>
                <w:p>
                  <w:pPr>
                    <w:pStyle w:val="65"/>
                    <w:spacing w:line="240" w:lineRule="auto"/>
                    <w:rPr>
                      <w:b/>
                      <w:bCs/>
                      <w:color w:val="auto"/>
                      <w:highlight w:val="none"/>
                    </w:rPr>
                  </w:pPr>
                  <w:r>
                    <w:rPr>
                      <w:b/>
                      <w:bCs/>
                      <w:color w:val="auto"/>
                      <w:highlight w:val="none"/>
                    </w:rPr>
                    <w:t>序号</w:t>
                  </w:r>
                </w:p>
              </w:tc>
              <w:tc>
                <w:tcPr>
                  <w:tcW w:w="465" w:type="pct"/>
                  <w:vAlign w:val="center"/>
                </w:tcPr>
                <w:p>
                  <w:pPr>
                    <w:pStyle w:val="65"/>
                    <w:spacing w:line="240" w:lineRule="auto"/>
                    <w:rPr>
                      <w:b/>
                      <w:bCs/>
                      <w:color w:val="auto"/>
                      <w:highlight w:val="none"/>
                    </w:rPr>
                  </w:pPr>
                  <w:r>
                    <w:rPr>
                      <w:b/>
                      <w:bCs/>
                      <w:color w:val="auto"/>
                      <w:spacing w:val="-6"/>
                      <w:highlight w:val="none"/>
                    </w:rPr>
                    <w:t>污染源分类</w:t>
                  </w:r>
                </w:p>
              </w:tc>
              <w:tc>
                <w:tcPr>
                  <w:tcW w:w="696" w:type="pct"/>
                  <w:vAlign w:val="center"/>
                </w:tcPr>
                <w:p>
                  <w:pPr>
                    <w:pStyle w:val="65"/>
                    <w:spacing w:line="240" w:lineRule="auto"/>
                    <w:rPr>
                      <w:b/>
                      <w:bCs/>
                      <w:color w:val="auto"/>
                      <w:highlight w:val="none"/>
                    </w:rPr>
                  </w:pPr>
                  <w:r>
                    <w:rPr>
                      <w:b/>
                      <w:bCs/>
                      <w:color w:val="auto"/>
                      <w:highlight w:val="none"/>
                    </w:rPr>
                    <w:t>验收监测因子</w:t>
                  </w:r>
                </w:p>
              </w:tc>
              <w:tc>
                <w:tcPr>
                  <w:tcW w:w="887" w:type="pct"/>
                  <w:vAlign w:val="center"/>
                </w:tcPr>
                <w:p>
                  <w:pPr>
                    <w:pStyle w:val="65"/>
                    <w:spacing w:line="240" w:lineRule="auto"/>
                    <w:rPr>
                      <w:b/>
                      <w:bCs/>
                      <w:color w:val="auto"/>
                      <w:highlight w:val="none"/>
                    </w:rPr>
                  </w:pPr>
                  <w:r>
                    <w:rPr>
                      <w:b/>
                      <w:bCs/>
                      <w:color w:val="auto"/>
                      <w:highlight w:val="none"/>
                    </w:rPr>
                    <w:t>环保措施</w:t>
                  </w:r>
                </w:p>
              </w:tc>
              <w:tc>
                <w:tcPr>
                  <w:tcW w:w="1797" w:type="pct"/>
                  <w:vAlign w:val="center"/>
                </w:tcPr>
                <w:p>
                  <w:pPr>
                    <w:pStyle w:val="65"/>
                    <w:spacing w:line="240" w:lineRule="auto"/>
                    <w:rPr>
                      <w:rFonts w:hint="eastAsia" w:eastAsia="宋体"/>
                      <w:b/>
                      <w:bCs/>
                      <w:color w:val="auto"/>
                      <w:highlight w:val="none"/>
                      <w:lang w:eastAsia="zh-CN"/>
                    </w:rPr>
                  </w:pPr>
                  <w:r>
                    <w:rPr>
                      <w:rFonts w:hint="eastAsia"/>
                      <w:b/>
                      <w:bCs/>
                      <w:color w:val="auto"/>
                      <w:highlight w:val="none"/>
                      <w:lang w:val="en-US" w:eastAsia="zh-CN"/>
                    </w:rPr>
                    <w:t>执行标准</w:t>
                  </w:r>
                </w:p>
              </w:tc>
              <w:tc>
                <w:tcPr>
                  <w:tcW w:w="867" w:type="pct"/>
                  <w:vAlign w:val="center"/>
                </w:tcPr>
                <w:p>
                  <w:pPr>
                    <w:pStyle w:val="65"/>
                    <w:spacing w:line="240" w:lineRule="auto"/>
                    <w:rPr>
                      <w:rFonts w:hint="eastAsia" w:eastAsia="宋体"/>
                      <w:b/>
                      <w:bCs/>
                      <w:color w:val="auto"/>
                      <w:highlight w:val="none"/>
                      <w:lang w:val="en-US" w:eastAsia="zh-CN"/>
                    </w:rPr>
                  </w:pPr>
                  <w:r>
                    <w:rPr>
                      <w:rFonts w:hint="eastAsia"/>
                      <w:b/>
                      <w:bCs/>
                      <w:color w:val="auto"/>
                      <w:highlight w:val="none"/>
                      <w:lang w:val="en-US" w:eastAsia="zh-CN"/>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restart"/>
                  <w:vAlign w:val="center"/>
                </w:tcPr>
                <w:p>
                  <w:pPr>
                    <w:pStyle w:val="65"/>
                    <w:spacing w:line="240" w:lineRule="auto"/>
                    <w:rPr>
                      <w:color w:val="auto"/>
                      <w:highlight w:val="none"/>
                    </w:rPr>
                  </w:pPr>
                  <w:r>
                    <w:rPr>
                      <w:color w:val="auto"/>
                      <w:highlight w:val="none"/>
                    </w:rPr>
                    <w:t>1</w:t>
                  </w:r>
                </w:p>
              </w:tc>
              <w:tc>
                <w:tcPr>
                  <w:tcW w:w="465" w:type="pct"/>
                  <w:vAlign w:val="center"/>
                </w:tcPr>
                <w:p>
                  <w:pPr>
                    <w:pStyle w:val="65"/>
                    <w:spacing w:line="240" w:lineRule="auto"/>
                    <w:rPr>
                      <w:rFonts w:hint="default" w:eastAsia="宋体"/>
                      <w:color w:val="auto"/>
                      <w:highlight w:val="none"/>
                      <w:lang w:val="en-US" w:eastAsia="zh-CN"/>
                    </w:rPr>
                  </w:pPr>
                  <w:r>
                    <w:rPr>
                      <w:rFonts w:hint="eastAsia"/>
                      <w:color w:val="auto"/>
                      <w:highlight w:val="none"/>
                      <w:lang w:val="en-US" w:eastAsia="zh-CN"/>
                    </w:rPr>
                    <w:t>进料、筛分颗粒物</w:t>
                  </w:r>
                </w:p>
              </w:tc>
              <w:tc>
                <w:tcPr>
                  <w:tcW w:w="696" w:type="pct"/>
                  <w:vAlign w:val="center"/>
                </w:tcPr>
                <w:p>
                  <w:pPr>
                    <w:pStyle w:val="65"/>
                    <w:spacing w:line="240" w:lineRule="auto"/>
                    <w:rPr>
                      <w:rFonts w:hint="eastAsia" w:ascii="Times New Roman" w:hAnsi="Times New Roman" w:eastAsia="宋体" w:cs="Times New Roman"/>
                      <w:snapToGrid w:val="0"/>
                      <w:color w:val="auto"/>
                      <w:kern w:val="2"/>
                      <w:sz w:val="21"/>
                      <w:szCs w:val="21"/>
                      <w:highlight w:val="none"/>
                      <w:lang w:val="en-US" w:eastAsia="zh-CN" w:bidi="ar-SA"/>
                    </w:rPr>
                  </w:pPr>
                  <w:r>
                    <w:rPr>
                      <w:rFonts w:hint="eastAsia"/>
                      <w:color w:val="auto"/>
                      <w:highlight w:val="none"/>
                      <w:lang w:val="en-US" w:eastAsia="zh-CN"/>
                    </w:rPr>
                    <w:t>颗粒物</w:t>
                  </w:r>
                </w:p>
              </w:tc>
              <w:tc>
                <w:tcPr>
                  <w:tcW w:w="887" w:type="pct"/>
                  <w:vAlign w:val="center"/>
                </w:tcPr>
                <w:p>
                  <w:pPr>
                    <w:pStyle w:val="65"/>
                    <w:spacing w:line="240" w:lineRule="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szCs w:val="21"/>
                      <w:highlight w:val="none"/>
                      <w:lang w:val="en-US" w:eastAsia="zh-CN"/>
                    </w:rPr>
                    <w:t>集气罩</w:t>
                  </w:r>
                  <w:r>
                    <w:rPr>
                      <w:rFonts w:hint="default" w:ascii="Times New Roman" w:hAnsi="Times New Roman" w:cs="Times New Roman"/>
                      <w:color w:val="auto"/>
                      <w:szCs w:val="21"/>
                      <w:highlight w:val="none"/>
                    </w:rPr>
                    <w:t>（集气效率</w:t>
                  </w:r>
                  <w:r>
                    <w:rPr>
                      <w:rFonts w:hint="eastAsia" w:cs="Times New Roman"/>
                      <w:color w:val="auto"/>
                      <w:szCs w:val="21"/>
                      <w:highlight w:val="none"/>
                      <w:lang w:val="en-US" w:eastAsia="zh-CN"/>
                    </w:rPr>
                    <w:t>95%</w:t>
                  </w:r>
                  <w:r>
                    <w:rPr>
                      <w:rFonts w:hint="default" w:ascii="Times New Roman" w:hAnsi="Times New Roman" w:cs="Times New Roman"/>
                      <w:color w:val="auto"/>
                      <w:szCs w:val="21"/>
                      <w:highlight w:val="none"/>
                    </w:rPr>
                    <w:t>）+布袋除尘（处理效率9</w:t>
                  </w:r>
                  <w:r>
                    <w:rPr>
                      <w:rFonts w:hint="eastAsia" w:cs="Times New Roman"/>
                      <w:color w:val="auto"/>
                      <w:szCs w:val="21"/>
                      <w:highlight w:val="none"/>
                      <w:lang w:val="en-US" w:eastAsia="zh-CN"/>
                    </w:rPr>
                    <w:t>8</w:t>
                  </w:r>
                  <w:r>
                    <w:rPr>
                      <w:rFonts w:hint="default" w:ascii="Times New Roman" w:hAnsi="Times New Roman" w:cs="Times New Roman"/>
                      <w:color w:val="auto"/>
                      <w:szCs w:val="21"/>
                      <w:highlight w:val="none"/>
                    </w:rPr>
                    <w:t>%）+15m排气筒</w:t>
                  </w:r>
                  <w:r>
                    <w:rPr>
                      <w:rFonts w:hint="eastAsia" w:cs="Times New Roman"/>
                      <w:color w:val="auto"/>
                      <w:szCs w:val="21"/>
                      <w:highlight w:val="none"/>
                      <w:lang w:val="en-US" w:eastAsia="zh-CN"/>
                    </w:rPr>
                    <w:t>(DA001)</w:t>
                  </w:r>
                </w:p>
              </w:tc>
              <w:tc>
                <w:tcPr>
                  <w:tcW w:w="1797" w:type="pct"/>
                  <w:vAlign w:val="center"/>
                </w:tcPr>
                <w:p>
                  <w:pPr>
                    <w:adjustRightInd w:val="0"/>
                    <w:snapToGrid w:val="0"/>
                    <w:spacing w:line="240" w:lineRule="auto"/>
                    <w:jc w:val="center"/>
                    <w:rPr>
                      <w:rFonts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cs="Times New Roman"/>
                      <w:snapToGrid w:val="0"/>
                      <w:color w:val="auto"/>
                      <w:kern w:val="0"/>
                      <w:szCs w:val="21"/>
                      <w:highlight w:val="none"/>
                    </w:rPr>
                    <w:t>满足《大气污染物综合排放标准》（GB16297-1996）表2颗粒物二级排放限值</w:t>
                  </w:r>
                </w:p>
              </w:tc>
              <w:tc>
                <w:tcPr>
                  <w:tcW w:w="867" w:type="pct"/>
                  <w:vAlign w:val="center"/>
                </w:tcPr>
                <w:p>
                  <w:pPr>
                    <w:adjustRightInd w:val="0"/>
                    <w:snapToGrid w:val="0"/>
                    <w:spacing w:line="240" w:lineRule="auto"/>
                    <w:jc w:val="center"/>
                    <w:rPr>
                      <w:rFonts w:hint="default" w:ascii="Times New Roman" w:hAnsi="Times New Roman" w:cs="Times New Roman"/>
                      <w:snapToGrid w:val="0"/>
                      <w:color w:val="auto"/>
                      <w:kern w:val="0"/>
                      <w:szCs w:val="21"/>
                      <w:highlight w:val="none"/>
                    </w:rPr>
                  </w:pPr>
                  <w:r>
                    <w:rPr>
                      <w:rFonts w:ascii="TimesNewRomanPSMT" w:hAnsi="TimesNewRomanPSMT" w:eastAsia="TimesNewRomanPSMT" w:cs="TimesNewRomanPSMT"/>
                      <w:b w:val="0"/>
                      <w:bCs w:val="0"/>
                      <w:color w:val="000000"/>
                      <w:sz w:val="20"/>
                      <w:szCs w:val="20"/>
                    </w:rPr>
                    <w:t>120mg/m</w:t>
                  </w:r>
                  <w:r>
                    <w:rPr>
                      <w:rFonts w:hint="default" w:ascii="TimesNewRomanPSMT" w:hAnsi="TimesNewRomanPSMT" w:eastAsia="TimesNewRomanPSMT" w:cs="TimesNewRomanPSMT"/>
                      <w:b w:val="0"/>
                      <w:bCs w:val="0"/>
                      <w:color w:val="000000"/>
                      <w:sz w:val="18"/>
                      <w:szCs w:val="18"/>
                      <w:vertAlign w:val="superscript"/>
                    </w:rPr>
                    <w:t>3</w:t>
                  </w:r>
                  <w:r>
                    <w:rPr>
                      <w:rFonts w:hint="default" w:ascii="TimesNewRomanPSMT" w:hAnsi="TimesNewRomanPSMT" w:eastAsia="TimesNewRomanPSMT" w:cs="TimesNewRomanPSMT"/>
                      <w:b w:val="0"/>
                      <w:bCs w:val="0"/>
                      <w:color w:val="000000"/>
                      <w:sz w:val="18"/>
                      <w:szCs w:val="18"/>
                    </w:rPr>
                    <w:t xml:space="preserve"> </w:t>
                  </w:r>
                  <w:r>
                    <w:rPr>
                      <w:rFonts w:hint="default" w:ascii="TimesNewRomanPSMT" w:hAnsi="TimesNewRomanPSMT" w:eastAsia="TimesNewRomanPSMT" w:cs="TimesNewRomanPSMT"/>
                      <w:b w:val="0"/>
                      <w:bCs w:val="0"/>
                      <w:color w:val="000000"/>
                      <w:sz w:val="20"/>
                      <w:szCs w:val="20"/>
                    </w:rPr>
                    <w:t>3.5kg/h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vMerge w:val="continue"/>
                  <w:vAlign w:val="center"/>
                </w:tcPr>
                <w:p>
                  <w:pPr>
                    <w:pStyle w:val="65"/>
                    <w:spacing w:line="240" w:lineRule="auto"/>
                    <w:rPr>
                      <w:color w:val="auto"/>
                      <w:highlight w:val="none"/>
                    </w:rPr>
                  </w:pPr>
                </w:p>
              </w:tc>
              <w:tc>
                <w:tcPr>
                  <w:tcW w:w="465" w:type="pct"/>
                  <w:vAlign w:val="center"/>
                </w:tcPr>
                <w:p>
                  <w:pPr>
                    <w:pStyle w:val="65"/>
                    <w:spacing w:line="240" w:lineRule="auto"/>
                    <w:rPr>
                      <w:rFonts w:hint="default" w:eastAsia="宋体"/>
                      <w:color w:val="auto"/>
                      <w:highlight w:val="none"/>
                      <w:lang w:val="en-US" w:eastAsia="zh-CN"/>
                    </w:rPr>
                  </w:pPr>
                  <w:r>
                    <w:rPr>
                      <w:rFonts w:hint="eastAsia"/>
                      <w:color w:val="auto"/>
                      <w:highlight w:val="none"/>
                      <w:lang w:val="en-US" w:eastAsia="zh-CN"/>
                    </w:rPr>
                    <w:t>粉碎、包装颗粒物</w:t>
                  </w:r>
                </w:p>
              </w:tc>
              <w:tc>
                <w:tcPr>
                  <w:tcW w:w="696" w:type="pct"/>
                  <w:vAlign w:val="center"/>
                </w:tcPr>
                <w:p>
                  <w:pPr>
                    <w:pStyle w:val="65"/>
                    <w:spacing w:line="240" w:lineRule="auto"/>
                    <w:rPr>
                      <w:rFonts w:hint="default"/>
                      <w:color w:val="auto"/>
                      <w:highlight w:val="none"/>
                      <w:lang w:val="en-US" w:eastAsia="zh-CN"/>
                    </w:rPr>
                  </w:pPr>
                  <w:r>
                    <w:rPr>
                      <w:rFonts w:hint="eastAsia"/>
                      <w:color w:val="auto"/>
                      <w:highlight w:val="none"/>
                      <w:lang w:val="en-US" w:eastAsia="zh-CN"/>
                    </w:rPr>
                    <w:t>颗粒物</w:t>
                  </w:r>
                </w:p>
              </w:tc>
              <w:tc>
                <w:tcPr>
                  <w:tcW w:w="887" w:type="pct"/>
                  <w:vAlign w:val="center"/>
                </w:tcPr>
                <w:p>
                  <w:pPr>
                    <w:pStyle w:val="65"/>
                    <w:spacing w:line="240" w:lineRule="auto"/>
                    <w:rPr>
                      <w:rFonts w:hint="default" w:cs="Times New Roman"/>
                      <w:color w:val="auto"/>
                      <w:szCs w:val="21"/>
                      <w:highlight w:val="none"/>
                      <w:lang w:val="en-US" w:eastAsia="zh-CN"/>
                    </w:rPr>
                  </w:pPr>
                  <w:r>
                    <w:rPr>
                      <w:rFonts w:hint="eastAsia" w:cs="Times New Roman"/>
                      <w:color w:val="auto"/>
                      <w:szCs w:val="21"/>
                      <w:highlight w:val="none"/>
                      <w:lang w:val="en-US" w:eastAsia="zh-CN"/>
                    </w:rPr>
                    <w:t>设备自带布袋除尘器+厂房密闭</w:t>
                  </w:r>
                </w:p>
              </w:tc>
              <w:tc>
                <w:tcPr>
                  <w:tcW w:w="1797" w:type="pct"/>
                  <w:vAlign w:val="center"/>
                </w:tcPr>
                <w:p>
                  <w:pPr>
                    <w:adjustRightInd w:val="0"/>
                    <w:snapToGrid w:val="0"/>
                    <w:spacing w:line="240" w:lineRule="auto"/>
                    <w:jc w:val="center"/>
                    <w:rPr>
                      <w:rFonts w:hint="eastAsia" w:ascii="Times New Roman" w:hAnsi="Times New Roman" w:eastAsia="宋体"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rPr>
                    <w:t>《大气污染物综合排放标准》（GB16297-1996）</w:t>
                  </w:r>
                  <w:r>
                    <w:rPr>
                      <w:rFonts w:hint="eastAsia" w:cs="Times New Roman"/>
                      <w:snapToGrid w:val="0"/>
                      <w:color w:val="auto"/>
                      <w:kern w:val="0"/>
                      <w:szCs w:val="21"/>
                      <w:highlight w:val="none"/>
                      <w:lang w:val="en-US" w:eastAsia="zh-CN"/>
                    </w:rPr>
                    <w:t>无组织颗粒物排放控制标准</w:t>
                  </w:r>
                </w:p>
              </w:tc>
              <w:tc>
                <w:tcPr>
                  <w:tcW w:w="867" w:type="pct"/>
                  <w:vAlign w:val="center"/>
                </w:tcPr>
                <w:p>
                  <w:pPr>
                    <w:adjustRightInd w:val="0"/>
                    <w:snapToGrid w:val="0"/>
                    <w:spacing w:line="240" w:lineRule="auto"/>
                    <w:jc w:val="center"/>
                    <w:rPr>
                      <w:rFonts w:hint="default" w:ascii="TimesNewRomanPSMT" w:hAnsi="TimesNewRomanPSMT" w:eastAsia="宋体" w:cs="TimesNewRomanPSMT"/>
                      <w:b w:val="0"/>
                      <w:bCs w:val="0"/>
                      <w:color w:val="000000"/>
                      <w:sz w:val="20"/>
                      <w:szCs w:val="20"/>
                      <w:lang w:val="en-US" w:eastAsia="zh-CN"/>
                    </w:rPr>
                  </w:pPr>
                  <w:r>
                    <w:rPr>
                      <w:rFonts w:hint="eastAsia" w:ascii="TimesNewRomanPSMT" w:hAnsi="TimesNewRomanPSMT" w:eastAsia="宋体" w:cs="TimesNewRomanPSMT"/>
                      <w:b w:val="0"/>
                      <w:bCs w:val="0"/>
                      <w:color w:val="000000"/>
                      <w:sz w:val="20"/>
                      <w:szCs w:val="20"/>
                      <w:lang w:val="en-US" w:eastAsia="zh-CN"/>
                    </w:rPr>
                    <w:t>1.0</w:t>
                  </w:r>
                  <w:r>
                    <w:rPr>
                      <w:rFonts w:ascii="TimesNewRomanPSMT" w:hAnsi="TimesNewRomanPSMT" w:eastAsia="TimesNewRomanPSMT" w:cs="TimesNewRomanPSMT"/>
                      <w:b w:val="0"/>
                      <w:bCs w:val="0"/>
                      <w:color w:val="000000"/>
                      <w:sz w:val="20"/>
                      <w:szCs w:val="20"/>
                    </w:rPr>
                    <w:t>mg/m</w:t>
                  </w:r>
                  <w:r>
                    <w:rPr>
                      <w:rFonts w:hint="default" w:ascii="TimesNewRomanPSMT" w:hAnsi="TimesNewRomanPSMT" w:eastAsia="TimesNewRomanPSMT" w:cs="TimesNewRomanPSMT"/>
                      <w:b w:val="0"/>
                      <w:bCs w:val="0"/>
                      <w:color w:val="000000"/>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continue"/>
                  <w:vAlign w:val="center"/>
                </w:tcPr>
                <w:p>
                  <w:pPr>
                    <w:pStyle w:val="65"/>
                    <w:spacing w:line="240" w:lineRule="auto"/>
                    <w:rPr>
                      <w:color w:val="auto"/>
                      <w:highlight w:val="none"/>
                    </w:rPr>
                  </w:pPr>
                </w:p>
              </w:tc>
              <w:tc>
                <w:tcPr>
                  <w:tcW w:w="465" w:type="pct"/>
                  <w:vAlign w:val="center"/>
                </w:tcPr>
                <w:p>
                  <w:pPr>
                    <w:pStyle w:val="65"/>
                    <w:spacing w:line="240" w:lineRule="auto"/>
                    <w:rPr>
                      <w:rFonts w:hint="eastAsia" w:eastAsia="宋体"/>
                      <w:color w:val="auto"/>
                      <w:highlight w:val="none"/>
                      <w:lang w:val="en-US" w:eastAsia="zh-CN"/>
                    </w:rPr>
                  </w:pPr>
                  <w:r>
                    <w:rPr>
                      <w:rFonts w:hint="eastAsia"/>
                      <w:color w:val="auto"/>
                      <w:highlight w:val="none"/>
                      <w:lang w:val="en-US" w:eastAsia="zh-CN"/>
                    </w:rPr>
                    <w:t>食堂油烟</w:t>
                  </w:r>
                </w:p>
              </w:tc>
              <w:tc>
                <w:tcPr>
                  <w:tcW w:w="696" w:type="pct"/>
                  <w:vAlign w:val="center"/>
                </w:tcPr>
                <w:p>
                  <w:pPr>
                    <w:pStyle w:val="65"/>
                    <w:spacing w:line="240" w:lineRule="auto"/>
                    <w:rPr>
                      <w:rFonts w:hint="default"/>
                      <w:color w:val="auto"/>
                      <w:highlight w:val="none"/>
                      <w:lang w:val="en-US" w:eastAsia="zh-CN"/>
                    </w:rPr>
                  </w:pPr>
                  <w:r>
                    <w:rPr>
                      <w:rFonts w:hint="eastAsia"/>
                      <w:color w:val="auto"/>
                      <w:highlight w:val="none"/>
                      <w:lang w:val="en-US" w:eastAsia="zh-CN"/>
                    </w:rPr>
                    <w:t>食堂油烟</w:t>
                  </w:r>
                </w:p>
              </w:tc>
              <w:tc>
                <w:tcPr>
                  <w:tcW w:w="887" w:type="pct"/>
                  <w:vAlign w:val="center"/>
                </w:tcPr>
                <w:p>
                  <w:pPr>
                    <w:pStyle w:val="65"/>
                    <w:spacing w:line="240" w:lineRule="auto"/>
                    <w:rPr>
                      <w:rFonts w:hint="default" w:cs="Times New Roman"/>
                      <w:color w:val="auto"/>
                      <w:szCs w:val="21"/>
                      <w:highlight w:val="none"/>
                      <w:lang w:val="en-US" w:eastAsia="zh-CN"/>
                    </w:rPr>
                  </w:pPr>
                  <w:r>
                    <w:rPr>
                      <w:rFonts w:hint="eastAsia" w:cs="Times New Roman"/>
                      <w:color w:val="auto"/>
                      <w:szCs w:val="21"/>
                      <w:highlight w:val="none"/>
                      <w:lang w:val="en-US" w:eastAsia="zh-CN"/>
                    </w:rPr>
                    <w:t>食堂油烟净化器+专用烟道</w:t>
                  </w:r>
                </w:p>
              </w:tc>
              <w:tc>
                <w:tcPr>
                  <w:tcW w:w="1797" w:type="pct"/>
                  <w:vAlign w:val="center"/>
                </w:tcPr>
                <w:p>
                  <w:pPr>
                    <w:adjustRightInd w:val="0"/>
                    <w:snapToGrid w:val="0"/>
                    <w:spacing w:line="240" w:lineRule="auto"/>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《饮食业油烟排放标准（试行）》（GB18483-2001）</w:t>
                  </w:r>
                </w:p>
              </w:tc>
              <w:tc>
                <w:tcPr>
                  <w:tcW w:w="867" w:type="pct"/>
                  <w:vAlign w:val="center"/>
                </w:tcPr>
                <w:p>
                  <w:pPr>
                    <w:adjustRightInd w:val="0"/>
                    <w:snapToGrid w:val="0"/>
                    <w:spacing w:line="240" w:lineRule="auto"/>
                    <w:jc w:val="center"/>
                    <w:rPr>
                      <w:rFonts w:ascii="TimesNewRomanPSMT" w:hAnsi="TimesNewRomanPSMT" w:eastAsia="TimesNewRomanPSMT" w:cs="TimesNewRomanPSMT"/>
                      <w:b w:val="0"/>
                      <w:bCs w:val="0"/>
                      <w:color w:val="000000"/>
                      <w:sz w:val="20"/>
                      <w:szCs w:val="20"/>
                    </w:rPr>
                  </w:pPr>
                  <w:r>
                    <w:rPr>
                      <w:rFonts w:hint="eastAsia" w:ascii="TimesNewRomanPSMT" w:hAnsi="TimesNewRomanPSMT" w:cs="TimesNewRomanPSMT"/>
                      <w:b w:val="0"/>
                      <w:bCs w:val="0"/>
                      <w:color w:val="000000"/>
                      <w:sz w:val="20"/>
                      <w:szCs w:val="20"/>
                      <w:lang w:val="en-US" w:eastAsia="zh-CN"/>
                    </w:rPr>
                    <w:t>2</w:t>
                  </w:r>
                  <w:r>
                    <w:rPr>
                      <w:rFonts w:hint="eastAsia" w:ascii="TimesNewRomanPSMT" w:hAnsi="TimesNewRomanPSMT" w:eastAsia="宋体" w:cs="TimesNewRomanPSMT"/>
                      <w:b w:val="0"/>
                      <w:bCs w:val="0"/>
                      <w:color w:val="000000"/>
                      <w:sz w:val="20"/>
                      <w:szCs w:val="20"/>
                      <w:lang w:val="en-US" w:eastAsia="zh-CN"/>
                    </w:rPr>
                    <w:t>.0</w:t>
                  </w:r>
                  <w:r>
                    <w:rPr>
                      <w:rFonts w:ascii="TimesNewRomanPSMT" w:hAnsi="TimesNewRomanPSMT" w:eastAsia="TimesNewRomanPSMT" w:cs="TimesNewRomanPSMT"/>
                      <w:b w:val="0"/>
                      <w:bCs w:val="0"/>
                      <w:color w:val="000000"/>
                      <w:sz w:val="20"/>
                      <w:szCs w:val="20"/>
                    </w:rPr>
                    <w:t>mg/m</w:t>
                  </w:r>
                  <w:r>
                    <w:rPr>
                      <w:rFonts w:hint="default" w:ascii="TimesNewRomanPSMT" w:hAnsi="TimesNewRomanPSMT" w:eastAsia="TimesNewRomanPSMT" w:cs="TimesNewRomanPSMT"/>
                      <w:b w:val="0"/>
                      <w:bCs w:val="0"/>
                      <w:color w:val="000000"/>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restart"/>
                  <w:vAlign w:val="center"/>
                </w:tcPr>
                <w:p>
                  <w:pPr>
                    <w:pStyle w:val="65"/>
                    <w:spacing w:line="240" w:lineRule="auto"/>
                    <w:rPr>
                      <w:color w:val="auto"/>
                      <w:highlight w:val="none"/>
                    </w:rPr>
                  </w:pPr>
                  <w:r>
                    <w:rPr>
                      <w:color w:val="auto"/>
                      <w:highlight w:val="none"/>
                    </w:rPr>
                    <w:t>2</w:t>
                  </w:r>
                </w:p>
              </w:tc>
              <w:tc>
                <w:tcPr>
                  <w:tcW w:w="465" w:type="pct"/>
                  <w:vMerge w:val="restart"/>
                  <w:vAlign w:val="center"/>
                </w:tcPr>
                <w:p>
                  <w:pPr>
                    <w:pStyle w:val="65"/>
                    <w:spacing w:line="240" w:lineRule="auto"/>
                    <w:rPr>
                      <w:color w:val="auto"/>
                      <w:highlight w:val="none"/>
                    </w:rPr>
                  </w:pPr>
                  <w:r>
                    <w:rPr>
                      <w:color w:val="auto"/>
                      <w:highlight w:val="none"/>
                    </w:rPr>
                    <w:t>生活</w:t>
                  </w:r>
                  <w:r>
                    <w:rPr>
                      <w:rFonts w:hint="eastAsia"/>
                      <w:color w:val="auto"/>
                      <w:highlight w:val="none"/>
                      <w:lang w:val="en-US" w:eastAsia="zh-CN"/>
                    </w:rPr>
                    <w:t>废</w:t>
                  </w:r>
                  <w:r>
                    <w:rPr>
                      <w:color w:val="auto"/>
                      <w:highlight w:val="none"/>
                    </w:rPr>
                    <w:t>水</w:t>
                  </w:r>
                </w:p>
                <w:p>
                  <w:pPr>
                    <w:pStyle w:val="65"/>
                    <w:spacing w:line="240" w:lineRule="auto"/>
                    <w:rPr>
                      <w:color w:val="auto"/>
                      <w:highlight w:val="none"/>
                    </w:rPr>
                  </w:pPr>
                </w:p>
              </w:tc>
              <w:tc>
                <w:tcPr>
                  <w:tcW w:w="696" w:type="pct"/>
                  <w:vAlign w:val="center"/>
                </w:tcPr>
                <w:p>
                  <w:pPr>
                    <w:pStyle w:val="65"/>
                    <w:spacing w:line="240" w:lineRule="auto"/>
                    <w:rPr>
                      <w:rFonts w:hint="default" w:eastAsia="宋体"/>
                      <w:color w:val="auto"/>
                      <w:highlight w:val="none"/>
                      <w:lang w:val="en-US" w:eastAsia="zh-CN"/>
                    </w:rPr>
                  </w:pPr>
                  <w:r>
                    <w:rPr>
                      <w:rFonts w:hint="eastAsia"/>
                      <w:color w:val="auto"/>
                      <w:highlight w:val="none"/>
                      <w:lang w:val="en-US" w:eastAsia="zh-CN"/>
                    </w:rPr>
                    <w:t>COD</w:t>
                  </w:r>
                </w:p>
              </w:tc>
              <w:tc>
                <w:tcPr>
                  <w:tcW w:w="887" w:type="pct"/>
                  <w:vMerge w:val="restart"/>
                  <w:vAlign w:val="center"/>
                </w:tcPr>
                <w:p>
                  <w:pPr>
                    <w:pStyle w:val="65"/>
                    <w:spacing w:line="240" w:lineRule="auto"/>
                    <w:rPr>
                      <w:rFonts w:hint="default" w:eastAsia="宋体"/>
                      <w:color w:val="auto"/>
                      <w:highlight w:val="none"/>
                      <w:lang w:val="en-US" w:eastAsia="zh-CN"/>
                    </w:rPr>
                  </w:pPr>
                  <w:r>
                    <w:rPr>
                      <w:rFonts w:hint="eastAsia" w:cs="Times New Roman"/>
                      <w:color w:val="000000"/>
                      <w:lang w:val="en-US" w:eastAsia="zh-CN"/>
                    </w:rPr>
                    <w:t>直排园区</w:t>
                  </w:r>
                  <w:r>
                    <w:rPr>
                      <w:rFonts w:hint="default" w:ascii="Times New Roman" w:hAnsi="Times New Roman" w:cs="Times New Roman"/>
                      <w:color w:val="000000"/>
                    </w:rPr>
                    <w:t>污水管网，最</w:t>
                  </w:r>
                  <w:r>
                    <w:rPr>
                      <w:rFonts w:hint="eastAsia" w:cs="Times New Roman"/>
                      <w:color w:val="000000"/>
                      <w:lang w:val="en-US" w:eastAsia="zh-CN"/>
                    </w:rPr>
                    <w:t>终进入喇嘛湖梁工业园区污水处理厂深度处理</w:t>
                  </w:r>
                </w:p>
              </w:tc>
              <w:tc>
                <w:tcPr>
                  <w:tcW w:w="1797" w:type="pct"/>
                  <w:vMerge w:val="restart"/>
                  <w:vAlign w:val="center"/>
                </w:tcPr>
                <w:p>
                  <w:pPr>
                    <w:pStyle w:val="65"/>
                    <w:spacing w:line="240" w:lineRule="auto"/>
                    <w:rPr>
                      <w:color w:val="auto"/>
                      <w:highlight w:val="none"/>
                    </w:rPr>
                  </w:pPr>
                  <w:r>
                    <w:rPr>
                      <w:rFonts w:hint="eastAsia" w:ascii="Times New Roman" w:hAnsi="Times New Roman" w:eastAsia="宋体" w:cs="Times New Roman"/>
                      <w:snapToGrid w:val="0"/>
                      <w:color w:val="auto"/>
                      <w:kern w:val="0"/>
                      <w:sz w:val="21"/>
                      <w:szCs w:val="21"/>
                      <w:highlight w:val="none"/>
                      <w:lang w:val="en-US" w:eastAsia="zh-CN" w:bidi="ar-SA"/>
                    </w:rPr>
                    <w:t>《污水排入城市下水道水质标准》（GB/T31962-2015）B级标准限值</w:t>
                  </w:r>
                </w:p>
              </w:tc>
              <w:tc>
                <w:tcPr>
                  <w:tcW w:w="867" w:type="pct"/>
                  <w:vAlign w:val="center"/>
                </w:tcPr>
                <w:p>
                  <w:pPr>
                    <w:pStyle w:val="65"/>
                    <w:spacing w:line="240" w:lineRule="auto"/>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500mg/L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continue"/>
                  <w:vAlign w:val="center"/>
                </w:tcPr>
                <w:p>
                  <w:pPr>
                    <w:pStyle w:val="65"/>
                    <w:spacing w:line="240" w:lineRule="auto"/>
                    <w:rPr>
                      <w:color w:val="auto"/>
                      <w:highlight w:val="none"/>
                    </w:rPr>
                  </w:pPr>
                </w:p>
              </w:tc>
              <w:tc>
                <w:tcPr>
                  <w:tcW w:w="465" w:type="pct"/>
                  <w:vMerge w:val="continue"/>
                  <w:vAlign w:val="center"/>
                </w:tcPr>
                <w:p>
                  <w:pPr>
                    <w:pStyle w:val="65"/>
                    <w:spacing w:line="240" w:lineRule="auto"/>
                    <w:rPr>
                      <w:color w:val="auto"/>
                      <w:highlight w:val="none"/>
                    </w:rPr>
                  </w:pPr>
                </w:p>
              </w:tc>
              <w:tc>
                <w:tcPr>
                  <w:tcW w:w="696" w:type="pct"/>
                  <w:vAlign w:val="center"/>
                </w:tcPr>
                <w:p>
                  <w:pPr>
                    <w:pStyle w:val="65"/>
                    <w:spacing w:line="240" w:lineRule="auto"/>
                    <w:rPr>
                      <w:rFonts w:hint="default" w:eastAsia="宋体"/>
                      <w:color w:val="auto"/>
                      <w:highlight w:val="none"/>
                      <w:lang w:val="en-US" w:eastAsia="zh-CN"/>
                    </w:rPr>
                  </w:pPr>
                  <w:r>
                    <w:rPr>
                      <w:rFonts w:hint="eastAsia"/>
                      <w:color w:val="auto"/>
                      <w:highlight w:val="none"/>
                      <w:lang w:val="en-US" w:eastAsia="zh-CN"/>
                    </w:rPr>
                    <w:t>BOD</w:t>
                  </w:r>
                </w:p>
              </w:tc>
              <w:tc>
                <w:tcPr>
                  <w:tcW w:w="887" w:type="pct"/>
                  <w:vMerge w:val="continue"/>
                  <w:vAlign w:val="center"/>
                </w:tcPr>
                <w:p>
                  <w:pPr>
                    <w:pStyle w:val="65"/>
                    <w:spacing w:line="240" w:lineRule="auto"/>
                    <w:rPr>
                      <w:rFonts w:hint="eastAsia" w:cs="Times New Roman"/>
                      <w:color w:val="000000"/>
                      <w:lang w:val="en-US" w:eastAsia="zh-CN"/>
                    </w:rPr>
                  </w:pPr>
                </w:p>
              </w:tc>
              <w:tc>
                <w:tcPr>
                  <w:tcW w:w="1797" w:type="pct"/>
                  <w:vMerge w:val="continue"/>
                  <w:vAlign w:val="center"/>
                </w:tcPr>
                <w:p>
                  <w:pPr>
                    <w:pStyle w:val="65"/>
                    <w:spacing w:line="240" w:lineRule="auto"/>
                    <w:rPr>
                      <w:rFonts w:ascii="宋体" w:hAnsi="宋体" w:eastAsia="宋体" w:cs="宋体"/>
                      <w:b w:val="0"/>
                      <w:bCs w:val="0"/>
                      <w:color w:val="000000"/>
                      <w:sz w:val="20"/>
                      <w:szCs w:val="20"/>
                    </w:rPr>
                  </w:pPr>
                </w:p>
              </w:tc>
              <w:tc>
                <w:tcPr>
                  <w:tcW w:w="867" w:type="pct"/>
                  <w:vAlign w:val="center"/>
                </w:tcPr>
                <w:p>
                  <w:pPr>
                    <w:pStyle w:val="65"/>
                    <w:spacing w:line="240" w:lineRule="auto"/>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continue"/>
                  <w:vAlign w:val="center"/>
                </w:tcPr>
                <w:p>
                  <w:pPr>
                    <w:pStyle w:val="65"/>
                    <w:spacing w:line="240" w:lineRule="auto"/>
                    <w:rPr>
                      <w:color w:val="auto"/>
                      <w:highlight w:val="none"/>
                    </w:rPr>
                  </w:pPr>
                </w:p>
              </w:tc>
              <w:tc>
                <w:tcPr>
                  <w:tcW w:w="465" w:type="pct"/>
                  <w:vMerge w:val="continue"/>
                  <w:vAlign w:val="center"/>
                </w:tcPr>
                <w:p>
                  <w:pPr>
                    <w:pStyle w:val="65"/>
                    <w:spacing w:line="240" w:lineRule="auto"/>
                    <w:rPr>
                      <w:color w:val="auto"/>
                      <w:highlight w:val="none"/>
                    </w:rPr>
                  </w:pPr>
                </w:p>
              </w:tc>
              <w:tc>
                <w:tcPr>
                  <w:tcW w:w="696" w:type="pct"/>
                  <w:vAlign w:val="center"/>
                </w:tcPr>
                <w:p>
                  <w:pPr>
                    <w:pStyle w:val="65"/>
                    <w:spacing w:line="240" w:lineRule="auto"/>
                    <w:rPr>
                      <w:color w:val="auto"/>
                      <w:highlight w:val="none"/>
                    </w:rPr>
                  </w:pPr>
                  <w:r>
                    <w:rPr>
                      <w:rFonts w:hint="eastAsia"/>
                      <w:color w:val="auto"/>
                      <w:highlight w:val="none"/>
                      <w:lang w:val="en-US" w:eastAsia="zh-CN"/>
                    </w:rPr>
                    <w:t>SS</w:t>
                  </w:r>
                </w:p>
              </w:tc>
              <w:tc>
                <w:tcPr>
                  <w:tcW w:w="887" w:type="pct"/>
                  <w:vMerge w:val="continue"/>
                  <w:vAlign w:val="center"/>
                </w:tcPr>
                <w:p>
                  <w:pPr>
                    <w:pStyle w:val="65"/>
                    <w:spacing w:line="240" w:lineRule="auto"/>
                    <w:rPr>
                      <w:rFonts w:hint="default" w:eastAsia="宋体"/>
                      <w:color w:val="auto"/>
                      <w:highlight w:val="none"/>
                      <w:lang w:val="en-US" w:eastAsia="zh-CN"/>
                    </w:rPr>
                  </w:pPr>
                </w:p>
              </w:tc>
              <w:tc>
                <w:tcPr>
                  <w:tcW w:w="1797" w:type="pct"/>
                  <w:vMerge w:val="continue"/>
                  <w:vAlign w:val="center"/>
                </w:tcPr>
                <w:p>
                  <w:pPr>
                    <w:pStyle w:val="65"/>
                    <w:spacing w:line="240" w:lineRule="auto"/>
                    <w:rPr>
                      <w:color w:val="auto"/>
                      <w:highlight w:val="none"/>
                    </w:rPr>
                  </w:pPr>
                </w:p>
              </w:tc>
              <w:tc>
                <w:tcPr>
                  <w:tcW w:w="867" w:type="pct"/>
                  <w:vAlign w:val="center"/>
                </w:tcPr>
                <w:p>
                  <w:pPr>
                    <w:pStyle w:val="65"/>
                    <w:spacing w:line="240" w:lineRule="auto"/>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continue"/>
                  <w:vAlign w:val="center"/>
                </w:tcPr>
                <w:p>
                  <w:pPr>
                    <w:pStyle w:val="65"/>
                    <w:spacing w:line="240" w:lineRule="auto"/>
                    <w:rPr>
                      <w:color w:val="auto"/>
                      <w:highlight w:val="none"/>
                    </w:rPr>
                  </w:pPr>
                </w:p>
              </w:tc>
              <w:tc>
                <w:tcPr>
                  <w:tcW w:w="465" w:type="pct"/>
                  <w:vMerge w:val="continue"/>
                  <w:vAlign w:val="center"/>
                </w:tcPr>
                <w:p>
                  <w:pPr>
                    <w:pStyle w:val="65"/>
                    <w:spacing w:line="240" w:lineRule="auto"/>
                    <w:rPr>
                      <w:color w:val="auto"/>
                      <w:highlight w:val="none"/>
                    </w:rPr>
                  </w:pPr>
                </w:p>
              </w:tc>
              <w:tc>
                <w:tcPr>
                  <w:tcW w:w="696" w:type="pct"/>
                  <w:vAlign w:val="center"/>
                </w:tcPr>
                <w:p>
                  <w:pPr>
                    <w:pStyle w:val="65"/>
                    <w:spacing w:line="240" w:lineRule="auto"/>
                    <w:rPr>
                      <w:rFonts w:hint="default" w:eastAsia="宋体"/>
                      <w:color w:val="auto"/>
                      <w:highlight w:val="none"/>
                      <w:lang w:val="en-US" w:eastAsia="zh-CN"/>
                    </w:rPr>
                  </w:pPr>
                  <w:r>
                    <w:rPr>
                      <w:rFonts w:hint="eastAsia"/>
                      <w:color w:val="auto"/>
                      <w:highlight w:val="none"/>
                      <w:lang w:val="en-US" w:eastAsia="zh-CN"/>
                    </w:rPr>
                    <w:t>NH</w:t>
                  </w:r>
                  <w:r>
                    <w:rPr>
                      <w:rFonts w:hint="eastAsia"/>
                      <w:color w:val="auto"/>
                      <w:highlight w:val="none"/>
                      <w:vertAlign w:val="subscript"/>
                      <w:lang w:val="en-US" w:eastAsia="zh-CN"/>
                    </w:rPr>
                    <w:t>3</w:t>
                  </w:r>
                  <w:r>
                    <w:rPr>
                      <w:rFonts w:hint="eastAsia"/>
                      <w:color w:val="auto"/>
                      <w:highlight w:val="none"/>
                      <w:lang w:val="en-US" w:eastAsia="zh-CN"/>
                    </w:rPr>
                    <w:t>-H</w:t>
                  </w:r>
                </w:p>
              </w:tc>
              <w:tc>
                <w:tcPr>
                  <w:tcW w:w="887" w:type="pct"/>
                  <w:vMerge w:val="continue"/>
                  <w:vAlign w:val="center"/>
                </w:tcPr>
                <w:p>
                  <w:pPr>
                    <w:pStyle w:val="65"/>
                    <w:spacing w:line="240" w:lineRule="auto"/>
                    <w:rPr>
                      <w:rFonts w:hint="eastAsia" w:cs="Times New Roman"/>
                      <w:color w:val="000000"/>
                      <w:lang w:val="en-US" w:eastAsia="zh-CN"/>
                    </w:rPr>
                  </w:pPr>
                </w:p>
              </w:tc>
              <w:tc>
                <w:tcPr>
                  <w:tcW w:w="1797" w:type="pct"/>
                  <w:vMerge w:val="continue"/>
                  <w:vAlign w:val="center"/>
                </w:tcPr>
                <w:p>
                  <w:pPr>
                    <w:pStyle w:val="65"/>
                    <w:spacing w:line="240" w:lineRule="auto"/>
                    <w:rPr>
                      <w:rFonts w:ascii="宋体" w:hAnsi="宋体" w:eastAsia="宋体" w:cs="宋体"/>
                      <w:b w:val="0"/>
                      <w:bCs w:val="0"/>
                      <w:color w:val="000000"/>
                      <w:sz w:val="20"/>
                      <w:szCs w:val="20"/>
                    </w:rPr>
                  </w:pPr>
                </w:p>
              </w:tc>
              <w:tc>
                <w:tcPr>
                  <w:tcW w:w="867" w:type="pct"/>
                  <w:vAlign w:val="center"/>
                </w:tcPr>
                <w:p>
                  <w:pPr>
                    <w:pStyle w:val="65"/>
                    <w:spacing w:line="240" w:lineRule="auto"/>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Align w:val="center"/>
                </w:tcPr>
                <w:p>
                  <w:pPr>
                    <w:pStyle w:val="65"/>
                    <w:spacing w:line="240" w:lineRule="auto"/>
                    <w:rPr>
                      <w:color w:val="auto"/>
                      <w:highlight w:val="none"/>
                    </w:rPr>
                  </w:pPr>
                  <w:r>
                    <w:rPr>
                      <w:color w:val="auto"/>
                      <w:highlight w:val="none"/>
                    </w:rPr>
                    <w:t>3</w:t>
                  </w:r>
                </w:p>
              </w:tc>
              <w:tc>
                <w:tcPr>
                  <w:tcW w:w="465" w:type="pct"/>
                  <w:vAlign w:val="center"/>
                </w:tcPr>
                <w:p>
                  <w:pPr>
                    <w:pStyle w:val="65"/>
                    <w:spacing w:line="240" w:lineRule="auto"/>
                    <w:rPr>
                      <w:color w:val="auto"/>
                      <w:highlight w:val="none"/>
                    </w:rPr>
                  </w:pPr>
                  <w:r>
                    <w:rPr>
                      <w:color w:val="auto"/>
                      <w:highlight w:val="none"/>
                    </w:rPr>
                    <w:t>噪声</w:t>
                  </w:r>
                </w:p>
              </w:tc>
              <w:tc>
                <w:tcPr>
                  <w:tcW w:w="696" w:type="pct"/>
                  <w:vAlign w:val="center"/>
                </w:tcPr>
                <w:p>
                  <w:pPr>
                    <w:pStyle w:val="65"/>
                    <w:spacing w:line="240" w:lineRule="auto"/>
                    <w:rPr>
                      <w:color w:val="auto"/>
                      <w:highlight w:val="none"/>
                    </w:rPr>
                  </w:pPr>
                  <w:r>
                    <w:rPr>
                      <w:color w:val="auto"/>
                      <w:highlight w:val="none"/>
                    </w:rPr>
                    <w:t>等效连续A声级(Leq(A))</w:t>
                  </w:r>
                </w:p>
              </w:tc>
              <w:tc>
                <w:tcPr>
                  <w:tcW w:w="887" w:type="pct"/>
                  <w:vAlign w:val="center"/>
                </w:tcPr>
                <w:p>
                  <w:pPr>
                    <w:pStyle w:val="65"/>
                    <w:spacing w:line="240" w:lineRule="auto"/>
                    <w:rPr>
                      <w:color w:val="auto"/>
                      <w:highlight w:val="none"/>
                    </w:rPr>
                  </w:pPr>
                  <w:r>
                    <w:rPr>
                      <w:color w:val="auto"/>
                      <w:highlight w:val="none"/>
                    </w:rPr>
                    <w:t>噪声源全部安装在室内，设备采取减振措施</w:t>
                  </w:r>
                </w:p>
              </w:tc>
              <w:tc>
                <w:tcPr>
                  <w:tcW w:w="1797" w:type="pct"/>
                  <w:vAlign w:val="center"/>
                </w:tcPr>
                <w:p>
                  <w:pPr>
                    <w:pStyle w:val="65"/>
                    <w:spacing w:line="240" w:lineRule="auto"/>
                    <w:rPr>
                      <w:color w:val="auto"/>
                      <w:highlight w:val="none"/>
                    </w:rPr>
                  </w:pPr>
                  <w:r>
                    <w:rPr>
                      <w:color w:val="auto"/>
                      <w:highlight w:val="none"/>
                    </w:rPr>
                    <w:t>厂界噪声达《工业企业厂界环境噪声排放标准》（GB12348-2008）中的3类标准</w:t>
                  </w:r>
                </w:p>
              </w:tc>
              <w:tc>
                <w:tcPr>
                  <w:tcW w:w="867" w:type="pct"/>
                  <w:vAlign w:val="center"/>
                </w:tcPr>
                <w:p>
                  <w:pPr>
                    <w:pStyle w:val="65"/>
                    <w:spacing w:line="240" w:lineRule="auto"/>
                    <w:jc w:val="center"/>
                    <w:rPr>
                      <w:rFonts w:hint="eastAsia"/>
                      <w:color w:val="auto"/>
                      <w:highlight w:val="none"/>
                      <w:lang w:val="en-US" w:eastAsia="zh-CN"/>
                    </w:rPr>
                  </w:pPr>
                  <w:r>
                    <w:rPr>
                      <w:rFonts w:hint="eastAsia"/>
                      <w:color w:val="auto"/>
                      <w:highlight w:val="none"/>
                      <w:lang w:val="en-US" w:eastAsia="zh-CN"/>
                    </w:rPr>
                    <w:t>昼间：65dB（A）</w:t>
                  </w:r>
                </w:p>
                <w:p>
                  <w:pPr>
                    <w:pStyle w:val="65"/>
                    <w:spacing w:line="240" w:lineRule="auto"/>
                    <w:jc w:val="center"/>
                    <w:rPr>
                      <w:rFonts w:hint="default" w:eastAsia="宋体"/>
                      <w:color w:val="auto"/>
                      <w:highlight w:val="none"/>
                      <w:lang w:val="en-US" w:eastAsia="zh-CN"/>
                    </w:rPr>
                  </w:pPr>
                  <w:r>
                    <w:rPr>
                      <w:rFonts w:hint="eastAsia"/>
                      <w:color w:val="auto"/>
                      <w:highlight w:val="none"/>
                      <w:lang w:val="en-US" w:eastAsia="zh-CN"/>
                    </w:rPr>
                    <w:t>夜间：55dB（A）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restart"/>
                  <w:vAlign w:val="center"/>
                </w:tcPr>
                <w:p>
                  <w:pPr>
                    <w:pStyle w:val="65"/>
                    <w:spacing w:line="240" w:lineRule="auto"/>
                    <w:rPr>
                      <w:color w:val="auto"/>
                      <w:highlight w:val="none"/>
                    </w:rPr>
                  </w:pPr>
                </w:p>
              </w:tc>
              <w:tc>
                <w:tcPr>
                  <w:tcW w:w="465" w:type="pct"/>
                  <w:vMerge w:val="restart"/>
                  <w:vAlign w:val="center"/>
                </w:tcPr>
                <w:p>
                  <w:pPr>
                    <w:pStyle w:val="65"/>
                    <w:spacing w:line="240" w:lineRule="auto"/>
                    <w:rPr>
                      <w:rFonts w:hint="eastAsia" w:eastAsia="宋体"/>
                      <w:color w:val="auto"/>
                      <w:highlight w:val="none"/>
                      <w:lang w:val="en-US" w:eastAsia="zh-CN"/>
                    </w:rPr>
                  </w:pPr>
                  <w:r>
                    <w:rPr>
                      <w:rFonts w:hint="eastAsia"/>
                      <w:color w:val="auto"/>
                      <w:highlight w:val="none"/>
                      <w:lang w:val="en-US" w:eastAsia="zh-CN"/>
                    </w:rPr>
                    <w:t>固废</w:t>
                  </w:r>
                </w:p>
              </w:tc>
              <w:tc>
                <w:tcPr>
                  <w:tcW w:w="696" w:type="pct"/>
                  <w:vAlign w:val="center"/>
                </w:tcPr>
                <w:p>
                  <w:pPr>
                    <w:adjustRightInd w:val="0"/>
                    <w:snapToGrid w:val="0"/>
                    <w:spacing w:line="240" w:lineRule="auto"/>
                    <w:jc w:val="center"/>
                    <w:rPr>
                      <w:rFonts w:hint="default" w:eastAsia="宋体"/>
                      <w:color w:val="auto"/>
                      <w:highlight w:val="none"/>
                      <w:lang w:val="en-US" w:eastAsia="zh-CN"/>
                    </w:rPr>
                  </w:pPr>
                  <w:r>
                    <w:rPr>
                      <w:rFonts w:hint="eastAsia" w:cs="Times New Roman"/>
                      <w:color w:val="auto"/>
                      <w:szCs w:val="21"/>
                      <w:highlight w:val="none"/>
                      <w:lang w:val="en-US" w:eastAsia="zh-CN"/>
                    </w:rPr>
                    <w:t>筛分废物</w:t>
                  </w:r>
                </w:p>
              </w:tc>
              <w:tc>
                <w:tcPr>
                  <w:tcW w:w="887" w:type="pct"/>
                  <w:vAlign w:val="center"/>
                </w:tcPr>
                <w:p>
                  <w:pPr>
                    <w:adjustRightInd w:val="0"/>
                    <w:snapToGrid w:val="0"/>
                    <w:spacing w:line="240" w:lineRule="auto"/>
                    <w:jc w:val="center"/>
                    <w:rPr>
                      <w:rFonts w:hint="default" w:eastAsia="宋体"/>
                      <w:color w:val="auto"/>
                      <w:highlight w:val="none"/>
                      <w:lang w:val="en-US" w:eastAsia="zh-CN"/>
                    </w:rPr>
                  </w:pPr>
                  <w:r>
                    <w:rPr>
                      <w:rFonts w:hint="eastAsia" w:cs="Times New Roman"/>
                      <w:color w:val="auto"/>
                      <w:szCs w:val="21"/>
                      <w:highlight w:val="none"/>
                      <w:lang w:val="en-US" w:eastAsia="zh-CN"/>
                    </w:rPr>
                    <w:t>集中收集后</w:t>
                  </w:r>
                  <w:r>
                    <w:rPr>
                      <w:rFonts w:hint="default" w:ascii="Times New Roman" w:hAnsi="Times New Roman" w:cs="Times New Roman"/>
                      <w:color w:val="auto"/>
                      <w:szCs w:val="21"/>
                      <w:highlight w:val="none"/>
                    </w:rPr>
                    <w:t>交由环卫部门统一处置</w:t>
                  </w:r>
                </w:p>
              </w:tc>
              <w:tc>
                <w:tcPr>
                  <w:tcW w:w="1797" w:type="pct"/>
                  <w:vMerge w:val="restart"/>
                  <w:vAlign w:val="center"/>
                </w:tcPr>
                <w:p>
                  <w:pPr>
                    <w:pStyle w:val="65"/>
                    <w:spacing w:line="240" w:lineRule="auto"/>
                    <w:rPr>
                      <w:rFonts w:hint="default" w:eastAsia="宋体"/>
                      <w:color w:val="auto"/>
                      <w:highlight w:val="none"/>
                      <w:lang w:val="en-US" w:eastAsia="zh-CN"/>
                    </w:rPr>
                  </w:pPr>
                  <w:r>
                    <w:rPr>
                      <w:rFonts w:hint="default" w:ascii="Times New Roman" w:hAnsi="Times New Roman" w:cs="Times New Roman"/>
                      <w:szCs w:val="21"/>
                    </w:rPr>
                    <w:t>《一般工业固体废物贮存和填埋污染控制标准》（GB18599-2020）</w:t>
                  </w:r>
                </w:p>
              </w:tc>
              <w:tc>
                <w:tcPr>
                  <w:tcW w:w="867" w:type="pct"/>
                  <w:vAlign w:val="center"/>
                </w:tcPr>
                <w:p>
                  <w:pPr>
                    <w:adjustRightInd w:val="0"/>
                    <w:snapToGrid w:val="0"/>
                    <w:spacing w:line="240" w:lineRule="auto"/>
                    <w:jc w:val="center"/>
                    <w:rPr>
                      <w:rFonts w:hint="eastAsia" w:eastAsia="宋体"/>
                      <w:color w:val="auto"/>
                      <w:highlight w:val="yellow"/>
                      <w:lang w:val="en-US" w:eastAsia="zh-CN"/>
                    </w:rPr>
                  </w:pPr>
                  <w:r>
                    <w:rPr>
                      <w:rFonts w:hint="eastAsia" w:cs="Times New Roman"/>
                      <w:color w:val="auto"/>
                      <w:szCs w:val="21"/>
                      <w:highlight w:val="none"/>
                      <w:lang w:val="en-US" w:eastAsia="zh-CN"/>
                    </w:rPr>
                    <w:t>集中收集后</w:t>
                  </w:r>
                  <w:r>
                    <w:rPr>
                      <w:rFonts w:hint="default" w:ascii="Times New Roman" w:hAnsi="Times New Roman" w:cs="Times New Roman"/>
                      <w:color w:val="auto"/>
                      <w:szCs w:val="21"/>
                      <w:highlight w:val="none"/>
                    </w:rPr>
                    <w:t>交由环卫部门统一处置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continue"/>
                  <w:vAlign w:val="center"/>
                </w:tcPr>
                <w:p>
                  <w:pPr>
                    <w:pStyle w:val="65"/>
                    <w:spacing w:line="240" w:lineRule="auto"/>
                    <w:rPr>
                      <w:color w:val="auto"/>
                      <w:highlight w:val="none"/>
                    </w:rPr>
                  </w:pPr>
                </w:p>
              </w:tc>
              <w:tc>
                <w:tcPr>
                  <w:tcW w:w="465" w:type="pct"/>
                  <w:vMerge w:val="continue"/>
                  <w:vAlign w:val="center"/>
                </w:tcPr>
                <w:p>
                  <w:pPr>
                    <w:pStyle w:val="65"/>
                    <w:spacing w:line="240" w:lineRule="auto"/>
                    <w:rPr>
                      <w:color w:val="auto"/>
                      <w:highlight w:val="none"/>
                    </w:rPr>
                  </w:pPr>
                </w:p>
              </w:tc>
              <w:tc>
                <w:tcPr>
                  <w:tcW w:w="696" w:type="pct"/>
                  <w:vAlign w:val="center"/>
                </w:tcPr>
                <w:p>
                  <w:pPr>
                    <w:adjustRightInd w:val="0"/>
                    <w:snapToGrid w:val="0"/>
                    <w:spacing w:line="240" w:lineRule="auto"/>
                    <w:jc w:val="center"/>
                    <w:rPr>
                      <w:rFonts w:hint="default" w:eastAsia="宋体"/>
                      <w:color w:val="auto"/>
                      <w:highlight w:val="none"/>
                      <w:lang w:val="en-US" w:eastAsia="zh-CN"/>
                    </w:rPr>
                  </w:pPr>
                  <w:r>
                    <w:rPr>
                      <w:rFonts w:hint="default" w:ascii="Times New Roman" w:hAnsi="Times New Roman" w:cs="Times New Roman"/>
                      <w:color w:val="auto"/>
                      <w:szCs w:val="21"/>
                      <w:highlight w:val="none"/>
                    </w:rPr>
                    <w:t>布袋除尘收集的粉尘</w:t>
                  </w:r>
                </w:p>
              </w:tc>
              <w:tc>
                <w:tcPr>
                  <w:tcW w:w="887" w:type="pct"/>
                  <w:vAlign w:val="center"/>
                </w:tcPr>
                <w:p>
                  <w:pPr>
                    <w:pStyle w:val="65"/>
                    <w:spacing w:line="240" w:lineRule="auto"/>
                    <w:rPr>
                      <w:rFonts w:hint="eastAsia" w:eastAsia="宋体"/>
                      <w:color w:val="auto"/>
                      <w:highlight w:val="none"/>
                      <w:lang w:val="en-US" w:eastAsia="zh-CN"/>
                    </w:rPr>
                  </w:pPr>
                  <w:r>
                    <w:rPr>
                      <w:rFonts w:hint="eastAsia"/>
                      <w:color w:val="auto"/>
                      <w:highlight w:val="none"/>
                      <w:lang w:val="en-US" w:eastAsia="zh-CN"/>
                    </w:rPr>
                    <w:t>集中收集后回用于生产</w:t>
                  </w:r>
                </w:p>
              </w:tc>
              <w:tc>
                <w:tcPr>
                  <w:tcW w:w="1797" w:type="pct"/>
                  <w:vMerge w:val="continue"/>
                  <w:vAlign w:val="center"/>
                </w:tcPr>
                <w:p>
                  <w:pPr>
                    <w:pStyle w:val="65"/>
                    <w:spacing w:line="240" w:lineRule="auto"/>
                    <w:rPr>
                      <w:color w:val="auto"/>
                      <w:highlight w:val="none"/>
                    </w:rPr>
                  </w:pPr>
                </w:p>
              </w:tc>
              <w:tc>
                <w:tcPr>
                  <w:tcW w:w="867" w:type="pct"/>
                  <w:vAlign w:val="center"/>
                </w:tcPr>
                <w:p>
                  <w:pPr>
                    <w:pStyle w:val="65"/>
                    <w:spacing w:line="240" w:lineRule="auto"/>
                    <w:jc w:val="center"/>
                    <w:rPr>
                      <w:rFonts w:hint="eastAsia" w:eastAsia="宋体"/>
                      <w:color w:val="auto"/>
                      <w:highlight w:val="yellow"/>
                      <w:lang w:val="en-US" w:eastAsia="zh-CN"/>
                    </w:rPr>
                  </w:pPr>
                  <w:r>
                    <w:rPr>
                      <w:rFonts w:hint="eastAsia"/>
                      <w:color w:val="auto"/>
                      <w:highlight w:val="none"/>
                      <w:lang w:val="en-US" w:eastAsia="zh-CN"/>
                    </w:rPr>
                    <w:t>集中收集后回用于生产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continue"/>
                  <w:vAlign w:val="center"/>
                </w:tcPr>
                <w:p>
                  <w:pPr>
                    <w:pStyle w:val="65"/>
                    <w:spacing w:line="240" w:lineRule="auto"/>
                    <w:rPr>
                      <w:color w:val="auto"/>
                      <w:highlight w:val="none"/>
                    </w:rPr>
                  </w:pPr>
                </w:p>
              </w:tc>
              <w:tc>
                <w:tcPr>
                  <w:tcW w:w="465" w:type="pct"/>
                  <w:vMerge w:val="continue"/>
                  <w:vAlign w:val="center"/>
                </w:tcPr>
                <w:p>
                  <w:pPr>
                    <w:pStyle w:val="65"/>
                    <w:spacing w:line="240" w:lineRule="auto"/>
                    <w:rPr>
                      <w:color w:val="auto"/>
                      <w:highlight w:val="none"/>
                    </w:rPr>
                  </w:pPr>
                </w:p>
              </w:tc>
              <w:tc>
                <w:tcPr>
                  <w:tcW w:w="696" w:type="pct"/>
                  <w:vAlign w:val="center"/>
                </w:tcPr>
                <w:p>
                  <w:pPr>
                    <w:adjustRightInd w:val="0"/>
                    <w:snapToGrid w:val="0"/>
                    <w:spacing w:line="240" w:lineRule="auto"/>
                    <w:jc w:val="center"/>
                    <w:rPr>
                      <w:rFonts w:hint="eastAsia" w:eastAsia="宋体"/>
                      <w:color w:val="auto"/>
                      <w:highlight w:val="none"/>
                      <w:lang w:eastAsia="zh-CN"/>
                    </w:rPr>
                  </w:pPr>
                  <w:r>
                    <w:rPr>
                      <w:rFonts w:hint="default" w:ascii="Times New Roman" w:hAnsi="Times New Roman" w:cs="Times New Roman"/>
                      <w:color w:val="auto"/>
                      <w:szCs w:val="21"/>
                      <w:highlight w:val="none"/>
                      <w:lang w:val="en-US" w:eastAsia="zh-CN"/>
                    </w:rPr>
                    <w:t>废包装袋</w:t>
                  </w:r>
                </w:p>
              </w:tc>
              <w:tc>
                <w:tcPr>
                  <w:tcW w:w="887" w:type="pct"/>
                  <w:vAlign w:val="center"/>
                </w:tcPr>
                <w:p>
                  <w:pPr>
                    <w:pStyle w:val="65"/>
                    <w:spacing w:line="240" w:lineRule="auto"/>
                    <w:rPr>
                      <w:color w:val="auto"/>
                      <w:highlight w:val="none"/>
                    </w:rPr>
                  </w:pPr>
                  <w:r>
                    <w:rPr>
                      <w:rFonts w:hint="eastAsia"/>
                      <w:color w:val="auto"/>
                      <w:highlight w:val="none"/>
                      <w:lang w:val="en-US" w:eastAsia="zh-CN"/>
                    </w:rPr>
                    <w:t>集中收集后外售</w:t>
                  </w:r>
                </w:p>
              </w:tc>
              <w:tc>
                <w:tcPr>
                  <w:tcW w:w="1797" w:type="pct"/>
                  <w:vMerge w:val="continue"/>
                  <w:vAlign w:val="center"/>
                </w:tcPr>
                <w:p>
                  <w:pPr>
                    <w:pStyle w:val="65"/>
                    <w:spacing w:line="240" w:lineRule="auto"/>
                    <w:rPr>
                      <w:color w:val="auto"/>
                      <w:highlight w:val="none"/>
                    </w:rPr>
                  </w:pPr>
                </w:p>
              </w:tc>
              <w:tc>
                <w:tcPr>
                  <w:tcW w:w="867" w:type="pct"/>
                  <w:vAlign w:val="center"/>
                </w:tcPr>
                <w:p>
                  <w:pPr>
                    <w:pStyle w:val="65"/>
                    <w:spacing w:line="240" w:lineRule="auto"/>
                    <w:jc w:val="center"/>
                    <w:rPr>
                      <w:rFonts w:hint="eastAsia" w:eastAsia="宋体"/>
                      <w:color w:val="auto"/>
                      <w:highlight w:val="yellow"/>
                      <w:lang w:val="en-US" w:eastAsia="zh-CN"/>
                    </w:rPr>
                  </w:pPr>
                  <w:r>
                    <w:rPr>
                      <w:rFonts w:hint="eastAsia"/>
                      <w:color w:val="auto"/>
                      <w:highlight w:val="none"/>
                      <w:lang w:val="en-US" w:eastAsia="zh-CN"/>
                    </w:rPr>
                    <w:t>集中收集后外售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continue"/>
                  <w:vAlign w:val="center"/>
                </w:tcPr>
                <w:p>
                  <w:pPr>
                    <w:pStyle w:val="65"/>
                    <w:spacing w:line="240" w:lineRule="auto"/>
                    <w:rPr>
                      <w:color w:val="auto"/>
                      <w:highlight w:val="none"/>
                    </w:rPr>
                  </w:pPr>
                </w:p>
              </w:tc>
              <w:tc>
                <w:tcPr>
                  <w:tcW w:w="465" w:type="pct"/>
                  <w:vMerge w:val="continue"/>
                  <w:vAlign w:val="center"/>
                </w:tcPr>
                <w:p>
                  <w:pPr>
                    <w:pStyle w:val="65"/>
                    <w:spacing w:line="240" w:lineRule="auto"/>
                    <w:rPr>
                      <w:color w:val="auto"/>
                      <w:highlight w:val="none"/>
                    </w:rPr>
                  </w:pPr>
                </w:p>
              </w:tc>
              <w:tc>
                <w:tcPr>
                  <w:tcW w:w="696" w:type="pct"/>
                  <w:vAlign w:val="center"/>
                </w:tcPr>
                <w:p>
                  <w:pPr>
                    <w:adjustRightInd w:val="0"/>
                    <w:snapToGrid w:val="0"/>
                    <w:spacing w:line="240" w:lineRule="auto"/>
                    <w:jc w:val="center"/>
                    <w:rPr>
                      <w:rFonts w:hint="default"/>
                      <w:color w:val="auto"/>
                      <w:highlight w:val="none"/>
                      <w:lang w:val="en-US" w:eastAsia="zh-CN"/>
                    </w:rPr>
                  </w:pPr>
                  <w:r>
                    <w:rPr>
                      <w:rFonts w:hint="default" w:ascii="Times New Roman" w:hAnsi="Times New Roman" w:cs="Times New Roman"/>
                      <w:color w:val="auto"/>
                      <w:szCs w:val="21"/>
                      <w:highlight w:val="none"/>
                    </w:rPr>
                    <w:t>生活垃圾</w:t>
                  </w:r>
                </w:p>
              </w:tc>
              <w:tc>
                <w:tcPr>
                  <w:tcW w:w="887" w:type="pct"/>
                  <w:vAlign w:val="center"/>
                </w:tcPr>
                <w:p>
                  <w:pPr>
                    <w:adjustRightInd w:val="0"/>
                    <w:snapToGrid w:val="0"/>
                    <w:spacing w:line="240" w:lineRule="auto"/>
                    <w:jc w:val="center"/>
                    <w:rPr>
                      <w:color w:val="auto"/>
                      <w:highlight w:val="none"/>
                    </w:rPr>
                  </w:pPr>
                  <w:r>
                    <w:rPr>
                      <w:rFonts w:hint="default" w:ascii="Times New Roman" w:hAnsi="Times New Roman" w:cs="Times New Roman"/>
                      <w:color w:val="auto"/>
                      <w:szCs w:val="21"/>
                      <w:highlight w:val="none"/>
                    </w:rPr>
                    <w:t>集中收集后交由环卫部门统一处置</w:t>
                  </w:r>
                </w:p>
              </w:tc>
              <w:tc>
                <w:tcPr>
                  <w:tcW w:w="1797" w:type="pct"/>
                  <w:vMerge w:val="continue"/>
                  <w:vAlign w:val="center"/>
                </w:tcPr>
                <w:p>
                  <w:pPr>
                    <w:pStyle w:val="65"/>
                    <w:spacing w:line="240" w:lineRule="auto"/>
                    <w:rPr>
                      <w:rFonts w:hint="eastAsia" w:eastAsia="宋体"/>
                      <w:color w:val="auto"/>
                      <w:highlight w:val="none"/>
                      <w:lang w:val="en-US" w:eastAsia="zh-CN"/>
                    </w:rPr>
                  </w:pPr>
                </w:p>
              </w:tc>
              <w:tc>
                <w:tcPr>
                  <w:tcW w:w="867" w:type="pct"/>
                  <w:vAlign w:val="center"/>
                </w:tcPr>
                <w:p>
                  <w:pPr>
                    <w:adjustRightInd w:val="0"/>
                    <w:snapToGrid w:val="0"/>
                    <w:spacing w:line="240" w:lineRule="auto"/>
                    <w:jc w:val="center"/>
                    <w:rPr>
                      <w:rFonts w:hint="default"/>
                      <w:color w:val="auto"/>
                      <w:highlight w:val="yellow"/>
                      <w:lang w:val="en-US" w:eastAsia="zh-CN"/>
                    </w:rPr>
                  </w:pPr>
                  <w:r>
                    <w:rPr>
                      <w:rFonts w:hint="default" w:ascii="Times New Roman" w:hAnsi="Times New Roman" w:cs="Times New Roman"/>
                      <w:color w:val="auto"/>
                      <w:szCs w:val="21"/>
                      <w:highlight w:val="none"/>
                    </w:rPr>
                    <w:t>集中收集后交由环卫部门统一处置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5" w:type="pct"/>
                  <w:vMerge w:val="continue"/>
                  <w:vAlign w:val="center"/>
                </w:tcPr>
                <w:p>
                  <w:pPr>
                    <w:pStyle w:val="65"/>
                    <w:spacing w:line="240" w:lineRule="auto"/>
                    <w:rPr>
                      <w:color w:val="auto"/>
                      <w:highlight w:val="none"/>
                    </w:rPr>
                  </w:pPr>
                </w:p>
              </w:tc>
              <w:tc>
                <w:tcPr>
                  <w:tcW w:w="465" w:type="pct"/>
                  <w:vMerge w:val="continue"/>
                  <w:vAlign w:val="center"/>
                </w:tcPr>
                <w:p>
                  <w:pPr>
                    <w:pStyle w:val="65"/>
                    <w:spacing w:line="240" w:lineRule="auto"/>
                    <w:rPr>
                      <w:color w:val="auto"/>
                      <w:highlight w:val="none"/>
                    </w:rPr>
                  </w:pPr>
                </w:p>
              </w:tc>
              <w:tc>
                <w:tcPr>
                  <w:tcW w:w="696" w:type="pct"/>
                  <w:vAlign w:val="center"/>
                </w:tcPr>
                <w:p>
                  <w:pPr>
                    <w:adjustRightInd w:val="0"/>
                    <w:snapToGrid w:val="0"/>
                    <w:spacing w:line="240" w:lineRule="auto"/>
                    <w:jc w:val="center"/>
                    <w:rPr>
                      <w:color w:val="auto"/>
                      <w:highlight w:val="none"/>
                    </w:rPr>
                  </w:pPr>
                  <w:r>
                    <w:rPr>
                      <w:rFonts w:hint="default" w:ascii="Times New Roman" w:hAnsi="Times New Roman" w:cs="Times New Roman"/>
                      <w:color w:val="auto"/>
                      <w:szCs w:val="21"/>
                      <w:highlight w:val="none"/>
                    </w:rPr>
                    <w:t>废机油</w:t>
                  </w:r>
                </w:p>
              </w:tc>
              <w:tc>
                <w:tcPr>
                  <w:tcW w:w="887" w:type="pct"/>
                  <w:vAlign w:val="center"/>
                </w:tcPr>
                <w:p>
                  <w:pPr>
                    <w:adjustRightInd w:val="0"/>
                    <w:snapToGrid w:val="0"/>
                    <w:spacing w:line="240" w:lineRule="auto"/>
                    <w:jc w:val="center"/>
                    <w:rPr>
                      <w:color w:val="auto"/>
                      <w:highlight w:val="none"/>
                    </w:rPr>
                  </w:pPr>
                  <w:r>
                    <w:rPr>
                      <w:rFonts w:hint="default" w:ascii="Times New Roman" w:hAnsi="Times New Roman" w:cs="Times New Roman"/>
                      <w:color w:val="auto"/>
                      <w:szCs w:val="21"/>
                      <w:highlight w:val="none"/>
                    </w:rPr>
                    <w:t>暂存于危废暂存间，委托具有处理资质的单位定期拉运处置</w:t>
                  </w:r>
                </w:p>
              </w:tc>
              <w:tc>
                <w:tcPr>
                  <w:tcW w:w="1797" w:type="pct"/>
                  <w:vAlign w:val="center"/>
                </w:tcPr>
                <w:p>
                  <w:pPr>
                    <w:pStyle w:val="65"/>
                    <w:spacing w:line="240" w:lineRule="auto"/>
                    <w:rPr>
                      <w:color w:val="auto"/>
                      <w:highlight w:val="none"/>
                    </w:rPr>
                  </w:pPr>
                  <w:r>
                    <w:rPr>
                      <w:color w:val="auto"/>
                      <w:highlight w:val="none"/>
                    </w:rPr>
                    <w:t>《危险废物贮存污染控制标准》（GB18597-20</w:t>
                  </w:r>
                  <w:r>
                    <w:rPr>
                      <w:rFonts w:hint="eastAsia"/>
                      <w:color w:val="auto"/>
                      <w:highlight w:val="none"/>
                      <w:lang w:val="en-US" w:eastAsia="zh-CN"/>
                    </w:rPr>
                    <w:t>23</w:t>
                  </w:r>
                  <w:r>
                    <w:rPr>
                      <w:color w:val="auto"/>
                      <w:highlight w:val="none"/>
                    </w:rPr>
                    <w:t>）相关要求</w:t>
                  </w:r>
                </w:p>
              </w:tc>
              <w:tc>
                <w:tcPr>
                  <w:tcW w:w="867" w:type="pct"/>
                  <w:vAlign w:val="center"/>
                </w:tcPr>
                <w:p>
                  <w:pPr>
                    <w:pStyle w:val="65"/>
                    <w:spacing w:line="240" w:lineRule="auto"/>
                    <w:jc w:val="center"/>
                    <w:rPr>
                      <w:rFonts w:hint="eastAsia" w:eastAsia="宋体"/>
                      <w:color w:val="auto"/>
                      <w:highlight w:val="none"/>
                      <w:lang w:val="en-US" w:eastAsia="zh-CN"/>
                    </w:rPr>
                  </w:pPr>
                  <w:r>
                    <w:rPr>
                      <w:rFonts w:hint="default" w:ascii="Times New Roman" w:hAnsi="Times New Roman" w:cs="Times New Roman"/>
                      <w:color w:val="auto"/>
                      <w:szCs w:val="21"/>
                      <w:highlight w:val="none"/>
                    </w:rPr>
                    <w:t>暂存于危废暂存间，委托具有处理资质的单位定期拉运处置</w:t>
                  </w:r>
                </w:p>
              </w:tc>
            </w:tr>
          </w:tbl>
          <w:p>
            <w:pPr>
              <w:pStyle w:val="49"/>
              <w:ind w:firstLine="0" w:firstLineChars="0"/>
              <w:rPr>
                <w:rFonts w:hint="default" w:eastAsia="宋体" w:cs="Times New Roman"/>
                <w:bCs/>
                <w:color w:val="auto"/>
                <w:spacing w:val="-10"/>
                <w:highlight w:val="none"/>
                <w:lang w:val="en-US" w:eastAsia="zh-CN"/>
              </w:rPr>
            </w:pPr>
          </w:p>
        </w:tc>
      </w:tr>
    </w:tbl>
    <w:p>
      <w:pPr>
        <w:pStyle w:val="26"/>
        <w:spacing w:line="240" w:lineRule="auto"/>
        <w:jc w:val="center"/>
        <w:outlineLvl w:val="0"/>
        <w:rPr>
          <w:rFonts w:hint="default" w:ascii="Times New Roman" w:hAnsi="Times New Roman" w:eastAsia="黑体" w:cs="Times New Roman"/>
          <w:snapToGrid w:val="0"/>
          <w:sz w:val="30"/>
          <w:szCs w:val="30"/>
        </w:rPr>
      </w:pPr>
      <w:r>
        <w:rPr>
          <w:rFonts w:hint="eastAsia" w:ascii="黑体" w:hAnsi="黑体" w:eastAsia="黑体"/>
          <w:snapToGrid w:val="0"/>
          <w:color w:val="auto"/>
          <w:sz w:val="30"/>
          <w:szCs w:val="30"/>
          <w:highlight w:val="none"/>
        </w:rPr>
        <w:br w:type="column"/>
      </w:r>
      <w:r>
        <w:rPr>
          <w:rFonts w:hint="default" w:ascii="Times New Roman" w:hAnsi="Times New Roman" w:eastAsia="黑体" w:cs="Times New Roman"/>
          <w:snapToGrid w:val="0"/>
          <w:sz w:val="30"/>
          <w:szCs w:val="30"/>
        </w:rPr>
        <w:t>五、</w:t>
      </w:r>
      <w:bookmarkStart w:id="1" w:name="_Hlk54167917"/>
      <w:r>
        <w:rPr>
          <w:rFonts w:hint="default" w:ascii="Times New Roman" w:hAnsi="Times New Roman" w:eastAsia="黑体" w:cs="Times New Roman"/>
          <w:snapToGrid w:val="0"/>
          <w:sz w:val="30"/>
          <w:szCs w:val="30"/>
        </w:rPr>
        <w:t>环境保护措施监督检查清单</w:t>
      </w:r>
      <w:bookmarkEnd w:id="1"/>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379"/>
        <w:gridCol w:w="914"/>
        <w:gridCol w:w="1246"/>
        <w:gridCol w:w="2499"/>
        <w:gridCol w:w="12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tcBorders>
              <w:tl2br w:val="single" w:color="auto" w:sz="4" w:space="0"/>
            </w:tcBorders>
            <w:noWrap w:val="0"/>
            <w:vAlign w:val="top"/>
          </w:tcPr>
          <w:p>
            <w:pPr>
              <w:adjustRightInd w:val="0"/>
              <w:snapToGrid w:val="0"/>
              <w:spacing w:line="240" w:lineRule="auto"/>
              <w:ind w:firstLine="840"/>
              <w:rPr>
                <w:rFonts w:hint="default" w:ascii="Times New Roman" w:hAnsi="Times New Roman" w:cs="Times New Roman"/>
                <w:szCs w:val="21"/>
              </w:rPr>
            </w:pPr>
            <w:r>
              <w:rPr>
                <w:rFonts w:hint="default" w:ascii="Times New Roman" w:hAnsi="Times New Roman" w:cs="Times New Roman"/>
                <w:szCs w:val="21"/>
              </w:rPr>
              <w:t>内容</w:t>
            </w:r>
          </w:p>
          <w:p>
            <w:pPr>
              <w:adjustRightInd w:val="0"/>
              <w:snapToGrid w:val="0"/>
              <w:spacing w:line="240" w:lineRule="auto"/>
              <w:rPr>
                <w:rFonts w:hint="default" w:ascii="Times New Roman" w:hAnsi="Times New Roman" w:cs="Times New Roman"/>
                <w:szCs w:val="21"/>
              </w:rPr>
            </w:pPr>
            <w:r>
              <w:rPr>
                <w:rFonts w:hint="default" w:ascii="Times New Roman" w:hAnsi="Times New Roman" w:cs="Times New Roman"/>
                <w:szCs w:val="21"/>
              </w:rPr>
              <w:t>要素</w:t>
            </w:r>
          </w:p>
        </w:tc>
        <w:tc>
          <w:tcPr>
            <w:tcW w:w="809"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排放口（编号、</w:t>
            </w:r>
          </w:p>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名称）/污染源</w:t>
            </w:r>
          </w:p>
        </w:tc>
        <w:tc>
          <w:tcPr>
            <w:tcW w:w="536"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污染物项目</w:t>
            </w:r>
          </w:p>
        </w:tc>
        <w:tc>
          <w:tcPr>
            <w:tcW w:w="731"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环境保护措施</w:t>
            </w:r>
          </w:p>
        </w:tc>
        <w:tc>
          <w:tcPr>
            <w:tcW w:w="1466"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执行标准</w:t>
            </w:r>
          </w:p>
        </w:tc>
        <w:tc>
          <w:tcPr>
            <w:tcW w:w="709" w:type="pct"/>
            <w:noWrap w:val="0"/>
            <w:vAlign w:val="center"/>
          </w:tcPr>
          <w:p>
            <w:pPr>
              <w:adjustRightInd w:val="0"/>
              <w:snapToGrid w:val="0"/>
              <w:spacing w:line="240" w:lineRule="auto"/>
              <w:jc w:val="center"/>
              <w:rPr>
                <w:rFonts w:hint="default" w:ascii="Times New Roman" w:hAnsi="Times New Roman" w:cs="Times New Roman"/>
                <w:szCs w:val="21"/>
              </w:rPr>
            </w:pPr>
            <w:r>
              <w:rPr>
                <w:rFonts w:hint="eastAsia" w:cs="Times New Roman"/>
                <w:szCs w:val="21"/>
                <w:lang w:val="en-US" w:eastAsia="zh-CN"/>
              </w:rPr>
              <w:t>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8" w:type="pct"/>
            <w:vMerge w:val="restar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大气环境</w:t>
            </w:r>
          </w:p>
        </w:tc>
        <w:tc>
          <w:tcPr>
            <w:tcW w:w="809" w:type="pct"/>
            <w:noWrap w:val="0"/>
            <w:vAlign w:val="center"/>
          </w:tcPr>
          <w:p>
            <w:pPr>
              <w:adjustRightInd w:val="0"/>
              <w:snapToGrid w:val="0"/>
              <w:spacing w:line="24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车间排放口（DA00</w:t>
            </w: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rPr>
              <w:t>）</w:t>
            </w:r>
          </w:p>
        </w:tc>
        <w:tc>
          <w:tcPr>
            <w:tcW w:w="536"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颗粒物</w:t>
            </w:r>
          </w:p>
        </w:tc>
        <w:tc>
          <w:tcPr>
            <w:tcW w:w="731" w:type="pct"/>
            <w:noWrap w:val="0"/>
            <w:vAlign w:val="center"/>
          </w:tcPr>
          <w:p>
            <w:pPr>
              <w:adjustRightInd w:val="0"/>
              <w:snapToGrid w:val="0"/>
              <w:spacing w:line="240" w:lineRule="auto"/>
              <w:jc w:val="center"/>
              <w:rPr>
                <w:rFonts w:hint="default" w:ascii="Times New Roman" w:hAnsi="Times New Roman" w:cs="Times New Roman"/>
                <w:szCs w:val="21"/>
              </w:rPr>
            </w:pPr>
            <w:r>
              <w:rPr>
                <w:rFonts w:hint="eastAsia" w:cs="Times New Roman"/>
                <w:szCs w:val="21"/>
                <w:lang w:val="en-US" w:eastAsia="zh-CN"/>
              </w:rPr>
              <w:t>集气罩</w:t>
            </w:r>
            <w:r>
              <w:rPr>
                <w:rFonts w:hint="default" w:ascii="Times New Roman" w:hAnsi="Times New Roman" w:cs="Times New Roman"/>
                <w:szCs w:val="21"/>
              </w:rPr>
              <w:t>（集气效率</w:t>
            </w:r>
            <w:r>
              <w:rPr>
                <w:rFonts w:hint="eastAsia" w:cs="Times New Roman"/>
                <w:szCs w:val="21"/>
                <w:lang w:val="en-US" w:eastAsia="zh-CN"/>
              </w:rPr>
              <w:t>95%</w:t>
            </w:r>
            <w:r>
              <w:rPr>
                <w:rFonts w:hint="default" w:ascii="Times New Roman" w:hAnsi="Times New Roman" w:cs="Times New Roman"/>
                <w:szCs w:val="21"/>
              </w:rPr>
              <w:t>）+布袋除尘（处理效率9</w:t>
            </w:r>
            <w:r>
              <w:rPr>
                <w:rFonts w:hint="eastAsia" w:cs="Times New Roman"/>
                <w:szCs w:val="21"/>
                <w:lang w:val="en-US" w:eastAsia="zh-CN"/>
              </w:rPr>
              <w:t>8</w:t>
            </w:r>
            <w:r>
              <w:rPr>
                <w:rFonts w:hint="default" w:ascii="Times New Roman" w:hAnsi="Times New Roman" w:cs="Times New Roman"/>
                <w:szCs w:val="21"/>
              </w:rPr>
              <w:t>%）+15m排气筒</w:t>
            </w:r>
          </w:p>
        </w:tc>
        <w:tc>
          <w:tcPr>
            <w:tcW w:w="1466" w:type="pct"/>
            <w:noWrap w:val="0"/>
            <w:vAlign w:val="center"/>
          </w:tcPr>
          <w:p>
            <w:pPr>
              <w:adjustRightInd w:val="0"/>
              <w:snapToGrid w:val="0"/>
              <w:spacing w:line="240" w:lineRule="auto"/>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满足《大气污染物综合排放标准》（GB16297-1996）表2颗粒物二级排放限值</w:t>
            </w:r>
          </w:p>
        </w:tc>
        <w:tc>
          <w:tcPr>
            <w:tcW w:w="709" w:type="pct"/>
            <w:noWrap w:val="0"/>
            <w:vAlign w:val="center"/>
          </w:tcPr>
          <w:p>
            <w:pPr>
              <w:adjustRightInd w:val="0"/>
              <w:snapToGrid w:val="0"/>
              <w:spacing w:line="240" w:lineRule="auto"/>
              <w:jc w:val="center"/>
              <w:rPr>
                <w:rFonts w:hint="eastAsia" w:cs="Times New Roman"/>
                <w:snapToGrid w:val="0"/>
                <w:kern w:val="0"/>
                <w:szCs w:val="21"/>
                <w:vertAlign w:val="superscript"/>
                <w:lang w:val="en-US" w:eastAsia="zh-CN"/>
              </w:rPr>
            </w:pPr>
            <w:r>
              <w:rPr>
                <w:rFonts w:hint="eastAsia" w:cs="Times New Roman"/>
                <w:snapToGrid w:val="0"/>
                <w:kern w:val="0"/>
                <w:szCs w:val="21"/>
                <w:lang w:val="en-US" w:eastAsia="zh-CN"/>
              </w:rPr>
              <w:t>120mg/m</w:t>
            </w:r>
            <w:r>
              <w:rPr>
                <w:rFonts w:hint="eastAsia" w:cs="Times New Roman"/>
                <w:snapToGrid w:val="0"/>
                <w:kern w:val="0"/>
                <w:szCs w:val="21"/>
                <w:vertAlign w:val="superscript"/>
                <w:lang w:val="en-US" w:eastAsia="zh-CN"/>
              </w:rPr>
              <w:t>3</w:t>
            </w:r>
          </w:p>
          <w:p>
            <w:pPr>
              <w:pStyle w:val="2"/>
              <w:ind w:left="0" w:leftChars="0" w:firstLine="210" w:firstLineChars="100"/>
              <w:rPr>
                <w:rFonts w:hint="default"/>
                <w:lang w:val="en-US" w:eastAsia="zh-CN"/>
              </w:rPr>
            </w:pPr>
            <w:r>
              <w:rPr>
                <w:rFonts w:hint="eastAsia" w:cs="Times New Roman"/>
                <w:snapToGrid w:val="0"/>
                <w:kern w:val="0"/>
                <w:sz w:val="21"/>
                <w:szCs w:val="18"/>
                <w:vertAlign w:val="baseline"/>
                <w:lang w:val="en-US" w:eastAsia="zh-CN"/>
              </w:rPr>
              <w:t>3.5kg/h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noWrap w:val="0"/>
            <w:vAlign w:val="center"/>
          </w:tcPr>
          <w:p>
            <w:pPr>
              <w:adjustRightInd w:val="0"/>
              <w:snapToGrid w:val="0"/>
              <w:spacing w:line="24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无组织颗粒物</w:t>
            </w:r>
          </w:p>
        </w:tc>
        <w:tc>
          <w:tcPr>
            <w:tcW w:w="536"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颗粒物</w:t>
            </w:r>
          </w:p>
        </w:tc>
        <w:tc>
          <w:tcPr>
            <w:tcW w:w="731"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运行时车间密闭</w:t>
            </w:r>
          </w:p>
        </w:tc>
        <w:tc>
          <w:tcPr>
            <w:tcW w:w="1466" w:type="pct"/>
            <w:noWrap w:val="0"/>
            <w:vAlign w:val="center"/>
          </w:tcPr>
          <w:p>
            <w:pPr>
              <w:adjustRightInd w:val="0"/>
              <w:snapToGrid w:val="0"/>
              <w:spacing w:line="240" w:lineRule="auto"/>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满足《大气污染物综合排放标准》（GB16297-1996）表2中无组织监控浓度限值</w:t>
            </w:r>
          </w:p>
        </w:tc>
        <w:tc>
          <w:tcPr>
            <w:tcW w:w="709" w:type="pct"/>
            <w:noWrap w:val="0"/>
            <w:vAlign w:val="center"/>
          </w:tcPr>
          <w:p>
            <w:pPr>
              <w:adjustRightInd w:val="0"/>
              <w:snapToGrid w:val="0"/>
              <w:spacing w:line="240" w:lineRule="auto"/>
              <w:jc w:val="center"/>
              <w:rPr>
                <w:rFonts w:hint="default" w:ascii="Times New Roman" w:hAnsi="Times New Roman" w:eastAsia="宋体" w:cs="Times New Roman"/>
                <w:snapToGrid w:val="0"/>
                <w:kern w:val="0"/>
                <w:szCs w:val="21"/>
                <w:lang w:val="en-US" w:eastAsia="zh-CN"/>
              </w:rPr>
            </w:pPr>
            <w:r>
              <w:rPr>
                <w:rFonts w:hint="eastAsia" w:cs="Times New Roman"/>
                <w:snapToGrid w:val="0"/>
                <w:kern w:val="0"/>
                <w:szCs w:val="21"/>
                <w:lang w:val="en-US" w:eastAsia="zh-CN"/>
              </w:rPr>
              <w:t>1.0mg/m</w:t>
            </w:r>
            <w:r>
              <w:rPr>
                <w:rFonts w:hint="eastAsia" w:cs="Times New Roman"/>
                <w:snapToGrid w:val="0"/>
                <w:kern w:val="0"/>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noWrap w:val="0"/>
            <w:vAlign w:val="center"/>
          </w:tcPr>
          <w:p>
            <w:pPr>
              <w:adjustRightInd w:val="0"/>
              <w:snapToGrid w:val="0"/>
              <w:spacing w:line="24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食堂油烟</w:t>
            </w:r>
          </w:p>
        </w:tc>
        <w:tc>
          <w:tcPr>
            <w:tcW w:w="536" w:type="pct"/>
            <w:noWrap w:val="0"/>
            <w:vAlign w:val="center"/>
          </w:tcPr>
          <w:p>
            <w:pPr>
              <w:adjustRightInd w:val="0"/>
              <w:snapToGrid w:val="0"/>
              <w:spacing w:line="240"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食堂油烟</w:t>
            </w:r>
          </w:p>
        </w:tc>
        <w:tc>
          <w:tcPr>
            <w:tcW w:w="731" w:type="pct"/>
            <w:noWrap w:val="0"/>
            <w:vAlign w:val="center"/>
          </w:tcPr>
          <w:p>
            <w:pPr>
              <w:adjustRightInd w:val="0"/>
              <w:snapToGrid w:val="0"/>
              <w:spacing w:line="240" w:lineRule="auto"/>
              <w:jc w:val="center"/>
              <w:rPr>
                <w:rFonts w:hint="default" w:ascii="Times New Roman" w:hAnsi="Times New Roman" w:eastAsia="宋体" w:cs="Times New Roman"/>
                <w:szCs w:val="21"/>
                <w:lang w:val="en-US" w:eastAsia="zh-CN"/>
              </w:rPr>
            </w:pPr>
            <w:r>
              <w:rPr>
                <w:rFonts w:hint="eastAsia" w:cs="Times New Roman"/>
                <w:szCs w:val="21"/>
                <w:lang w:val="en-US" w:eastAsia="zh-CN"/>
              </w:rPr>
              <w:t>油烟净化器+专用烟道</w:t>
            </w:r>
          </w:p>
        </w:tc>
        <w:tc>
          <w:tcPr>
            <w:tcW w:w="1466" w:type="pct"/>
            <w:noWrap w:val="0"/>
            <w:vAlign w:val="center"/>
          </w:tcPr>
          <w:p>
            <w:pPr>
              <w:adjustRightInd w:val="0"/>
              <w:snapToGrid w:val="0"/>
              <w:spacing w:line="240" w:lineRule="auto"/>
              <w:jc w:val="center"/>
              <w:rPr>
                <w:rFonts w:hint="default" w:ascii="Times New Roman" w:hAnsi="Times New Roman" w:cs="Times New Roman"/>
                <w:snapToGrid w:val="0"/>
                <w:kern w:val="0"/>
                <w:szCs w:val="21"/>
              </w:rPr>
            </w:pPr>
            <w:r>
              <w:rPr>
                <w:rFonts w:hint="default" w:ascii="Times New Roman" w:hAnsi="Times New Roman" w:cs="Times New Roman"/>
                <w:snapToGrid w:val="0"/>
                <w:color w:val="auto"/>
                <w:kern w:val="0"/>
                <w:szCs w:val="21"/>
                <w:highlight w:val="none"/>
              </w:rPr>
              <w:t>《饮食业油烟排放标准（试行）》（GB18483-2001）</w:t>
            </w:r>
          </w:p>
        </w:tc>
        <w:tc>
          <w:tcPr>
            <w:tcW w:w="709" w:type="pct"/>
            <w:noWrap w:val="0"/>
            <w:vAlign w:val="center"/>
          </w:tcPr>
          <w:p>
            <w:pPr>
              <w:adjustRightInd w:val="0"/>
              <w:snapToGrid w:val="0"/>
              <w:spacing w:line="240" w:lineRule="auto"/>
              <w:jc w:val="center"/>
              <w:rPr>
                <w:rFonts w:hint="default" w:cs="Times New Roman"/>
                <w:snapToGrid w:val="0"/>
                <w:kern w:val="0"/>
                <w:szCs w:val="21"/>
                <w:lang w:val="en-US" w:eastAsia="zh-CN"/>
              </w:rPr>
            </w:pPr>
            <w:r>
              <w:rPr>
                <w:rFonts w:hint="eastAsia" w:cs="Times New Roman"/>
                <w:snapToGrid w:val="0"/>
                <w:kern w:val="0"/>
                <w:szCs w:val="21"/>
                <w:lang w:val="en-US" w:eastAsia="zh-CN"/>
              </w:rPr>
              <w:t>2.0mg/m</w:t>
            </w:r>
            <w:r>
              <w:rPr>
                <w:rFonts w:hint="eastAsia" w:cs="Times New Roman"/>
                <w:snapToGrid w:val="0"/>
                <w:kern w:val="0"/>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8" w:type="pct"/>
            <w:vMerge w:val="restar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地表水环境</w:t>
            </w:r>
          </w:p>
        </w:tc>
        <w:tc>
          <w:tcPr>
            <w:tcW w:w="809" w:type="pct"/>
            <w:vMerge w:val="restart"/>
            <w:noWrap w:val="0"/>
            <w:vAlign w:val="center"/>
          </w:tcPr>
          <w:p>
            <w:pPr>
              <w:adjustRightInd w:val="0"/>
              <w:snapToGrid w:val="0"/>
              <w:spacing w:line="240" w:lineRule="auto"/>
              <w:jc w:val="center"/>
              <w:rPr>
                <w:rFonts w:hint="default" w:ascii="Times New Roman" w:hAnsi="Times New Roman" w:eastAsia="宋体" w:cs="Times New Roman"/>
                <w:szCs w:val="21"/>
                <w:highlight w:val="yellow"/>
                <w:lang w:val="en-US" w:eastAsia="zh-CN"/>
              </w:rPr>
            </w:pPr>
            <w:r>
              <w:rPr>
                <w:rFonts w:hint="eastAsia" w:cs="Times New Roman"/>
                <w:szCs w:val="21"/>
                <w:highlight w:val="none"/>
                <w:lang w:val="en-US" w:eastAsia="zh-CN"/>
              </w:rPr>
              <w:t>生活废水</w:t>
            </w:r>
          </w:p>
        </w:tc>
        <w:tc>
          <w:tcPr>
            <w:tcW w:w="536" w:type="pct"/>
            <w:noWrap w:val="0"/>
            <w:vAlign w:val="center"/>
          </w:tcPr>
          <w:p>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cs="Times New Roman"/>
                <w:szCs w:val="21"/>
                <w:lang w:eastAsia="zh-CN"/>
              </w:rPr>
              <w:t>CODcr</w:t>
            </w:r>
          </w:p>
        </w:tc>
        <w:tc>
          <w:tcPr>
            <w:tcW w:w="731" w:type="pct"/>
            <w:vMerge w:val="restart"/>
            <w:noWrap w:val="0"/>
            <w:vAlign w:val="center"/>
          </w:tcPr>
          <w:p>
            <w:pPr>
              <w:adjustRightInd w:val="0"/>
              <w:snapToGrid w:val="0"/>
              <w:spacing w:line="240" w:lineRule="auto"/>
              <w:jc w:val="center"/>
              <w:rPr>
                <w:rFonts w:hint="default" w:ascii="Times New Roman" w:hAnsi="Times New Roman" w:cs="Times New Roman"/>
                <w:color w:val="000000"/>
                <w:szCs w:val="21"/>
              </w:rPr>
            </w:pPr>
            <w:r>
              <w:rPr>
                <w:rFonts w:hint="eastAsia" w:cs="Times New Roman"/>
                <w:color w:val="000000"/>
                <w:lang w:val="en-US" w:eastAsia="zh-CN"/>
              </w:rPr>
              <w:t>直排园区污水管网，最终进入喇嘛湖梁工业园区污水处理厂</w:t>
            </w:r>
          </w:p>
        </w:tc>
        <w:tc>
          <w:tcPr>
            <w:tcW w:w="2499" w:type="dxa"/>
            <w:vMerge w:val="restart"/>
            <w:noWrap w:val="0"/>
            <w:vAlign w:val="center"/>
          </w:tcPr>
          <w:p>
            <w:pPr>
              <w:pStyle w:val="65"/>
              <w:spacing w:line="240" w:lineRule="auto"/>
              <w:rPr>
                <w:rFonts w:hint="default" w:ascii="Times New Roman" w:hAnsi="Times New Roman" w:cs="Times New Roman"/>
                <w:szCs w:val="21"/>
                <w:highlight w:val="yellow"/>
              </w:rPr>
            </w:pPr>
            <w:r>
              <w:rPr>
                <w:rFonts w:hint="eastAsia" w:ascii="Times New Roman" w:hAnsi="Times New Roman" w:eastAsia="宋体" w:cs="Times New Roman"/>
                <w:snapToGrid w:val="0"/>
                <w:color w:val="auto"/>
                <w:kern w:val="0"/>
                <w:sz w:val="21"/>
                <w:szCs w:val="21"/>
                <w:highlight w:val="none"/>
                <w:lang w:val="en-US" w:eastAsia="zh-CN" w:bidi="ar-SA"/>
              </w:rPr>
              <w:t>《污水排入城市下水道水质标准》（GB/T31962-2015）B级标准限值</w:t>
            </w:r>
          </w:p>
        </w:tc>
        <w:tc>
          <w:tcPr>
            <w:tcW w:w="1209" w:type="dxa"/>
            <w:noWrap w:val="0"/>
            <w:vAlign w:val="center"/>
          </w:tcPr>
          <w:p>
            <w:pPr>
              <w:pStyle w:val="65"/>
              <w:spacing w:line="240" w:lineRule="auto"/>
              <w:rPr>
                <w:rFonts w:ascii="宋体" w:hAnsi="宋体" w:eastAsia="宋体" w:cs="宋体"/>
                <w:b w:val="0"/>
                <w:bCs w:val="0"/>
                <w:color w:val="000000"/>
                <w:sz w:val="21"/>
                <w:szCs w:val="21"/>
                <w:highlight w:val="yellow"/>
              </w:rPr>
            </w:pPr>
            <w:r>
              <w:rPr>
                <w:rFonts w:hint="eastAsia" w:cs="Times New Roman"/>
                <w:color w:val="auto"/>
                <w:szCs w:val="21"/>
                <w:highlight w:val="none"/>
                <w:lang w:val="en-US" w:eastAsia="zh-CN"/>
              </w:rPr>
              <w:t>500mg/L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vMerge w:val="continue"/>
            <w:noWrap w:val="0"/>
            <w:vAlign w:val="center"/>
          </w:tcPr>
          <w:p>
            <w:pPr>
              <w:adjustRightInd w:val="0"/>
              <w:snapToGrid w:val="0"/>
              <w:spacing w:line="240" w:lineRule="auto"/>
              <w:jc w:val="center"/>
              <w:rPr>
                <w:rFonts w:hint="default" w:ascii="Times New Roman" w:hAnsi="Times New Roman" w:cs="Times New Roman"/>
                <w:szCs w:val="21"/>
                <w:highlight w:val="yellow"/>
              </w:rPr>
            </w:pPr>
          </w:p>
        </w:tc>
        <w:tc>
          <w:tcPr>
            <w:tcW w:w="536" w:type="pct"/>
            <w:noWrap w:val="0"/>
            <w:vAlign w:val="center"/>
          </w:tcPr>
          <w:p>
            <w:pPr>
              <w:adjustRightInd w:val="0"/>
              <w:snapToGrid w:val="0"/>
              <w:spacing w:line="240" w:lineRule="auto"/>
              <w:jc w:val="center"/>
              <w:rPr>
                <w:rFonts w:hint="default" w:ascii="Times New Roman" w:hAnsi="Times New Roman" w:eastAsia="宋体" w:cs="Times New Roman"/>
                <w:kern w:val="2"/>
                <w:sz w:val="21"/>
                <w:szCs w:val="21"/>
                <w:vertAlign w:val="subscript"/>
                <w:lang w:val="en-US" w:eastAsia="zh-CN" w:bidi="ar-SA"/>
              </w:rPr>
            </w:pPr>
            <w:r>
              <w:rPr>
                <w:rFonts w:hint="default" w:ascii="Times New Roman" w:hAnsi="Times New Roman" w:cs="Times New Roman"/>
                <w:szCs w:val="21"/>
              </w:rPr>
              <w:t>BOD</w:t>
            </w:r>
            <w:r>
              <w:rPr>
                <w:rFonts w:hint="default" w:ascii="Times New Roman" w:hAnsi="Times New Roman" w:cs="Times New Roman"/>
                <w:szCs w:val="21"/>
                <w:vertAlign w:val="subscript"/>
              </w:rPr>
              <w:t>5</w:t>
            </w:r>
          </w:p>
        </w:tc>
        <w:tc>
          <w:tcPr>
            <w:tcW w:w="731" w:type="pct"/>
            <w:vMerge w:val="continue"/>
            <w:noWrap w:val="0"/>
            <w:vAlign w:val="center"/>
          </w:tcPr>
          <w:p>
            <w:pPr>
              <w:adjustRightInd w:val="0"/>
              <w:snapToGrid w:val="0"/>
              <w:spacing w:line="240" w:lineRule="auto"/>
              <w:jc w:val="center"/>
              <w:rPr>
                <w:rFonts w:hint="default" w:ascii="Times New Roman" w:hAnsi="Times New Roman" w:cs="Times New Roman"/>
                <w:color w:val="000000"/>
              </w:rPr>
            </w:pPr>
          </w:p>
        </w:tc>
        <w:tc>
          <w:tcPr>
            <w:tcW w:w="2499" w:type="dxa"/>
            <w:vMerge w:val="continue"/>
            <w:noWrap w:val="0"/>
            <w:vAlign w:val="center"/>
          </w:tcPr>
          <w:p>
            <w:pPr>
              <w:pStyle w:val="65"/>
              <w:spacing w:line="240" w:lineRule="auto"/>
              <w:rPr>
                <w:rFonts w:hint="default" w:ascii="Times New Roman" w:hAnsi="Times New Roman" w:cs="Times New Roman"/>
                <w:szCs w:val="21"/>
                <w:highlight w:val="yellow"/>
              </w:rPr>
            </w:pPr>
          </w:p>
        </w:tc>
        <w:tc>
          <w:tcPr>
            <w:tcW w:w="1209" w:type="dxa"/>
            <w:noWrap w:val="0"/>
            <w:vAlign w:val="center"/>
          </w:tcPr>
          <w:p>
            <w:pPr>
              <w:pStyle w:val="65"/>
              <w:spacing w:line="240" w:lineRule="auto"/>
              <w:rPr>
                <w:rFonts w:hint="default" w:ascii="Times New Roman" w:hAnsi="Times New Roman" w:cs="Times New Roman"/>
                <w:szCs w:val="21"/>
                <w:highlight w:val="yellow"/>
              </w:rPr>
            </w:pPr>
            <w:r>
              <w:rPr>
                <w:rFonts w:hint="eastAsia" w:cs="Times New Roman"/>
                <w:color w:val="auto"/>
                <w:szCs w:val="21"/>
                <w:highlight w:val="none"/>
                <w:lang w:val="en-US" w:eastAsia="zh-CN"/>
              </w:rPr>
              <w:t>350mg/L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vMerge w:val="continue"/>
            <w:noWrap w:val="0"/>
            <w:vAlign w:val="center"/>
          </w:tcPr>
          <w:p>
            <w:pPr>
              <w:adjustRightInd w:val="0"/>
              <w:snapToGrid w:val="0"/>
              <w:spacing w:line="240" w:lineRule="auto"/>
              <w:jc w:val="center"/>
              <w:rPr>
                <w:rFonts w:hint="default" w:ascii="Times New Roman" w:hAnsi="Times New Roman" w:cs="Times New Roman"/>
                <w:szCs w:val="21"/>
                <w:highlight w:val="yellow"/>
              </w:rPr>
            </w:pPr>
          </w:p>
        </w:tc>
        <w:tc>
          <w:tcPr>
            <w:tcW w:w="536" w:type="pct"/>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SS</w:t>
            </w:r>
          </w:p>
        </w:tc>
        <w:tc>
          <w:tcPr>
            <w:tcW w:w="731" w:type="pct"/>
            <w:vMerge w:val="continue"/>
            <w:noWrap w:val="0"/>
            <w:vAlign w:val="center"/>
          </w:tcPr>
          <w:p>
            <w:pPr>
              <w:adjustRightInd w:val="0"/>
              <w:snapToGrid w:val="0"/>
              <w:spacing w:line="240" w:lineRule="auto"/>
              <w:jc w:val="center"/>
              <w:rPr>
                <w:rFonts w:hint="default" w:ascii="Times New Roman" w:hAnsi="Times New Roman" w:cs="Times New Roman"/>
                <w:color w:val="000000"/>
              </w:rPr>
            </w:pPr>
          </w:p>
        </w:tc>
        <w:tc>
          <w:tcPr>
            <w:tcW w:w="2499" w:type="dxa"/>
            <w:vMerge w:val="continue"/>
            <w:noWrap w:val="0"/>
            <w:vAlign w:val="center"/>
          </w:tcPr>
          <w:p>
            <w:pPr>
              <w:pStyle w:val="65"/>
              <w:spacing w:line="240" w:lineRule="auto"/>
              <w:rPr>
                <w:rFonts w:hint="default" w:ascii="Times New Roman" w:hAnsi="Times New Roman" w:cs="Times New Roman"/>
                <w:szCs w:val="21"/>
                <w:highlight w:val="yellow"/>
              </w:rPr>
            </w:pPr>
          </w:p>
        </w:tc>
        <w:tc>
          <w:tcPr>
            <w:tcW w:w="1209" w:type="dxa"/>
            <w:noWrap w:val="0"/>
            <w:vAlign w:val="center"/>
          </w:tcPr>
          <w:p>
            <w:pPr>
              <w:pStyle w:val="65"/>
              <w:spacing w:line="240" w:lineRule="auto"/>
              <w:rPr>
                <w:rFonts w:hint="default" w:ascii="Times New Roman" w:hAnsi="Times New Roman" w:cs="Times New Roman"/>
                <w:szCs w:val="21"/>
                <w:highlight w:val="yellow"/>
              </w:rPr>
            </w:pPr>
            <w:r>
              <w:rPr>
                <w:rFonts w:hint="eastAsia" w:cs="Times New Roman"/>
                <w:color w:val="auto"/>
                <w:szCs w:val="21"/>
                <w:highlight w:val="none"/>
                <w:lang w:val="en-US" w:eastAsia="zh-CN"/>
              </w:rPr>
              <w:t>400mg/L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vMerge w:val="continue"/>
            <w:noWrap w:val="0"/>
            <w:vAlign w:val="center"/>
          </w:tcPr>
          <w:p>
            <w:pPr>
              <w:adjustRightInd w:val="0"/>
              <w:snapToGrid w:val="0"/>
              <w:spacing w:line="240" w:lineRule="auto"/>
              <w:jc w:val="center"/>
              <w:rPr>
                <w:rFonts w:hint="default" w:ascii="Times New Roman" w:hAnsi="Times New Roman" w:cs="Times New Roman"/>
                <w:szCs w:val="21"/>
                <w:highlight w:val="yellow"/>
              </w:rPr>
            </w:pPr>
          </w:p>
        </w:tc>
        <w:tc>
          <w:tcPr>
            <w:tcW w:w="536" w:type="pct"/>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NH</w:t>
            </w:r>
            <w:r>
              <w:rPr>
                <w:rFonts w:hint="default" w:ascii="Times New Roman" w:hAnsi="Times New Roman" w:cs="Times New Roman"/>
                <w:szCs w:val="21"/>
                <w:vertAlign w:val="subscript"/>
              </w:rPr>
              <w:t>3</w:t>
            </w:r>
            <w:r>
              <w:rPr>
                <w:rFonts w:hint="default" w:ascii="Times New Roman" w:hAnsi="Times New Roman" w:cs="Times New Roman"/>
                <w:szCs w:val="21"/>
              </w:rPr>
              <w:t>-N</w:t>
            </w:r>
          </w:p>
        </w:tc>
        <w:tc>
          <w:tcPr>
            <w:tcW w:w="731" w:type="pct"/>
            <w:vMerge w:val="continue"/>
            <w:noWrap w:val="0"/>
            <w:vAlign w:val="center"/>
          </w:tcPr>
          <w:p>
            <w:pPr>
              <w:adjustRightInd w:val="0"/>
              <w:snapToGrid w:val="0"/>
              <w:spacing w:line="240" w:lineRule="auto"/>
              <w:jc w:val="center"/>
              <w:rPr>
                <w:rFonts w:hint="default" w:ascii="Times New Roman" w:hAnsi="Times New Roman" w:cs="Times New Roman"/>
                <w:color w:val="000000"/>
              </w:rPr>
            </w:pPr>
          </w:p>
        </w:tc>
        <w:tc>
          <w:tcPr>
            <w:tcW w:w="2499" w:type="dxa"/>
            <w:vMerge w:val="continue"/>
            <w:noWrap w:val="0"/>
            <w:vAlign w:val="center"/>
          </w:tcPr>
          <w:p>
            <w:pPr>
              <w:pStyle w:val="65"/>
              <w:spacing w:line="240" w:lineRule="auto"/>
              <w:rPr>
                <w:rFonts w:hint="default" w:ascii="Times New Roman" w:hAnsi="Times New Roman" w:cs="Times New Roman"/>
                <w:szCs w:val="21"/>
                <w:highlight w:val="yellow"/>
              </w:rPr>
            </w:pPr>
          </w:p>
        </w:tc>
        <w:tc>
          <w:tcPr>
            <w:tcW w:w="1209" w:type="dxa"/>
            <w:noWrap w:val="0"/>
            <w:vAlign w:val="center"/>
          </w:tcPr>
          <w:p>
            <w:pPr>
              <w:pStyle w:val="65"/>
              <w:spacing w:line="240" w:lineRule="auto"/>
              <w:rPr>
                <w:rFonts w:hint="default" w:ascii="Times New Roman" w:hAnsi="Times New Roman" w:cs="Times New Roman"/>
                <w:szCs w:val="21"/>
                <w:highlight w:val="yellow"/>
              </w:rPr>
            </w:pPr>
            <w:r>
              <w:rPr>
                <w:rFonts w:hint="eastAsia" w:cs="Times New Roman"/>
                <w:color w:val="auto"/>
                <w:szCs w:val="21"/>
                <w:highlight w:val="none"/>
                <w:lang w:val="en-US" w:eastAsia="zh-CN"/>
              </w:rPr>
              <w:t>45mg/L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8" w:type="pct"/>
            <w:vMerge w:val="restar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声环境</w:t>
            </w:r>
          </w:p>
        </w:tc>
        <w:tc>
          <w:tcPr>
            <w:tcW w:w="809" w:type="pct"/>
            <w:noWrap w:val="0"/>
            <w:vAlign w:val="center"/>
          </w:tcPr>
          <w:p>
            <w:pPr>
              <w:adjustRightInd w:val="0"/>
              <w:snapToGrid w:val="0"/>
              <w:spacing w:line="240" w:lineRule="auto"/>
              <w:jc w:val="center"/>
              <w:rPr>
                <w:rFonts w:hint="default" w:ascii="Times New Roman" w:hAnsi="Times New Roman" w:cs="Times New Roman"/>
                <w:szCs w:val="21"/>
                <w:highlight w:val="none"/>
              </w:rPr>
            </w:pPr>
            <w:r>
              <w:rPr>
                <w:rFonts w:hint="eastAsia" w:cs="Times New Roman"/>
                <w:highlight w:val="none"/>
                <w:lang w:val="en-US" w:eastAsia="zh-CN"/>
              </w:rPr>
              <w:t>筛分</w:t>
            </w:r>
            <w:r>
              <w:rPr>
                <w:rFonts w:hint="default" w:ascii="Times New Roman" w:hAnsi="Times New Roman" w:cs="Times New Roman"/>
                <w:highlight w:val="none"/>
              </w:rPr>
              <w:t>机</w:t>
            </w:r>
          </w:p>
        </w:tc>
        <w:tc>
          <w:tcPr>
            <w:tcW w:w="536" w:type="pct"/>
            <w:vMerge w:val="restar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噪声</w:t>
            </w:r>
          </w:p>
        </w:tc>
        <w:tc>
          <w:tcPr>
            <w:tcW w:w="731" w:type="pct"/>
            <w:vMerge w:val="restar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减震垫、隔声门窗、选用低噪声设备</w:t>
            </w:r>
          </w:p>
        </w:tc>
        <w:tc>
          <w:tcPr>
            <w:tcW w:w="1466" w:type="pct"/>
            <w:vMerge w:val="restar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《工业企业厂界环境噪声排放标准》(GB12348-2008)中</w:t>
            </w:r>
            <w:r>
              <w:rPr>
                <w:rFonts w:hint="eastAsia" w:cs="Times New Roman"/>
                <w:szCs w:val="21"/>
                <w:lang w:val="en-US" w:eastAsia="zh-CN"/>
              </w:rPr>
              <w:t>3</w:t>
            </w:r>
            <w:r>
              <w:rPr>
                <w:rFonts w:hint="default" w:ascii="Times New Roman" w:hAnsi="Times New Roman" w:cs="Times New Roman"/>
                <w:szCs w:val="21"/>
              </w:rPr>
              <w:t>类标准</w:t>
            </w:r>
          </w:p>
        </w:tc>
        <w:tc>
          <w:tcPr>
            <w:tcW w:w="709" w:type="pct"/>
            <w:vMerge w:val="restart"/>
            <w:noWrap w:val="0"/>
            <w:vAlign w:val="center"/>
          </w:tcPr>
          <w:p>
            <w:pPr>
              <w:pStyle w:val="65"/>
              <w:spacing w:line="240" w:lineRule="auto"/>
              <w:jc w:val="both"/>
              <w:rPr>
                <w:rFonts w:hint="eastAsia"/>
                <w:color w:val="auto"/>
                <w:highlight w:val="none"/>
                <w:lang w:val="en-US" w:eastAsia="zh-CN"/>
              </w:rPr>
            </w:pPr>
            <w:r>
              <w:rPr>
                <w:rFonts w:hint="eastAsia"/>
                <w:color w:val="auto"/>
                <w:highlight w:val="none"/>
                <w:lang w:val="en-US" w:eastAsia="zh-CN"/>
              </w:rPr>
              <w:t>昼间：65dB（A）</w:t>
            </w:r>
          </w:p>
          <w:p>
            <w:pPr>
              <w:adjustRightInd w:val="0"/>
              <w:snapToGrid w:val="0"/>
              <w:spacing w:line="240" w:lineRule="auto"/>
              <w:jc w:val="center"/>
              <w:rPr>
                <w:rFonts w:hint="default" w:ascii="Times New Roman" w:hAnsi="Times New Roman" w:cs="Times New Roman"/>
                <w:szCs w:val="21"/>
              </w:rPr>
            </w:pPr>
            <w:r>
              <w:rPr>
                <w:rFonts w:hint="eastAsia"/>
                <w:color w:val="auto"/>
                <w:highlight w:val="none"/>
                <w:lang w:val="en-US" w:eastAsia="zh-CN"/>
              </w:rPr>
              <w:t>夜间：55dB（A）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noWrap w:val="0"/>
            <w:vAlign w:val="center"/>
          </w:tcPr>
          <w:p>
            <w:pPr>
              <w:adjustRightInd w:val="0"/>
              <w:snapToGrid w:val="0"/>
              <w:spacing w:line="240" w:lineRule="auto"/>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粉碎</w:t>
            </w:r>
            <w:r>
              <w:rPr>
                <w:rFonts w:hint="default" w:ascii="Times New Roman" w:hAnsi="Times New Roman" w:cs="Times New Roman"/>
                <w:szCs w:val="21"/>
                <w:highlight w:val="none"/>
                <w:lang w:val="en-US" w:eastAsia="zh-CN"/>
              </w:rPr>
              <w:t>机</w:t>
            </w:r>
          </w:p>
        </w:tc>
        <w:tc>
          <w:tcPr>
            <w:tcW w:w="536"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731"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1466"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709"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noWrap w:val="0"/>
            <w:vAlign w:val="center"/>
          </w:tcPr>
          <w:p>
            <w:pPr>
              <w:adjustRightInd w:val="0"/>
              <w:snapToGrid w:val="0"/>
              <w:spacing w:line="240" w:lineRule="auto"/>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搅拌机</w:t>
            </w:r>
          </w:p>
        </w:tc>
        <w:tc>
          <w:tcPr>
            <w:tcW w:w="536"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731"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1466"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709"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vMerge w:val="restar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固体废物</w:t>
            </w:r>
          </w:p>
        </w:tc>
        <w:tc>
          <w:tcPr>
            <w:tcW w:w="809" w:type="pct"/>
            <w:vMerge w:val="restart"/>
            <w:noWrap w:val="0"/>
            <w:vAlign w:val="center"/>
          </w:tcPr>
          <w:p>
            <w:pPr>
              <w:adjustRightInd w:val="0"/>
              <w:snapToGrid w:val="0"/>
              <w:spacing w:line="24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生产</w:t>
            </w:r>
          </w:p>
        </w:tc>
        <w:tc>
          <w:tcPr>
            <w:tcW w:w="536" w:type="pct"/>
            <w:noWrap w:val="0"/>
            <w:vAlign w:val="center"/>
          </w:tcPr>
          <w:p>
            <w:pPr>
              <w:adjustRightInd w:val="0"/>
              <w:snapToGrid w:val="0"/>
              <w:spacing w:line="240" w:lineRule="auto"/>
              <w:jc w:val="center"/>
              <w:rPr>
                <w:rFonts w:hint="eastAsia" w:ascii="Times New Roman" w:hAnsi="Times New Roman" w:eastAsia="宋体" w:cs="Times New Roman"/>
                <w:szCs w:val="21"/>
                <w:lang w:eastAsia="zh-CN"/>
              </w:rPr>
            </w:pPr>
            <w:r>
              <w:rPr>
                <w:rFonts w:hint="eastAsia" w:cs="Times New Roman"/>
                <w:szCs w:val="21"/>
                <w:lang w:val="en-US" w:eastAsia="zh-CN"/>
              </w:rPr>
              <w:t>筛分废物</w:t>
            </w:r>
          </w:p>
        </w:tc>
        <w:tc>
          <w:tcPr>
            <w:tcW w:w="731"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收集后交由环卫部门统一处置</w:t>
            </w:r>
          </w:p>
        </w:tc>
        <w:tc>
          <w:tcPr>
            <w:tcW w:w="1466" w:type="pct"/>
            <w:vMerge w:val="restar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《一般工业固体废物贮存和填埋污染控制标准》（GB18599-2020）</w:t>
            </w:r>
          </w:p>
        </w:tc>
        <w:tc>
          <w:tcPr>
            <w:tcW w:w="1209" w:type="dxa"/>
            <w:noWrap w:val="0"/>
            <w:vAlign w:val="center"/>
          </w:tcPr>
          <w:p>
            <w:pPr>
              <w:adjustRightInd w:val="0"/>
              <w:snapToGrid w:val="0"/>
              <w:spacing w:line="240" w:lineRule="auto"/>
              <w:jc w:val="center"/>
              <w:rPr>
                <w:rFonts w:hint="eastAsia" w:ascii="Times New Roman" w:hAnsi="Times New Roman" w:eastAsia="宋体" w:cs="Times New Roman"/>
                <w:szCs w:val="21"/>
                <w:highlight w:val="yellow"/>
                <w:lang w:val="en-US" w:eastAsia="zh-CN"/>
              </w:rPr>
            </w:pPr>
            <w:r>
              <w:rPr>
                <w:rFonts w:hint="default" w:ascii="Times New Roman" w:hAnsi="Times New Roman" w:cs="Times New Roman"/>
                <w:szCs w:val="21"/>
              </w:rPr>
              <w:t>收集后交由环卫部门统一处置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vMerge w:val="continue"/>
            <w:noWrap w:val="0"/>
            <w:vAlign w:val="center"/>
          </w:tcPr>
          <w:p>
            <w:pPr>
              <w:adjustRightInd w:val="0"/>
              <w:snapToGrid w:val="0"/>
              <w:spacing w:line="240" w:lineRule="auto"/>
              <w:jc w:val="center"/>
              <w:rPr>
                <w:rFonts w:hint="default" w:ascii="Times New Roman" w:hAnsi="Times New Roman" w:cs="Times New Roman"/>
                <w:szCs w:val="21"/>
                <w:highlight w:val="none"/>
              </w:rPr>
            </w:pPr>
          </w:p>
        </w:tc>
        <w:tc>
          <w:tcPr>
            <w:tcW w:w="536"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布袋除尘收集的粉尘</w:t>
            </w:r>
          </w:p>
        </w:tc>
        <w:tc>
          <w:tcPr>
            <w:tcW w:w="731" w:type="pct"/>
            <w:noWrap w:val="0"/>
            <w:vAlign w:val="center"/>
          </w:tcPr>
          <w:p>
            <w:pPr>
              <w:adjustRightInd w:val="0"/>
              <w:snapToGrid w:val="0"/>
              <w:spacing w:line="240" w:lineRule="auto"/>
              <w:jc w:val="center"/>
              <w:rPr>
                <w:rFonts w:hint="default" w:ascii="Times New Roman" w:hAnsi="Times New Roman" w:eastAsia="宋体" w:cs="Times New Roman"/>
                <w:szCs w:val="21"/>
                <w:lang w:val="en-US" w:eastAsia="zh-CN"/>
              </w:rPr>
            </w:pPr>
            <w:r>
              <w:rPr>
                <w:rFonts w:hint="eastAsia" w:cs="Times New Roman"/>
                <w:szCs w:val="21"/>
                <w:lang w:val="en-US" w:eastAsia="zh-CN"/>
              </w:rPr>
              <w:t>集中收集后外售</w:t>
            </w:r>
          </w:p>
        </w:tc>
        <w:tc>
          <w:tcPr>
            <w:tcW w:w="1466"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1209" w:type="dxa"/>
            <w:noWrap w:val="0"/>
            <w:vAlign w:val="center"/>
          </w:tcPr>
          <w:p>
            <w:pPr>
              <w:adjustRightInd w:val="0"/>
              <w:snapToGrid w:val="0"/>
              <w:spacing w:line="240" w:lineRule="auto"/>
              <w:jc w:val="center"/>
              <w:rPr>
                <w:rFonts w:hint="eastAsia" w:ascii="Times New Roman" w:hAnsi="Times New Roman" w:eastAsia="宋体" w:cs="Times New Roman"/>
                <w:szCs w:val="21"/>
                <w:highlight w:val="yellow"/>
                <w:lang w:val="en-US" w:eastAsia="zh-CN"/>
              </w:rPr>
            </w:pPr>
            <w:r>
              <w:rPr>
                <w:rFonts w:hint="eastAsia" w:cs="Times New Roman"/>
                <w:szCs w:val="21"/>
                <w:lang w:val="en-US" w:eastAsia="zh-CN"/>
              </w:rPr>
              <w:t>集中收集后外售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vMerge w:val="continue"/>
            <w:noWrap w:val="0"/>
            <w:vAlign w:val="center"/>
          </w:tcPr>
          <w:p>
            <w:pPr>
              <w:adjustRightInd w:val="0"/>
              <w:snapToGrid w:val="0"/>
              <w:spacing w:line="240" w:lineRule="auto"/>
              <w:jc w:val="center"/>
              <w:rPr>
                <w:rFonts w:hint="default" w:ascii="Times New Roman" w:hAnsi="Times New Roman" w:cs="Times New Roman"/>
                <w:szCs w:val="21"/>
                <w:highlight w:val="none"/>
              </w:rPr>
            </w:pPr>
          </w:p>
        </w:tc>
        <w:tc>
          <w:tcPr>
            <w:tcW w:w="536" w:type="pct"/>
            <w:noWrap w:val="0"/>
            <w:vAlign w:val="center"/>
          </w:tcPr>
          <w:p>
            <w:pPr>
              <w:adjustRightInd w:val="0"/>
              <w:snapToGrid w:val="0"/>
              <w:spacing w:line="240"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废包装袋</w:t>
            </w:r>
          </w:p>
        </w:tc>
        <w:tc>
          <w:tcPr>
            <w:tcW w:w="731" w:type="pct"/>
            <w:noWrap w:val="0"/>
            <w:vAlign w:val="center"/>
          </w:tcPr>
          <w:p>
            <w:pPr>
              <w:adjustRightInd w:val="0"/>
              <w:snapToGrid w:val="0"/>
              <w:spacing w:line="240" w:lineRule="auto"/>
              <w:jc w:val="center"/>
              <w:rPr>
                <w:rFonts w:hint="eastAsia" w:ascii="Times New Roman" w:hAnsi="Times New Roman" w:eastAsia="宋体" w:cs="Times New Roman"/>
                <w:szCs w:val="21"/>
                <w:lang w:eastAsia="zh-CN"/>
              </w:rPr>
            </w:pPr>
            <w:r>
              <w:rPr>
                <w:rFonts w:hint="default" w:ascii="Times New Roman" w:hAnsi="Times New Roman" w:cs="Times New Roman"/>
                <w:szCs w:val="21"/>
              </w:rPr>
              <w:t>集中收集后</w:t>
            </w:r>
            <w:r>
              <w:rPr>
                <w:rFonts w:hint="eastAsia" w:cs="Times New Roman"/>
                <w:szCs w:val="21"/>
                <w:lang w:val="en-US" w:eastAsia="zh-CN"/>
              </w:rPr>
              <w:t>外售</w:t>
            </w:r>
          </w:p>
        </w:tc>
        <w:tc>
          <w:tcPr>
            <w:tcW w:w="1466"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1209" w:type="dxa"/>
            <w:noWrap w:val="0"/>
            <w:vAlign w:val="center"/>
          </w:tcPr>
          <w:p>
            <w:pPr>
              <w:adjustRightInd w:val="0"/>
              <w:snapToGrid w:val="0"/>
              <w:spacing w:line="240" w:lineRule="auto"/>
              <w:jc w:val="center"/>
              <w:rPr>
                <w:rFonts w:hint="eastAsia" w:ascii="Times New Roman" w:hAnsi="Times New Roman" w:eastAsia="宋体" w:cs="Times New Roman"/>
                <w:szCs w:val="21"/>
                <w:highlight w:val="yellow"/>
                <w:lang w:val="en-US" w:eastAsia="zh-CN"/>
              </w:rPr>
            </w:pPr>
            <w:r>
              <w:rPr>
                <w:rFonts w:hint="default" w:ascii="Times New Roman" w:hAnsi="Times New Roman" w:cs="Times New Roman"/>
                <w:szCs w:val="21"/>
              </w:rPr>
              <w:t>集中收集后</w:t>
            </w:r>
            <w:r>
              <w:rPr>
                <w:rFonts w:hint="eastAsia" w:cs="Times New Roman"/>
                <w:szCs w:val="21"/>
                <w:lang w:val="en-US" w:eastAsia="zh-CN"/>
              </w:rPr>
              <w:t>外售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noWrap w:val="0"/>
            <w:vAlign w:val="center"/>
          </w:tcPr>
          <w:p>
            <w:pPr>
              <w:adjustRightInd w:val="0"/>
              <w:snapToGrid w:val="0"/>
              <w:spacing w:line="24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生活</w:t>
            </w:r>
          </w:p>
        </w:tc>
        <w:tc>
          <w:tcPr>
            <w:tcW w:w="536"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生活垃圾</w:t>
            </w:r>
          </w:p>
        </w:tc>
        <w:tc>
          <w:tcPr>
            <w:tcW w:w="731"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集中收集后交由环卫部门统一处置</w:t>
            </w:r>
          </w:p>
        </w:tc>
        <w:tc>
          <w:tcPr>
            <w:tcW w:w="1466"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c>
          <w:tcPr>
            <w:tcW w:w="1209" w:type="dxa"/>
            <w:noWrap w:val="0"/>
            <w:vAlign w:val="center"/>
          </w:tcPr>
          <w:p>
            <w:pPr>
              <w:adjustRightInd w:val="0"/>
              <w:snapToGrid w:val="0"/>
              <w:spacing w:line="240" w:lineRule="auto"/>
              <w:jc w:val="center"/>
              <w:rPr>
                <w:rFonts w:hint="eastAsia" w:ascii="Times New Roman" w:hAnsi="Times New Roman" w:eastAsia="宋体" w:cs="Times New Roman"/>
                <w:szCs w:val="21"/>
                <w:highlight w:val="yellow"/>
                <w:lang w:val="en-US" w:eastAsia="zh-CN"/>
              </w:rPr>
            </w:pPr>
            <w:r>
              <w:rPr>
                <w:rFonts w:hint="default" w:ascii="Times New Roman" w:hAnsi="Times New Roman" w:cs="Times New Roman"/>
                <w:szCs w:val="21"/>
              </w:rPr>
              <w:t>集中收集后交由环卫部门统一处置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48" w:type="pct"/>
            <w:vMerge w:val="continue"/>
            <w:noWrap w:val="0"/>
            <w:vAlign w:val="center"/>
          </w:tcPr>
          <w:p>
            <w:pPr>
              <w:adjustRightInd w:val="0"/>
              <w:snapToGrid w:val="0"/>
              <w:spacing w:line="240" w:lineRule="auto"/>
              <w:jc w:val="center"/>
              <w:rPr>
                <w:rFonts w:hint="default" w:ascii="Times New Roman" w:hAnsi="Times New Roman" w:cs="Times New Roman"/>
                <w:szCs w:val="21"/>
              </w:rPr>
            </w:pPr>
          </w:p>
        </w:tc>
        <w:tc>
          <w:tcPr>
            <w:tcW w:w="809"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设备维护</w:t>
            </w:r>
          </w:p>
        </w:tc>
        <w:tc>
          <w:tcPr>
            <w:tcW w:w="536"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废机油</w:t>
            </w:r>
          </w:p>
        </w:tc>
        <w:tc>
          <w:tcPr>
            <w:tcW w:w="731"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暂存于危废暂存间，委托具有处理资质的单位定期拉运处置</w:t>
            </w:r>
          </w:p>
        </w:tc>
        <w:tc>
          <w:tcPr>
            <w:tcW w:w="1466"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《危险废物贮存污染控制标准》（GB18597-2023）</w:t>
            </w:r>
          </w:p>
        </w:tc>
        <w:tc>
          <w:tcPr>
            <w:tcW w:w="1209" w:type="dxa"/>
            <w:noWrap w:val="0"/>
            <w:vAlign w:val="center"/>
          </w:tcPr>
          <w:p>
            <w:pPr>
              <w:adjustRightInd w:val="0"/>
              <w:snapToGrid w:val="0"/>
              <w:spacing w:line="240" w:lineRule="auto"/>
              <w:jc w:val="center"/>
              <w:rPr>
                <w:rFonts w:hint="eastAsia" w:ascii="Times New Roman" w:hAnsi="Times New Roman" w:eastAsia="宋体" w:cs="Times New Roman"/>
                <w:szCs w:val="21"/>
                <w:lang w:val="en-US" w:eastAsia="zh-CN"/>
              </w:rPr>
            </w:pPr>
            <w:r>
              <w:rPr>
                <w:rFonts w:hint="default" w:ascii="Times New Roman" w:hAnsi="Times New Roman" w:cs="Times New Roman"/>
                <w:szCs w:val="21"/>
              </w:rPr>
              <w:t>暂存于危废暂存间，委托具有处理资质的单位定期拉运处置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土壤及地下水</w:t>
            </w:r>
          </w:p>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污染防治措施</w:t>
            </w:r>
          </w:p>
        </w:tc>
        <w:tc>
          <w:tcPr>
            <w:tcW w:w="4251" w:type="pct"/>
            <w:gridSpan w:val="5"/>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本项目</w:t>
            </w:r>
            <w:r>
              <w:rPr>
                <w:rFonts w:hint="eastAsia" w:cs="Times New Roman"/>
                <w:szCs w:val="21"/>
                <w:lang w:val="en-US" w:eastAsia="zh-CN"/>
              </w:rPr>
              <w:t>危废暂存间为重点防渗区，</w:t>
            </w:r>
            <w:r>
              <w:rPr>
                <w:rFonts w:hint="default" w:ascii="Times New Roman" w:hAnsi="Times New Roman" w:cs="Times New Roman"/>
                <w:szCs w:val="21"/>
              </w:rPr>
              <w:t>生产车间按照一般防渗区要求防护，其他区域按照非防渗区要求防护。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生态保护措施</w:t>
            </w:r>
          </w:p>
        </w:tc>
        <w:tc>
          <w:tcPr>
            <w:tcW w:w="4251" w:type="pct"/>
            <w:gridSpan w:val="5"/>
            <w:noWrap w:val="0"/>
            <w:vAlign w:val="center"/>
          </w:tcPr>
          <w:p>
            <w:pPr>
              <w:adjustRightInd w:val="0"/>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noWrap w:val="0"/>
            <w:vAlign w:val="center"/>
          </w:tcPr>
          <w:p>
            <w:pPr>
              <w:adjustRightInd w:val="0"/>
              <w:snapToGrid w:val="0"/>
              <w:spacing w:line="240" w:lineRule="auto"/>
              <w:jc w:val="center"/>
              <w:rPr>
                <w:rFonts w:hint="default" w:ascii="Times New Roman" w:hAnsi="Times New Roman" w:cs="Times New Roman"/>
                <w:spacing w:val="-8"/>
                <w:szCs w:val="21"/>
              </w:rPr>
            </w:pPr>
            <w:r>
              <w:rPr>
                <w:rFonts w:hint="default" w:ascii="Times New Roman" w:hAnsi="Times New Roman" w:cs="Times New Roman"/>
                <w:spacing w:val="-8"/>
                <w:szCs w:val="21"/>
              </w:rPr>
              <w:t>环境风险</w:t>
            </w:r>
          </w:p>
          <w:p>
            <w:pPr>
              <w:adjustRightInd w:val="0"/>
              <w:snapToGrid w:val="0"/>
              <w:spacing w:line="240" w:lineRule="auto"/>
              <w:jc w:val="center"/>
              <w:rPr>
                <w:rFonts w:hint="default" w:ascii="Times New Roman" w:hAnsi="Times New Roman" w:cs="Times New Roman"/>
                <w:spacing w:val="-8"/>
                <w:szCs w:val="21"/>
              </w:rPr>
            </w:pPr>
            <w:r>
              <w:rPr>
                <w:rFonts w:hint="default" w:ascii="Times New Roman" w:hAnsi="Times New Roman" w:cs="Times New Roman"/>
                <w:spacing w:val="-8"/>
                <w:szCs w:val="21"/>
              </w:rPr>
              <w:t>防范措施</w:t>
            </w:r>
          </w:p>
        </w:tc>
        <w:tc>
          <w:tcPr>
            <w:tcW w:w="4251" w:type="pct"/>
            <w:gridSpan w:val="5"/>
            <w:noWrap w:val="0"/>
            <w:vAlign w:val="center"/>
          </w:tcPr>
          <w:p>
            <w:pPr>
              <w:adjustRightInd w:val="0"/>
              <w:snapToGrid w:val="0"/>
              <w:spacing w:line="240" w:lineRule="auto"/>
              <w:jc w:val="center"/>
              <w:rPr>
                <w:rFonts w:hint="eastAsia" w:ascii="Times New Roman" w:hAnsi="Times New Roman" w:eastAsia="宋体" w:cs="Times New Roman"/>
                <w:lang w:val="en-US" w:eastAsia="zh-CN"/>
              </w:rPr>
            </w:pPr>
            <w:r>
              <w:rPr>
                <w:rFonts w:hint="eastAsia" w:ascii="宋体" w:hAnsi="宋体" w:eastAsia="宋体" w:cs="宋体"/>
                <w:color w:val="000000"/>
                <w:kern w:val="0"/>
                <w:sz w:val="21"/>
                <w:szCs w:val="21"/>
                <w:lang w:val="en-US" w:eastAsia="zh-CN" w:bidi="ar"/>
              </w:rPr>
              <w:t>设置消火栓、灭火器；建筑物构筑物之间的距离设计合理的防火间距；设备的安全管理；控制物料输运流程；各生产区保证一定的距离，设有隔离带，设双重管理。生产车间的布局和建筑设计符合相关要求，并在生产车间设置消防系统，达到消防部门要求；生产车间内严格管控明火的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noWrap w:val="0"/>
            <w:vAlign w:val="center"/>
          </w:tcPr>
          <w:p>
            <w:pPr>
              <w:adjustRightInd w:val="0"/>
              <w:snapToGrid w:val="0"/>
              <w:jc w:val="center"/>
              <w:rPr>
                <w:rFonts w:hint="default" w:ascii="Times New Roman" w:hAnsi="Times New Roman" w:cs="Times New Roman"/>
                <w:spacing w:val="-8"/>
                <w:sz w:val="21"/>
                <w:szCs w:val="21"/>
              </w:rPr>
            </w:pPr>
            <w:r>
              <w:rPr>
                <w:rFonts w:hint="default" w:ascii="Times New Roman" w:hAnsi="Times New Roman" w:cs="Times New Roman"/>
                <w:spacing w:val="-8"/>
                <w:sz w:val="21"/>
                <w:szCs w:val="21"/>
              </w:rPr>
              <w:t>其他环境</w:t>
            </w:r>
          </w:p>
          <w:p>
            <w:pPr>
              <w:adjustRightInd w:val="0"/>
              <w:snapToGrid w:val="0"/>
              <w:jc w:val="center"/>
              <w:rPr>
                <w:rFonts w:hint="default" w:ascii="Times New Roman" w:hAnsi="Times New Roman" w:cs="Times New Roman"/>
                <w:spacing w:val="-8"/>
                <w:szCs w:val="21"/>
              </w:rPr>
            </w:pPr>
            <w:r>
              <w:rPr>
                <w:rFonts w:hint="default" w:ascii="Times New Roman" w:hAnsi="Times New Roman" w:cs="Times New Roman"/>
                <w:spacing w:val="-8"/>
                <w:sz w:val="21"/>
                <w:szCs w:val="21"/>
              </w:rPr>
              <w:t>管理要求</w:t>
            </w:r>
          </w:p>
        </w:tc>
        <w:tc>
          <w:tcPr>
            <w:tcW w:w="4251" w:type="pct"/>
            <w:gridSpan w:val="5"/>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422" w:firstLineChars="200"/>
              <w:jc w:val="both"/>
              <w:rPr>
                <w:rFonts w:hint="default" w:ascii="Times New Roman" w:hAnsi="Times New Roman" w:eastAsia="宋体" w:cs="Times New Roman"/>
                <w:b/>
                <w:bCs/>
                <w:lang w:val="en-US" w:eastAsia="zh-CN"/>
              </w:rPr>
            </w:pPr>
            <w:r>
              <w:rPr>
                <w:rFonts w:hint="eastAsia" w:cs="Times New Roman"/>
                <w:b/>
                <w:bCs/>
                <w:lang w:val="en-US" w:eastAsia="zh-CN"/>
              </w:rPr>
              <w:t>1.</w:t>
            </w:r>
            <w:r>
              <w:rPr>
                <w:rFonts w:hint="default" w:ascii="Times New Roman" w:hAnsi="Times New Roman" w:cs="Times New Roman"/>
                <w:b/>
                <w:bCs/>
                <w:lang w:val="en-US" w:eastAsia="zh-CN"/>
              </w:rPr>
              <w:t>排污许可衔接</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rPr>
            </w:pPr>
            <w:r>
              <w:rPr>
                <w:rFonts w:hint="default" w:ascii="Times New Roman" w:hAnsi="Times New Roman" w:cs="Times New Roman"/>
              </w:rPr>
              <w:t>按照《一般工业固体废物管理台账制定指南（试行）》（生态环境部 公告 2021年 第82号）要求，建立并规范运行工业固废利用台账。企业申请排污许可证，然后根据排污许可要求规范执行排污许可执行报告、台账、环境信息公开、监测计划。根据《固定污染源排污许可分类管理名录（2019年版）》，本项目属于“</w:t>
            </w:r>
            <w:r>
              <w:rPr>
                <w:rFonts w:hint="eastAsia" w:cs="Times New Roman"/>
                <w:lang w:val="en-US" w:eastAsia="zh-CN"/>
              </w:rPr>
              <w:t>二十一</w:t>
            </w:r>
            <w:r>
              <w:rPr>
                <w:rFonts w:hint="default" w:ascii="Times New Roman" w:hAnsi="Times New Roman" w:cs="Times New Roman"/>
              </w:rPr>
              <w:t>、</w:t>
            </w:r>
            <w:r>
              <w:rPr>
                <w:rFonts w:hint="eastAsia" w:cs="Times New Roman"/>
                <w:lang w:val="en-US" w:eastAsia="zh-CN"/>
              </w:rPr>
              <w:t>化学原料与化学制品制造业26</w:t>
            </w:r>
            <w:r>
              <w:rPr>
                <w:rFonts w:hint="default" w:ascii="Times New Roman" w:hAnsi="Times New Roman" w:cs="Times New Roman"/>
              </w:rPr>
              <w:t>——</w:t>
            </w:r>
            <w:r>
              <w:rPr>
                <w:rFonts w:hint="eastAsia" w:cs="Times New Roman"/>
                <w:lang w:val="en-US" w:eastAsia="zh-CN"/>
              </w:rPr>
              <w:t>肥料制造262</w:t>
            </w:r>
            <w:r>
              <w:rPr>
                <w:rFonts w:hint="default" w:ascii="Times New Roman" w:hAnsi="Times New Roman" w:cs="Times New Roman"/>
              </w:rPr>
              <w:t>——</w:t>
            </w:r>
            <w:r>
              <w:rPr>
                <w:rFonts w:hint="eastAsia" w:cs="Times New Roman"/>
                <w:lang w:val="en-US" w:eastAsia="zh-CN"/>
              </w:rPr>
              <w:t>简化管理</w:t>
            </w:r>
            <w:r>
              <w:rPr>
                <w:rFonts w:hint="default" w:ascii="Times New Roman" w:hAnsi="Times New Roman" w:cs="Times New Roman"/>
              </w:rPr>
              <w:t>”</w:t>
            </w:r>
            <w:r>
              <w:rPr>
                <w:rFonts w:hint="eastAsia" w:cs="Times New Roman"/>
                <w:lang w:eastAsia="zh-CN"/>
              </w:rPr>
              <w:t>，</w:t>
            </w:r>
            <w:r>
              <w:rPr>
                <w:rFonts w:hint="default" w:ascii="Times New Roman" w:hAnsi="Times New Roman" w:cs="Times New Roman"/>
              </w:rPr>
              <w:t>为</w:t>
            </w:r>
            <w:r>
              <w:rPr>
                <w:rFonts w:hint="eastAsia" w:cs="Times New Roman"/>
                <w:lang w:val="en-US" w:eastAsia="zh-CN"/>
              </w:rPr>
              <w:t>简化</w:t>
            </w:r>
            <w:r>
              <w:rPr>
                <w:rFonts w:hint="default" w:ascii="Times New Roman" w:hAnsi="Times New Roman" w:cs="Times New Roman"/>
              </w:rPr>
              <w:t>管理行业。</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both"/>
              <w:rPr>
                <w:rFonts w:hint="default" w:ascii="Times New Roman" w:hAnsi="Times New Roman" w:cs="Times New Roman"/>
                <w:b/>
                <w:bCs/>
                <w:sz w:val="21"/>
                <w:szCs w:val="21"/>
              </w:rPr>
            </w:pPr>
            <w:r>
              <w:rPr>
                <w:rFonts w:hint="eastAsia" w:cs="Times New Roman"/>
                <w:b/>
                <w:bCs/>
                <w:sz w:val="21"/>
                <w:szCs w:val="21"/>
                <w:lang w:val="en-US" w:eastAsia="zh-CN"/>
              </w:rPr>
              <w:t>2.</w:t>
            </w:r>
            <w:r>
              <w:rPr>
                <w:rFonts w:hint="default" w:ascii="Times New Roman" w:hAnsi="Times New Roman" w:cs="Times New Roman"/>
                <w:b/>
                <w:bCs/>
                <w:sz w:val="21"/>
                <w:szCs w:val="21"/>
              </w:rPr>
              <w:t>排污口规范化建设要求</w:t>
            </w:r>
          </w:p>
          <w:p>
            <w:pPr>
              <w:pStyle w:val="76"/>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建设单位应在各排污口处设立较明显的排污口标志牌，对排放源及固体废物贮存场也应设立明显的标志牌。标志的设置应严格执行《环境保护图形</w:t>
            </w:r>
            <w:r>
              <w:rPr>
                <w:rFonts w:hint="default" w:ascii="Times New Roman" w:hAnsi="Times New Roman" w:cs="Times New Roman"/>
                <w:sz w:val="21"/>
                <w:szCs w:val="21"/>
                <w:highlight w:val="none"/>
              </w:rPr>
              <w:t>标志排放口（源）》（GB15562.1-1995）和《环境保护图形标志</w:t>
            </w:r>
            <w:r>
              <w:rPr>
                <w:rFonts w:hint="eastAsia" w:cs="Times New Roman"/>
                <w:sz w:val="21"/>
                <w:szCs w:val="21"/>
                <w:highlight w:val="none"/>
                <w:lang w:val="en-US" w:eastAsia="zh-CN"/>
              </w:rPr>
              <w:t>-</w:t>
            </w:r>
            <w:r>
              <w:rPr>
                <w:rFonts w:hint="default" w:ascii="Times New Roman" w:hAnsi="Times New Roman" w:cs="Times New Roman"/>
                <w:sz w:val="21"/>
                <w:szCs w:val="21"/>
                <w:highlight w:val="none"/>
              </w:rPr>
              <w:t>固体废物贮存（处置）场》（GB15562.2-1995）</w:t>
            </w:r>
            <w:r>
              <w:rPr>
                <w:rFonts w:hint="eastAsia" w:cs="Times New Roman"/>
                <w:sz w:val="21"/>
                <w:szCs w:val="21"/>
                <w:highlight w:val="none"/>
                <w:lang w:val="en-US" w:eastAsia="zh-CN"/>
              </w:rPr>
              <w:t>修改单</w:t>
            </w:r>
            <w:r>
              <w:rPr>
                <w:rFonts w:hint="default" w:ascii="Times New Roman" w:hAnsi="Times New Roman" w:cs="Times New Roman"/>
                <w:sz w:val="21"/>
                <w:szCs w:val="21"/>
              </w:rPr>
              <w:t>《危险废物贮存污染控制标准》（GB18597-2023）中有关规定。</w:t>
            </w:r>
          </w:p>
          <w:p>
            <w:pPr>
              <w:pStyle w:val="76"/>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需按照《排污单位污染物排放口二维码标识技术规范》（HJ1297—2023）中唯一性原则、稳定性原则、便捷性原则设置排污口二维码。</w:t>
            </w:r>
          </w:p>
          <w:p>
            <w:pPr>
              <w:pStyle w:val="76"/>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危险废物标签需按照《危险废物识别标志设置技术规范》（HJ1276—2022）进行管理，其中规定：危险废物标签的设置位置应明显可见且易读，不应被容器、包装物自身的任何部分或其他标签遮挡。对于盛装同一类危险废物的组合包装容器，应在组合包装容器的外表面设置危险废物标签。</w:t>
            </w:r>
          </w:p>
          <w:p>
            <w:pPr>
              <w:pStyle w:val="75"/>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baseline"/>
              <w:rPr>
                <w:rFonts w:hint="default" w:ascii="Times New Roman" w:hAnsi="Times New Roman" w:cs="Times New Roman"/>
                <w:sz w:val="21"/>
                <w:szCs w:val="21"/>
              </w:rPr>
            </w:pPr>
            <w:r>
              <w:rPr>
                <w:rFonts w:hint="default" w:ascii="Times New Roman" w:hAnsi="Times New Roman" w:eastAsia="宋体" w:cs="Times New Roman"/>
                <w:b/>
                <w:bCs/>
                <w:sz w:val="21"/>
                <w:szCs w:val="21"/>
              </w:rPr>
              <w:t>各排污口环境保护图形标志</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1584"/>
              <w:gridCol w:w="1170"/>
              <w:gridCol w:w="1102"/>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排放口名称</w:t>
                  </w:r>
                </w:p>
              </w:tc>
              <w:tc>
                <w:tcPr>
                  <w:tcW w:w="1059"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图形符号</w:t>
                  </w:r>
                </w:p>
              </w:tc>
              <w:tc>
                <w:tcPr>
                  <w:tcW w:w="851"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形状</w:t>
                  </w:r>
                </w:p>
              </w:tc>
              <w:tc>
                <w:tcPr>
                  <w:tcW w:w="80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背景颜色</w:t>
                  </w:r>
                </w:p>
              </w:tc>
              <w:tc>
                <w:tcPr>
                  <w:tcW w:w="734" w:type="pct"/>
                  <w:tcBorders>
                    <w:left w:val="nil"/>
                    <w:righ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图形颜色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噪声源</w:t>
                  </w:r>
                </w:p>
              </w:tc>
              <w:tc>
                <w:tcPr>
                  <w:tcW w:w="1059" w:type="pct"/>
                  <w:tcBorders>
                    <w:left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kern w:val="0"/>
                      <w:sz w:val="21"/>
                      <w:szCs w:val="21"/>
                    </w:rPr>
                    <w:drawing>
                      <wp:inline distT="0" distB="0" distL="114300" distR="114300">
                        <wp:extent cx="752475" cy="752475"/>
                        <wp:effectExtent l="0" t="0" r="952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7"/>
                                <a:stretch>
                                  <a:fillRect/>
                                </a:stretch>
                              </pic:blipFill>
                              <pic:spPr>
                                <a:xfrm>
                                  <a:off x="0" y="0"/>
                                  <a:ext cx="752475" cy="752475"/>
                                </a:xfrm>
                                <a:prstGeom prst="rect">
                                  <a:avLst/>
                                </a:prstGeom>
                                <a:noFill/>
                                <a:ln>
                                  <a:noFill/>
                                </a:ln>
                              </pic:spPr>
                            </pic:pic>
                          </a:graphicData>
                        </a:graphic>
                      </wp:inline>
                    </w:drawing>
                  </w:r>
                </w:p>
              </w:tc>
              <w:tc>
                <w:tcPr>
                  <w:tcW w:w="851"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正方形边框</w:t>
                  </w:r>
                </w:p>
              </w:tc>
              <w:tc>
                <w:tcPr>
                  <w:tcW w:w="80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绿色</w:t>
                  </w:r>
                </w:p>
              </w:tc>
              <w:tc>
                <w:tcPr>
                  <w:tcW w:w="734" w:type="pct"/>
                  <w:tcBorders>
                    <w:left w:val="nil"/>
                    <w:righ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废水</w:t>
                  </w:r>
                </w:p>
              </w:tc>
              <w:tc>
                <w:tcPr>
                  <w:tcW w:w="1059" w:type="pct"/>
                  <w:tcBorders>
                    <w:left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cs="Times New Roman"/>
                      <w:kern w:val="0"/>
                      <w:sz w:val="21"/>
                      <w:szCs w:val="21"/>
                    </w:rPr>
                  </w:pPr>
                  <w:r>
                    <w:rPr>
                      <w:rFonts w:hint="default" w:ascii="Times New Roman" w:hAnsi="Times New Roman" w:cs="Times New Roman"/>
                      <w:sz w:val="21"/>
                      <w:szCs w:val="21"/>
                    </w:rPr>
                    <w:drawing>
                      <wp:inline distT="0" distB="0" distL="114300" distR="114300">
                        <wp:extent cx="772795" cy="767715"/>
                        <wp:effectExtent l="0" t="0" r="4445" b="952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stretch>
                                  <a:fillRect/>
                                </a:stretch>
                              </pic:blipFill>
                              <pic:spPr>
                                <a:xfrm>
                                  <a:off x="0" y="0"/>
                                  <a:ext cx="772795" cy="767715"/>
                                </a:xfrm>
                                <a:prstGeom prst="rect">
                                  <a:avLst/>
                                </a:prstGeom>
                                <a:noFill/>
                                <a:ln>
                                  <a:noFill/>
                                </a:ln>
                              </pic:spPr>
                            </pic:pic>
                          </a:graphicData>
                        </a:graphic>
                      </wp:inline>
                    </w:drawing>
                  </w:r>
                </w:p>
              </w:tc>
              <w:tc>
                <w:tcPr>
                  <w:tcW w:w="851"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三角形边框</w:t>
                  </w:r>
                </w:p>
              </w:tc>
              <w:tc>
                <w:tcPr>
                  <w:tcW w:w="80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黄色</w:t>
                  </w:r>
                </w:p>
              </w:tc>
              <w:tc>
                <w:tcPr>
                  <w:tcW w:w="734" w:type="pct"/>
                  <w:tcBorders>
                    <w:left w:val="nil"/>
                    <w:righ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一般固体废物</w:t>
                  </w:r>
                </w:p>
              </w:tc>
              <w:tc>
                <w:tcPr>
                  <w:tcW w:w="1059" w:type="pct"/>
                  <w:tcBorders>
                    <w:left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drawing>
                      <wp:inline distT="0" distB="0" distL="114300" distR="114300">
                        <wp:extent cx="855345" cy="861060"/>
                        <wp:effectExtent l="0" t="0" r="13335" b="762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9"/>
                                <a:stretch>
                                  <a:fillRect/>
                                </a:stretch>
                              </pic:blipFill>
                              <pic:spPr>
                                <a:xfrm>
                                  <a:off x="0" y="0"/>
                                  <a:ext cx="855345" cy="861060"/>
                                </a:xfrm>
                                <a:prstGeom prst="rect">
                                  <a:avLst/>
                                </a:prstGeom>
                                <a:noFill/>
                                <a:ln>
                                  <a:noFill/>
                                </a:ln>
                              </pic:spPr>
                            </pic:pic>
                          </a:graphicData>
                        </a:graphic>
                      </wp:inline>
                    </w:drawing>
                  </w:r>
                </w:p>
              </w:tc>
              <w:tc>
                <w:tcPr>
                  <w:tcW w:w="851"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正方形边框</w:t>
                  </w:r>
                </w:p>
              </w:tc>
              <w:tc>
                <w:tcPr>
                  <w:tcW w:w="80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绿色</w:t>
                  </w:r>
                </w:p>
              </w:tc>
              <w:tc>
                <w:tcPr>
                  <w:tcW w:w="734" w:type="pct"/>
                  <w:tcBorders>
                    <w:left w:val="nil"/>
                    <w:righ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危险废物</w:t>
                  </w:r>
                </w:p>
              </w:tc>
              <w:tc>
                <w:tcPr>
                  <w:tcW w:w="1059" w:type="pct"/>
                  <w:tcBorders>
                    <w:left w:val="nil"/>
                  </w:tcBorders>
                  <w:noWrap w:val="0"/>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rPr>
                    <w:drawing>
                      <wp:inline distT="0" distB="0" distL="114300" distR="114300">
                        <wp:extent cx="819150" cy="774700"/>
                        <wp:effectExtent l="0" t="0" r="381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0"/>
                                <a:stretch>
                                  <a:fillRect/>
                                </a:stretch>
                              </pic:blipFill>
                              <pic:spPr>
                                <a:xfrm>
                                  <a:off x="0" y="0"/>
                                  <a:ext cx="819150" cy="774700"/>
                                </a:xfrm>
                                <a:prstGeom prst="rect">
                                  <a:avLst/>
                                </a:prstGeom>
                                <a:noFill/>
                                <a:ln>
                                  <a:noFill/>
                                </a:ln>
                              </pic:spPr>
                            </pic:pic>
                          </a:graphicData>
                        </a:graphic>
                      </wp:inline>
                    </w:drawing>
                  </w:r>
                </w:p>
              </w:tc>
              <w:tc>
                <w:tcPr>
                  <w:tcW w:w="851"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三角形边框</w:t>
                  </w:r>
                </w:p>
              </w:tc>
              <w:tc>
                <w:tcPr>
                  <w:tcW w:w="802" w:type="pct"/>
                  <w:tcBorders>
                    <w:lef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黄色</w:t>
                  </w:r>
                </w:p>
              </w:tc>
              <w:tc>
                <w:tcPr>
                  <w:tcW w:w="734" w:type="pct"/>
                  <w:tcBorders>
                    <w:left w:val="nil"/>
                    <w:right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黑色</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both"/>
              <w:rPr>
                <w:rFonts w:hint="default" w:ascii="Times New Roman" w:hAnsi="Times New Roman" w:cs="Times New Roman"/>
                <w:b/>
                <w:bCs/>
                <w:sz w:val="21"/>
                <w:szCs w:val="21"/>
              </w:rPr>
            </w:pPr>
            <w:r>
              <w:rPr>
                <w:rFonts w:hint="default" w:ascii="Times New Roman" w:hAnsi="Times New Roman" w:cs="Times New Roman"/>
                <w:b/>
                <w:bCs/>
                <w:sz w:val="21"/>
                <w:szCs w:val="21"/>
              </w:rPr>
              <w:t>竣工验收管理及要求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鼓励建设单位委托具备相应技术条件的第三方机构开展建设期环境监理。建设项目在投入生产或者使用前，建设单位应当依据环评文件及其审批意见，委托第三方机构编制建设项目环境保护设施竣工验收报告，向社会公开并向</w:t>
            </w:r>
            <w:r>
              <w:rPr>
                <w:rFonts w:hint="default" w:ascii="Times New Roman" w:hAnsi="Times New Roman" w:cs="Times New Roman"/>
                <w:b w:val="0"/>
                <w:bCs w:val="0"/>
                <w:sz w:val="21"/>
                <w:szCs w:val="21"/>
                <w:lang w:val="en-US" w:eastAsia="zh-CN"/>
              </w:rPr>
              <w:t>生态环境</w:t>
            </w:r>
            <w:r>
              <w:rPr>
                <w:rFonts w:hint="default" w:ascii="Times New Roman" w:hAnsi="Times New Roman" w:cs="Times New Roman"/>
                <w:b w:val="0"/>
                <w:bCs w:val="0"/>
                <w:sz w:val="21"/>
                <w:szCs w:val="21"/>
              </w:rPr>
              <w:t>部门备案。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申请环境保护竣工验收条件为：</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（1）建设项目建设前期环境保护审查、审批手续完备，技术资料与环境保护档案齐全。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（2）环境保护设施按批准的环境影响报告书和设计要求建成，环境保护设施经负荷试车检测合格，其污染防治能力适应主体工程的需要。</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pStyle w:val="29"/>
              <w:rPr>
                <w:rFonts w:hint="default" w:ascii="Times New Roman" w:hAnsi="Times New Roman" w:cs="Times New Roman"/>
                <w:b w:val="0"/>
                <w:bCs w:val="0"/>
                <w:sz w:val="21"/>
                <w:szCs w:val="21"/>
              </w:rPr>
            </w:pPr>
          </w:p>
          <w:p>
            <w:pPr>
              <w:pStyle w:val="12"/>
              <w:rPr>
                <w:rFonts w:hint="default" w:ascii="Times New Roman" w:hAnsi="Times New Roman" w:cs="Times New Roman"/>
                <w:b w:val="0"/>
                <w:bCs w:val="0"/>
                <w:sz w:val="21"/>
                <w:szCs w:val="21"/>
              </w:rPr>
            </w:pPr>
          </w:p>
          <w:p>
            <w:pPr>
              <w:pStyle w:val="13"/>
              <w:rPr>
                <w:rFonts w:hint="default" w:ascii="Times New Roman" w:hAnsi="Times New Roman" w:cs="Times New Roman"/>
                <w:b w:val="0"/>
                <w:bCs w:val="0"/>
                <w:sz w:val="21"/>
                <w:szCs w:val="21"/>
              </w:rPr>
            </w:pPr>
          </w:p>
          <w:p>
            <w:pPr>
              <w:pStyle w:val="12"/>
              <w:rPr>
                <w:rFonts w:hint="default" w:ascii="Times New Roman" w:hAnsi="Times New Roman" w:cs="Times New Roman"/>
                <w:b w:val="0"/>
                <w:bCs w:val="0"/>
                <w:sz w:val="21"/>
                <w:szCs w:val="21"/>
              </w:rPr>
            </w:pPr>
          </w:p>
          <w:p>
            <w:pPr>
              <w:pStyle w:val="13"/>
              <w:rPr>
                <w:rFonts w:hint="default" w:ascii="Times New Roman" w:hAnsi="Times New Roman" w:cs="Times New Roman"/>
                <w:b w:val="0"/>
                <w:bCs w:val="0"/>
                <w:sz w:val="21"/>
                <w:szCs w:val="21"/>
              </w:rPr>
            </w:pPr>
          </w:p>
          <w:p>
            <w:pPr>
              <w:pStyle w:val="12"/>
              <w:rPr>
                <w:rFonts w:hint="default" w:ascii="Times New Roman" w:hAnsi="Times New Roman" w:cs="Times New Roman"/>
                <w:b w:val="0"/>
                <w:bCs w:val="0"/>
                <w:sz w:val="21"/>
                <w:szCs w:val="21"/>
              </w:rPr>
            </w:pPr>
          </w:p>
          <w:p>
            <w:pPr>
              <w:pStyle w:val="13"/>
              <w:rPr>
                <w:rFonts w:hint="default" w:ascii="Times New Roman" w:hAnsi="Times New Roman" w:cs="Times New Roman"/>
                <w:b w:val="0"/>
                <w:bCs w:val="0"/>
                <w:sz w:val="21"/>
                <w:szCs w:val="21"/>
              </w:rPr>
            </w:pPr>
          </w:p>
          <w:p>
            <w:pPr>
              <w:pStyle w:val="12"/>
              <w:rPr>
                <w:rFonts w:hint="default" w:ascii="Times New Roman" w:hAnsi="Times New Roman" w:cs="Times New Roman"/>
                <w:b w:val="0"/>
                <w:bCs w:val="0"/>
                <w:sz w:val="21"/>
                <w:szCs w:val="21"/>
              </w:rPr>
            </w:pPr>
          </w:p>
          <w:p>
            <w:pPr>
              <w:pStyle w:val="13"/>
              <w:rPr>
                <w:rFonts w:hint="default" w:ascii="Times New Roman" w:hAnsi="Times New Roman" w:cs="Times New Roman"/>
                <w:b w:val="0"/>
                <w:bCs w:val="0"/>
                <w:sz w:val="21"/>
                <w:szCs w:val="21"/>
              </w:rPr>
            </w:pPr>
          </w:p>
          <w:p>
            <w:pPr>
              <w:pStyle w:val="12"/>
              <w:rPr>
                <w:rFonts w:hint="default" w:ascii="Times New Roman" w:hAnsi="Times New Roman" w:cs="Times New Roman"/>
                <w:b w:val="0"/>
                <w:bCs w:val="0"/>
                <w:sz w:val="21"/>
                <w:szCs w:val="21"/>
              </w:rPr>
            </w:pPr>
          </w:p>
          <w:p>
            <w:pPr>
              <w:pStyle w:val="13"/>
              <w:rPr>
                <w:rFonts w:hint="default" w:ascii="Times New Roman" w:hAnsi="Times New Roman" w:cs="Times New Roman"/>
                <w:b w:val="0"/>
                <w:bCs w:val="0"/>
                <w:sz w:val="21"/>
                <w:szCs w:val="21"/>
              </w:rPr>
            </w:pPr>
          </w:p>
          <w:p>
            <w:pPr>
              <w:pStyle w:val="12"/>
              <w:rPr>
                <w:rFonts w:hint="default" w:ascii="Times New Roman" w:hAnsi="Times New Roman" w:cs="Times New Roman"/>
                <w:b w:val="0"/>
                <w:bCs w:val="0"/>
                <w:sz w:val="21"/>
                <w:szCs w:val="21"/>
              </w:rPr>
            </w:pPr>
          </w:p>
          <w:p>
            <w:pPr>
              <w:bidi w:val="0"/>
              <w:rPr>
                <w:rFonts w:hint="default"/>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rPr>
                <w:rFonts w:hint="default" w:ascii="Times New Roman" w:hAnsi="Times New Roman" w:cs="Times New Roman"/>
              </w:rPr>
            </w:pPr>
          </w:p>
        </w:tc>
      </w:tr>
    </w:tbl>
    <w:p>
      <w:pPr>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p>
    <w:p>
      <w:pPr>
        <w:pStyle w:val="26"/>
        <w:jc w:val="center"/>
        <w:outlineLvl w:val="0"/>
        <w:rPr>
          <w:rFonts w:ascii="Times New Roman" w:hAnsi="Times New Roman" w:eastAsia="黑体"/>
          <w:snapToGrid w:val="0"/>
          <w:color w:val="auto"/>
          <w:szCs w:val="24"/>
          <w:highlight w:val="none"/>
        </w:rPr>
      </w:pPr>
      <w:r>
        <w:rPr>
          <w:rFonts w:hint="eastAsia" w:ascii="黑体" w:hAnsi="黑体" w:eastAsia="黑体"/>
          <w:snapToGrid w:val="0"/>
          <w:color w:val="auto"/>
          <w:sz w:val="30"/>
          <w:szCs w:val="30"/>
          <w:highlight w:val="none"/>
        </w:rPr>
        <w:t>六、结论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0" w:type="dxa"/>
            <w:vAlign w:val="center"/>
          </w:tcPr>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次评价对建项目及其周围区域环境现状进行了调查、监测和评价分析，通过对营运期污染物排放的环境影响分析和对环境风险的分析，提出了项目污染防治措施以及要求和建议，污染物的排放均能够严于相关标准，符合国家环境保护的要求。</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工程分析可知，本项目运行期间产生一定量的废水、废气、噪声和固体废物，通过采取有效的污染防治措施，可将项目对周围环境造成的影响降到最低。同时，项目运营过程中，依据本次评价所提出的有关污染防治措施，全面落实“三同时”制度，加强运营期环境管理，定期监测，确保污染防治设施稳定达标运行，则项目建设对周围环境质量不会产生明显的影响，从环境保护角度出发，本项目环评是可行的。</w:t>
            </w:r>
          </w:p>
          <w:p>
            <w:pPr>
              <w:spacing w:line="360" w:lineRule="auto"/>
              <w:ind w:firstLine="480"/>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rPr>
                <w:color w:val="auto"/>
                <w:sz w:val="24"/>
                <w:szCs w:val="32"/>
                <w:highlight w:val="none"/>
              </w:rPr>
            </w:pPr>
          </w:p>
          <w:p>
            <w:pPr>
              <w:pStyle w:val="5"/>
              <w:rPr>
                <w:color w:val="auto"/>
                <w:highlight w:val="none"/>
              </w:rPr>
            </w:pPr>
          </w:p>
          <w:p>
            <w:pPr>
              <w:spacing w:line="360" w:lineRule="auto"/>
              <w:rPr>
                <w:color w:val="auto"/>
                <w:sz w:val="24"/>
                <w:highlight w:val="none"/>
              </w:rPr>
            </w:pPr>
          </w:p>
        </w:tc>
      </w:tr>
    </w:tbl>
    <w:p>
      <w:pPr>
        <w:rPr>
          <w:color w:val="auto"/>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26"/>
        <w:adjustRightInd w:val="0"/>
        <w:snapToGrid w:val="0"/>
        <w:spacing w:before="0" w:beforeAutospacing="0" w:after="0" w:afterAutospacing="0" w:line="360" w:lineRule="auto"/>
        <w:outlineLvl w:val="0"/>
        <w:rPr>
          <w:rFonts w:ascii="Times New Roman" w:hAnsi="Times New Roman" w:eastAsia="黑体"/>
          <w:snapToGrid w:val="0"/>
          <w:color w:val="auto"/>
          <w:sz w:val="32"/>
          <w:szCs w:val="32"/>
          <w:highlight w:val="none"/>
        </w:rPr>
      </w:pPr>
      <w:r>
        <w:rPr>
          <w:rFonts w:ascii="Times New Roman" w:hAnsi="Times New Roman" w:eastAsia="黑体"/>
          <w:snapToGrid w:val="0"/>
          <w:color w:val="auto"/>
          <w:sz w:val="32"/>
          <w:szCs w:val="32"/>
          <w:highlight w:val="none"/>
        </w:rPr>
        <w:t>附表</w:t>
      </w:r>
    </w:p>
    <w:p>
      <w:pPr>
        <w:pStyle w:val="26"/>
        <w:adjustRightInd w:val="0"/>
        <w:snapToGrid w:val="0"/>
        <w:spacing w:before="0" w:beforeAutospacing="0" w:after="0" w:afterAutospacing="0"/>
        <w:jc w:val="center"/>
        <w:outlineLvl w:val="0"/>
        <w:rPr>
          <w:rFonts w:hint="default" w:ascii="Times New Roman" w:hAnsi="Times New Roman" w:eastAsia="方正小标宋_GBK" w:cs="Times New Roman"/>
          <w:snapToGrid w:val="0"/>
          <w:sz w:val="38"/>
          <w:szCs w:val="38"/>
        </w:rPr>
      </w:pPr>
      <w:r>
        <w:rPr>
          <w:rFonts w:hint="default" w:ascii="Times New Roman" w:hAnsi="Times New Roman" w:eastAsia="方正小标宋_GBK" w:cs="Times New Roman"/>
          <w:snapToGrid w:val="0"/>
          <w:sz w:val="38"/>
          <w:szCs w:val="38"/>
        </w:rPr>
        <w:t>建设项目污染物排放量汇总表</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669"/>
        <w:gridCol w:w="1897"/>
        <w:gridCol w:w="799"/>
        <w:gridCol w:w="1897"/>
        <w:gridCol w:w="2049"/>
        <w:gridCol w:w="1255"/>
        <w:gridCol w:w="2130"/>
        <w:gridCol w:w="10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0" w:type="auto"/>
            <w:tcBorders>
              <w:tl2br w:val="single" w:color="auto" w:sz="4" w:space="0"/>
            </w:tcBorders>
            <w:noWrap w:val="0"/>
            <w:tcMar>
              <w:left w:w="28" w:type="dxa"/>
              <w:right w:w="28" w:type="dxa"/>
            </w:tcMar>
            <w:vAlign w:val="center"/>
          </w:tcPr>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项目</w:t>
            </w:r>
          </w:p>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分类</w:t>
            </w:r>
          </w:p>
        </w:tc>
        <w:tc>
          <w:tcPr>
            <w:tcW w:w="0" w:type="auto"/>
            <w:noWrap w:val="0"/>
            <w:tcMar>
              <w:left w:w="28" w:type="dxa"/>
              <w:right w:w="28" w:type="dxa"/>
            </w:tcMar>
            <w:vAlign w:val="center"/>
          </w:tcPr>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污染物名称</w:t>
            </w:r>
          </w:p>
        </w:tc>
        <w:tc>
          <w:tcPr>
            <w:tcW w:w="0" w:type="auto"/>
            <w:noWrap w:val="0"/>
            <w:tcMar>
              <w:left w:w="28" w:type="dxa"/>
              <w:right w:w="28" w:type="dxa"/>
            </w:tcMar>
            <w:vAlign w:val="center"/>
          </w:tcPr>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现有工程</w:t>
            </w:r>
          </w:p>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排放量（固体废物产生量）</w:t>
            </w: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1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kern w:val="2"/>
                <w:szCs w:val="21"/>
              </w:rPr>
              <w:t>①</w:t>
            </w:r>
            <w:r>
              <w:rPr>
                <w:rFonts w:hint="default" w:ascii="Times New Roman" w:hAnsi="Times New Roman" w:cs="Times New Roman"/>
                <w:snapToGrid w:val="0"/>
                <w:spacing w:val="-6"/>
                <w:kern w:val="21"/>
                <w:szCs w:val="21"/>
              </w:rPr>
              <w:fldChar w:fldCharType="end"/>
            </w:r>
          </w:p>
        </w:tc>
        <w:tc>
          <w:tcPr>
            <w:tcW w:w="0" w:type="auto"/>
            <w:noWrap w:val="0"/>
            <w:tcMar>
              <w:left w:w="28" w:type="dxa"/>
              <w:right w:w="28" w:type="dxa"/>
            </w:tcMar>
            <w:vAlign w:val="center"/>
          </w:tcPr>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现有工程</w:t>
            </w:r>
          </w:p>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许可排放量</w:t>
            </w:r>
          </w:p>
          <w:p>
            <w:pPr>
              <w:pStyle w:val="58"/>
              <w:spacing w:beforeLines="0" w:afterLines="0"/>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2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snapToGrid w:val="0"/>
                <w:spacing w:val="-6"/>
                <w:kern w:val="21"/>
                <w:szCs w:val="21"/>
              </w:rPr>
              <w:t>②</w:t>
            </w:r>
            <w:r>
              <w:rPr>
                <w:rFonts w:hint="default" w:ascii="Times New Roman" w:hAnsi="Times New Roman" w:cs="Times New Roman"/>
                <w:snapToGrid w:val="0"/>
                <w:spacing w:val="-6"/>
                <w:kern w:val="21"/>
                <w:szCs w:val="21"/>
              </w:rPr>
              <w:fldChar w:fldCharType="end"/>
            </w:r>
          </w:p>
        </w:tc>
        <w:tc>
          <w:tcPr>
            <w:tcW w:w="0" w:type="auto"/>
            <w:noWrap w:val="0"/>
            <w:tcMar>
              <w:left w:w="28" w:type="dxa"/>
              <w:right w:w="28" w:type="dxa"/>
            </w:tcMar>
            <w:vAlign w:val="center"/>
          </w:tcPr>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在建工程</w:t>
            </w:r>
          </w:p>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排放量（固体废物产生量）</w:t>
            </w: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3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kern w:val="2"/>
                <w:szCs w:val="21"/>
              </w:rPr>
              <w:t>③</w:t>
            </w:r>
            <w:r>
              <w:rPr>
                <w:rFonts w:hint="default" w:ascii="Times New Roman" w:hAnsi="Times New Roman" w:cs="Times New Roman"/>
                <w:snapToGrid w:val="0"/>
                <w:spacing w:val="-6"/>
                <w:kern w:val="21"/>
                <w:szCs w:val="21"/>
              </w:rPr>
              <w:fldChar w:fldCharType="end"/>
            </w:r>
          </w:p>
        </w:tc>
        <w:tc>
          <w:tcPr>
            <w:tcW w:w="0" w:type="auto"/>
            <w:noWrap w:val="0"/>
            <w:tcMar>
              <w:left w:w="28" w:type="dxa"/>
              <w:right w:w="28" w:type="dxa"/>
            </w:tcMar>
            <w:vAlign w:val="center"/>
          </w:tcPr>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本项目</w:t>
            </w:r>
          </w:p>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排放量（固体废物产生量）</w:t>
            </w: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4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kern w:val="2"/>
                <w:szCs w:val="21"/>
              </w:rPr>
              <w:t>④</w:t>
            </w:r>
            <w:r>
              <w:rPr>
                <w:rFonts w:hint="default" w:ascii="Times New Roman" w:hAnsi="Times New Roman" w:cs="Times New Roman"/>
                <w:snapToGrid w:val="0"/>
                <w:spacing w:val="-6"/>
                <w:kern w:val="21"/>
                <w:szCs w:val="21"/>
              </w:rPr>
              <w:fldChar w:fldCharType="end"/>
            </w:r>
          </w:p>
        </w:tc>
        <w:tc>
          <w:tcPr>
            <w:tcW w:w="0" w:type="auto"/>
            <w:noWrap w:val="0"/>
            <w:tcMar>
              <w:left w:w="28" w:type="dxa"/>
              <w:right w:w="28" w:type="dxa"/>
            </w:tcMar>
            <w:vAlign w:val="center"/>
          </w:tcPr>
          <w:p>
            <w:pPr>
              <w:pStyle w:val="58"/>
              <w:spacing w:beforeLines="0" w:afterLines="0" w:line="240" w:lineRule="auto"/>
              <w:ind w:firstLine="0" w:firstLineChars="0"/>
              <w:jc w:val="center"/>
              <w:rPr>
                <w:rFonts w:hint="default" w:ascii="Times New Roman" w:hAnsi="Times New Roman" w:cs="Times New Roman"/>
                <w:snapToGrid w:val="0"/>
                <w:spacing w:val="-16"/>
                <w:kern w:val="21"/>
                <w:szCs w:val="21"/>
              </w:rPr>
            </w:pPr>
            <w:r>
              <w:rPr>
                <w:rFonts w:hint="default" w:ascii="Times New Roman" w:hAnsi="Times New Roman" w:cs="Times New Roman"/>
                <w:snapToGrid w:val="0"/>
                <w:spacing w:val="-16"/>
                <w:kern w:val="21"/>
                <w:szCs w:val="21"/>
              </w:rPr>
              <w:t>以新带老削减量</w:t>
            </w:r>
          </w:p>
          <w:p>
            <w:pPr>
              <w:pStyle w:val="58"/>
              <w:spacing w:beforeLines="0" w:afterLines="0" w:line="240" w:lineRule="auto"/>
              <w:ind w:firstLine="0" w:firstLineChars="0"/>
              <w:jc w:val="center"/>
              <w:rPr>
                <w:rFonts w:hint="default" w:ascii="Times New Roman" w:hAnsi="Times New Roman" w:cs="Times New Roman"/>
                <w:snapToGrid w:val="0"/>
                <w:spacing w:val="-16"/>
                <w:kern w:val="21"/>
                <w:szCs w:val="21"/>
              </w:rPr>
            </w:pPr>
            <w:r>
              <w:rPr>
                <w:rFonts w:hint="default" w:ascii="Times New Roman" w:hAnsi="Times New Roman" w:cs="Times New Roman"/>
                <w:snapToGrid w:val="0"/>
                <w:spacing w:val="-16"/>
                <w:kern w:val="21"/>
                <w:szCs w:val="21"/>
              </w:rPr>
              <w:t>（新建项目不填）</w:t>
            </w:r>
            <w:r>
              <w:rPr>
                <w:rFonts w:hint="default" w:ascii="Times New Roman" w:hAnsi="Times New Roman" w:cs="Times New Roman"/>
                <w:snapToGrid w:val="0"/>
                <w:spacing w:val="-16"/>
                <w:kern w:val="21"/>
                <w:szCs w:val="21"/>
              </w:rPr>
              <w:fldChar w:fldCharType="begin"/>
            </w:r>
            <w:r>
              <w:rPr>
                <w:rFonts w:hint="default" w:ascii="Times New Roman" w:hAnsi="Times New Roman" w:cs="Times New Roman"/>
                <w:snapToGrid w:val="0"/>
                <w:spacing w:val="-16"/>
                <w:kern w:val="21"/>
                <w:szCs w:val="21"/>
              </w:rPr>
              <w:instrText xml:space="preserve"> = 5 \* GB3 \* MERGEFORMAT </w:instrText>
            </w:r>
            <w:r>
              <w:rPr>
                <w:rFonts w:hint="default" w:ascii="Times New Roman" w:hAnsi="Times New Roman" w:cs="Times New Roman"/>
                <w:snapToGrid w:val="0"/>
                <w:spacing w:val="-16"/>
                <w:kern w:val="21"/>
                <w:szCs w:val="21"/>
              </w:rPr>
              <w:fldChar w:fldCharType="separate"/>
            </w:r>
            <w:r>
              <w:rPr>
                <w:rFonts w:hint="default" w:ascii="Times New Roman" w:hAnsi="Times New Roman" w:cs="Times New Roman"/>
                <w:kern w:val="2"/>
                <w:szCs w:val="21"/>
              </w:rPr>
              <w:t>⑤</w:t>
            </w:r>
            <w:r>
              <w:rPr>
                <w:rFonts w:hint="default" w:ascii="Times New Roman" w:hAnsi="Times New Roman" w:cs="Times New Roman"/>
                <w:snapToGrid w:val="0"/>
                <w:spacing w:val="-16"/>
                <w:kern w:val="21"/>
                <w:szCs w:val="21"/>
              </w:rPr>
              <w:fldChar w:fldCharType="end"/>
            </w:r>
          </w:p>
        </w:tc>
        <w:tc>
          <w:tcPr>
            <w:tcW w:w="0" w:type="auto"/>
            <w:noWrap w:val="0"/>
            <w:tcMar>
              <w:left w:w="28" w:type="dxa"/>
              <w:right w:w="28" w:type="dxa"/>
            </w:tcMar>
            <w:vAlign w:val="center"/>
          </w:tcPr>
          <w:p>
            <w:pPr>
              <w:pStyle w:val="58"/>
              <w:spacing w:beforeLines="0" w:afterLines="0" w:line="240" w:lineRule="auto"/>
              <w:ind w:firstLine="0" w:firstLineChars="0"/>
              <w:jc w:val="center"/>
              <w:rPr>
                <w:rFonts w:hint="default" w:ascii="Times New Roman" w:hAnsi="Times New Roman" w:cs="Times New Roman"/>
                <w:snapToGrid w:val="0"/>
                <w:spacing w:val="-16"/>
                <w:kern w:val="21"/>
                <w:szCs w:val="21"/>
              </w:rPr>
            </w:pPr>
            <w:r>
              <w:rPr>
                <w:rFonts w:hint="default" w:ascii="Times New Roman" w:hAnsi="Times New Roman" w:cs="Times New Roman"/>
                <w:snapToGrid w:val="0"/>
                <w:spacing w:val="-16"/>
                <w:kern w:val="21"/>
                <w:szCs w:val="21"/>
              </w:rPr>
              <w:t>本项目建成后</w:t>
            </w:r>
          </w:p>
          <w:p>
            <w:pPr>
              <w:pStyle w:val="58"/>
              <w:spacing w:beforeLines="0" w:afterLines="0" w:line="240" w:lineRule="auto"/>
              <w:ind w:firstLine="0" w:firstLineChars="0"/>
              <w:jc w:val="center"/>
              <w:rPr>
                <w:rFonts w:hint="default" w:ascii="Times New Roman" w:hAnsi="Times New Roman" w:cs="Times New Roman"/>
                <w:snapToGrid w:val="0"/>
                <w:spacing w:val="-16"/>
                <w:kern w:val="21"/>
                <w:szCs w:val="21"/>
              </w:rPr>
            </w:pPr>
            <w:r>
              <w:rPr>
                <w:rFonts w:hint="default" w:ascii="Times New Roman" w:hAnsi="Times New Roman" w:cs="Times New Roman"/>
                <w:snapToGrid w:val="0"/>
                <w:spacing w:val="-16"/>
                <w:kern w:val="21"/>
                <w:szCs w:val="21"/>
              </w:rPr>
              <w:t>全厂排放量（固体废物产生量）</w:t>
            </w:r>
            <w:r>
              <w:rPr>
                <w:rFonts w:hint="default" w:ascii="Times New Roman" w:hAnsi="Times New Roman" w:cs="Times New Roman"/>
                <w:snapToGrid w:val="0"/>
                <w:spacing w:val="-16"/>
                <w:kern w:val="21"/>
                <w:szCs w:val="21"/>
              </w:rPr>
              <w:fldChar w:fldCharType="begin"/>
            </w:r>
            <w:r>
              <w:rPr>
                <w:rFonts w:hint="default" w:ascii="Times New Roman" w:hAnsi="Times New Roman" w:cs="Times New Roman"/>
                <w:snapToGrid w:val="0"/>
                <w:spacing w:val="-16"/>
                <w:kern w:val="21"/>
                <w:szCs w:val="21"/>
              </w:rPr>
              <w:instrText xml:space="preserve"> = 6 \* GB3 \* MERGEFORMAT </w:instrText>
            </w:r>
            <w:r>
              <w:rPr>
                <w:rFonts w:hint="default" w:ascii="Times New Roman" w:hAnsi="Times New Roman" w:cs="Times New Roman"/>
                <w:snapToGrid w:val="0"/>
                <w:spacing w:val="-16"/>
                <w:kern w:val="21"/>
                <w:szCs w:val="21"/>
              </w:rPr>
              <w:fldChar w:fldCharType="separate"/>
            </w:r>
            <w:r>
              <w:rPr>
                <w:rFonts w:hint="default" w:ascii="Times New Roman" w:hAnsi="Times New Roman" w:cs="Times New Roman"/>
                <w:kern w:val="2"/>
                <w:szCs w:val="21"/>
              </w:rPr>
              <w:t>⑥</w:t>
            </w:r>
            <w:r>
              <w:rPr>
                <w:rFonts w:hint="default" w:ascii="Times New Roman" w:hAnsi="Times New Roman" w:cs="Times New Roman"/>
                <w:snapToGrid w:val="0"/>
                <w:spacing w:val="-16"/>
                <w:kern w:val="21"/>
                <w:szCs w:val="21"/>
              </w:rPr>
              <w:fldChar w:fldCharType="end"/>
            </w:r>
          </w:p>
        </w:tc>
        <w:tc>
          <w:tcPr>
            <w:tcW w:w="0" w:type="auto"/>
            <w:noWrap w:val="0"/>
            <w:tcMar>
              <w:left w:w="28" w:type="dxa"/>
              <w:right w:w="28" w:type="dxa"/>
            </w:tcMar>
            <w:vAlign w:val="center"/>
          </w:tcPr>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t>变化量</w:t>
            </w:r>
          </w:p>
          <w:p>
            <w:pPr>
              <w:pStyle w:val="58"/>
              <w:spacing w:beforeLines="0" w:afterLines="0" w:line="240" w:lineRule="auto"/>
              <w:ind w:firstLine="0" w:firstLineChars="0"/>
              <w:jc w:val="center"/>
              <w:rPr>
                <w:rFonts w:hint="default" w:ascii="Times New Roman" w:hAnsi="Times New Roman" w:cs="Times New Roman"/>
                <w:snapToGrid w:val="0"/>
                <w:spacing w:val="-6"/>
                <w:kern w:val="21"/>
                <w:szCs w:val="21"/>
              </w:rPr>
            </w:pP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7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kern w:val="2"/>
                <w:szCs w:val="21"/>
              </w:rPr>
              <w:t>⑦</w:t>
            </w:r>
            <w:r>
              <w:rPr>
                <w:rFonts w:hint="default" w:ascii="Times New Roman" w:hAnsi="Times New Roman" w:cs="Times New Roman"/>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废气</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zCs w:val="21"/>
              </w:rPr>
              <w:t>颗粒物</w:t>
            </w:r>
          </w:p>
        </w:tc>
        <w:tc>
          <w:tcPr>
            <w:tcW w:w="0" w:type="auto"/>
            <w:noWrap w:val="0"/>
            <w:vAlign w:val="center"/>
          </w:tcPr>
          <w:p>
            <w:pPr>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eastAsia" w:cs="Times New Roman"/>
                <w:szCs w:val="21"/>
                <w:lang w:val="en-US" w:eastAsia="zh-CN"/>
              </w:rPr>
              <w:t>0.58</w:t>
            </w:r>
            <w:r>
              <w:rPr>
                <w:rFonts w:hint="default" w:ascii="Times New Roman" w:hAnsi="Times New Roman" w:cs="Times New Roman"/>
                <w:szCs w:val="21"/>
              </w:rPr>
              <w:t>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2131" w:type="dxa"/>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eastAsia" w:cs="Times New Roman"/>
                <w:szCs w:val="21"/>
                <w:lang w:val="en-US" w:eastAsia="zh-CN"/>
              </w:rPr>
              <w:t>0.58</w:t>
            </w:r>
            <w:r>
              <w:rPr>
                <w:rFonts w:hint="default" w:ascii="Times New Roman" w:hAnsi="Times New Roman" w:cs="Times New Roman"/>
                <w:szCs w:val="21"/>
              </w:rPr>
              <w:t>t/a</w:t>
            </w:r>
          </w:p>
        </w:tc>
        <w:tc>
          <w:tcPr>
            <w:tcW w:w="1017" w:type="dxa"/>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eastAsia" w:cs="Times New Roman"/>
                <w:szCs w:val="21"/>
                <w:lang w:val="en-US" w:eastAsia="zh-CN"/>
              </w:rPr>
              <w:t>+0.58</w:t>
            </w:r>
            <w:r>
              <w:rPr>
                <w:rFonts w:hint="default" w:ascii="Times New Roman" w:hAnsi="Times New Roman" w:cs="Times New Roman"/>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restart"/>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废水</w:t>
            </w:r>
          </w:p>
        </w:tc>
        <w:tc>
          <w:tcPr>
            <w:tcW w:w="0" w:type="auto"/>
            <w:noWrap w:val="0"/>
            <w:vAlign w:val="center"/>
          </w:tcPr>
          <w:p>
            <w:pPr>
              <w:pStyle w:val="58"/>
              <w:spacing w:beforeLines="0" w:afterLines="0" w:line="240" w:lineRule="auto"/>
              <w:ind w:firstLine="0" w:firstLineChars="0"/>
              <w:jc w:val="center"/>
              <w:rPr>
                <w:rFonts w:hint="eastAsia" w:ascii="Times New Roman" w:hAnsi="Times New Roman" w:eastAsia="宋体" w:cs="Times New Roman"/>
                <w:snapToGrid w:val="0"/>
                <w:kern w:val="21"/>
                <w:szCs w:val="21"/>
                <w:vertAlign w:val="subscript"/>
                <w:lang w:eastAsia="zh-CN"/>
              </w:rPr>
            </w:pPr>
            <w:r>
              <w:rPr>
                <w:rFonts w:hint="eastAsia" w:cs="Times New Roman"/>
                <w:snapToGrid w:val="0"/>
                <w:kern w:val="21"/>
                <w:szCs w:val="21"/>
                <w:lang w:eastAsia="zh-CN"/>
              </w:rPr>
              <w:t>CODcr</w:t>
            </w:r>
          </w:p>
        </w:tc>
        <w:tc>
          <w:tcPr>
            <w:tcW w:w="0" w:type="auto"/>
            <w:noWrap w:val="0"/>
            <w:vAlign w:val="center"/>
          </w:tcPr>
          <w:p>
            <w:pPr>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cs="Times New Roman"/>
                <w:snapToGrid w:val="0"/>
                <w:kern w:val="21"/>
                <w:szCs w:val="21"/>
                <w:highlight w:val="none"/>
              </w:rPr>
            </w:pPr>
            <w:r>
              <w:rPr>
                <w:rFonts w:hint="eastAsia" w:cs="Times New Roman"/>
                <w:i w:val="0"/>
                <w:iCs w:val="0"/>
                <w:color w:val="000000"/>
                <w:kern w:val="0"/>
                <w:sz w:val="21"/>
                <w:szCs w:val="21"/>
                <w:highlight w:val="none"/>
                <w:u w:val="none"/>
                <w:lang w:val="en-US" w:eastAsia="zh-CN" w:bidi="ar"/>
              </w:rPr>
              <w:t>0.48</w:t>
            </w:r>
            <w:r>
              <w:rPr>
                <w:rFonts w:hint="default" w:ascii="Times New Roman" w:hAnsi="Times New Roman" w:cs="Times New Roman"/>
                <w:szCs w:val="21"/>
              </w:rPr>
              <w:t>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213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cs="Times New Roman"/>
                <w:snapToGrid w:val="0"/>
                <w:kern w:val="21"/>
                <w:szCs w:val="21"/>
                <w:highlight w:val="yellow"/>
              </w:rPr>
            </w:pPr>
            <w:r>
              <w:rPr>
                <w:rFonts w:hint="eastAsia" w:cs="Times New Roman"/>
                <w:i w:val="0"/>
                <w:iCs w:val="0"/>
                <w:color w:val="000000"/>
                <w:kern w:val="0"/>
                <w:sz w:val="21"/>
                <w:szCs w:val="21"/>
                <w:highlight w:val="none"/>
                <w:u w:val="none"/>
                <w:lang w:val="en-US" w:eastAsia="zh-CN" w:bidi="ar"/>
              </w:rPr>
              <w:t>0.48</w:t>
            </w:r>
            <w:r>
              <w:rPr>
                <w:rFonts w:hint="default" w:ascii="Times New Roman" w:hAnsi="Times New Roman" w:cs="Times New Roman"/>
                <w:szCs w:val="21"/>
              </w:rPr>
              <w:t>t/a</w:t>
            </w:r>
          </w:p>
        </w:tc>
        <w:tc>
          <w:tcPr>
            <w:tcW w:w="1017"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cs="Times New Roman"/>
                <w:snapToGrid w:val="0"/>
                <w:kern w:val="21"/>
                <w:szCs w:val="21"/>
                <w:highlight w:val="yellow"/>
              </w:rPr>
            </w:pPr>
            <w:r>
              <w:rPr>
                <w:rFonts w:hint="eastAsia" w:cs="Times New Roman"/>
                <w:i w:val="0"/>
                <w:iCs w:val="0"/>
                <w:color w:val="000000"/>
                <w:kern w:val="0"/>
                <w:sz w:val="21"/>
                <w:szCs w:val="21"/>
                <w:highlight w:val="none"/>
                <w:u w:val="none"/>
                <w:lang w:val="en-US" w:eastAsia="zh-CN" w:bidi="ar"/>
              </w:rPr>
              <w:t>+0.48</w:t>
            </w:r>
            <w:r>
              <w:rPr>
                <w:rFonts w:hint="default" w:ascii="Times New Roman" w:hAnsi="Times New Roman" w:cs="Times New Roman"/>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continue"/>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BOD</w:t>
            </w:r>
            <w:r>
              <w:rPr>
                <w:rFonts w:hint="default" w:ascii="Times New Roman" w:hAnsi="Times New Roman" w:cs="Times New Roman"/>
                <w:snapToGrid w:val="0"/>
                <w:kern w:val="21"/>
                <w:szCs w:val="21"/>
                <w:vertAlign w:val="subscript"/>
              </w:rPr>
              <w:t>5</w:t>
            </w:r>
          </w:p>
        </w:tc>
        <w:tc>
          <w:tcPr>
            <w:tcW w:w="0" w:type="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p>
        </w:tc>
        <w:tc>
          <w:tcPr>
            <w:tcW w:w="0" w:type="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w:t>
            </w:r>
          </w:p>
        </w:tc>
        <w:tc>
          <w:tcPr>
            <w:tcW w:w="0" w:type="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w:t>
            </w:r>
          </w:p>
        </w:tc>
        <w:tc>
          <w:tcPr>
            <w:tcW w:w="0" w:type="auto"/>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0.24</w:t>
            </w:r>
            <w:r>
              <w:rPr>
                <w:rFonts w:hint="default" w:ascii="Times New Roman" w:hAnsi="Times New Roman" w:cs="Times New Roman"/>
                <w:szCs w:val="21"/>
              </w:rPr>
              <w:t>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2131" w:type="dxa"/>
            <w:noWrap w:val="0"/>
            <w:vAlign w:val="center"/>
          </w:tcPr>
          <w:p>
            <w:pPr>
              <w:jc w:val="center"/>
              <w:rPr>
                <w:rFonts w:hint="default" w:ascii="Times New Roman" w:hAnsi="Times New Roman" w:cs="Times New Roman"/>
                <w:snapToGrid w:val="0"/>
                <w:kern w:val="21"/>
                <w:szCs w:val="21"/>
                <w:highlight w:val="yellow"/>
              </w:rPr>
            </w:pPr>
            <w:r>
              <w:rPr>
                <w:rFonts w:hint="eastAsia"/>
                <w:color w:val="auto"/>
                <w:szCs w:val="21"/>
                <w:highlight w:val="none"/>
                <w:lang w:val="en-US" w:eastAsia="zh-CN"/>
              </w:rPr>
              <w:t>0.24</w:t>
            </w:r>
            <w:r>
              <w:rPr>
                <w:rFonts w:hint="default" w:ascii="Times New Roman" w:hAnsi="Times New Roman" w:cs="Times New Roman"/>
                <w:szCs w:val="21"/>
              </w:rPr>
              <w:t>t/a</w:t>
            </w:r>
          </w:p>
        </w:tc>
        <w:tc>
          <w:tcPr>
            <w:tcW w:w="1017" w:type="dxa"/>
            <w:noWrap w:val="0"/>
            <w:vAlign w:val="center"/>
          </w:tcPr>
          <w:p>
            <w:pPr>
              <w:jc w:val="center"/>
              <w:rPr>
                <w:rFonts w:hint="default" w:ascii="Times New Roman" w:hAnsi="Times New Roman" w:cs="Times New Roman"/>
                <w:snapToGrid w:val="0"/>
                <w:kern w:val="21"/>
                <w:szCs w:val="21"/>
                <w:highlight w:val="yellow"/>
              </w:rPr>
            </w:pPr>
            <w:r>
              <w:rPr>
                <w:rFonts w:hint="eastAsia"/>
                <w:color w:val="auto"/>
                <w:szCs w:val="21"/>
                <w:highlight w:val="none"/>
                <w:lang w:val="en-US" w:eastAsia="zh-CN"/>
              </w:rPr>
              <w:t>+0.24</w:t>
            </w:r>
            <w:r>
              <w:rPr>
                <w:rFonts w:hint="default" w:ascii="Times New Roman" w:hAnsi="Times New Roman" w:cs="Times New Roman"/>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continue"/>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vertAlign w:val="subscript"/>
              </w:rPr>
            </w:pPr>
            <w:r>
              <w:rPr>
                <w:rFonts w:hint="default" w:ascii="Times New Roman" w:hAnsi="Times New Roman" w:cs="Times New Roman"/>
                <w:snapToGrid w:val="0"/>
                <w:kern w:val="21"/>
                <w:szCs w:val="21"/>
              </w:rPr>
              <w:t>NH</w:t>
            </w:r>
            <w:r>
              <w:rPr>
                <w:rFonts w:hint="default" w:ascii="Times New Roman" w:hAnsi="Times New Roman" w:cs="Times New Roman"/>
                <w:snapToGrid w:val="0"/>
                <w:kern w:val="21"/>
                <w:szCs w:val="21"/>
                <w:vertAlign w:val="subscript"/>
              </w:rPr>
              <w:t>3</w:t>
            </w:r>
            <w:r>
              <w:rPr>
                <w:rFonts w:hint="default" w:ascii="Times New Roman" w:hAnsi="Times New Roman" w:cs="Times New Roman"/>
                <w:snapToGrid w:val="0"/>
                <w:kern w:val="21"/>
                <w:szCs w:val="21"/>
              </w:rPr>
              <w:t>-N</w:t>
            </w:r>
          </w:p>
        </w:tc>
        <w:tc>
          <w:tcPr>
            <w:tcW w:w="0" w:type="auto"/>
            <w:noWrap w:val="0"/>
            <w:vAlign w:val="center"/>
          </w:tcPr>
          <w:p>
            <w:pPr>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cs="Times New Roman"/>
                <w:snapToGrid w:val="0"/>
                <w:kern w:val="21"/>
                <w:szCs w:val="21"/>
                <w:highlight w:val="none"/>
              </w:rPr>
            </w:pPr>
            <w:r>
              <w:rPr>
                <w:rFonts w:hint="eastAsia" w:cs="Times New Roman"/>
                <w:szCs w:val="21"/>
                <w:highlight w:val="none"/>
                <w:lang w:val="en-US" w:eastAsia="zh-CN"/>
              </w:rPr>
              <w:t>0.04</w:t>
            </w:r>
            <w:r>
              <w:rPr>
                <w:rFonts w:hint="default" w:ascii="Times New Roman" w:hAnsi="Times New Roman" w:cs="Times New Roman"/>
                <w:szCs w:val="21"/>
                <w:highlight w:val="none"/>
              </w:rPr>
              <w:t>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213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cs="Times New Roman"/>
                <w:snapToGrid w:val="0"/>
                <w:kern w:val="21"/>
                <w:szCs w:val="21"/>
                <w:highlight w:val="yellow"/>
              </w:rPr>
            </w:pPr>
            <w:r>
              <w:rPr>
                <w:rFonts w:hint="eastAsia" w:cs="Times New Roman"/>
                <w:szCs w:val="21"/>
                <w:highlight w:val="none"/>
                <w:lang w:val="en-US" w:eastAsia="zh-CN"/>
              </w:rPr>
              <w:t>0.04</w:t>
            </w:r>
            <w:r>
              <w:rPr>
                <w:rFonts w:hint="default" w:ascii="Times New Roman" w:hAnsi="Times New Roman" w:cs="Times New Roman"/>
                <w:szCs w:val="21"/>
                <w:highlight w:val="none"/>
              </w:rPr>
              <w:t>t/a</w:t>
            </w:r>
          </w:p>
        </w:tc>
        <w:tc>
          <w:tcPr>
            <w:tcW w:w="1017"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cs="Times New Roman"/>
                <w:snapToGrid w:val="0"/>
                <w:kern w:val="21"/>
                <w:szCs w:val="21"/>
                <w:highlight w:val="yellow"/>
              </w:rPr>
            </w:pPr>
            <w:r>
              <w:rPr>
                <w:rFonts w:hint="eastAsia" w:cs="Times New Roman"/>
                <w:szCs w:val="21"/>
                <w:highlight w:val="none"/>
                <w:lang w:val="en-US" w:eastAsia="zh-CN"/>
              </w:rPr>
              <w:t>+0.04</w:t>
            </w:r>
            <w:r>
              <w:rPr>
                <w:rFonts w:hint="default" w:ascii="Times New Roman" w:hAnsi="Times New Roman" w:cs="Times New Roman"/>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continue"/>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SS</w:t>
            </w:r>
          </w:p>
        </w:tc>
        <w:tc>
          <w:tcPr>
            <w:tcW w:w="0" w:type="auto"/>
            <w:noWrap w:val="0"/>
            <w:vAlign w:val="center"/>
          </w:tcPr>
          <w:p>
            <w:pPr>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cs="Times New Roman"/>
                <w:snapToGrid w:val="0"/>
                <w:kern w:val="21"/>
                <w:szCs w:val="21"/>
                <w:highlight w:val="none"/>
              </w:rPr>
            </w:pPr>
            <w:r>
              <w:rPr>
                <w:rFonts w:hint="eastAsia" w:cs="Times New Roman"/>
                <w:szCs w:val="21"/>
                <w:highlight w:val="none"/>
                <w:lang w:val="en-US" w:eastAsia="zh-CN"/>
              </w:rPr>
              <w:t>0.24</w:t>
            </w:r>
            <w:r>
              <w:rPr>
                <w:rFonts w:hint="default" w:ascii="Times New Roman" w:hAnsi="Times New Roman" w:cs="Times New Roman"/>
                <w:szCs w:val="21"/>
                <w:highlight w:val="none"/>
              </w:rPr>
              <w:t>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213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cs="Times New Roman"/>
                <w:snapToGrid w:val="0"/>
                <w:kern w:val="21"/>
                <w:szCs w:val="21"/>
                <w:highlight w:val="yellow"/>
              </w:rPr>
            </w:pPr>
            <w:r>
              <w:rPr>
                <w:rFonts w:hint="eastAsia" w:cs="Times New Roman"/>
                <w:szCs w:val="21"/>
                <w:highlight w:val="none"/>
                <w:lang w:val="en-US" w:eastAsia="zh-CN"/>
              </w:rPr>
              <w:t>0.24</w:t>
            </w:r>
            <w:r>
              <w:rPr>
                <w:rFonts w:hint="default" w:ascii="Times New Roman" w:hAnsi="Times New Roman" w:cs="Times New Roman"/>
                <w:szCs w:val="21"/>
                <w:highlight w:val="none"/>
              </w:rPr>
              <w:t>t/a</w:t>
            </w:r>
          </w:p>
        </w:tc>
        <w:tc>
          <w:tcPr>
            <w:tcW w:w="1017"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cs="Times New Roman"/>
                <w:snapToGrid w:val="0"/>
                <w:kern w:val="21"/>
                <w:szCs w:val="21"/>
                <w:highlight w:val="yellow"/>
              </w:rPr>
            </w:pPr>
            <w:r>
              <w:rPr>
                <w:rFonts w:hint="eastAsia" w:cs="Times New Roman"/>
                <w:szCs w:val="21"/>
                <w:highlight w:val="none"/>
                <w:lang w:val="en-US" w:eastAsia="zh-CN"/>
              </w:rPr>
              <w:t>+0.24</w:t>
            </w:r>
            <w:r>
              <w:rPr>
                <w:rFonts w:hint="default" w:ascii="Times New Roman" w:hAnsi="Times New Roman" w:cs="Times New Roman"/>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restart"/>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一般固体废物</w:t>
            </w:r>
          </w:p>
        </w:tc>
        <w:tc>
          <w:tcPr>
            <w:tcW w:w="0" w:type="auto"/>
            <w:noWrap w:val="0"/>
            <w:vAlign w:val="center"/>
          </w:tcPr>
          <w:p>
            <w:pPr>
              <w:pStyle w:val="58"/>
              <w:spacing w:beforeLines="0" w:afterLines="0" w:line="240" w:lineRule="auto"/>
              <w:ind w:firstLine="0" w:firstLineChars="0"/>
              <w:jc w:val="center"/>
              <w:rPr>
                <w:rFonts w:hint="eastAsia" w:ascii="Times New Roman" w:hAnsi="Times New Roman" w:eastAsia="宋体" w:cs="Times New Roman"/>
                <w:snapToGrid w:val="0"/>
                <w:kern w:val="21"/>
                <w:sz w:val="21"/>
                <w:szCs w:val="21"/>
                <w:lang w:val="en-US" w:eastAsia="zh-CN" w:bidi="ar-SA"/>
              </w:rPr>
            </w:pPr>
            <w:r>
              <w:rPr>
                <w:rFonts w:hint="eastAsia" w:cs="Times New Roman"/>
                <w:snapToGrid w:val="0"/>
                <w:kern w:val="21"/>
                <w:szCs w:val="21"/>
                <w:lang w:val="en-US" w:eastAsia="zh-CN"/>
              </w:rPr>
              <w:t>生活垃圾</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 w:val="21"/>
                <w:szCs w:val="21"/>
                <w:lang w:val="en-US" w:eastAsia="zh-CN" w:bidi="ar-SA"/>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 w:val="21"/>
                <w:szCs w:val="21"/>
                <w:lang w:val="en-US" w:eastAsia="zh-CN" w:bidi="ar-SA"/>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 w:val="21"/>
                <w:szCs w:val="21"/>
                <w:lang w:val="en-US" w:eastAsia="zh-CN" w:bidi="ar-SA"/>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 w:val="21"/>
                <w:szCs w:val="21"/>
                <w:lang w:val="en-US" w:eastAsia="zh-CN" w:bidi="ar-SA"/>
              </w:rPr>
            </w:pPr>
            <w:r>
              <w:rPr>
                <w:rFonts w:hint="eastAsia" w:cs="Times New Roman"/>
                <w:snapToGrid w:val="0"/>
                <w:kern w:val="21"/>
                <w:szCs w:val="21"/>
                <w:lang w:val="en-US" w:eastAsia="zh-CN"/>
              </w:rPr>
              <w:t>7.5</w:t>
            </w:r>
            <w:r>
              <w:rPr>
                <w:rFonts w:hint="default" w:ascii="Times New Roman" w:hAnsi="Times New Roman" w:cs="Times New Roman"/>
                <w:snapToGrid w:val="0"/>
                <w:kern w:val="21"/>
                <w:szCs w:val="21"/>
              </w:rPr>
              <w:t>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 w:val="21"/>
                <w:szCs w:val="21"/>
                <w:lang w:val="en-US" w:eastAsia="zh-CN" w:bidi="ar-SA"/>
              </w:rPr>
            </w:pPr>
            <w:r>
              <w:rPr>
                <w:rFonts w:hint="default" w:ascii="Times New Roman" w:hAnsi="Times New Roman" w:cs="Times New Roman"/>
                <w:snapToGrid w:val="0"/>
                <w:kern w:val="21"/>
                <w:szCs w:val="21"/>
              </w:rPr>
              <w:t>0</w:t>
            </w:r>
          </w:p>
        </w:tc>
        <w:tc>
          <w:tcPr>
            <w:tcW w:w="2131" w:type="dxa"/>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 w:val="21"/>
                <w:szCs w:val="21"/>
                <w:lang w:val="en-US" w:eastAsia="zh-CN" w:bidi="ar-SA"/>
              </w:rPr>
            </w:pPr>
            <w:r>
              <w:rPr>
                <w:rFonts w:hint="eastAsia" w:cs="Times New Roman"/>
                <w:snapToGrid w:val="0"/>
                <w:kern w:val="21"/>
                <w:szCs w:val="21"/>
                <w:lang w:val="en-US" w:eastAsia="zh-CN"/>
              </w:rPr>
              <w:t>7.5</w:t>
            </w:r>
            <w:r>
              <w:rPr>
                <w:rFonts w:hint="default" w:ascii="Times New Roman" w:hAnsi="Times New Roman" w:cs="Times New Roman"/>
                <w:snapToGrid w:val="0"/>
                <w:kern w:val="21"/>
                <w:szCs w:val="21"/>
              </w:rPr>
              <w:t>t/a</w:t>
            </w:r>
          </w:p>
        </w:tc>
        <w:tc>
          <w:tcPr>
            <w:tcW w:w="1017" w:type="dxa"/>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 w:val="21"/>
                <w:szCs w:val="21"/>
                <w:lang w:val="en-US" w:eastAsia="zh-CN" w:bidi="ar-SA"/>
              </w:rPr>
            </w:pPr>
            <w:r>
              <w:rPr>
                <w:rFonts w:hint="eastAsia" w:cs="Times New Roman"/>
                <w:snapToGrid w:val="0"/>
                <w:kern w:val="21"/>
                <w:szCs w:val="21"/>
                <w:lang w:val="en-US" w:eastAsia="zh-CN"/>
              </w:rPr>
              <w:t>+7.5</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continue"/>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p>
        </w:tc>
        <w:tc>
          <w:tcPr>
            <w:tcW w:w="0" w:type="auto"/>
            <w:noWrap w:val="0"/>
            <w:vAlign w:val="center"/>
          </w:tcPr>
          <w:p>
            <w:pPr>
              <w:pStyle w:val="58"/>
              <w:spacing w:beforeLines="0" w:afterLines="0" w:line="240" w:lineRule="auto"/>
              <w:ind w:firstLine="0" w:firstLineChars="0"/>
              <w:jc w:val="center"/>
              <w:rPr>
                <w:rFonts w:hint="eastAsia" w:ascii="Times New Roman" w:hAnsi="Times New Roman" w:eastAsia="宋体" w:cs="Times New Roman"/>
                <w:snapToGrid w:val="0"/>
                <w:kern w:val="21"/>
                <w:szCs w:val="21"/>
                <w:lang w:eastAsia="zh-CN"/>
              </w:rPr>
            </w:pPr>
            <w:r>
              <w:rPr>
                <w:rFonts w:hint="eastAsia" w:cs="Times New Roman"/>
                <w:snapToGrid w:val="0"/>
                <w:kern w:val="21"/>
                <w:szCs w:val="21"/>
                <w:lang w:val="en-US" w:eastAsia="zh-CN"/>
              </w:rPr>
              <w:t>筛分废物</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eastAsia" w:cs="Times New Roman"/>
                <w:snapToGrid w:val="0"/>
                <w:kern w:val="21"/>
                <w:szCs w:val="21"/>
                <w:lang w:val="en-US" w:eastAsia="zh-CN"/>
              </w:rPr>
              <w:t>1</w:t>
            </w:r>
            <w:r>
              <w:rPr>
                <w:rFonts w:hint="default" w:ascii="Times New Roman" w:hAnsi="Times New Roman" w:cs="Times New Roman"/>
                <w:snapToGrid w:val="0"/>
                <w:kern w:val="21"/>
                <w:szCs w:val="21"/>
              </w:rPr>
              <w:t>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2131" w:type="dxa"/>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eastAsia" w:cs="Times New Roman"/>
                <w:snapToGrid w:val="0"/>
                <w:kern w:val="21"/>
                <w:szCs w:val="21"/>
                <w:lang w:val="en-US" w:eastAsia="zh-CN"/>
              </w:rPr>
              <w:t>1</w:t>
            </w:r>
            <w:r>
              <w:rPr>
                <w:rFonts w:hint="default" w:ascii="Times New Roman" w:hAnsi="Times New Roman" w:cs="Times New Roman"/>
                <w:snapToGrid w:val="0"/>
                <w:kern w:val="21"/>
                <w:szCs w:val="21"/>
              </w:rPr>
              <w:t>t/a</w:t>
            </w:r>
          </w:p>
        </w:tc>
        <w:tc>
          <w:tcPr>
            <w:tcW w:w="1017" w:type="dxa"/>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eastAsia" w:cs="Times New Roman"/>
                <w:snapToGrid w:val="0"/>
                <w:kern w:val="21"/>
                <w:szCs w:val="21"/>
                <w:lang w:val="en-US" w:eastAsia="zh-CN"/>
              </w:rPr>
              <w:t>+1</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continue"/>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布袋除尘收集的粉尘</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eastAsia" w:cs="Times New Roman"/>
                <w:snapToGrid w:val="0"/>
                <w:kern w:val="21"/>
                <w:szCs w:val="21"/>
                <w:lang w:val="en-US" w:eastAsia="zh-CN"/>
              </w:rPr>
              <w:t>56.56</w:t>
            </w:r>
            <w:r>
              <w:rPr>
                <w:rFonts w:hint="default" w:ascii="Times New Roman" w:hAnsi="Times New Roman" w:cs="Times New Roman"/>
                <w:snapToGrid w:val="0"/>
                <w:kern w:val="21"/>
                <w:szCs w:val="21"/>
              </w:rPr>
              <w:t>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2131" w:type="dxa"/>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eastAsia" w:cs="Times New Roman"/>
                <w:snapToGrid w:val="0"/>
                <w:kern w:val="21"/>
                <w:szCs w:val="21"/>
                <w:lang w:val="en-US" w:eastAsia="zh-CN"/>
              </w:rPr>
              <w:t>56.56</w:t>
            </w:r>
            <w:r>
              <w:rPr>
                <w:rFonts w:hint="default" w:ascii="Times New Roman" w:hAnsi="Times New Roman" w:cs="Times New Roman"/>
                <w:snapToGrid w:val="0"/>
                <w:kern w:val="21"/>
                <w:szCs w:val="21"/>
              </w:rPr>
              <w:t>t/a</w:t>
            </w:r>
          </w:p>
        </w:tc>
        <w:tc>
          <w:tcPr>
            <w:tcW w:w="1017" w:type="dxa"/>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eastAsia" w:cs="Times New Roman"/>
                <w:snapToGrid w:val="0"/>
                <w:kern w:val="21"/>
                <w:szCs w:val="21"/>
                <w:lang w:val="en-US" w:eastAsia="zh-CN"/>
              </w:rPr>
              <w:t>+56.56</w:t>
            </w:r>
            <w:r>
              <w:rPr>
                <w:rFonts w:hint="default" w:ascii="Times New Roman" w:hAnsi="Times New Roman" w:cs="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continue"/>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p>
        </w:tc>
        <w:tc>
          <w:tcPr>
            <w:tcW w:w="0" w:type="auto"/>
            <w:noWrap w:val="0"/>
            <w:vAlign w:val="center"/>
          </w:tcPr>
          <w:p>
            <w:pPr>
              <w:pStyle w:val="58"/>
              <w:spacing w:beforeLines="0" w:afterLines="0" w:line="240" w:lineRule="auto"/>
              <w:ind w:firstLine="0" w:firstLineChars="0"/>
              <w:jc w:val="center"/>
              <w:rPr>
                <w:rFonts w:hint="default" w:ascii="Times New Roman" w:hAnsi="Times New Roman" w:eastAsia="宋体" w:cs="Times New Roman"/>
                <w:snapToGrid w:val="0"/>
                <w:kern w:val="21"/>
                <w:szCs w:val="21"/>
                <w:lang w:val="en-US" w:eastAsia="zh-CN"/>
              </w:rPr>
            </w:pPr>
            <w:r>
              <w:rPr>
                <w:rFonts w:hint="default" w:ascii="Times New Roman" w:hAnsi="Times New Roman" w:cs="Times New Roman"/>
                <w:snapToGrid w:val="0"/>
                <w:kern w:val="21"/>
                <w:szCs w:val="21"/>
                <w:lang w:val="en-US" w:eastAsia="zh-CN"/>
              </w:rPr>
              <w:t>废包装袋</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eastAsia="宋体" w:cs="Times New Roman"/>
                <w:snapToGrid w:val="0"/>
                <w:kern w:val="21"/>
                <w:szCs w:val="21"/>
                <w:lang w:val="en-US" w:eastAsia="zh-CN"/>
              </w:rPr>
            </w:pPr>
            <w:r>
              <w:rPr>
                <w:rFonts w:hint="default" w:ascii="Times New Roman" w:hAnsi="Times New Roman" w:cs="Times New Roman"/>
                <w:snapToGrid w:val="0"/>
                <w:kern w:val="21"/>
                <w:szCs w:val="21"/>
                <w:lang w:val="en-US" w:eastAsia="zh-CN"/>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eastAsia="宋体" w:cs="Times New Roman"/>
                <w:snapToGrid w:val="0"/>
                <w:kern w:val="21"/>
                <w:szCs w:val="21"/>
                <w:lang w:val="en-US" w:eastAsia="zh-CN"/>
              </w:rPr>
            </w:pPr>
            <w:r>
              <w:rPr>
                <w:rFonts w:hint="default" w:ascii="Times New Roman" w:hAnsi="Times New Roman" w:cs="Times New Roman"/>
                <w:snapToGrid w:val="0"/>
                <w:kern w:val="21"/>
                <w:szCs w:val="21"/>
                <w:lang w:val="en-US" w:eastAsia="zh-CN"/>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eastAsia="宋体" w:cs="Times New Roman"/>
                <w:snapToGrid w:val="0"/>
                <w:kern w:val="21"/>
                <w:szCs w:val="21"/>
                <w:lang w:val="en-US" w:eastAsia="zh-CN"/>
              </w:rPr>
            </w:pPr>
            <w:r>
              <w:rPr>
                <w:rFonts w:hint="default" w:ascii="Times New Roman" w:hAnsi="Times New Roman" w:cs="Times New Roman"/>
                <w:snapToGrid w:val="0"/>
                <w:kern w:val="21"/>
                <w:szCs w:val="21"/>
                <w:lang w:val="en-US" w:eastAsia="zh-CN"/>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eastAsia="宋体" w:cs="Times New Roman"/>
                <w:snapToGrid w:val="0"/>
                <w:kern w:val="21"/>
                <w:szCs w:val="21"/>
                <w:lang w:val="en-US" w:eastAsia="zh-CN"/>
              </w:rPr>
            </w:pPr>
            <w:r>
              <w:rPr>
                <w:rFonts w:hint="default" w:ascii="Times New Roman" w:hAnsi="Times New Roman" w:cs="Times New Roman"/>
                <w:snapToGrid w:val="0"/>
                <w:kern w:val="21"/>
                <w:szCs w:val="21"/>
                <w:lang w:val="en-US" w:eastAsia="zh-CN"/>
              </w:rPr>
              <w:t>0.</w:t>
            </w:r>
            <w:r>
              <w:rPr>
                <w:rFonts w:hint="eastAsia" w:cs="Times New Roman"/>
                <w:snapToGrid w:val="0"/>
                <w:kern w:val="21"/>
                <w:szCs w:val="21"/>
                <w:lang w:val="en-US" w:eastAsia="zh-CN"/>
              </w:rPr>
              <w:t>1</w:t>
            </w:r>
            <w:r>
              <w:rPr>
                <w:rFonts w:hint="default" w:ascii="Times New Roman" w:hAnsi="Times New Roman" w:cs="Times New Roman"/>
                <w:snapToGrid w:val="0"/>
                <w:kern w:val="21"/>
                <w:szCs w:val="21"/>
                <w:lang w:val="en-US" w:eastAsia="zh-CN"/>
              </w:rPr>
              <w:t>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eastAsia="宋体" w:cs="Times New Roman"/>
                <w:snapToGrid w:val="0"/>
                <w:kern w:val="21"/>
                <w:szCs w:val="21"/>
                <w:lang w:val="en-US" w:eastAsia="zh-CN"/>
              </w:rPr>
            </w:pPr>
            <w:r>
              <w:rPr>
                <w:rFonts w:hint="default" w:ascii="Times New Roman" w:hAnsi="Times New Roman" w:cs="Times New Roman"/>
                <w:snapToGrid w:val="0"/>
                <w:kern w:val="21"/>
                <w:szCs w:val="21"/>
                <w:lang w:val="en-US" w:eastAsia="zh-CN"/>
              </w:rPr>
              <w:t>0</w:t>
            </w:r>
          </w:p>
        </w:tc>
        <w:tc>
          <w:tcPr>
            <w:tcW w:w="2131" w:type="dxa"/>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lang w:val="en-US" w:eastAsia="zh-CN"/>
              </w:rPr>
              <w:t>0.</w:t>
            </w:r>
            <w:r>
              <w:rPr>
                <w:rFonts w:hint="eastAsia" w:cs="Times New Roman"/>
                <w:snapToGrid w:val="0"/>
                <w:kern w:val="21"/>
                <w:szCs w:val="21"/>
                <w:lang w:val="en-US" w:eastAsia="zh-CN"/>
              </w:rPr>
              <w:t>1</w:t>
            </w:r>
            <w:r>
              <w:rPr>
                <w:rFonts w:hint="default" w:ascii="Times New Roman" w:hAnsi="Times New Roman" w:cs="Times New Roman"/>
                <w:snapToGrid w:val="0"/>
                <w:kern w:val="21"/>
                <w:szCs w:val="21"/>
                <w:lang w:val="en-US" w:eastAsia="zh-CN"/>
              </w:rPr>
              <w:t>t/a</w:t>
            </w:r>
          </w:p>
        </w:tc>
        <w:tc>
          <w:tcPr>
            <w:tcW w:w="1017" w:type="dxa"/>
            <w:noWrap w:val="0"/>
            <w:vAlign w:val="center"/>
          </w:tcPr>
          <w:p>
            <w:pPr>
              <w:pStyle w:val="58"/>
              <w:spacing w:beforeLines="0" w:afterLines="0" w:line="240" w:lineRule="auto"/>
              <w:ind w:firstLine="0" w:firstLineChars="0"/>
              <w:jc w:val="center"/>
              <w:rPr>
                <w:rFonts w:hint="default" w:ascii="Times New Roman" w:hAnsi="Times New Roman" w:eastAsia="宋体" w:cs="Times New Roman"/>
                <w:snapToGrid w:val="0"/>
                <w:kern w:val="21"/>
                <w:szCs w:val="21"/>
                <w:lang w:val="en-US" w:eastAsia="zh-CN"/>
              </w:rPr>
            </w:pPr>
            <w:r>
              <w:rPr>
                <w:rFonts w:hint="eastAsia" w:cs="Times New Roman"/>
                <w:snapToGrid w:val="0"/>
                <w:kern w:val="21"/>
                <w:szCs w:val="21"/>
                <w:lang w:val="en-US" w:eastAsia="zh-CN"/>
              </w:rPr>
              <w:t>+</w:t>
            </w:r>
            <w:r>
              <w:rPr>
                <w:rFonts w:hint="default" w:ascii="Times New Roman" w:hAnsi="Times New Roman" w:cs="Times New Roman"/>
                <w:snapToGrid w:val="0"/>
                <w:kern w:val="21"/>
                <w:szCs w:val="21"/>
                <w:lang w:val="en-US" w:eastAsia="zh-CN"/>
              </w:rPr>
              <w:t>0.</w:t>
            </w:r>
            <w:r>
              <w:rPr>
                <w:rFonts w:hint="eastAsia" w:cs="Times New Roman"/>
                <w:snapToGrid w:val="0"/>
                <w:kern w:val="21"/>
                <w:szCs w:val="21"/>
                <w:lang w:val="en-US" w:eastAsia="zh-CN"/>
              </w:rPr>
              <w:t>1</w:t>
            </w:r>
            <w:r>
              <w:rPr>
                <w:rFonts w:hint="default" w:ascii="Times New Roman" w:hAnsi="Times New Roman" w:cs="Times New Roman"/>
                <w:snapToGrid w:val="0"/>
                <w:kern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危险废物</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废机油</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0" w:type="auto"/>
            <w:noWrap w:val="0"/>
            <w:vAlign w:val="center"/>
          </w:tcPr>
          <w:p>
            <w:pPr>
              <w:pStyle w:val="58"/>
              <w:spacing w:beforeLines="0" w:afterLines="0" w:line="240" w:lineRule="auto"/>
              <w:ind w:firstLine="0" w:firstLineChars="0"/>
              <w:jc w:val="center"/>
              <w:rPr>
                <w:rFonts w:hint="eastAsia" w:ascii="Times New Roman" w:hAnsi="Times New Roman" w:eastAsia="宋体" w:cs="Times New Roman"/>
                <w:snapToGrid w:val="0"/>
                <w:kern w:val="21"/>
                <w:szCs w:val="21"/>
                <w:lang w:eastAsia="zh-CN"/>
              </w:rPr>
            </w:pPr>
            <w:r>
              <w:rPr>
                <w:rFonts w:hint="eastAsia" w:cs="Times New Roman"/>
                <w:snapToGrid w:val="0"/>
                <w:kern w:val="21"/>
                <w:szCs w:val="21"/>
                <w:lang w:eastAsia="zh-CN"/>
              </w:rPr>
              <w:t>0.1t/a</w:t>
            </w:r>
          </w:p>
        </w:tc>
        <w:tc>
          <w:tcPr>
            <w:tcW w:w="0" w:type="auto"/>
            <w:noWrap w:val="0"/>
            <w:vAlign w:val="center"/>
          </w:tcPr>
          <w:p>
            <w:pPr>
              <w:pStyle w:val="58"/>
              <w:spacing w:beforeLines="0" w:afterLines="0" w:line="240" w:lineRule="auto"/>
              <w:ind w:firstLine="0" w:firstLineChars="0"/>
              <w:jc w:val="center"/>
              <w:rPr>
                <w:rFonts w:hint="default" w:ascii="Times New Roman" w:hAnsi="Times New Roman" w:cs="Times New Roman"/>
                <w:snapToGrid w:val="0"/>
                <w:kern w:val="21"/>
                <w:szCs w:val="21"/>
              </w:rPr>
            </w:pPr>
            <w:r>
              <w:rPr>
                <w:rFonts w:hint="default" w:ascii="Times New Roman" w:hAnsi="Times New Roman" w:cs="Times New Roman"/>
                <w:snapToGrid w:val="0"/>
                <w:kern w:val="21"/>
                <w:szCs w:val="21"/>
              </w:rPr>
              <w:t>0</w:t>
            </w:r>
          </w:p>
        </w:tc>
        <w:tc>
          <w:tcPr>
            <w:tcW w:w="2131" w:type="dxa"/>
            <w:noWrap w:val="0"/>
            <w:vAlign w:val="center"/>
          </w:tcPr>
          <w:p>
            <w:pPr>
              <w:pStyle w:val="58"/>
              <w:spacing w:beforeLines="0" w:afterLines="0" w:line="240" w:lineRule="auto"/>
              <w:ind w:firstLine="0" w:firstLineChars="0"/>
              <w:jc w:val="center"/>
              <w:rPr>
                <w:rFonts w:hint="eastAsia" w:ascii="Times New Roman" w:hAnsi="Times New Roman" w:eastAsia="宋体" w:cs="Times New Roman"/>
                <w:snapToGrid w:val="0"/>
                <w:kern w:val="21"/>
                <w:szCs w:val="21"/>
                <w:lang w:eastAsia="zh-CN"/>
              </w:rPr>
            </w:pPr>
            <w:r>
              <w:rPr>
                <w:rFonts w:hint="eastAsia" w:cs="Times New Roman"/>
                <w:snapToGrid w:val="0"/>
                <w:kern w:val="21"/>
                <w:szCs w:val="21"/>
                <w:lang w:eastAsia="zh-CN"/>
              </w:rPr>
              <w:t>0.1t/a</w:t>
            </w:r>
          </w:p>
        </w:tc>
        <w:tc>
          <w:tcPr>
            <w:tcW w:w="1017" w:type="dxa"/>
            <w:noWrap w:val="0"/>
            <w:vAlign w:val="center"/>
          </w:tcPr>
          <w:p>
            <w:pPr>
              <w:pStyle w:val="58"/>
              <w:spacing w:beforeLines="0" w:afterLines="0" w:line="240" w:lineRule="auto"/>
              <w:ind w:firstLine="0" w:firstLineChars="0"/>
              <w:jc w:val="center"/>
              <w:rPr>
                <w:rFonts w:hint="eastAsia" w:ascii="Times New Roman" w:hAnsi="Times New Roman" w:eastAsia="宋体" w:cs="Times New Roman"/>
                <w:snapToGrid w:val="0"/>
                <w:kern w:val="21"/>
                <w:szCs w:val="21"/>
                <w:lang w:eastAsia="zh-CN"/>
              </w:rPr>
            </w:pPr>
            <w:r>
              <w:rPr>
                <w:rFonts w:hint="eastAsia" w:cs="Times New Roman"/>
                <w:snapToGrid w:val="0"/>
                <w:kern w:val="21"/>
                <w:szCs w:val="21"/>
                <w:lang w:val="en-US" w:eastAsia="zh-CN"/>
              </w:rPr>
              <w:t>+</w:t>
            </w:r>
            <w:r>
              <w:rPr>
                <w:rFonts w:hint="eastAsia" w:cs="Times New Roman"/>
                <w:snapToGrid w:val="0"/>
                <w:kern w:val="21"/>
                <w:szCs w:val="21"/>
                <w:lang w:eastAsia="zh-CN"/>
              </w:rPr>
              <w:t>0.1t/a</w:t>
            </w:r>
          </w:p>
        </w:tc>
      </w:tr>
    </w:tbl>
    <w:p>
      <w:pPr>
        <w:pStyle w:val="58"/>
        <w:spacing w:before="192" w:beforeLines="80" w:after="24"/>
        <w:jc w:val="left"/>
        <w:rPr>
          <w:rFonts w:hint="default" w:ascii="Times New Roman" w:hAnsi="Times New Roman" w:cs="Times New Roman"/>
        </w:rPr>
        <w:sectPr>
          <w:footerReference r:id="rId5" w:type="default"/>
          <w:pgSz w:w="16838" w:h="11906" w:orient="landscape"/>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cs="Times New Roman"/>
          <w:snapToGrid w:val="0"/>
          <w:color w:val="000000"/>
          <w:kern w:val="21"/>
          <w:szCs w:val="21"/>
        </w:rPr>
        <w:t>注：</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3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③</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4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④</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5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⑤</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7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⑦</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p>
    <w:p>
      <w:pPr>
        <w:pStyle w:val="58"/>
        <w:spacing w:before="249" w:beforeLines="80" w:after="31"/>
        <w:ind w:left="0" w:leftChars="0" w:firstLine="0" w:firstLineChars="0"/>
        <w:rPr>
          <w:color w:val="auto"/>
          <w:szCs w:val="32"/>
          <w:highlight w:val="none"/>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left"/>
      </w:pPr>
    </w:p>
    <w:sectPr>
      <w:footerReference r:id="rId6"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0995"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409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6.85pt;mso-position-horizontal:center;mso-position-horizontal-relative:margin;z-index:251662336;mso-width-relative:page;mso-height-relative:page;" filled="f" stroked="f" coordsize="21600,21600" o:gfxdata="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c9XeZ1AAAAAQBAAAPAAAAAAAAAAEAIAAAACIAAABkcnMvZG93bnJldi54bWxQ&#10;SwECFAAUAAAACACHTuJAKumCqjQCAABYBAAADgAAAAAAAAABACAAAAAjAQAAZHJzL2Uyb0RvYy54&#10;bWxQSwUGAAAAAAYABgBZAQAAy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jc w:val="center"/>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rPr>
                            <w:t xml:space="preserve">  </w:t>
                          </w:r>
                          <w:r>
                            <w:rPr>
                              <w:rStyle w:val="34"/>
                              <w:rFonts w:ascii="宋体" w:hAnsi="宋体"/>
                              <w:sz w:val="26"/>
                              <w:szCs w:val="26"/>
                            </w:rPr>
                            <w:fldChar w:fldCharType="begin"/>
                          </w:r>
                          <w:r>
                            <w:rPr>
                              <w:rStyle w:val="34"/>
                              <w:rFonts w:ascii="宋体" w:hAnsi="宋体"/>
                              <w:sz w:val="26"/>
                              <w:szCs w:val="26"/>
                            </w:rPr>
                            <w:instrText xml:space="preserve">PAGE  </w:instrText>
                          </w:r>
                          <w:r>
                            <w:rPr>
                              <w:rStyle w:val="34"/>
                              <w:rFonts w:ascii="宋体" w:hAnsi="宋体"/>
                              <w:sz w:val="26"/>
                              <w:szCs w:val="26"/>
                            </w:rPr>
                            <w:fldChar w:fldCharType="separate"/>
                          </w:r>
                          <w:r>
                            <w:rPr>
                              <w:rStyle w:val="34"/>
                              <w:rFonts w:ascii="宋体" w:hAnsi="宋体"/>
                              <w:sz w:val="26"/>
                              <w:szCs w:val="26"/>
                            </w:rPr>
                            <w:t>10</w:t>
                          </w:r>
                          <w:r>
                            <w:rPr>
                              <w:rStyle w:val="34"/>
                              <w:rFonts w:ascii="宋体" w:hAnsi="宋体"/>
                              <w:sz w:val="26"/>
                              <w:szCs w:val="26"/>
                            </w:rPr>
                            <w:fldChar w:fldCharType="end"/>
                          </w:r>
                          <w:r>
                            <w:rPr>
                              <w:rStyle w:val="34"/>
                              <w:rFonts w:hint="eastAsia" w:ascii="宋体" w:hAnsi="宋体"/>
                              <w:sz w:val="20"/>
                            </w:rPr>
                            <w:t xml:space="preserve">  </w:t>
                          </w:r>
                          <w:r>
                            <w:rPr>
                              <w:rStyle w:val="34"/>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20"/>
                      <w:jc w:val="center"/>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rPr>
                      <w:t xml:space="preserve">  </w:t>
                    </w:r>
                    <w:r>
                      <w:rPr>
                        <w:rStyle w:val="34"/>
                        <w:rFonts w:ascii="宋体" w:hAnsi="宋体"/>
                        <w:sz w:val="26"/>
                        <w:szCs w:val="26"/>
                      </w:rPr>
                      <w:fldChar w:fldCharType="begin"/>
                    </w:r>
                    <w:r>
                      <w:rPr>
                        <w:rStyle w:val="34"/>
                        <w:rFonts w:ascii="宋体" w:hAnsi="宋体"/>
                        <w:sz w:val="26"/>
                        <w:szCs w:val="26"/>
                      </w:rPr>
                      <w:instrText xml:space="preserve">PAGE  </w:instrText>
                    </w:r>
                    <w:r>
                      <w:rPr>
                        <w:rStyle w:val="34"/>
                        <w:rFonts w:ascii="宋体" w:hAnsi="宋体"/>
                        <w:sz w:val="26"/>
                        <w:szCs w:val="26"/>
                      </w:rPr>
                      <w:fldChar w:fldCharType="separate"/>
                    </w:r>
                    <w:r>
                      <w:rPr>
                        <w:rStyle w:val="34"/>
                        <w:rFonts w:ascii="宋体" w:hAnsi="宋体"/>
                        <w:sz w:val="26"/>
                        <w:szCs w:val="26"/>
                      </w:rPr>
                      <w:t>10</w:t>
                    </w:r>
                    <w:r>
                      <w:rPr>
                        <w:rStyle w:val="34"/>
                        <w:rFonts w:ascii="宋体" w:hAnsi="宋体"/>
                        <w:sz w:val="26"/>
                        <w:szCs w:val="26"/>
                      </w:rPr>
                      <w:fldChar w:fldCharType="end"/>
                    </w:r>
                    <w:r>
                      <w:rPr>
                        <w:rStyle w:val="34"/>
                        <w:rFonts w:hint="eastAsia" w:ascii="宋体" w:hAnsi="宋体"/>
                        <w:sz w:val="20"/>
                      </w:rPr>
                      <w:t xml:space="preserve">  </w:t>
                    </w:r>
                    <w:r>
                      <w:rPr>
                        <w:rStyle w:val="34"/>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41E9F"/>
    <w:multiLevelType w:val="singleLevel"/>
    <w:tmpl w:val="8BA41E9F"/>
    <w:lvl w:ilvl="0" w:tentative="0">
      <w:start w:val="2"/>
      <w:numFmt w:val="decimal"/>
      <w:lvlText w:val="%1."/>
      <w:lvlJc w:val="left"/>
      <w:pPr>
        <w:tabs>
          <w:tab w:val="left" w:pos="312"/>
        </w:tabs>
      </w:pPr>
    </w:lvl>
  </w:abstractNum>
  <w:abstractNum w:abstractNumId="1">
    <w:nsid w:val="99F0D42F"/>
    <w:multiLevelType w:val="singleLevel"/>
    <w:tmpl w:val="99F0D42F"/>
    <w:lvl w:ilvl="0" w:tentative="0">
      <w:start w:val="1"/>
      <w:numFmt w:val="decimal"/>
      <w:suff w:val="nothing"/>
      <w:lvlText w:val="%1、"/>
      <w:lvlJc w:val="left"/>
    </w:lvl>
  </w:abstractNum>
  <w:abstractNum w:abstractNumId="2">
    <w:nsid w:val="DEAD9DC9"/>
    <w:multiLevelType w:val="singleLevel"/>
    <w:tmpl w:val="DEAD9DC9"/>
    <w:lvl w:ilvl="0" w:tentative="0">
      <w:start w:val="1"/>
      <w:numFmt w:val="decimal"/>
      <w:suff w:val="nothing"/>
      <w:lvlText w:val="（%1）"/>
      <w:lvlJc w:val="left"/>
    </w:lvl>
  </w:abstractNum>
  <w:abstractNum w:abstractNumId="3">
    <w:nsid w:val="EAF31595"/>
    <w:multiLevelType w:val="singleLevel"/>
    <w:tmpl w:val="EAF31595"/>
    <w:lvl w:ilvl="0" w:tentative="0">
      <w:start w:val="1"/>
      <w:numFmt w:val="decimal"/>
      <w:pStyle w:val="22"/>
      <w:lvlText w:val="%1."/>
      <w:lvlJc w:val="left"/>
      <w:pPr>
        <w:tabs>
          <w:tab w:val="left" w:pos="2040"/>
        </w:tabs>
        <w:ind w:left="2040" w:hanging="360"/>
      </w:pPr>
    </w:lvl>
  </w:abstractNum>
  <w:abstractNum w:abstractNumId="4">
    <w:nsid w:val="07C49368"/>
    <w:multiLevelType w:val="singleLevel"/>
    <w:tmpl w:val="07C49368"/>
    <w:lvl w:ilvl="0" w:tentative="0">
      <w:start w:val="1"/>
      <w:numFmt w:val="decimal"/>
      <w:suff w:val="nothing"/>
      <w:lvlText w:val="%1）"/>
      <w:lvlJc w:val="left"/>
    </w:lvl>
  </w:abstractNum>
  <w:abstractNum w:abstractNumId="5">
    <w:nsid w:val="0BA8581C"/>
    <w:multiLevelType w:val="multilevel"/>
    <w:tmpl w:val="0BA8581C"/>
    <w:lvl w:ilvl="0" w:tentative="0">
      <w:start w:val="1"/>
      <w:numFmt w:val="decimal"/>
      <w:pStyle w:val="52"/>
      <w:lvlText w:val="表 %1 "/>
      <w:lvlJc w:val="left"/>
      <w:pPr>
        <w:tabs>
          <w:tab w:val="left" w:pos="900"/>
        </w:tabs>
        <w:ind w:left="540" w:hanging="360"/>
      </w:pPr>
      <w:rPr>
        <w:rFonts w:hint="default" w:ascii="Times New Roman" w:hAnsi="Times New Roman" w:cs="Times New Roman"/>
        <w:sz w:val="24"/>
        <w:szCs w:val="28"/>
      </w:rPr>
    </w:lvl>
    <w:lvl w:ilvl="1" w:tentative="0">
      <w:start w:val="1"/>
      <w:numFmt w:val="decimal"/>
      <w:lvlText w:val="%2)"/>
      <w:lvlJc w:val="left"/>
      <w:pPr>
        <w:tabs>
          <w:tab w:val="left" w:pos="840"/>
        </w:tabs>
        <w:ind w:left="840" w:hanging="420"/>
      </w:pPr>
      <w:rPr>
        <w:rFonts w:hint="eastAsia"/>
        <w:sz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140"/>
        </w:tabs>
        <w:ind w:left="1140" w:hanging="420"/>
      </w:pPr>
      <w:rPr>
        <w:rFonts w:hint="eastAsia"/>
        <w:sz w:val="28"/>
        <w:szCs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0DCBAD8"/>
    <w:multiLevelType w:val="singleLevel"/>
    <w:tmpl w:val="40DCBAD8"/>
    <w:lvl w:ilvl="0" w:tentative="0">
      <w:start w:val="1"/>
      <w:numFmt w:val="decimal"/>
      <w:suff w:val="nothing"/>
      <w:lvlText w:val="%1、"/>
      <w:lvlJc w:val="left"/>
    </w:lvl>
  </w:abstractNum>
  <w:abstractNum w:abstractNumId="7">
    <w:nsid w:val="45BC9B35"/>
    <w:multiLevelType w:val="singleLevel"/>
    <w:tmpl w:val="45BC9B35"/>
    <w:lvl w:ilvl="0" w:tentative="0">
      <w:start w:val="1"/>
      <w:numFmt w:val="upperLetter"/>
      <w:suff w:val="space"/>
      <w:lvlText w:val="%1."/>
      <w:lvlJc w:val="left"/>
    </w:lvl>
  </w:abstractNum>
  <w:abstractNum w:abstractNumId="8">
    <w:nsid w:val="48CEAD6C"/>
    <w:multiLevelType w:val="singleLevel"/>
    <w:tmpl w:val="48CEAD6C"/>
    <w:lvl w:ilvl="0" w:tentative="0">
      <w:start w:val="5"/>
      <w:numFmt w:val="decimal"/>
      <w:suff w:val="nothing"/>
      <w:lvlText w:val="%1）"/>
      <w:lvlJc w:val="left"/>
    </w:lvl>
  </w:abstractNum>
  <w:abstractNum w:abstractNumId="9">
    <w:nsid w:val="576167E7"/>
    <w:multiLevelType w:val="multilevel"/>
    <w:tmpl w:val="576167E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665F9284"/>
    <w:multiLevelType w:val="singleLevel"/>
    <w:tmpl w:val="665F9284"/>
    <w:lvl w:ilvl="0" w:tentative="0">
      <w:start w:val="2"/>
      <w:numFmt w:val="decimal"/>
      <w:suff w:val="nothing"/>
      <w:lvlText w:val="（%1）"/>
      <w:lvlJc w:val="left"/>
    </w:lvl>
  </w:abstractNum>
  <w:num w:numId="1">
    <w:abstractNumId w:val="9"/>
  </w:num>
  <w:num w:numId="2">
    <w:abstractNumId w:val="3"/>
  </w:num>
  <w:num w:numId="3">
    <w:abstractNumId w:val="5"/>
  </w:num>
  <w:num w:numId="4">
    <w:abstractNumId w:val="1"/>
  </w:num>
  <w:num w:numId="5">
    <w:abstractNumId w:val="6"/>
  </w:num>
  <w:num w:numId="6">
    <w:abstractNumId w:val="0"/>
  </w:num>
  <w:num w:numId="7">
    <w:abstractNumId w:val="8"/>
  </w:num>
  <w:num w:numId="8">
    <w:abstractNumId w:val="10"/>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MjA3ZTMwZjJhN2ZlYjFlMmJiMzFhMTVkMjc2OGIifQ=="/>
  </w:docVars>
  <w:rsids>
    <w:rsidRoot w:val="008F2DD2"/>
    <w:rsid w:val="0000569A"/>
    <w:rsid w:val="00053D91"/>
    <w:rsid w:val="00076331"/>
    <w:rsid w:val="00076791"/>
    <w:rsid w:val="000A4046"/>
    <w:rsid w:val="000C70C5"/>
    <w:rsid w:val="00120194"/>
    <w:rsid w:val="00187C26"/>
    <w:rsid w:val="001A24E8"/>
    <w:rsid w:val="001D743E"/>
    <w:rsid w:val="001E72BC"/>
    <w:rsid w:val="00210BFB"/>
    <w:rsid w:val="00214D56"/>
    <w:rsid w:val="00230A31"/>
    <w:rsid w:val="002E0DB6"/>
    <w:rsid w:val="00334DB7"/>
    <w:rsid w:val="00337E20"/>
    <w:rsid w:val="0037485E"/>
    <w:rsid w:val="003B49DF"/>
    <w:rsid w:val="003C0DB1"/>
    <w:rsid w:val="003D507C"/>
    <w:rsid w:val="003E151F"/>
    <w:rsid w:val="00425777"/>
    <w:rsid w:val="00586FEC"/>
    <w:rsid w:val="005A2D64"/>
    <w:rsid w:val="005E0F7B"/>
    <w:rsid w:val="00665B52"/>
    <w:rsid w:val="00681E42"/>
    <w:rsid w:val="00682259"/>
    <w:rsid w:val="00684B9E"/>
    <w:rsid w:val="006D6F3B"/>
    <w:rsid w:val="00776D01"/>
    <w:rsid w:val="00802625"/>
    <w:rsid w:val="00826C48"/>
    <w:rsid w:val="00846033"/>
    <w:rsid w:val="0086224D"/>
    <w:rsid w:val="008A2F76"/>
    <w:rsid w:val="008F2DD2"/>
    <w:rsid w:val="00903CC1"/>
    <w:rsid w:val="009845B1"/>
    <w:rsid w:val="00A0535D"/>
    <w:rsid w:val="00A32C5B"/>
    <w:rsid w:val="00A6702E"/>
    <w:rsid w:val="00A7239C"/>
    <w:rsid w:val="00A87F74"/>
    <w:rsid w:val="00A94F6E"/>
    <w:rsid w:val="00AA6AA8"/>
    <w:rsid w:val="00B52093"/>
    <w:rsid w:val="00B807C4"/>
    <w:rsid w:val="00BC757B"/>
    <w:rsid w:val="00CB4AE6"/>
    <w:rsid w:val="00CD76D4"/>
    <w:rsid w:val="00D76DBC"/>
    <w:rsid w:val="00E239CE"/>
    <w:rsid w:val="00E841AB"/>
    <w:rsid w:val="00E85487"/>
    <w:rsid w:val="00F12923"/>
    <w:rsid w:val="00F46953"/>
    <w:rsid w:val="00FA6665"/>
    <w:rsid w:val="01050E3E"/>
    <w:rsid w:val="010F7FF3"/>
    <w:rsid w:val="012F5F9F"/>
    <w:rsid w:val="013759AE"/>
    <w:rsid w:val="01397AC9"/>
    <w:rsid w:val="01475376"/>
    <w:rsid w:val="01653B5B"/>
    <w:rsid w:val="017E2A82"/>
    <w:rsid w:val="018D0006"/>
    <w:rsid w:val="01AD5116"/>
    <w:rsid w:val="01AE15BA"/>
    <w:rsid w:val="01AF0E8E"/>
    <w:rsid w:val="01C7267B"/>
    <w:rsid w:val="01D134FA"/>
    <w:rsid w:val="01DA23AF"/>
    <w:rsid w:val="01DF79C5"/>
    <w:rsid w:val="01E10A44"/>
    <w:rsid w:val="01EE4D0C"/>
    <w:rsid w:val="01F114A6"/>
    <w:rsid w:val="020B6A0C"/>
    <w:rsid w:val="020B6A1F"/>
    <w:rsid w:val="021B6523"/>
    <w:rsid w:val="02217FDE"/>
    <w:rsid w:val="022A76E2"/>
    <w:rsid w:val="022B5BA7"/>
    <w:rsid w:val="023A109F"/>
    <w:rsid w:val="02447828"/>
    <w:rsid w:val="02467A44"/>
    <w:rsid w:val="024F273B"/>
    <w:rsid w:val="0270686F"/>
    <w:rsid w:val="02764CE6"/>
    <w:rsid w:val="028265A2"/>
    <w:rsid w:val="02922C89"/>
    <w:rsid w:val="02967CF8"/>
    <w:rsid w:val="02985DC6"/>
    <w:rsid w:val="02A12ECC"/>
    <w:rsid w:val="02BA21E0"/>
    <w:rsid w:val="02BF3353"/>
    <w:rsid w:val="02D84414"/>
    <w:rsid w:val="02EC1619"/>
    <w:rsid w:val="02EE3D3F"/>
    <w:rsid w:val="02F72AEC"/>
    <w:rsid w:val="02FB6DF7"/>
    <w:rsid w:val="02FC45A7"/>
    <w:rsid w:val="02FF5E45"/>
    <w:rsid w:val="03041849"/>
    <w:rsid w:val="0313544C"/>
    <w:rsid w:val="032338E1"/>
    <w:rsid w:val="032F043E"/>
    <w:rsid w:val="032F672A"/>
    <w:rsid w:val="035146C1"/>
    <w:rsid w:val="03912F41"/>
    <w:rsid w:val="039558ED"/>
    <w:rsid w:val="03D5079D"/>
    <w:rsid w:val="03E33071"/>
    <w:rsid w:val="03E5590A"/>
    <w:rsid w:val="03E77005"/>
    <w:rsid w:val="03E94B2B"/>
    <w:rsid w:val="03EF3054"/>
    <w:rsid w:val="03F37758"/>
    <w:rsid w:val="040C25C7"/>
    <w:rsid w:val="041662CD"/>
    <w:rsid w:val="04224AB9"/>
    <w:rsid w:val="042E69E2"/>
    <w:rsid w:val="0433224A"/>
    <w:rsid w:val="044D2F2A"/>
    <w:rsid w:val="047F0FEB"/>
    <w:rsid w:val="049802FF"/>
    <w:rsid w:val="049B707F"/>
    <w:rsid w:val="04AE7B23"/>
    <w:rsid w:val="04C133B2"/>
    <w:rsid w:val="04E452F2"/>
    <w:rsid w:val="04F37F11"/>
    <w:rsid w:val="04F55751"/>
    <w:rsid w:val="050140F6"/>
    <w:rsid w:val="051E193F"/>
    <w:rsid w:val="051E7A73"/>
    <w:rsid w:val="052B2F21"/>
    <w:rsid w:val="05305FED"/>
    <w:rsid w:val="0559492D"/>
    <w:rsid w:val="0563090D"/>
    <w:rsid w:val="05A30D0A"/>
    <w:rsid w:val="05AC4062"/>
    <w:rsid w:val="05B20F4D"/>
    <w:rsid w:val="05C55124"/>
    <w:rsid w:val="05E7387D"/>
    <w:rsid w:val="05FE4192"/>
    <w:rsid w:val="06043E9E"/>
    <w:rsid w:val="061059E8"/>
    <w:rsid w:val="06403D79"/>
    <w:rsid w:val="064E6EC7"/>
    <w:rsid w:val="065564A8"/>
    <w:rsid w:val="0659421D"/>
    <w:rsid w:val="0661309E"/>
    <w:rsid w:val="066E7569"/>
    <w:rsid w:val="06734B80"/>
    <w:rsid w:val="067F1BC4"/>
    <w:rsid w:val="068C0E78"/>
    <w:rsid w:val="06A411DD"/>
    <w:rsid w:val="06B843C5"/>
    <w:rsid w:val="06B867E6"/>
    <w:rsid w:val="06BC02D5"/>
    <w:rsid w:val="06C70A28"/>
    <w:rsid w:val="06D01FD2"/>
    <w:rsid w:val="06D33870"/>
    <w:rsid w:val="06D373CC"/>
    <w:rsid w:val="06D82C35"/>
    <w:rsid w:val="06DF5D71"/>
    <w:rsid w:val="06E96BF0"/>
    <w:rsid w:val="06EE2458"/>
    <w:rsid w:val="0701218C"/>
    <w:rsid w:val="0713235B"/>
    <w:rsid w:val="071F7D9F"/>
    <w:rsid w:val="07462294"/>
    <w:rsid w:val="074F21B3"/>
    <w:rsid w:val="077C5CB6"/>
    <w:rsid w:val="07AB20F7"/>
    <w:rsid w:val="07BA404C"/>
    <w:rsid w:val="07D01B5E"/>
    <w:rsid w:val="07E06245"/>
    <w:rsid w:val="07EF0236"/>
    <w:rsid w:val="0808579C"/>
    <w:rsid w:val="08204893"/>
    <w:rsid w:val="083B347B"/>
    <w:rsid w:val="083D3697"/>
    <w:rsid w:val="083D71F3"/>
    <w:rsid w:val="084151EC"/>
    <w:rsid w:val="084E641F"/>
    <w:rsid w:val="084F3DA9"/>
    <w:rsid w:val="088E5CA1"/>
    <w:rsid w:val="08955281"/>
    <w:rsid w:val="08956B48"/>
    <w:rsid w:val="08A13C26"/>
    <w:rsid w:val="08BF5E5A"/>
    <w:rsid w:val="08E12275"/>
    <w:rsid w:val="08EF4EDB"/>
    <w:rsid w:val="08F63846"/>
    <w:rsid w:val="090E0B90"/>
    <w:rsid w:val="090F5AD4"/>
    <w:rsid w:val="09137F54"/>
    <w:rsid w:val="09153CCC"/>
    <w:rsid w:val="0917697C"/>
    <w:rsid w:val="091A7535"/>
    <w:rsid w:val="093700E7"/>
    <w:rsid w:val="094822F4"/>
    <w:rsid w:val="09555CE0"/>
    <w:rsid w:val="09570789"/>
    <w:rsid w:val="097642D7"/>
    <w:rsid w:val="09776735"/>
    <w:rsid w:val="09886B94"/>
    <w:rsid w:val="09BA4874"/>
    <w:rsid w:val="09CA084E"/>
    <w:rsid w:val="09E55D95"/>
    <w:rsid w:val="09E84410"/>
    <w:rsid w:val="09EC23D5"/>
    <w:rsid w:val="0A053D41"/>
    <w:rsid w:val="0A1641A0"/>
    <w:rsid w:val="0A1960F7"/>
    <w:rsid w:val="0A1F4EAB"/>
    <w:rsid w:val="0A2C751F"/>
    <w:rsid w:val="0A2D5046"/>
    <w:rsid w:val="0A36039E"/>
    <w:rsid w:val="0A4A5BF8"/>
    <w:rsid w:val="0A6A629A"/>
    <w:rsid w:val="0A726EFC"/>
    <w:rsid w:val="0A794981"/>
    <w:rsid w:val="0A7B04A7"/>
    <w:rsid w:val="0A913826"/>
    <w:rsid w:val="0A951CC1"/>
    <w:rsid w:val="0A9A6B7F"/>
    <w:rsid w:val="0AB241FB"/>
    <w:rsid w:val="0ABC1B74"/>
    <w:rsid w:val="0AC0235E"/>
    <w:rsid w:val="0ACA0AE6"/>
    <w:rsid w:val="0AFB3396"/>
    <w:rsid w:val="0B0C6FC2"/>
    <w:rsid w:val="0B460AB5"/>
    <w:rsid w:val="0B4765DB"/>
    <w:rsid w:val="0B512FB6"/>
    <w:rsid w:val="0B633415"/>
    <w:rsid w:val="0B725406"/>
    <w:rsid w:val="0B7E7A31"/>
    <w:rsid w:val="0B7F5D75"/>
    <w:rsid w:val="0B8213C1"/>
    <w:rsid w:val="0B8F6A85"/>
    <w:rsid w:val="0BAF665A"/>
    <w:rsid w:val="0BC33EB3"/>
    <w:rsid w:val="0C060244"/>
    <w:rsid w:val="0C1B5A9E"/>
    <w:rsid w:val="0C243E28"/>
    <w:rsid w:val="0C324B95"/>
    <w:rsid w:val="0C4C20FB"/>
    <w:rsid w:val="0C6805B7"/>
    <w:rsid w:val="0C762CD4"/>
    <w:rsid w:val="0C7E5CF3"/>
    <w:rsid w:val="0C7F6978"/>
    <w:rsid w:val="0C8C0749"/>
    <w:rsid w:val="0C8E2713"/>
    <w:rsid w:val="0C9653BE"/>
    <w:rsid w:val="0CA04265"/>
    <w:rsid w:val="0CA1666E"/>
    <w:rsid w:val="0CAD62CD"/>
    <w:rsid w:val="0CBD0903"/>
    <w:rsid w:val="0CBD4BE1"/>
    <w:rsid w:val="0CC47EE3"/>
    <w:rsid w:val="0CC51EAD"/>
    <w:rsid w:val="0CE00A95"/>
    <w:rsid w:val="0CE278CD"/>
    <w:rsid w:val="0CF739D6"/>
    <w:rsid w:val="0CFF716D"/>
    <w:rsid w:val="0D113E6C"/>
    <w:rsid w:val="0D1A5D55"/>
    <w:rsid w:val="0D2C44AE"/>
    <w:rsid w:val="0D49540E"/>
    <w:rsid w:val="0D531267"/>
    <w:rsid w:val="0D58687D"/>
    <w:rsid w:val="0D5D7AAB"/>
    <w:rsid w:val="0D6F54E2"/>
    <w:rsid w:val="0D70006B"/>
    <w:rsid w:val="0D710239"/>
    <w:rsid w:val="0D7654CD"/>
    <w:rsid w:val="0D780CCE"/>
    <w:rsid w:val="0D7A2C98"/>
    <w:rsid w:val="0D7A4A46"/>
    <w:rsid w:val="0D7F1A65"/>
    <w:rsid w:val="0D8853B5"/>
    <w:rsid w:val="0D9C49BC"/>
    <w:rsid w:val="0DA11FD2"/>
    <w:rsid w:val="0DB31D06"/>
    <w:rsid w:val="0DC91529"/>
    <w:rsid w:val="0DE16873"/>
    <w:rsid w:val="0DEA1BCB"/>
    <w:rsid w:val="0E0D673E"/>
    <w:rsid w:val="0E124C7E"/>
    <w:rsid w:val="0E1409F6"/>
    <w:rsid w:val="0E1B6C5D"/>
    <w:rsid w:val="0E1F06A5"/>
    <w:rsid w:val="0E2B397B"/>
    <w:rsid w:val="0E3C7F4D"/>
    <w:rsid w:val="0E417312"/>
    <w:rsid w:val="0E440BB0"/>
    <w:rsid w:val="0E455054"/>
    <w:rsid w:val="0E5A03D3"/>
    <w:rsid w:val="0E634FB8"/>
    <w:rsid w:val="0E792F4F"/>
    <w:rsid w:val="0E860864"/>
    <w:rsid w:val="0E981627"/>
    <w:rsid w:val="0E9B4C74"/>
    <w:rsid w:val="0EB61AAE"/>
    <w:rsid w:val="0EB977F0"/>
    <w:rsid w:val="0EC25178"/>
    <w:rsid w:val="0EC811B3"/>
    <w:rsid w:val="0ED816A6"/>
    <w:rsid w:val="0EE9116E"/>
    <w:rsid w:val="0EF56A7A"/>
    <w:rsid w:val="0F022F45"/>
    <w:rsid w:val="0F0C5B71"/>
    <w:rsid w:val="0F0E18EA"/>
    <w:rsid w:val="0F2904D1"/>
    <w:rsid w:val="0F2F28A9"/>
    <w:rsid w:val="0F340C24"/>
    <w:rsid w:val="0F36499C"/>
    <w:rsid w:val="0F3D3F7D"/>
    <w:rsid w:val="0F6E2384"/>
    <w:rsid w:val="0F706100"/>
    <w:rsid w:val="0F786D63"/>
    <w:rsid w:val="0F7A6F7F"/>
    <w:rsid w:val="0F7D7666"/>
    <w:rsid w:val="0F8B02EB"/>
    <w:rsid w:val="0F9F39DA"/>
    <w:rsid w:val="0FA062BA"/>
    <w:rsid w:val="0FA1275E"/>
    <w:rsid w:val="0FA61BD3"/>
    <w:rsid w:val="0FAD1102"/>
    <w:rsid w:val="0FC30926"/>
    <w:rsid w:val="0FC91CB4"/>
    <w:rsid w:val="10055D26"/>
    <w:rsid w:val="100D1BA1"/>
    <w:rsid w:val="10101691"/>
    <w:rsid w:val="10141182"/>
    <w:rsid w:val="103C5FE2"/>
    <w:rsid w:val="104A6951"/>
    <w:rsid w:val="105D213F"/>
    <w:rsid w:val="10751C23"/>
    <w:rsid w:val="10765998"/>
    <w:rsid w:val="107C6D27"/>
    <w:rsid w:val="10816FB7"/>
    <w:rsid w:val="108C5DE9"/>
    <w:rsid w:val="10955460"/>
    <w:rsid w:val="109739E2"/>
    <w:rsid w:val="109E14FC"/>
    <w:rsid w:val="10A67900"/>
    <w:rsid w:val="10AA73F0"/>
    <w:rsid w:val="10B9028D"/>
    <w:rsid w:val="10BC5AA5"/>
    <w:rsid w:val="10BE10ED"/>
    <w:rsid w:val="10C549F6"/>
    <w:rsid w:val="10C87871"/>
    <w:rsid w:val="10F863AD"/>
    <w:rsid w:val="10FC5772"/>
    <w:rsid w:val="10FD1C16"/>
    <w:rsid w:val="1102547E"/>
    <w:rsid w:val="110B4857"/>
    <w:rsid w:val="110C1E59"/>
    <w:rsid w:val="111025C9"/>
    <w:rsid w:val="111406FE"/>
    <w:rsid w:val="111B02EE"/>
    <w:rsid w:val="111D4066"/>
    <w:rsid w:val="112278CE"/>
    <w:rsid w:val="112E6273"/>
    <w:rsid w:val="113C1C97"/>
    <w:rsid w:val="113D3054"/>
    <w:rsid w:val="114E06C3"/>
    <w:rsid w:val="115455AE"/>
    <w:rsid w:val="115476AB"/>
    <w:rsid w:val="1158509E"/>
    <w:rsid w:val="115E01DA"/>
    <w:rsid w:val="1167180E"/>
    <w:rsid w:val="116C63FB"/>
    <w:rsid w:val="116C6D9B"/>
    <w:rsid w:val="116F4A90"/>
    <w:rsid w:val="11951E4E"/>
    <w:rsid w:val="11A958FA"/>
    <w:rsid w:val="11AC3497"/>
    <w:rsid w:val="11AD363C"/>
    <w:rsid w:val="11CC15E8"/>
    <w:rsid w:val="11D81F58"/>
    <w:rsid w:val="121A67F7"/>
    <w:rsid w:val="12252716"/>
    <w:rsid w:val="123D7707"/>
    <w:rsid w:val="12445622"/>
    <w:rsid w:val="12485112"/>
    <w:rsid w:val="12495CFE"/>
    <w:rsid w:val="12714E0A"/>
    <w:rsid w:val="12842CCC"/>
    <w:rsid w:val="129E11D6"/>
    <w:rsid w:val="12A120F9"/>
    <w:rsid w:val="12B377DA"/>
    <w:rsid w:val="12B97EEC"/>
    <w:rsid w:val="12BC78AF"/>
    <w:rsid w:val="12CD386A"/>
    <w:rsid w:val="12D531FB"/>
    <w:rsid w:val="12D746E8"/>
    <w:rsid w:val="12DD44FB"/>
    <w:rsid w:val="12E017EF"/>
    <w:rsid w:val="12E12E71"/>
    <w:rsid w:val="12F157AA"/>
    <w:rsid w:val="12F86CA8"/>
    <w:rsid w:val="13053ED0"/>
    <w:rsid w:val="13182D37"/>
    <w:rsid w:val="13273F27"/>
    <w:rsid w:val="132A0CBC"/>
    <w:rsid w:val="132F1E2E"/>
    <w:rsid w:val="13337B71"/>
    <w:rsid w:val="13345697"/>
    <w:rsid w:val="1336140F"/>
    <w:rsid w:val="133E02C4"/>
    <w:rsid w:val="133E6515"/>
    <w:rsid w:val="134578A4"/>
    <w:rsid w:val="13651CF4"/>
    <w:rsid w:val="13763F01"/>
    <w:rsid w:val="137F4B64"/>
    <w:rsid w:val="13854144"/>
    <w:rsid w:val="138B23AF"/>
    <w:rsid w:val="139D4FEA"/>
    <w:rsid w:val="13A02D2C"/>
    <w:rsid w:val="13BB1914"/>
    <w:rsid w:val="13D529D6"/>
    <w:rsid w:val="13E0137B"/>
    <w:rsid w:val="1418637D"/>
    <w:rsid w:val="143F2545"/>
    <w:rsid w:val="14515DD5"/>
    <w:rsid w:val="14531B4D"/>
    <w:rsid w:val="147246C9"/>
    <w:rsid w:val="1479117B"/>
    <w:rsid w:val="147F6DE6"/>
    <w:rsid w:val="14900FF3"/>
    <w:rsid w:val="149366D3"/>
    <w:rsid w:val="14977C8B"/>
    <w:rsid w:val="149C1746"/>
    <w:rsid w:val="14A10B0A"/>
    <w:rsid w:val="14AA3E63"/>
    <w:rsid w:val="14B374E9"/>
    <w:rsid w:val="14B940A6"/>
    <w:rsid w:val="14E31122"/>
    <w:rsid w:val="14F055ED"/>
    <w:rsid w:val="14FB2910"/>
    <w:rsid w:val="15015A4D"/>
    <w:rsid w:val="151D2886"/>
    <w:rsid w:val="15304B69"/>
    <w:rsid w:val="15323E58"/>
    <w:rsid w:val="154222ED"/>
    <w:rsid w:val="154D47EE"/>
    <w:rsid w:val="156C2EC6"/>
    <w:rsid w:val="157306F8"/>
    <w:rsid w:val="158C55A3"/>
    <w:rsid w:val="159863B1"/>
    <w:rsid w:val="15B36D47"/>
    <w:rsid w:val="15BD0DEB"/>
    <w:rsid w:val="15CF68DB"/>
    <w:rsid w:val="15E46F00"/>
    <w:rsid w:val="15EA7F1F"/>
    <w:rsid w:val="15EE5FD1"/>
    <w:rsid w:val="16094BB9"/>
    <w:rsid w:val="160A0AEE"/>
    <w:rsid w:val="161F43DC"/>
    <w:rsid w:val="162B2D81"/>
    <w:rsid w:val="162C6AF9"/>
    <w:rsid w:val="16482FA1"/>
    <w:rsid w:val="164C60A4"/>
    <w:rsid w:val="16607994"/>
    <w:rsid w:val="16734728"/>
    <w:rsid w:val="168E3310"/>
    <w:rsid w:val="1693385B"/>
    <w:rsid w:val="16A15587"/>
    <w:rsid w:val="16B20DAC"/>
    <w:rsid w:val="16C46D32"/>
    <w:rsid w:val="16DD7609"/>
    <w:rsid w:val="16E66CA8"/>
    <w:rsid w:val="16E80C72"/>
    <w:rsid w:val="16EA2C3C"/>
    <w:rsid w:val="16EB0762"/>
    <w:rsid w:val="16F5513D"/>
    <w:rsid w:val="16FC64CC"/>
    <w:rsid w:val="17005A49"/>
    <w:rsid w:val="17147CB9"/>
    <w:rsid w:val="171657DF"/>
    <w:rsid w:val="171B1048"/>
    <w:rsid w:val="17451C21"/>
    <w:rsid w:val="174D10A5"/>
    <w:rsid w:val="174E54AC"/>
    <w:rsid w:val="174F0CF1"/>
    <w:rsid w:val="17624056"/>
    <w:rsid w:val="17680005"/>
    <w:rsid w:val="176F6C9D"/>
    <w:rsid w:val="177D585E"/>
    <w:rsid w:val="1780009A"/>
    <w:rsid w:val="17852965"/>
    <w:rsid w:val="17B80644"/>
    <w:rsid w:val="17BC218E"/>
    <w:rsid w:val="17EF7DDE"/>
    <w:rsid w:val="18003D99"/>
    <w:rsid w:val="18061AD7"/>
    <w:rsid w:val="1807619E"/>
    <w:rsid w:val="180A4C18"/>
    <w:rsid w:val="18155A97"/>
    <w:rsid w:val="181810E3"/>
    <w:rsid w:val="184B6914"/>
    <w:rsid w:val="18900E47"/>
    <w:rsid w:val="18BA4890"/>
    <w:rsid w:val="18CC7601"/>
    <w:rsid w:val="190D676E"/>
    <w:rsid w:val="19102702"/>
    <w:rsid w:val="19112B5C"/>
    <w:rsid w:val="1912647A"/>
    <w:rsid w:val="19294053"/>
    <w:rsid w:val="192D6E10"/>
    <w:rsid w:val="19397563"/>
    <w:rsid w:val="193A43A6"/>
    <w:rsid w:val="195E6FCA"/>
    <w:rsid w:val="196254B2"/>
    <w:rsid w:val="196F7429"/>
    <w:rsid w:val="19A90B8D"/>
    <w:rsid w:val="19AC41D9"/>
    <w:rsid w:val="19B57212"/>
    <w:rsid w:val="19B61C6C"/>
    <w:rsid w:val="19C01A32"/>
    <w:rsid w:val="19C04378"/>
    <w:rsid w:val="19C0778C"/>
    <w:rsid w:val="19C854EB"/>
    <w:rsid w:val="19DE010A"/>
    <w:rsid w:val="19E35721"/>
    <w:rsid w:val="19F71887"/>
    <w:rsid w:val="19FE07AD"/>
    <w:rsid w:val="1A0E3162"/>
    <w:rsid w:val="1A0F5CBD"/>
    <w:rsid w:val="1A163D48"/>
    <w:rsid w:val="1A253F8B"/>
    <w:rsid w:val="1A3A7A37"/>
    <w:rsid w:val="1A423656"/>
    <w:rsid w:val="1A456726"/>
    <w:rsid w:val="1A495ECC"/>
    <w:rsid w:val="1A4F2DB6"/>
    <w:rsid w:val="1A61350B"/>
    <w:rsid w:val="1A776632"/>
    <w:rsid w:val="1A7B1DFD"/>
    <w:rsid w:val="1AA20301"/>
    <w:rsid w:val="1AB23A71"/>
    <w:rsid w:val="1AB71087"/>
    <w:rsid w:val="1AC83294"/>
    <w:rsid w:val="1AC90DBB"/>
    <w:rsid w:val="1ADA6B24"/>
    <w:rsid w:val="1AE654C9"/>
    <w:rsid w:val="1AEB2ADF"/>
    <w:rsid w:val="1AED2CFB"/>
    <w:rsid w:val="1AFF24AC"/>
    <w:rsid w:val="1B300E3A"/>
    <w:rsid w:val="1B3A0801"/>
    <w:rsid w:val="1B3C333B"/>
    <w:rsid w:val="1B43291B"/>
    <w:rsid w:val="1B4D3649"/>
    <w:rsid w:val="1B634D6B"/>
    <w:rsid w:val="1B66485B"/>
    <w:rsid w:val="1B670CB1"/>
    <w:rsid w:val="1B6B3C20"/>
    <w:rsid w:val="1B7725C5"/>
    <w:rsid w:val="1B811695"/>
    <w:rsid w:val="1B83540D"/>
    <w:rsid w:val="1B9211AC"/>
    <w:rsid w:val="1BB235FD"/>
    <w:rsid w:val="1BB254E1"/>
    <w:rsid w:val="1BB76E65"/>
    <w:rsid w:val="1BC81072"/>
    <w:rsid w:val="1BCA303C"/>
    <w:rsid w:val="1BCA6B98"/>
    <w:rsid w:val="1BD26F6A"/>
    <w:rsid w:val="1BE13EE2"/>
    <w:rsid w:val="1BF34341"/>
    <w:rsid w:val="1C0876C1"/>
    <w:rsid w:val="1C202C5C"/>
    <w:rsid w:val="1C2C7853"/>
    <w:rsid w:val="1C316C17"/>
    <w:rsid w:val="1C3D5104"/>
    <w:rsid w:val="1C3F7586"/>
    <w:rsid w:val="1C5823F6"/>
    <w:rsid w:val="1C5B5CA3"/>
    <w:rsid w:val="1C634E7D"/>
    <w:rsid w:val="1C705992"/>
    <w:rsid w:val="1C896A53"/>
    <w:rsid w:val="1CA61122"/>
    <w:rsid w:val="1CC601FF"/>
    <w:rsid w:val="1CDD6D9F"/>
    <w:rsid w:val="1CE7377A"/>
    <w:rsid w:val="1CE819CC"/>
    <w:rsid w:val="1CF27E2F"/>
    <w:rsid w:val="1CF540E9"/>
    <w:rsid w:val="1CFC5477"/>
    <w:rsid w:val="1D0F7046"/>
    <w:rsid w:val="1D1A76AB"/>
    <w:rsid w:val="1D215332"/>
    <w:rsid w:val="1D266050"/>
    <w:rsid w:val="1D303373"/>
    <w:rsid w:val="1D3E783E"/>
    <w:rsid w:val="1D4B5AB7"/>
    <w:rsid w:val="1D556936"/>
    <w:rsid w:val="1D5F50FD"/>
    <w:rsid w:val="1D6B43AB"/>
    <w:rsid w:val="1D9751F7"/>
    <w:rsid w:val="1D990F18"/>
    <w:rsid w:val="1DA82F09"/>
    <w:rsid w:val="1DAF24EA"/>
    <w:rsid w:val="1DB22420"/>
    <w:rsid w:val="1DBA1716"/>
    <w:rsid w:val="1DEC22A1"/>
    <w:rsid w:val="1DEC729A"/>
    <w:rsid w:val="1DFB128B"/>
    <w:rsid w:val="1DFE521F"/>
    <w:rsid w:val="1E0D0FBE"/>
    <w:rsid w:val="1E1251AF"/>
    <w:rsid w:val="1E226C43"/>
    <w:rsid w:val="1E430E84"/>
    <w:rsid w:val="1E4A3FC0"/>
    <w:rsid w:val="1E626BB8"/>
    <w:rsid w:val="1E6C2143"/>
    <w:rsid w:val="1E7948A6"/>
    <w:rsid w:val="1E9B5EA3"/>
    <w:rsid w:val="1EA232D9"/>
    <w:rsid w:val="1EB06519"/>
    <w:rsid w:val="1EB77B79"/>
    <w:rsid w:val="1EC43D73"/>
    <w:rsid w:val="1ECD56B0"/>
    <w:rsid w:val="1ECE6B2A"/>
    <w:rsid w:val="1ECF44C6"/>
    <w:rsid w:val="1ED0096A"/>
    <w:rsid w:val="1EE066D3"/>
    <w:rsid w:val="1F053012"/>
    <w:rsid w:val="1F066139"/>
    <w:rsid w:val="1F132604"/>
    <w:rsid w:val="1F2B2044"/>
    <w:rsid w:val="1F301408"/>
    <w:rsid w:val="1F3233D2"/>
    <w:rsid w:val="1F3E1D77"/>
    <w:rsid w:val="1F43738D"/>
    <w:rsid w:val="1F536EA5"/>
    <w:rsid w:val="1F721A21"/>
    <w:rsid w:val="1F7C289F"/>
    <w:rsid w:val="1F8D0609"/>
    <w:rsid w:val="1F903C55"/>
    <w:rsid w:val="1F9279CD"/>
    <w:rsid w:val="1FB10092"/>
    <w:rsid w:val="1FB5190D"/>
    <w:rsid w:val="1FBF453A"/>
    <w:rsid w:val="1FE16BA6"/>
    <w:rsid w:val="1FF10842"/>
    <w:rsid w:val="1FFA5219"/>
    <w:rsid w:val="1FFB7497"/>
    <w:rsid w:val="2000702C"/>
    <w:rsid w:val="20020FF7"/>
    <w:rsid w:val="20024619"/>
    <w:rsid w:val="20054643"/>
    <w:rsid w:val="200603BB"/>
    <w:rsid w:val="203902BE"/>
    <w:rsid w:val="203E1903"/>
    <w:rsid w:val="2048066F"/>
    <w:rsid w:val="20631D31"/>
    <w:rsid w:val="20651585"/>
    <w:rsid w:val="206838BD"/>
    <w:rsid w:val="206D3F96"/>
    <w:rsid w:val="20796DDF"/>
    <w:rsid w:val="20865995"/>
    <w:rsid w:val="20880DD0"/>
    <w:rsid w:val="209A7911"/>
    <w:rsid w:val="209D6559"/>
    <w:rsid w:val="20A83032"/>
    <w:rsid w:val="20B01505"/>
    <w:rsid w:val="20B049AD"/>
    <w:rsid w:val="20BD4F1E"/>
    <w:rsid w:val="20D22EE3"/>
    <w:rsid w:val="20DF080E"/>
    <w:rsid w:val="20E97AC1"/>
    <w:rsid w:val="20EA3839"/>
    <w:rsid w:val="20F841A8"/>
    <w:rsid w:val="21002F03"/>
    <w:rsid w:val="21090163"/>
    <w:rsid w:val="210C37AF"/>
    <w:rsid w:val="21240AF9"/>
    <w:rsid w:val="21325CB9"/>
    <w:rsid w:val="21336F8E"/>
    <w:rsid w:val="21383F0E"/>
    <w:rsid w:val="213C6AC8"/>
    <w:rsid w:val="213F1DD6"/>
    <w:rsid w:val="213F5CF3"/>
    <w:rsid w:val="215B0293"/>
    <w:rsid w:val="215F7B67"/>
    <w:rsid w:val="217C6B87"/>
    <w:rsid w:val="21861E4C"/>
    <w:rsid w:val="219739C1"/>
    <w:rsid w:val="21B06830"/>
    <w:rsid w:val="21B26104"/>
    <w:rsid w:val="21CF315A"/>
    <w:rsid w:val="21D56297"/>
    <w:rsid w:val="21EE1107"/>
    <w:rsid w:val="21F93E7E"/>
    <w:rsid w:val="2217065D"/>
    <w:rsid w:val="221C5C74"/>
    <w:rsid w:val="222A213F"/>
    <w:rsid w:val="222B7705"/>
    <w:rsid w:val="222F4C34"/>
    <w:rsid w:val="22327245"/>
    <w:rsid w:val="22372AAE"/>
    <w:rsid w:val="22506CC0"/>
    <w:rsid w:val="22543660"/>
    <w:rsid w:val="22573915"/>
    <w:rsid w:val="226F0920"/>
    <w:rsid w:val="22745D50"/>
    <w:rsid w:val="22764D9B"/>
    <w:rsid w:val="22781029"/>
    <w:rsid w:val="228B2608"/>
    <w:rsid w:val="229B4DEB"/>
    <w:rsid w:val="22B365D8"/>
    <w:rsid w:val="22B934C3"/>
    <w:rsid w:val="22BB723B"/>
    <w:rsid w:val="22CE51C0"/>
    <w:rsid w:val="22CF2E8D"/>
    <w:rsid w:val="23024E6A"/>
    <w:rsid w:val="231150AD"/>
    <w:rsid w:val="2318468D"/>
    <w:rsid w:val="232A616E"/>
    <w:rsid w:val="23356FED"/>
    <w:rsid w:val="234E6301"/>
    <w:rsid w:val="23501675"/>
    <w:rsid w:val="23502079"/>
    <w:rsid w:val="235F20CF"/>
    <w:rsid w:val="236847E2"/>
    <w:rsid w:val="237815D0"/>
    <w:rsid w:val="237D6BE6"/>
    <w:rsid w:val="23871813"/>
    <w:rsid w:val="238E2BA1"/>
    <w:rsid w:val="23907EAC"/>
    <w:rsid w:val="2393640A"/>
    <w:rsid w:val="23957A8C"/>
    <w:rsid w:val="2398757C"/>
    <w:rsid w:val="239D6E27"/>
    <w:rsid w:val="23A10B26"/>
    <w:rsid w:val="23A273D6"/>
    <w:rsid w:val="23A31DC3"/>
    <w:rsid w:val="23AC3027"/>
    <w:rsid w:val="23AE4FF1"/>
    <w:rsid w:val="23B940CE"/>
    <w:rsid w:val="23EE53EE"/>
    <w:rsid w:val="23F073B8"/>
    <w:rsid w:val="23F21382"/>
    <w:rsid w:val="23FF5C91"/>
    <w:rsid w:val="240D7F6A"/>
    <w:rsid w:val="24213A15"/>
    <w:rsid w:val="2423778D"/>
    <w:rsid w:val="242D23BA"/>
    <w:rsid w:val="242F6132"/>
    <w:rsid w:val="243512C2"/>
    <w:rsid w:val="24373239"/>
    <w:rsid w:val="24455956"/>
    <w:rsid w:val="245A4A6F"/>
    <w:rsid w:val="245B0CD5"/>
    <w:rsid w:val="246456B0"/>
    <w:rsid w:val="246758CC"/>
    <w:rsid w:val="248B5047"/>
    <w:rsid w:val="248D2E59"/>
    <w:rsid w:val="2492046F"/>
    <w:rsid w:val="249B5576"/>
    <w:rsid w:val="249E5066"/>
    <w:rsid w:val="24A26904"/>
    <w:rsid w:val="24AF7273"/>
    <w:rsid w:val="24C0322E"/>
    <w:rsid w:val="24CA19B7"/>
    <w:rsid w:val="24D35C2C"/>
    <w:rsid w:val="24D740D4"/>
    <w:rsid w:val="24F46A34"/>
    <w:rsid w:val="24F904EE"/>
    <w:rsid w:val="2503311B"/>
    <w:rsid w:val="25090731"/>
    <w:rsid w:val="25140E84"/>
    <w:rsid w:val="252A1DF9"/>
    <w:rsid w:val="25331C52"/>
    <w:rsid w:val="253634F0"/>
    <w:rsid w:val="253D03DB"/>
    <w:rsid w:val="254257CF"/>
    <w:rsid w:val="254E083A"/>
    <w:rsid w:val="255B2819"/>
    <w:rsid w:val="255F47F5"/>
    <w:rsid w:val="256718FC"/>
    <w:rsid w:val="25697422"/>
    <w:rsid w:val="25706A02"/>
    <w:rsid w:val="2573204F"/>
    <w:rsid w:val="259F4BF2"/>
    <w:rsid w:val="25B61F3B"/>
    <w:rsid w:val="25BA1EF7"/>
    <w:rsid w:val="25C91C6F"/>
    <w:rsid w:val="25C97EC1"/>
    <w:rsid w:val="25D14624"/>
    <w:rsid w:val="25DC3EE8"/>
    <w:rsid w:val="25FA2770"/>
    <w:rsid w:val="25FC2C4A"/>
    <w:rsid w:val="25FF6834"/>
    <w:rsid w:val="260D5FFF"/>
    <w:rsid w:val="262670C1"/>
    <w:rsid w:val="262F7ED1"/>
    <w:rsid w:val="26321F0A"/>
    <w:rsid w:val="26323CB8"/>
    <w:rsid w:val="26345C82"/>
    <w:rsid w:val="26451C3D"/>
    <w:rsid w:val="26485289"/>
    <w:rsid w:val="264B1D2F"/>
    <w:rsid w:val="267442D0"/>
    <w:rsid w:val="267918E7"/>
    <w:rsid w:val="268B161A"/>
    <w:rsid w:val="268C6B9B"/>
    <w:rsid w:val="268D7140"/>
    <w:rsid w:val="269E759F"/>
    <w:rsid w:val="26AA5F44"/>
    <w:rsid w:val="26C07516"/>
    <w:rsid w:val="26C64400"/>
    <w:rsid w:val="26CD578F"/>
    <w:rsid w:val="26E22B39"/>
    <w:rsid w:val="26EC030B"/>
    <w:rsid w:val="2718195D"/>
    <w:rsid w:val="27284856"/>
    <w:rsid w:val="272950BB"/>
    <w:rsid w:val="273E043A"/>
    <w:rsid w:val="274A7062"/>
    <w:rsid w:val="275639D6"/>
    <w:rsid w:val="276A122F"/>
    <w:rsid w:val="277B168E"/>
    <w:rsid w:val="277D6CB5"/>
    <w:rsid w:val="27856069"/>
    <w:rsid w:val="2789562D"/>
    <w:rsid w:val="279B3ADF"/>
    <w:rsid w:val="27C44DE4"/>
    <w:rsid w:val="27E234BC"/>
    <w:rsid w:val="27E45486"/>
    <w:rsid w:val="27F76F67"/>
    <w:rsid w:val="27FC27CF"/>
    <w:rsid w:val="28090DA6"/>
    <w:rsid w:val="28094EEC"/>
    <w:rsid w:val="281A0EA7"/>
    <w:rsid w:val="283755B5"/>
    <w:rsid w:val="2852595A"/>
    <w:rsid w:val="28566054"/>
    <w:rsid w:val="286839C1"/>
    <w:rsid w:val="2899001E"/>
    <w:rsid w:val="289B1FE8"/>
    <w:rsid w:val="28A15125"/>
    <w:rsid w:val="28AF15F0"/>
    <w:rsid w:val="28BC12D3"/>
    <w:rsid w:val="28BD4603"/>
    <w:rsid w:val="28C037FD"/>
    <w:rsid w:val="28D42E04"/>
    <w:rsid w:val="28DD687E"/>
    <w:rsid w:val="28E05C4D"/>
    <w:rsid w:val="28F9286B"/>
    <w:rsid w:val="2900009D"/>
    <w:rsid w:val="29171565"/>
    <w:rsid w:val="291B0A33"/>
    <w:rsid w:val="291E6775"/>
    <w:rsid w:val="29211DC2"/>
    <w:rsid w:val="292518B2"/>
    <w:rsid w:val="2927387C"/>
    <w:rsid w:val="294361DC"/>
    <w:rsid w:val="2948059F"/>
    <w:rsid w:val="296028EA"/>
    <w:rsid w:val="29712D49"/>
    <w:rsid w:val="29736AC1"/>
    <w:rsid w:val="29785E86"/>
    <w:rsid w:val="29883BEF"/>
    <w:rsid w:val="29982084"/>
    <w:rsid w:val="29995DFC"/>
    <w:rsid w:val="29A50C45"/>
    <w:rsid w:val="29B36EBE"/>
    <w:rsid w:val="29B6747C"/>
    <w:rsid w:val="29D84B76"/>
    <w:rsid w:val="29E614E3"/>
    <w:rsid w:val="2A0140CD"/>
    <w:rsid w:val="2A202079"/>
    <w:rsid w:val="2A392CF6"/>
    <w:rsid w:val="2A3A1445"/>
    <w:rsid w:val="2A3A75DF"/>
    <w:rsid w:val="2A3F4BF5"/>
    <w:rsid w:val="2A5B7495"/>
    <w:rsid w:val="2A5D507B"/>
    <w:rsid w:val="2A703001"/>
    <w:rsid w:val="2A726D79"/>
    <w:rsid w:val="2A73489F"/>
    <w:rsid w:val="2A855648"/>
    <w:rsid w:val="2A986D89"/>
    <w:rsid w:val="2A9A007E"/>
    <w:rsid w:val="2AC65CD0"/>
    <w:rsid w:val="2ADC41F2"/>
    <w:rsid w:val="2AE35FB2"/>
    <w:rsid w:val="2AED4651"/>
    <w:rsid w:val="2AEF3F25"/>
    <w:rsid w:val="2B165CCE"/>
    <w:rsid w:val="2B2067D5"/>
    <w:rsid w:val="2B2D4A4E"/>
    <w:rsid w:val="2B2F4C6A"/>
    <w:rsid w:val="2B3636A5"/>
    <w:rsid w:val="2B373B1E"/>
    <w:rsid w:val="2B4673D4"/>
    <w:rsid w:val="2B4A21D9"/>
    <w:rsid w:val="2B4E3478"/>
    <w:rsid w:val="2B77216D"/>
    <w:rsid w:val="2B795EE5"/>
    <w:rsid w:val="2B8F74B6"/>
    <w:rsid w:val="2B9B40AD"/>
    <w:rsid w:val="2BC76C50"/>
    <w:rsid w:val="2BD14A92"/>
    <w:rsid w:val="2BE23A8A"/>
    <w:rsid w:val="2BF10171"/>
    <w:rsid w:val="2C025EDA"/>
    <w:rsid w:val="2C1D2D14"/>
    <w:rsid w:val="2C311A1D"/>
    <w:rsid w:val="2C3F0EDD"/>
    <w:rsid w:val="2C472792"/>
    <w:rsid w:val="2C6D3C9C"/>
    <w:rsid w:val="2C7566AC"/>
    <w:rsid w:val="2C7C5384"/>
    <w:rsid w:val="2C8965FC"/>
    <w:rsid w:val="2C8B2374"/>
    <w:rsid w:val="2C92725E"/>
    <w:rsid w:val="2CA156F3"/>
    <w:rsid w:val="2CB25B52"/>
    <w:rsid w:val="2CB35427"/>
    <w:rsid w:val="2CB371D5"/>
    <w:rsid w:val="2CB96A46"/>
    <w:rsid w:val="2CBC24DE"/>
    <w:rsid w:val="2CC969F8"/>
    <w:rsid w:val="2CD755B9"/>
    <w:rsid w:val="2D05793A"/>
    <w:rsid w:val="2D1E4F96"/>
    <w:rsid w:val="2D1E755B"/>
    <w:rsid w:val="2D2A393B"/>
    <w:rsid w:val="2D2F6FF2"/>
    <w:rsid w:val="2D306A77"/>
    <w:rsid w:val="2D532555"/>
    <w:rsid w:val="2D572111"/>
    <w:rsid w:val="2D7B4196"/>
    <w:rsid w:val="2D834DF9"/>
    <w:rsid w:val="2D867BBD"/>
    <w:rsid w:val="2D8C77D5"/>
    <w:rsid w:val="2D8E211C"/>
    <w:rsid w:val="2DA52FC1"/>
    <w:rsid w:val="2DB9081B"/>
    <w:rsid w:val="2DC054F7"/>
    <w:rsid w:val="2DCC21BF"/>
    <w:rsid w:val="2DCE1EBA"/>
    <w:rsid w:val="2DD05328"/>
    <w:rsid w:val="2DDF4725"/>
    <w:rsid w:val="2E293BF2"/>
    <w:rsid w:val="2E2A1718"/>
    <w:rsid w:val="2E5A1FFE"/>
    <w:rsid w:val="2E755089"/>
    <w:rsid w:val="2E840E29"/>
    <w:rsid w:val="2E8E1CA7"/>
    <w:rsid w:val="2E975000"/>
    <w:rsid w:val="2E9D1EEA"/>
    <w:rsid w:val="2EB01C1E"/>
    <w:rsid w:val="2EB40924"/>
    <w:rsid w:val="2EBE36A8"/>
    <w:rsid w:val="2ECB6261"/>
    <w:rsid w:val="2ECB6A58"/>
    <w:rsid w:val="2ED55186"/>
    <w:rsid w:val="2ED57A07"/>
    <w:rsid w:val="2EDC0C65"/>
    <w:rsid w:val="2EE144CD"/>
    <w:rsid w:val="2EE360DB"/>
    <w:rsid w:val="2EFE0BDB"/>
    <w:rsid w:val="2F026892"/>
    <w:rsid w:val="2F0A5626"/>
    <w:rsid w:val="2F0D52C2"/>
    <w:rsid w:val="2F104DB2"/>
    <w:rsid w:val="2F1403FE"/>
    <w:rsid w:val="2F1E74CF"/>
    <w:rsid w:val="2F260132"/>
    <w:rsid w:val="2F2D14C0"/>
    <w:rsid w:val="2F324AB7"/>
    <w:rsid w:val="2F3C7955"/>
    <w:rsid w:val="2F447029"/>
    <w:rsid w:val="2F451ED4"/>
    <w:rsid w:val="2F4607D4"/>
    <w:rsid w:val="2F4B1946"/>
    <w:rsid w:val="2F4C02B5"/>
    <w:rsid w:val="2F4F5F32"/>
    <w:rsid w:val="2F601896"/>
    <w:rsid w:val="2F631C1E"/>
    <w:rsid w:val="2F63379F"/>
    <w:rsid w:val="2F7F5E0C"/>
    <w:rsid w:val="2F8A2694"/>
    <w:rsid w:val="2F8D063C"/>
    <w:rsid w:val="2F936020"/>
    <w:rsid w:val="2FA70495"/>
    <w:rsid w:val="2FAF42C8"/>
    <w:rsid w:val="2FCF1139"/>
    <w:rsid w:val="2FE029D7"/>
    <w:rsid w:val="2FFD56FD"/>
    <w:rsid w:val="30006BD5"/>
    <w:rsid w:val="300246FB"/>
    <w:rsid w:val="300A35B0"/>
    <w:rsid w:val="302568E7"/>
    <w:rsid w:val="303625F7"/>
    <w:rsid w:val="30420ADC"/>
    <w:rsid w:val="30420F9B"/>
    <w:rsid w:val="30473135"/>
    <w:rsid w:val="30640F12"/>
    <w:rsid w:val="307D0225"/>
    <w:rsid w:val="308508D2"/>
    <w:rsid w:val="30915A7F"/>
    <w:rsid w:val="309A2B85"/>
    <w:rsid w:val="30A47560"/>
    <w:rsid w:val="30A77050"/>
    <w:rsid w:val="30B07D26"/>
    <w:rsid w:val="30C96FC7"/>
    <w:rsid w:val="30FB1EEF"/>
    <w:rsid w:val="30FE1366"/>
    <w:rsid w:val="310444A3"/>
    <w:rsid w:val="312D3959"/>
    <w:rsid w:val="312D39F9"/>
    <w:rsid w:val="3138414C"/>
    <w:rsid w:val="313B4368"/>
    <w:rsid w:val="31576E63"/>
    <w:rsid w:val="315F4F40"/>
    <w:rsid w:val="31994BEB"/>
    <w:rsid w:val="319C292D"/>
    <w:rsid w:val="31A00887"/>
    <w:rsid w:val="31B13470"/>
    <w:rsid w:val="31B1462B"/>
    <w:rsid w:val="31C14142"/>
    <w:rsid w:val="31E3055C"/>
    <w:rsid w:val="31E958E2"/>
    <w:rsid w:val="31FE5396"/>
    <w:rsid w:val="320611DF"/>
    <w:rsid w:val="32075FF9"/>
    <w:rsid w:val="3215767E"/>
    <w:rsid w:val="32236BAB"/>
    <w:rsid w:val="322F554F"/>
    <w:rsid w:val="32317519"/>
    <w:rsid w:val="323A4620"/>
    <w:rsid w:val="323B5CA2"/>
    <w:rsid w:val="324E00CB"/>
    <w:rsid w:val="32530EA8"/>
    <w:rsid w:val="32584AA6"/>
    <w:rsid w:val="325A081E"/>
    <w:rsid w:val="3264169D"/>
    <w:rsid w:val="32672F3B"/>
    <w:rsid w:val="32755658"/>
    <w:rsid w:val="3276317E"/>
    <w:rsid w:val="32853407"/>
    <w:rsid w:val="32906660"/>
    <w:rsid w:val="32950EC6"/>
    <w:rsid w:val="329D070B"/>
    <w:rsid w:val="32BB0FC2"/>
    <w:rsid w:val="32C24615"/>
    <w:rsid w:val="32C43EEA"/>
    <w:rsid w:val="32C65EB4"/>
    <w:rsid w:val="32D04DB1"/>
    <w:rsid w:val="32D75482"/>
    <w:rsid w:val="32F10A57"/>
    <w:rsid w:val="33016EEC"/>
    <w:rsid w:val="330E1609"/>
    <w:rsid w:val="331210F9"/>
    <w:rsid w:val="331F7372"/>
    <w:rsid w:val="33240E2C"/>
    <w:rsid w:val="33385662"/>
    <w:rsid w:val="33403CA2"/>
    <w:rsid w:val="336D27D3"/>
    <w:rsid w:val="33843679"/>
    <w:rsid w:val="338C3812"/>
    <w:rsid w:val="339B7340"/>
    <w:rsid w:val="33A1422B"/>
    <w:rsid w:val="33AA6EA7"/>
    <w:rsid w:val="33AD7074"/>
    <w:rsid w:val="33B201E6"/>
    <w:rsid w:val="33B26438"/>
    <w:rsid w:val="33B65F28"/>
    <w:rsid w:val="33BF2903"/>
    <w:rsid w:val="33C97244"/>
    <w:rsid w:val="33F702EF"/>
    <w:rsid w:val="33F94085"/>
    <w:rsid w:val="33FE342B"/>
    <w:rsid w:val="3401175C"/>
    <w:rsid w:val="340E6656"/>
    <w:rsid w:val="344828F8"/>
    <w:rsid w:val="346D6C4F"/>
    <w:rsid w:val="34847DD4"/>
    <w:rsid w:val="34854B20"/>
    <w:rsid w:val="349B0DF7"/>
    <w:rsid w:val="349B5F43"/>
    <w:rsid w:val="34A35D81"/>
    <w:rsid w:val="34A43FD3"/>
    <w:rsid w:val="34B949EC"/>
    <w:rsid w:val="34C5219B"/>
    <w:rsid w:val="34D67F04"/>
    <w:rsid w:val="34FF38FF"/>
    <w:rsid w:val="350727B3"/>
    <w:rsid w:val="351153E0"/>
    <w:rsid w:val="35134CB4"/>
    <w:rsid w:val="352275ED"/>
    <w:rsid w:val="35297DCD"/>
    <w:rsid w:val="352B3038"/>
    <w:rsid w:val="352E5F92"/>
    <w:rsid w:val="353A66E5"/>
    <w:rsid w:val="354831F1"/>
    <w:rsid w:val="35586B6B"/>
    <w:rsid w:val="355A6D87"/>
    <w:rsid w:val="355C0188"/>
    <w:rsid w:val="356E2833"/>
    <w:rsid w:val="35825CE3"/>
    <w:rsid w:val="358D0597"/>
    <w:rsid w:val="35913A40"/>
    <w:rsid w:val="35A13F7A"/>
    <w:rsid w:val="35B04BF9"/>
    <w:rsid w:val="35B93AAE"/>
    <w:rsid w:val="35BC5F2C"/>
    <w:rsid w:val="35BF4C2C"/>
    <w:rsid w:val="35C81F43"/>
    <w:rsid w:val="35CD1307"/>
    <w:rsid w:val="35E22CC8"/>
    <w:rsid w:val="35F646B7"/>
    <w:rsid w:val="36067F50"/>
    <w:rsid w:val="360A7532"/>
    <w:rsid w:val="360D204B"/>
    <w:rsid w:val="362D16EE"/>
    <w:rsid w:val="363711C6"/>
    <w:rsid w:val="364D41F6"/>
    <w:rsid w:val="3651018A"/>
    <w:rsid w:val="365E6403"/>
    <w:rsid w:val="366C0B20"/>
    <w:rsid w:val="367B74AA"/>
    <w:rsid w:val="367D2D2D"/>
    <w:rsid w:val="368913A8"/>
    <w:rsid w:val="368A71F8"/>
    <w:rsid w:val="369D6F2B"/>
    <w:rsid w:val="369E42B3"/>
    <w:rsid w:val="36A22794"/>
    <w:rsid w:val="36A55DE0"/>
    <w:rsid w:val="36AF3425"/>
    <w:rsid w:val="36B63375"/>
    <w:rsid w:val="36B72FE9"/>
    <w:rsid w:val="36E44B5A"/>
    <w:rsid w:val="36E96F8B"/>
    <w:rsid w:val="36EC3A0F"/>
    <w:rsid w:val="37016E3F"/>
    <w:rsid w:val="370175DC"/>
    <w:rsid w:val="37105707"/>
    <w:rsid w:val="37150738"/>
    <w:rsid w:val="37213F0B"/>
    <w:rsid w:val="37270EEB"/>
    <w:rsid w:val="3727713D"/>
    <w:rsid w:val="373A29CC"/>
    <w:rsid w:val="376161AB"/>
    <w:rsid w:val="37732382"/>
    <w:rsid w:val="37975910"/>
    <w:rsid w:val="37A60062"/>
    <w:rsid w:val="37B204FB"/>
    <w:rsid w:val="37CA01F4"/>
    <w:rsid w:val="37E209F0"/>
    <w:rsid w:val="37EF7C5B"/>
    <w:rsid w:val="37F90A98"/>
    <w:rsid w:val="37F94635"/>
    <w:rsid w:val="37FA03AE"/>
    <w:rsid w:val="37FC2378"/>
    <w:rsid w:val="37FC5ED4"/>
    <w:rsid w:val="38080D1C"/>
    <w:rsid w:val="3814146F"/>
    <w:rsid w:val="38194CD8"/>
    <w:rsid w:val="382C339F"/>
    <w:rsid w:val="382F0057"/>
    <w:rsid w:val="383125E4"/>
    <w:rsid w:val="384D0D35"/>
    <w:rsid w:val="3857135C"/>
    <w:rsid w:val="38593326"/>
    <w:rsid w:val="385B0E4C"/>
    <w:rsid w:val="386C3059"/>
    <w:rsid w:val="386D0B7F"/>
    <w:rsid w:val="38741F0E"/>
    <w:rsid w:val="389D7E92"/>
    <w:rsid w:val="389E51DD"/>
    <w:rsid w:val="38A74091"/>
    <w:rsid w:val="38B810AA"/>
    <w:rsid w:val="38C033A5"/>
    <w:rsid w:val="38C06F01"/>
    <w:rsid w:val="38C764E2"/>
    <w:rsid w:val="38CC3AF8"/>
    <w:rsid w:val="38E4232C"/>
    <w:rsid w:val="39000FDE"/>
    <w:rsid w:val="390019F4"/>
    <w:rsid w:val="39131393"/>
    <w:rsid w:val="391C0ED0"/>
    <w:rsid w:val="392667C1"/>
    <w:rsid w:val="392751D2"/>
    <w:rsid w:val="393A3157"/>
    <w:rsid w:val="396401D4"/>
    <w:rsid w:val="398B046C"/>
    <w:rsid w:val="39916AF0"/>
    <w:rsid w:val="399C171C"/>
    <w:rsid w:val="39A20CFD"/>
    <w:rsid w:val="39A6259B"/>
    <w:rsid w:val="39CB3DB0"/>
    <w:rsid w:val="39D20CE7"/>
    <w:rsid w:val="39E210F9"/>
    <w:rsid w:val="39E817C8"/>
    <w:rsid w:val="39E84962"/>
    <w:rsid w:val="39FF7EFD"/>
    <w:rsid w:val="3A0B4AF4"/>
    <w:rsid w:val="3A0D261A"/>
    <w:rsid w:val="3A12070E"/>
    <w:rsid w:val="3A1F5556"/>
    <w:rsid w:val="3A217E73"/>
    <w:rsid w:val="3A3556CD"/>
    <w:rsid w:val="3A436C3C"/>
    <w:rsid w:val="3A490AB6"/>
    <w:rsid w:val="3A4B3142"/>
    <w:rsid w:val="3A635EE7"/>
    <w:rsid w:val="3A6B10EF"/>
    <w:rsid w:val="3AA0523C"/>
    <w:rsid w:val="3AA06EC0"/>
    <w:rsid w:val="3AA7481D"/>
    <w:rsid w:val="3AA80595"/>
    <w:rsid w:val="3AAB598F"/>
    <w:rsid w:val="3AD153F6"/>
    <w:rsid w:val="3AD924FC"/>
    <w:rsid w:val="3AE113B1"/>
    <w:rsid w:val="3AEB41FB"/>
    <w:rsid w:val="3AF244AC"/>
    <w:rsid w:val="3AFA3AC2"/>
    <w:rsid w:val="3B07350D"/>
    <w:rsid w:val="3B1D063B"/>
    <w:rsid w:val="3B1D2CC3"/>
    <w:rsid w:val="3B20637D"/>
    <w:rsid w:val="3B3D2A8B"/>
    <w:rsid w:val="3B457B92"/>
    <w:rsid w:val="3B4A51A8"/>
    <w:rsid w:val="3B554279"/>
    <w:rsid w:val="3B651FE2"/>
    <w:rsid w:val="3B7B35B3"/>
    <w:rsid w:val="3B934DA1"/>
    <w:rsid w:val="3BA945C4"/>
    <w:rsid w:val="3BB6249C"/>
    <w:rsid w:val="3BCB453B"/>
    <w:rsid w:val="3BD258C9"/>
    <w:rsid w:val="3BD502E6"/>
    <w:rsid w:val="3BDD426E"/>
    <w:rsid w:val="3BDF1134"/>
    <w:rsid w:val="3BE05936"/>
    <w:rsid w:val="3BE21884"/>
    <w:rsid w:val="3BF507F3"/>
    <w:rsid w:val="3BFB3E5F"/>
    <w:rsid w:val="3C1A7FEE"/>
    <w:rsid w:val="3C1B2882"/>
    <w:rsid w:val="3C2D2B00"/>
    <w:rsid w:val="3C395948"/>
    <w:rsid w:val="3C3F2833"/>
    <w:rsid w:val="3C410359"/>
    <w:rsid w:val="3C4D1A67"/>
    <w:rsid w:val="3C5462DE"/>
    <w:rsid w:val="3C5E715D"/>
    <w:rsid w:val="3C636521"/>
    <w:rsid w:val="3C645E4D"/>
    <w:rsid w:val="3C7921E9"/>
    <w:rsid w:val="3C793F97"/>
    <w:rsid w:val="3C8358AC"/>
    <w:rsid w:val="3C942B7F"/>
    <w:rsid w:val="3C97331E"/>
    <w:rsid w:val="3C9E2725"/>
    <w:rsid w:val="3CA07775"/>
    <w:rsid w:val="3CA56B3A"/>
    <w:rsid w:val="3CA803D8"/>
    <w:rsid w:val="3CB12907"/>
    <w:rsid w:val="3CB72D11"/>
    <w:rsid w:val="3CBE5E4E"/>
    <w:rsid w:val="3CCF005B"/>
    <w:rsid w:val="3CD50FA3"/>
    <w:rsid w:val="3CE5162C"/>
    <w:rsid w:val="3CF96E86"/>
    <w:rsid w:val="3CFC24D2"/>
    <w:rsid w:val="3D0777F5"/>
    <w:rsid w:val="3D0F00F4"/>
    <w:rsid w:val="3D29776B"/>
    <w:rsid w:val="3D347629"/>
    <w:rsid w:val="3D3D6D72"/>
    <w:rsid w:val="3D4A5D6E"/>
    <w:rsid w:val="3D4C3459"/>
    <w:rsid w:val="3D4D2D2E"/>
    <w:rsid w:val="3D7309E6"/>
    <w:rsid w:val="3D7E05AE"/>
    <w:rsid w:val="3D8202D7"/>
    <w:rsid w:val="3D8B2DFB"/>
    <w:rsid w:val="3D8C6ADA"/>
    <w:rsid w:val="3D9848F1"/>
    <w:rsid w:val="3D9A2417"/>
    <w:rsid w:val="3DAA0180"/>
    <w:rsid w:val="3DAE2291"/>
    <w:rsid w:val="3DB41D7D"/>
    <w:rsid w:val="3DD11BB1"/>
    <w:rsid w:val="3DD86A9B"/>
    <w:rsid w:val="3DE6565C"/>
    <w:rsid w:val="3DF00289"/>
    <w:rsid w:val="3DFF227A"/>
    <w:rsid w:val="3E1877DF"/>
    <w:rsid w:val="3E266B12"/>
    <w:rsid w:val="3E344619"/>
    <w:rsid w:val="3E5D51F2"/>
    <w:rsid w:val="3E693D35"/>
    <w:rsid w:val="3E8567C1"/>
    <w:rsid w:val="3E9A6446"/>
    <w:rsid w:val="3EAB0654"/>
    <w:rsid w:val="3EAF1EF2"/>
    <w:rsid w:val="3EB05C6A"/>
    <w:rsid w:val="3EB40CEE"/>
    <w:rsid w:val="3ED90D1D"/>
    <w:rsid w:val="3EE80F60"/>
    <w:rsid w:val="3EEB0A50"/>
    <w:rsid w:val="3EF67B21"/>
    <w:rsid w:val="3F010273"/>
    <w:rsid w:val="3F087854"/>
    <w:rsid w:val="3F0A35CC"/>
    <w:rsid w:val="3F204B9E"/>
    <w:rsid w:val="3F38377C"/>
    <w:rsid w:val="3F3B19D7"/>
    <w:rsid w:val="3F424B14"/>
    <w:rsid w:val="3F544847"/>
    <w:rsid w:val="3F5E1222"/>
    <w:rsid w:val="3F636838"/>
    <w:rsid w:val="3F6D76B7"/>
    <w:rsid w:val="3F8213B4"/>
    <w:rsid w:val="3FC76DC7"/>
    <w:rsid w:val="3FCE63A8"/>
    <w:rsid w:val="3FCF2120"/>
    <w:rsid w:val="3FD958AF"/>
    <w:rsid w:val="3FDF2363"/>
    <w:rsid w:val="3FEC2CD2"/>
    <w:rsid w:val="3FF878C8"/>
    <w:rsid w:val="400D25C9"/>
    <w:rsid w:val="401F30A7"/>
    <w:rsid w:val="402406BD"/>
    <w:rsid w:val="40414BF8"/>
    <w:rsid w:val="404843AC"/>
    <w:rsid w:val="40572841"/>
    <w:rsid w:val="406867FC"/>
    <w:rsid w:val="4077259B"/>
    <w:rsid w:val="407857F7"/>
    <w:rsid w:val="408B6047"/>
    <w:rsid w:val="40A92971"/>
    <w:rsid w:val="40B21825"/>
    <w:rsid w:val="40C1754F"/>
    <w:rsid w:val="40C559FD"/>
    <w:rsid w:val="40C652D1"/>
    <w:rsid w:val="40D7128C"/>
    <w:rsid w:val="40DF6392"/>
    <w:rsid w:val="40E340D5"/>
    <w:rsid w:val="40E439A9"/>
    <w:rsid w:val="40E8793D"/>
    <w:rsid w:val="40E90518"/>
    <w:rsid w:val="40FC5196"/>
    <w:rsid w:val="4123067F"/>
    <w:rsid w:val="4142704D"/>
    <w:rsid w:val="41452362"/>
    <w:rsid w:val="41474664"/>
    <w:rsid w:val="416074D3"/>
    <w:rsid w:val="417A0B91"/>
    <w:rsid w:val="417D62D7"/>
    <w:rsid w:val="41807B75"/>
    <w:rsid w:val="41985A12"/>
    <w:rsid w:val="41A35612"/>
    <w:rsid w:val="41B8730F"/>
    <w:rsid w:val="41C0674B"/>
    <w:rsid w:val="41E33C60"/>
    <w:rsid w:val="41E40104"/>
    <w:rsid w:val="422624CB"/>
    <w:rsid w:val="42277FF1"/>
    <w:rsid w:val="422C5607"/>
    <w:rsid w:val="422E75D1"/>
    <w:rsid w:val="4250605B"/>
    <w:rsid w:val="42537038"/>
    <w:rsid w:val="425608D6"/>
    <w:rsid w:val="42666D6B"/>
    <w:rsid w:val="4269060A"/>
    <w:rsid w:val="42693892"/>
    <w:rsid w:val="426C3C56"/>
    <w:rsid w:val="427F1BDB"/>
    <w:rsid w:val="429C212A"/>
    <w:rsid w:val="429F227D"/>
    <w:rsid w:val="42A15FF5"/>
    <w:rsid w:val="42BA069E"/>
    <w:rsid w:val="42C35F6C"/>
    <w:rsid w:val="42C45840"/>
    <w:rsid w:val="42CD2946"/>
    <w:rsid w:val="42D04AD3"/>
    <w:rsid w:val="42E87780"/>
    <w:rsid w:val="42EA2C91"/>
    <w:rsid w:val="42F36125"/>
    <w:rsid w:val="42FE0D52"/>
    <w:rsid w:val="430F2F5F"/>
    <w:rsid w:val="43210CDB"/>
    <w:rsid w:val="432D201D"/>
    <w:rsid w:val="433200FF"/>
    <w:rsid w:val="434370AD"/>
    <w:rsid w:val="43776D56"/>
    <w:rsid w:val="438751EB"/>
    <w:rsid w:val="43931DE2"/>
    <w:rsid w:val="43AB0F1A"/>
    <w:rsid w:val="43B12268"/>
    <w:rsid w:val="43BC4EB9"/>
    <w:rsid w:val="43C006FD"/>
    <w:rsid w:val="43CF41A3"/>
    <w:rsid w:val="43FC1F91"/>
    <w:rsid w:val="440C3942"/>
    <w:rsid w:val="44114AB5"/>
    <w:rsid w:val="4416031D"/>
    <w:rsid w:val="44240C8C"/>
    <w:rsid w:val="444529B0"/>
    <w:rsid w:val="445D7CFA"/>
    <w:rsid w:val="4464552C"/>
    <w:rsid w:val="44705C7F"/>
    <w:rsid w:val="44727C49"/>
    <w:rsid w:val="447F4114"/>
    <w:rsid w:val="44872FC9"/>
    <w:rsid w:val="44913E48"/>
    <w:rsid w:val="449A0F4E"/>
    <w:rsid w:val="44A504AA"/>
    <w:rsid w:val="44B72A72"/>
    <w:rsid w:val="44B83ECB"/>
    <w:rsid w:val="44B85878"/>
    <w:rsid w:val="44BA15F0"/>
    <w:rsid w:val="44BF2763"/>
    <w:rsid w:val="44C14D99"/>
    <w:rsid w:val="44C47D79"/>
    <w:rsid w:val="44CB55AC"/>
    <w:rsid w:val="44CD1FA3"/>
    <w:rsid w:val="44CE6E4A"/>
    <w:rsid w:val="44D2693A"/>
    <w:rsid w:val="44D77AAC"/>
    <w:rsid w:val="44DD2F7F"/>
    <w:rsid w:val="44DF2AD6"/>
    <w:rsid w:val="44E328F5"/>
    <w:rsid w:val="44FA19ED"/>
    <w:rsid w:val="4517434D"/>
    <w:rsid w:val="451B08D2"/>
    <w:rsid w:val="453C2005"/>
    <w:rsid w:val="45401AF6"/>
    <w:rsid w:val="454F3AE7"/>
    <w:rsid w:val="4550160D"/>
    <w:rsid w:val="45694272"/>
    <w:rsid w:val="456A6B72"/>
    <w:rsid w:val="456B28EB"/>
    <w:rsid w:val="457572C5"/>
    <w:rsid w:val="457F1EF2"/>
    <w:rsid w:val="45833790"/>
    <w:rsid w:val="4585575A"/>
    <w:rsid w:val="45B44292"/>
    <w:rsid w:val="45C142B9"/>
    <w:rsid w:val="45C67B21"/>
    <w:rsid w:val="45D3296A"/>
    <w:rsid w:val="45E32481"/>
    <w:rsid w:val="45ED50AE"/>
    <w:rsid w:val="45F75F2C"/>
    <w:rsid w:val="46024FFD"/>
    <w:rsid w:val="461B7E6D"/>
    <w:rsid w:val="464A6C41"/>
    <w:rsid w:val="46572546"/>
    <w:rsid w:val="46603AD2"/>
    <w:rsid w:val="466074CD"/>
    <w:rsid w:val="46623CEE"/>
    <w:rsid w:val="466B2BA2"/>
    <w:rsid w:val="467001B9"/>
    <w:rsid w:val="46805F22"/>
    <w:rsid w:val="469F284C"/>
    <w:rsid w:val="46BA7686"/>
    <w:rsid w:val="46C202E8"/>
    <w:rsid w:val="46C36D3C"/>
    <w:rsid w:val="46C71DA3"/>
    <w:rsid w:val="46CD560B"/>
    <w:rsid w:val="47157A2C"/>
    <w:rsid w:val="4718088C"/>
    <w:rsid w:val="472158E8"/>
    <w:rsid w:val="473A07C7"/>
    <w:rsid w:val="474D2459"/>
    <w:rsid w:val="47643C7B"/>
    <w:rsid w:val="47727F60"/>
    <w:rsid w:val="479C51BE"/>
    <w:rsid w:val="479E0D55"/>
    <w:rsid w:val="479F062A"/>
    <w:rsid w:val="47B9448D"/>
    <w:rsid w:val="47BD3E16"/>
    <w:rsid w:val="47F210A1"/>
    <w:rsid w:val="47F95F8C"/>
    <w:rsid w:val="47FB61A8"/>
    <w:rsid w:val="482C6361"/>
    <w:rsid w:val="482D6978"/>
    <w:rsid w:val="4832149E"/>
    <w:rsid w:val="483B2A48"/>
    <w:rsid w:val="484D0086"/>
    <w:rsid w:val="487F409A"/>
    <w:rsid w:val="48855A71"/>
    <w:rsid w:val="488C118E"/>
    <w:rsid w:val="48931F3C"/>
    <w:rsid w:val="48A028AB"/>
    <w:rsid w:val="48A26623"/>
    <w:rsid w:val="48AB372A"/>
    <w:rsid w:val="48AC1250"/>
    <w:rsid w:val="48B40105"/>
    <w:rsid w:val="48C4659A"/>
    <w:rsid w:val="48CB0489"/>
    <w:rsid w:val="48CB3DCC"/>
    <w:rsid w:val="48D03190"/>
    <w:rsid w:val="48D507A7"/>
    <w:rsid w:val="48E80A2C"/>
    <w:rsid w:val="48FC1985"/>
    <w:rsid w:val="49036C08"/>
    <w:rsid w:val="4913307D"/>
    <w:rsid w:val="492029CB"/>
    <w:rsid w:val="492C389B"/>
    <w:rsid w:val="493F3E72"/>
    <w:rsid w:val="495518E8"/>
    <w:rsid w:val="496B4C67"/>
    <w:rsid w:val="498D72D3"/>
    <w:rsid w:val="49951CE4"/>
    <w:rsid w:val="499F0DB5"/>
    <w:rsid w:val="49B67E0C"/>
    <w:rsid w:val="49E36EF3"/>
    <w:rsid w:val="49F11610"/>
    <w:rsid w:val="49FC1D63"/>
    <w:rsid w:val="4A0D5D1E"/>
    <w:rsid w:val="4A443E36"/>
    <w:rsid w:val="4A49144C"/>
    <w:rsid w:val="4A595408"/>
    <w:rsid w:val="4A5971B6"/>
    <w:rsid w:val="4A5D0A54"/>
    <w:rsid w:val="4A69389D"/>
    <w:rsid w:val="4A6E2C61"/>
    <w:rsid w:val="4A712751"/>
    <w:rsid w:val="4A7B35D0"/>
    <w:rsid w:val="4ACB2DB0"/>
    <w:rsid w:val="4ADF4BF3"/>
    <w:rsid w:val="4AEB1356"/>
    <w:rsid w:val="4B007631"/>
    <w:rsid w:val="4B0233A9"/>
    <w:rsid w:val="4B125CE2"/>
    <w:rsid w:val="4B241CB7"/>
    <w:rsid w:val="4B35377F"/>
    <w:rsid w:val="4B3C4B0D"/>
    <w:rsid w:val="4B425E9C"/>
    <w:rsid w:val="4B4B2FA2"/>
    <w:rsid w:val="4B4C2876"/>
    <w:rsid w:val="4B6127C6"/>
    <w:rsid w:val="4B6B1709"/>
    <w:rsid w:val="4B7C315C"/>
    <w:rsid w:val="4B803457"/>
    <w:rsid w:val="4B83273C"/>
    <w:rsid w:val="4B92472D"/>
    <w:rsid w:val="4B9A7A86"/>
    <w:rsid w:val="4BA009C3"/>
    <w:rsid w:val="4BA33E4D"/>
    <w:rsid w:val="4BAD5A0B"/>
    <w:rsid w:val="4BC32B39"/>
    <w:rsid w:val="4BD122FD"/>
    <w:rsid w:val="4BDC009E"/>
    <w:rsid w:val="4BDC1E4C"/>
    <w:rsid w:val="4BEF1B80"/>
    <w:rsid w:val="4C140D9B"/>
    <w:rsid w:val="4C154E1F"/>
    <w:rsid w:val="4C315D07"/>
    <w:rsid w:val="4C433C79"/>
    <w:rsid w:val="4C4B0D80"/>
    <w:rsid w:val="4C526D9E"/>
    <w:rsid w:val="4C593C39"/>
    <w:rsid w:val="4C5E0AB3"/>
    <w:rsid w:val="4C8524E4"/>
    <w:rsid w:val="4C9269AF"/>
    <w:rsid w:val="4C9646F1"/>
    <w:rsid w:val="4C983FC5"/>
    <w:rsid w:val="4CAC7811"/>
    <w:rsid w:val="4CB26517"/>
    <w:rsid w:val="4CB56874"/>
    <w:rsid w:val="4CBC36B6"/>
    <w:rsid w:val="4CD66655"/>
    <w:rsid w:val="4CD93BD9"/>
    <w:rsid w:val="4CDA67DC"/>
    <w:rsid w:val="4CE23492"/>
    <w:rsid w:val="4CEA4B1C"/>
    <w:rsid w:val="4CFB606E"/>
    <w:rsid w:val="4CFE5DF2"/>
    <w:rsid w:val="4CFF556B"/>
    <w:rsid w:val="4D297313"/>
    <w:rsid w:val="4D36558C"/>
    <w:rsid w:val="4D372C3B"/>
    <w:rsid w:val="4D381304"/>
    <w:rsid w:val="4D3E3BA7"/>
    <w:rsid w:val="4D3E6920"/>
    <w:rsid w:val="4D447CA9"/>
    <w:rsid w:val="4D453A21"/>
    <w:rsid w:val="4D50664E"/>
    <w:rsid w:val="4D5325E2"/>
    <w:rsid w:val="4D5B48E5"/>
    <w:rsid w:val="4D616AAD"/>
    <w:rsid w:val="4D697878"/>
    <w:rsid w:val="4D8056CB"/>
    <w:rsid w:val="4D8602C2"/>
    <w:rsid w:val="4D924EB8"/>
    <w:rsid w:val="4D97172C"/>
    <w:rsid w:val="4DA22C22"/>
    <w:rsid w:val="4DD3102D"/>
    <w:rsid w:val="4DEC3116"/>
    <w:rsid w:val="4E121B55"/>
    <w:rsid w:val="4E1753BE"/>
    <w:rsid w:val="4E1A6550"/>
    <w:rsid w:val="4E375A60"/>
    <w:rsid w:val="4E3F66C2"/>
    <w:rsid w:val="4E546612"/>
    <w:rsid w:val="4E7277B5"/>
    <w:rsid w:val="4E7520E4"/>
    <w:rsid w:val="4E87600E"/>
    <w:rsid w:val="4E911081"/>
    <w:rsid w:val="4E922C96"/>
    <w:rsid w:val="4E984750"/>
    <w:rsid w:val="4EBD5F65"/>
    <w:rsid w:val="4EC3064A"/>
    <w:rsid w:val="4EC92E9C"/>
    <w:rsid w:val="4ECC264C"/>
    <w:rsid w:val="4EDD6607"/>
    <w:rsid w:val="4EDE7C89"/>
    <w:rsid w:val="4EED611E"/>
    <w:rsid w:val="4EF17EFA"/>
    <w:rsid w:val="4F1418FD"/>
    <w:rsid w:val="4F165675"/>
    <w:rsid w:val="4F1F6B5A"/>
    <w:rsid w:val="4F22226C"/>
    <w:rsid w:val="4F2A5F90"/>
    <w:rsid w:val="4F3D2C02"/>
    <w:rsid w:val="4F455F5A"/>
    <w:rsid w:val="4F4641AC"/>
    <w:rsid w:val="4F531683"/>
    <w:rsid w:val="4F5B752C"/>
    <w:rsid w:val="4F690CC3"/>
    <w:rsid w:val="4F6E763C"/>
    <w:rsid w:val="4F7D3946"/>
    <w:rsid w:val="4FA26F09"/>
    <w:rsid w:val="4FC21359"/>
    <w:rsid w:val="4FD70497"/>
    <w:rsid w:val="4FE319FB"/>
    <w:rsid w:val="4FEB08B0"/>
    <w:rsid w:val="4FFF435B"/>
    <w:rsid w:val="500D6A78"/>
    <w:rsid w:val="501E2A33"/>
    <w:rsid w:val="501F49FD"/>
    <w:rsid w:val="502618E8"/>
    <w:rsid w:val="506F328F"/>
    <w:rsid w:val="5076286F"/>
    <w:rsid w:val="509908D1"/>
    <w:rsid w:val="50B11AF9"/>
    <w:rsid w:val="50B25872"/>
    <w:rsid w:val="50C7131D"/>
    <w:rsid w:val="50CA2BBB"/>
    <w:rsid w:val="50E33C7D"/>
    <w:rsid w:val="50EF2622"/>
    <w:rsid w:val="50F364F6"/>
    <w:rsid w:val="5100038B"/>
    <w:rsid w:val="510E413E"/>
    <w:rsid w:val="510F7434"/>
    <w:rsid w:val="51167000"/>
    <w:rsid w:val="511D0F3D"/>
    <w:rsid w:val="512A18AC"/>
    <w:rsid w:val="51360251"/>
    <w:rsid w:val="513E5FD9"/>
    <w:rsid w:val="5144034A"/>
    <w:rsid w:val="51493AE0"/>
    <w:rsid w:val="5151485A"/>
    <w:rsid w:val="515801C7"/>
    <w:rsid w:val="51677F27"/>
    <w:rsid w:val="517A013D"/>
    <w:rsid w:val="519A07DF"/>
    <w:rsid w:val="51BF0246"/>
    <w:rsid w:val="51EC090F"/>
    <w:rsid w:val="520B04EA"/>
    <w:rsid w:val="521265C8"/>
    <w:rsid w:val="52214A5D"/>
    <w:rsid w:val="522400A9"/>
    <w:rsid w:val="525E7A5F"/>
    <w:rsid w:val="527B23BF"/>
    <w:rsid w:val="527E5A0B"/>
    <w:rsid w:val="52880638"/>
    <w:rsid w:val="528B1ED6"/>
    <w:rsid w:val="52911BE2"/>
    <w:rsid w:val="52946FDD"/>
    <w:rsid w:val="529E47AA"/>
    <w:rsid w:val="52A511EA"/>
    <w:rsid w:val="52AF02BB"/>
    <w:rsid w:val="52B07B8F"/>
    <w:rsid w:val="52E066C6"/>
    <w:rsid w:val="52F201A7"/>
    <w:rsid w:val="5305612D"/>
    <w:rsid w:val="530A729F"/>
    <w:rsid w:val="53202F66"/>
    <w:rsid w:val="5325232B"/>
    <w:rsid w:val="53334A48"/>
    <w:rsid w:val="533802B0"/>
    <w:rsid w:val="53387573"/>
    <w:rsid w:val="533B06A1"/>
    <w:rsid w:val="53476745"/>
    <w:rsid w:val="5349426B"/>
    <w:rsid w:val="534F55FA"/>
    <w:rsid w:val="536607D0"/>
    <w:rsid w:val="536714D0"/>
    <w:rsid w:val="537D0937"/>
    <w:rsid w:val="537D42F8"/>
    <w:rsid w:val="53813E89"/>
    <w:rsid w:val="53964FD7"/>
    <w:rsid w:val="53AA2830"/>
    <w:rsid w:val="53B13BBE"/>
    <w:rsid w:val="53B4137A"/>
    <w:rsid w:val="53B51901"/>
    <w:rsid w:val="53B84F4D"/>
    <w:rsid w:val="53C658BC"/>
    <w:rsid w:val="53D31D87"/>
    <w:rsid w:val="53E13AAD"/>
    <w:rsid w:val="53E43F94"/>
    <w:rsid w:val="53E775E0"/>
    <w:rsid w:val="53EC109A"/>
    <w:rsid w:val="53FD5056"/>
    <w:rsid w:val="54104D89"/>
    <w:rsid w:val="54131A38"/>
    <w:rsid w:val="54470A2A"/>
    <w:rsid w:val="544E15C7"/>
    <w:rsid w:val="5454111A"/>
    <w:rsid w:val="545509EE"/>
    <w:rsid w:val="5457371B"/>
    <w:rsid w:val="54980C95"/>
    <w:rsid w:val="54992FD0"/>
    <w:rsid w:val="54A57C78"/>
    <w:rsid w:val="54AB4AB2"/>
    <w:rsid w:val="54AF6350"/>
    <w:rsid w:val="54B03E76"/>
    <w:rsid w:val="54B7709D"/>
    <w:rsid w:val="54CD636F"/>
    <w:rsid w:val="54DF6509"/>
    <w:rsid w:val="54FE2E33"/>
    <w:rsid w:val="55012924"/>
    <w:rsid w:val="5512068D"/>
    <w:rsid w:val="55154158"/>
    <w:rsid w:val="551A278D"/>
    <w:rsid w:val="551C0F1F"/>
    <w:rsid w:val="552D6F21"/>
    <w:rsid w:val="553C5B31"/>
    <w:rsid w:val="55434CEA"/>
    <w:rsid w:val="55684751"/>
    <w:rsid w:val="556B5782"/>
    <w:rsid w:val="556C4241"/>
    <w:rsid w:val="556C5FEF"/>
    <w:rsid w:val="556F1F83"/>
    <w:rsid w:val="5596306C"/>
    <w:rsid w:val="559D43FA"/>
    <w:rsid w:val="55AF412E"/>
    <w:rsid w:val="55B300C2"/>
    <w:rsid w:val="55BE25C3"/>
    <w:rsid w:val="55C7591B"/>
    <w:rsid w:val="55D933BA"/>
    <w:rsid w:val="55DB13C7"/>
    <w:rsid w:val="55DB4F23"/>
    <w:rsid w:val="55F304BE"/>
    <w:rsid w:val="561A5A4B"/>
    <w:rsid w:val="56301712"/>
    <w:rsid w:val="565A22EB"/>
    <w:rsid w:val="56630B3C"/>
    <w:rsid w:val="56735FB2"/>
    <w:rsid w:val="569A4DDE"/>
    <w:rsid w:val="56AB6FEB"/>
    <w:rsid w:val="56BE6D1E"/>
    <w:rsid w:val="56CD51B3"/>
    <w:rsid w:val="56D57BC4"/>
    <w:rsid w:val="56DB73D4"/>
    <w:rsid w:val="56DF6C95"/>
    <w:rsid w:val="56EE3F4D"/>
    <w:rsid w:val="56EE58C1"/>
    <w:rsid w:val="56F049FE"/>
    <w:rsid w:val="56F84C9B"/>
    <w:rsid w:val="570B7A8A"/>
    <w:rsid w:val="5714693E"/>
    <w:rsid w:val="57160908"/>
    <w:rsid w:val="572648C3"/>
    <w:rsid w:val="572A5116"/>
    <w:rsid w:val="572A655F"/>
    <w:rsid w:val="57453E6F"/>
    <w:rsid w:val="574C2AC1"/>
    <w:rsid w:val="575A7321"/>
    <w:rsid w:val="57664CC0"/>
    <w:rsid w:val="577A2E03"/>
    <w:rsid w:val="578735B4"/>
    <w:rsid w:val="579E445A"/>
    <w:rsid w:val="57BC2B32"/>
    <w:rsid w:val="57D04F5B"/>
    <w:rsid w:val="57D367F9"/>
    <w:rsid w:val="57E9601D"/>
    <w:rsid w:val="57F30C49"/>
    <w:rsid w:val="57F769AB"/>
    <w:rsid w:val="58084289"/>
    <w:rsid w:val="580C5867"/>
    <w:rsid w:val="582241C7"/>
    <w:rsid w:val="58307A59"/>
    <w:rsid w:val="58313520"/>
    <w:rsid w:val="583C5A23"/>
    <w:rsid w:val="584119B5"/>
    <w:rsid w:val="5842572D"/>
    <w:rsid w:val="584274DB"/>
    <w:rsid w:val="58704048"/>
    <w:rsid w:val="588632F1"/>
    <w:rsid w:val="58977827"/>
    <w:rsid w:val="58A14202"/>
    <w:rsid w:val="58A2132E"/>
    <w:rsid w:val="58AA2D6A"/>
    <w:rsid w:val="58AC4372"/>
    <w:rsid w:val="58CD3249"/>
    <w:rsid w:val="58D8399B"/>
    <w:rsid w:val="58E7018E"/>
    <w:rsid w:val="58F46A27"/>
    <w:rsid w:val="58FC58DC"/>
    <w:rsid w:val="58FE78A6"/>
    <w:rsid w:val="590029F6"/>
    <w:rsid w:val="59035D38"/>
    <w:rsid w:val="590C2C90"/>
    <w:rsid w:val="590E560F"/>
    <w:rsid w:val="5915074C"/>
    <w:rsid w:val="59262D7C"/>
    <w:rsid w:val="59275DC1"/>
    <w:rsid w:val="592F7A5F"/>
    <w:rsid w:val="59352B9C"/>
    <w:rsid w:val="594352B9"/>
    <w:rsid w:val="594442CC"/>
    <w:rsid w:val="594F5DC7"/>
    <w:rsid w:val="595A2602"/>
    <w:rsid w:val="597422EF"/>
    <w:rsid w:val="59777658"/>
    <w:rsid w:val="597B0EF6"/>
    <w:rsid w:val="59941FB8"/>
    <w:rsid w:val="59C503C4"/>
    <w:rsid w:val="59C75EEA"/>
    <w:rsid w:val="59CF4D9E"/>
    <w:rsid w:val="59D6612D"/>
    <w:rsid w:val="59E00D5A"/>
    <w:rsid w:val="59E051FD"/>
    <w:rsid w:val="59F17967"/>
    <w:rsid w:val="59FD7B5D"/>
    <w:rsid w:val="5A1D3D5C"/>
    <w:rsid w:val="5A221372"/>
    <w:rsid w:val="5A225816"/>
    <w:rsid w:val="5A386DE8"/>
    <w:rsid w:val="5A3C4139"/>
    <w:rsid w:val="5A461504"/>
    <w:rsid w:val="5A582C25"/>
    <w:rsid w:val="5A584D94"/>
    <w:rsid w:val="5A8B33BB"/>
    <w:rsid w:val="5A955450"/>
    <w:rsid w:val="5AC35E74"/>
    <w:rsid w:val="5AE40D1D"/>
    <w:rsid w:val="5AE8436A"/>
    <w:rsid w:val="5AF25125"/>
    <w:rsid w:val="5AF70A51"/>
    <w:rsid w:val="5B1E7D8B"/>
    <w:rsid w:val="5B2630E4"/>
    <w:rsid w:val="5B2B1B4F"/>
    <w:rsid w:val="5B2D7FCE"/>
    <w:rsid w:val="5B307ABF"/>
    <w:rsid w:val="5B3A26EB"/>
    <w:rsid w:val="5B423BDA"/>
    <w:rsid w:val="5B4A5024"/>
    <w:rsid w:val="5B5E63DA"/>
    <w:rsid w:val="5B615ECA"/>
    <w:rsid w:val="5B6339F0"/>
    <w:rsid w:val="5B7F59F4"/>
    <w:rsid w:val="5B8B1199"/>
    <w:rsid w:val="5B8C35DA"/>
    <w:rsid w:val="5B922527"/>
    <w:rsid w:val="5B9444F1"/>
    <w:rsid w:val="5B977B3E"/>
    <w:rsid w:val="5BAB5397"/>
    <w:rsid w:val="5BAD110F"/>
    <w:rsid w:val="5BC621D1"/>
    <w:rsid w:val="5BCA3A6F"/>
    <w:rsid w:val="5BD13050"/>
    <w:rsid w:val="5BE10DB9"/>
    <w:rsid w:val="5BEA2363"/>
    <w:rsid w:val="5BF07935"/>
    <w:rsid w:val="5BF31218"/>
    <w:rsid w:val="5C044841"/>
    <w:rsid w:val="5C125416"/>
    <w:rsid w:val="5C133134"/>
    <w:rsid w:val="5C245113"/>
    <w:rsid w:val="5C2C297C"/>
    <w:rsid w:val="5C341831"/>
    <w:rsid w:val="5C3B496D"/>
    <w:rsid w:val="5C3E1C45"/>
    <w:rsid w:val="5C553C81"/>
    <w:rsid w:val="5C5B0B6B"/>
    <w:rsid w:val="5C8F6A67"/>
    <w:rsid w:val="5C952C56"/>
    <w:rsid w:val="5C966047"/>
    <w:rsid w:val="5CA37B8F"/>
    <w:rsid w:val="5CDB3A5A"/>
    <w:rsid w:val="5CE13766"/>
    <w:rsid w:val="5CE36A56"/>
    <w:rsid w:val="5CE648D9"/>
    <w:rsid w:val="5CED210B"/>
    <w:rsid w:val="5CF039A9"/>
    <w:rsid w:val="5CF942D5"/>
    <w:rsid w:val="5D0631CD"/>
    <w:rsid w:val="5D235B2D"/>
    <w:rsid w:val="5D28138B"/>
    <w:rsid w:val="5D333896"/>
    <w:rsid w:val="5D3513BC"/>
    <w:rsid w:val="5D521F6E"/>
    <w:rsid w:val="5D5F6439"/>
    <w:rsid w:val="5D9461B1"/>
    <w:rsid w:val="5DA27B3F"/>
    <w:rsid w:val="5DB669A1"/>
    <w:rsid w:val="5DB93D9B"/>
    <w:rsid w:val="5DC07A7B"/>
    <w:rsid w:val="5DC56BE4"/>
    <w:rsid w:val="5DCF4E34"/>
    <w:rsid w:val="5DD24E5D"/>
    <w:rsid w:val="5DD60DF1"/>
    <w:rsid w:val="5DE27796"/>
    <w:rsid w:val="5E1F6577"/>
    <w:rsid w:val="5E3653EC"/>
    <w:rsid w:val="5E371164"/>
    <w:rsid w:val="5E5341F0"/>
    <w:rsid w:val="5E587A58"/>
    <w:rsid w:val="5E6C3504"/>
    <w:rsid w:val="5E734892"/>
    <w:rsid w:val="5E8C7702"/>
    <w:rsid w:val="5E9465B6"/>
    <w:rsid w:val="5EA06D09"/>
    <w:rsid w:val="5EC24ED2"/>
    <w:rsid w:val="5EC92704"/>
    <w:rsid w:val="5ECB022A"/>
    <w:rsid w:val="5ED115B9"/>
    <w:rsid w:val="5ED8076E"/>
    <w:rsid w:val="5EDA6EB4"/>
    <w:rsid w:val="5EDB41E5"/>
    <w:rsid w:val="5EE61080"/>
    <w:rsid w:val="5EF3152F"/>
    <w:rsid w:val="5F0223DF"/>
    <w:rsid w:val="5F136E4E"/>
    <w:rsid w:val="5F217E4A"/>
    <w:rsid w:val="5F2C67EF"/>
    <w:rsid w:val="5F334021"/>
    <w:rsid w:val="5F357D99"/>
    <w:rsid w:val="5F430EAA"/>
    <w:rsid w:val="5F6D12E1"/>
    <w:rsid w:val="5F911DE1"/>
    <w:rsid w:val="5F953A22"/>
    <w:rsid w:val="5F9604A2"/>
    <w:rsid w:val="5F9A3258"/>
    <w:rsid w:val="5FCF78A6"/>
    <w:rsid w:val="5FD27396"/>
    <w:rsid w:val="5FD650D9"/>
    <w:rsid w:val="5FD96977"/>
    <w:rsid w:val="5FDC0215"/>
    <w:rsid w:val="600F2399"/>
    <w:rsid w:val="60161979"/>
    <w:rsid w:val="601A7636"/>
    <w:rsid w:val="6022031E"/>
    <w:rsid w:val="602700FB"/>
    <w:rsid w:val="60395667"/>
    <w:rsid w:val="6056529D"/>
    <w:rsid w:val="606F222F"/>
    <w:rsid w:val="60791F08"/>
    <w:rsid w:val="6083281C"/>
    <w:rsid w:val="608A5EC3"/>
    <w:rsid w:val="6098413C"/>
    <w:rsid w:val="60A228E3"/>
    <w:rsid w:val="60AF76D8"/>
    <w:rsid w:val="60E42582"/>
    <w:rsid w:val="60ED3999"/>
    <w:rsid w:val="60EF14A1"/>
    <w:rsid w:val="61021EFD"/>
    <w:rsid w:val="611834CF"/>
    <w:rsid w:val="611D0AE5"/>
    <w:rsid w:val="611F660B"/>
    <w:rsid w:val="61270B15"/>
    <w:rsid w:val="61453B98"/>
    <w:rsid w:val="61497B2C"/>
    <w:rsid w:val="615269E1"/>
    <w:rsid w:val="615B73DD"/>
    <w:rsid w:val="6162299C"/>
    <w:rsid w:val="616B7AA3"/>
    <w:rsid w:val="618B1EF3"/>
    <w:rsid w:val="61926DDD"/>
    <w:rsid w:val="61A067CD"/>
    <w:rsid w:val="61B97002"/>
    <w:rsid w:val="61ED1E4C"/>
    <w:rsid w:val="61F25ACE"/>
    <w:rsid w:val="61F335F4"/>
    <w:rsid w:val="61FC4B9F"/>
    <w:rsid w:val="62083543"/>
    <w:rsid w:val="62092E18"/>
    <w:rsid w:val="620D6DAC"/>
    <w:rsid w:val="6218367B"/>
    <w:rsid w:val="62314424"/>
    <w:rsid w:val="623A1223"/>
    <w:rsid w:val="625702B8"/>
    <w:rsid w:val="625D7CED"/>
    <w:rsid w:val="627604AD"/>
    <w:rsid w:val="627961EF"/>
    <w:rsid w:val="628C7CD0"/>
    <w:rsid w:val="6299063F"/>
    <w:rsid w:val="629E17B2"/>
    <w:rsid w:val="629E5C56"/>
    <w:rsid w:val="629E69A3"/>
    <w:rsid w:val="62B92A90"/>
    <w:rsid w:val="62CB12B3"/>
    <w:rsid w:val="62EC69C1"/>
    <w:rsid w:val="62F02C67"/>
    <w:rsid w:val="631A1780"/>
    <w:rsid w:val="63302D52"/>
    <w:rsid w:val="63332842"/>
    <w:rsid w:val="633640E0"/>
    <w:rsid w:val="63374A8A"/>
    <w:rsid w:val="633A3BD0"/>
    <w:rsid w:val="633B16F7"/>
    <w:rsid w:val="633F11E7"/>
    <w:rsid w:val="634E1806"/>
    <w:rsid w:val="634E4F86"/>
    <w:rsid w:val="634F4020"/>
    <w:rsid w:val="63525D02"/>
    <w:rsid w:val="635527B8"/>
    <w:rsid w:val="6361115D"/>
    <w:rsid w:val="63640C4D"/>
    <w:rsid w:val="636B5B38"/>
    <w:rsid w:val="637013A0"/>
    <w:rsid w:val="637349EC"/>
    <w:rsid w:val="638E2034"/>
    <w:rsid w:val="63A16F83"/>
    <w:rsid w:val="63B027A8"/>
    <w:rsid w:val="63B53257"/>
    <w:rsid w:val="63C11BFC"/>
    <w:rsid w:val="63F26259"/>
    <w:rsid w:val="643C5726"/>
    <w:rsid w:val="643E3F88"/>
    <w:rsid w:val="64490689"/>
    <w:rsid w:val="645B3DFE"/>
    <w:rsid w:val="6461518D"/>
    <w:rsid w:val="6468651B"/>
    <w:rsid w:val="647245C0"/>
    <w:rsid w:val="64917820"/>
    <w:rsid w:val="64997215"/>
    <w:rsid w:val="64AB531F"/>
    <w:rsid w:val="64B5303D"/>
    <w:rsid w:val="64B928D3"/>
    <w:rsid w:val="64C019B0"/>
    <w:rsid w:val="64CD45D0"/>
    <w:rsid w:val="64E57193"/>
    <w:rsid w:val="65116479"/>
    <w:rsid w:val="651641C9"/>
    <w:rsid w:val="652F4F6A"/>
    <w:rsid w:val="653308D7"/>
    <w:rsid w:val="653351B5"/>
    <w:rsid w:val="65465D4F"/>
    <w:rsid w:val="65615BE5"/>
    <w:rsid w:val="656F7435"/>
    <w:rsid w:val="65717652"/>
    <w:rsid w:val="657F1D6E"/>
    <w:rsid w:val="65862C4E"/>
    <w:rsid w:val="658B0713"/>
    <w:rsid w:val="6593581A"/>
    <w:rsid w:val="65B078F7"/>
    <w:rsid w:val="65CE23AE"/>
    <w:rsid w:val="65D40990"/>
    <w:rsid w:val="65D8322D"/>
    <w:rsid w:val="65FA13F5"/>
    <w:rsid w:val="660F1A80"/>
    <w:rsid w:val="66140709"/>
    <w:rsid w:val="661822C9"/>
    <w:rsid w:val="662326FA"/>
    <w:rsid w:val="66383CCB"/>
    <w:rsid w:val="6639016F"/>
    <w:rsid w:val="66425679"/>
    <w:rsid w:val="66553D56"/>
    <w:rsid w:val="667967BE"/>
    <w:rsid w:val="669730E8"/>
    <w:rsid w:val="669E7FD2"/>
    <w:rsid w:val="66AF21DF"/>
    <w:rsid w:val="66B402DE"/>
    <w:rsid w:val="66C67529"/>
    <w:rsid w:val="66CB4B3F"/>
    <w:rsid w:val="66D4191C"/>
    <w:rsid w:val="66D44DEA"/>
    <w:rsid w:val="66F61BBC"/>
    <w:rsid w:val="671169F6"/>
    <w:rsid w:val="67122373"/>
    <w:rsid w:val="672506F4"/>
    <w:rsid w:val="672E57FA"/>
    <w:rsid w:val="67310E46"/>
    <w:rsid w:val="673152EA"/>
    <w:rsid w:val="67401089"/>
    <w:rsid w:val="674566A0"/>
    <w:rsid w:val="674F5770"/>
    <w:rsid w:val="67582877"/>
    <w:rsid w:val="6759039D"/>
    <w:rsid w:val="675D60DF"/>
    <w:rsid w:val="675D66C9"/>
    <w:rsid w:val="6770247D"/>
    <w:rsid w:val="67713939"/>
    <w:rsid w:val="67717495"/>
    <w:rsid w:val="67896ED4"/>
    <w:rsid w:val="679118E5"/>
    <w:rsid w:val="679743AF"/>
    <w:rsid w:val="67A05FCC"/>
    <w:rsid w:val="67AE2497"/>
    <w:rsid w:val="67B105BB"/>
    <w:rsid w:val="67D77C40"/>
    <w:rsid w:val="67F24A7A"/>
    <w:rsid w:val="67F72090"/>
    <w:rsid w:val="6832131A"/>
    <w:rsid w:val="6837248C"/>
    <w:rsid w:val="68556DB7"/>
    <w:rsid w:val="687234C5"/>
    <w:rsid w:val="6874548F"/>
    <w:rsid w:val="687C2E4E"/>
    <w:rsid w:val="68974CF3"/>
    <w:rsid w:val="689E075E"/>
    <w:rsid w:val="68A61808"/>
    <w:rsid w:val="68B7181F"/>
    <w:rsid w:val="68BC0BE4"/>
    <w:rsid w:val="68BE670A"/>
    <w:rsid w:val="68D47A7B"/>
    <w:rsid w:val="68F14D31"/>
    <w:rsid w:val="68F55EA4"/>
    <w:rsid w:val="691C674B"/>
    <w:rsid w:val="692F13B6"/>
    <w:rsid w:val="69336EC0"/>
    <w:rsid w:val="694E2184"/>
    <w:rsid w:val="69676588"/>
    <w:rsid w:val="696C085C"/>
    <w:rsid w:val="69870695"/>
    <w:rsid w:val="69931944"/>
    <w:rsid w:val="69935DE8"/>
    <w:rsid w:val="699B6A4B"/>
    <w:rsid w:val="69A43B52"/>
    <w:rsid w:val="69C077E4"/>
    <w:rsid w:val="69C515DF"/>
    <w:rsid w:val="69EA352F"/>
    <w:rsid w:val="6A1C4030"/>
    <w:rsid w:val="6A2053BC"/>
    <w:rsid w:val="6A2B7DCF"/>
    <w:rsid w:val="6A3D7B02"/>
    <w:rsid w:val="6A4423BD"/>
    <w:rsid w:val="6A481A1F"/>
    <w:rsid w:val="6A486BD3"/>
    <w:rsid w:val="6A4D41E9"/>
    <w:rsid w:val="6A4E1D0F"/>
    <w:rsid w:val="6A4E61B3"/>
    <w:rsid w:val="6A5C5961"/>
    <w:rsid w:val="6A687275"/>
    <w:rsid w:val="6A796041"/>
    <w:rsid w:val="6ACD70D8"/>
    <w:rsid w:val="6ADE7537"/>
    <w:rsid w:val="6AF503DD"/>
    <w:rsid w:val="6AFE3735"/>
    <w:rsid w:val="6B080110"/>
    <w:rsid w:val="6B0F3C40"/>
    <w:rsid w:val="6B1202CF"/>
    <w:rsid w:val="6B2F1B41"/>
    <w:rsid w:val="6B362ECF"/>
    <w:rsid w:val="6B581098"/>
    <w:rsid w:val="6B5B46E4"/>
    <w:rsid w:val="6B5E5F82"/>
    <w:rsid w:val="6B661CC7"/>
    <w:rsid w:val="6B6932A5"/>
    <w:rsid w:val="6B712159"/>
    <w:rsid w:val="6B7357E7"/>
    <w:rsid w:val="6BA02A3F"/>
    <w:rsid w:val="6BA74224"/>
    <w:rsid w:val="6BBD718B"/>
    <w:rsid w:val="6BCB7ABB"/>
    <w:rsid w:val="6BDB3A77"/>
    <w:rsid w:val="6BDD334B"/>
    <w:rsid w:val="6BF863D7"/>
    <w:rsid w:val="6BFC4436"/>
    <w:rsid w:val="6C0109E0"/>
    <w:rsid w:val="6C066695"/>
    <w:rsid w:val="6C0B435C"/>
    <w:rsid w:val="6C0E79A8"/>
    <w:rsid w:val="6C292A34"/>
    <w:rsid w:val="6C2C1AD7"/>
    <w:rsid w:val="6C354F35"/>
    <w:rsid w:val="6C3A254B"/>
    <w:rsid w:val="6C411B2C"/>
    <w:rsid w:val="6C5C4BB7"/>
    <w:rsid w:val="6C6E0447"/>
    <w:rsid w:val="6C904861"/>
    <w:rsid w:val="6CA05809"/>
    <w:rsid w:val="6CAD71C1"/>
    <w:rsid w:val="6CB467A2"/>
    <w:rsid w:val="6CB57E24"/>
    <w:rsid w:val="6CB73B9C"/>
    <w:rsid w:val="6CBC5656"/>
    <w:rsid w:val="6CC14A1B"/>
    <w:rsid w:val="6CC462B9"/>
    <w:rsid w:val="6CC87B57"/>
    <w:rsid w:val="6CD429A0"/>
    <w:rsid w:val="6CD75FEC"/>
    <w:rsid w:val="6CF92406"/>
    <w:rsid w:val="6CFD5A40"/>
    <w:rsid w:val="6D0F1C2A"/>
    <w:rsid w:val="6D231231"/>
    <w:rsid w:val="6D260D22"/>
    <w:rsid w:val="6D4A4A10"/>
    <w:rsid w:val="6D4F2026"/>
    <w:rsid w:val="6D592EA5"/>
    <w:rsid w:val="6D5B4E6F"/>
    <w:rsid w:val="6D6B7B6A"/>
    <w:rsid w:val="6D8048D6"/>
    <w:rsid w:val="6D817984"/>
    <w:rsid w:val="6D8E6FF3"/>
    <w:rsid w:val="6DB23EDA"/>
    <w:rsid w:val="6DC81DD9"/>
    <w:rsid w:val="6DE42159"/>
    <w:rsid w:val="6DFC60CC"/>
    <w:rsid w:val="6E02353D"/>
    <w:rsid w:val="6E03790D"/>
    <w:rsid w:val="6E146DCC"/>
    <w:rsid w:val="6E3A2CD6"/>
    <w:rsid w:val="6E494CC8"/>
    <w:rsid w:val="6E4E0530"/>
    <w:rsid w:val="6E553FAA"/>
    <w:rsid w:val="6E632386"/>
    <w:rsid w:val="6E681920"/>
    <w:rsid w:val="6E6A0A9C"/>
    <w:rsid w:val="6E6C6C08"/>
    <w:rsid w:val="6E9028F6"/>
    <w:rsid w:val="6E950894"/>
    <w:rsid w:val="6E9879FD"/>
    <w:rsid w:val="6E9A7FBB"/>
    <w:rsid w:val="6E9B061F"/>
    <w:rsid w:val="6EA2087C"/>
    <w:rsid w:val="6ED00F45"/>
    <w:rsid w:val="6ED30A35"/>
    <w:rsid w:val="6EDC3D8E"/>
    <w:rsid w:val="6EE13152"/>
    <w:rsid w:val="6EE63CC9"/>
    <w:rsid w:val="6EE964AB"/>
    <w:rsid w:val="6EF015E7"/>
    <w:rsid w:val="6F0D03EB"/>
    <w:rsid w:val="6F0F5F11"/>
    <w:rsid w:val="6F176B74"/>
    <w:rsid w:val="6F3605AF"/>
    <w:rsid w:val="6F40256E"/>
    <w:rsid w:val="6F4162E7"/>
    <w:rsid w:val="6F5222A2"/>
    <w:rsid w:val="6F54601A"/>
    <w:rsid w:val="6F5D2174"/>
    <w:rsid w:val="6F6C1C36"/>
    <w:rsid w:val="6F6F69B0"/>
    <w:rsid w:val="6F712728"/>
    <w:rsid w:val="6F7A7103"/>
    <w:rsid w:val="6F7F33C3"/>
    <w:rsid w:val="6F822668"/>
    <w:rsid w:val="6F9F4BD8"/>
    <w:rsid w:val="6FA7439C"/>
    <w:rsid w:val="6FB16FC8"/>
    <w:rsid w:val="6FC36CFC"/>
    <w:rsid w:val="6FD40F09"/>
    <w:rsid w:val="6FD809F9"/>
    <w:rsid w:val="6FDD600F"/>
    <w:rsid w:val="6FEB7E9A"/>
    <w:rsid w:val="6FF24427"/>
    <w:rsid w:val="70291255"/>
    <w:rsid w:val="702E686B"/>
    <w:rsid w:val="702F7EED"/>
    <w:rsid w:val="70313C65"/>
    <w:rsid w:val="703E6382"/>
    <w:rsid w:val="704E0CBB"/>
    <w:rsid w:val="70521005"/>
    <w:rsid w:val="70657DB3"/>
    <w:rsid w:val="708B7819"/>
    <w:rsid w:val="70967F6C"/>
    <w:rsid w:val="70974410"/>
    <w:rsid w:val="709F1517"/>
    <w:rsid w:val="70B17B25"/>
    <w:rsid w:val="70B31D4F"/>
    <w:rsid w:val="70B4359C"/>
    <w:rsid w:val="70B53F76"/>
    <w:rsid w:val="70B71E90"/>
    <w:rsid w:val="70BF5715"/>
    <w:rsid w:val="70C532DC"/>
    <w:rsid w:val="70D171F6"/>
    <w:rsid w:val="70DB66F2"/>
    <w:rsid w:val="70DC5E3E"/>
    <w:rsid w:val="71033854"/>
    <w:rsid w:val="7105497D"/>
    <w:rsid w:val="711C4915"/>
    <w:rsid w:val="71225C0C"/>
    <w:rsid w:val="71235CA4"/>
    <w:rsid w:val="71297032"/>
    <w:rsid w:val="712A5284"/>
    <w:rsid w:val="71332BBF"/>
    <w:rsid w:val="713559D7"/>
    <w:rsid w:val="713E488C"/>
    <w:rsid w:val="713F0604"/>
    <w:rsid w:val="714F6A99"/>
    <w:rsid w:val="7150636D"/>
    <w:rsid w:val="71632544"/>
    <w:rsid w:val="716A38D3"/>
    <w:rsid w:val="71754026"/>
    <w:rsid w:val="71B96608"/>
    <w:rsid w:val="71D376CA"/>
    <w:rsid w:val="71DA4F0E"/>
    <w:rsid w:val="71E116BB"/>
    <w:rsid w:val="71FB09CF"/>
    <w:rsid w:val="72127AC6"/>
    <w:rsid w:val="721D2EDF"/>
    <w:rsid w:val="72253C9E"/>
    <w:rsid w:val="722F148A"/>
    <w:rsid w:val="723041AE"/>
    <w:rsid w:val="724063E2"/>
    <w:rsid w:val="72516841"/>
    <w:rsid w:val="725400DF"/>
    <w:rsid w:val="72895FDA"/>
    <w:rsid w:val="72BB015E"/>
    <w:rsid w:val="72BB6CD3"/>
    <w:rsid w:val="72CB65F3"/>
    <w:rsid w:val="72CC5EC7"/>
    <w:rsid w:val="72D51220"/>
    <w:rsid w:val="72FD2525"/>
    <w:rsid w:val="73013F85"/>
    <w:rsid w:val="731C6E4F"/>
    <w:rsid w:val="73242CBC"/>
    <w:rsid w:val="73270663"/>
    <w:rsid w:val="733A5527"/>
    <w:rsid w:val="73465A0F"/>
    <w:rsid w:val="73487C44"/>
    <w:rsid w:val="735C36EF"/>
    <w:rsid w:val="736405AF"/>
    <w:rsid w:val="736600CA"/>
    <w:rsid w:val="7370719A"/>
    <w:rsid w:val="737A3B75"/>
    <w:rsid w:val="73AF3F96"/>
    <w:rsid w:val="73AF7CC3"/>
    <w:rsid w:val="73B52DFF"/>
    <w:rsid w:val="73BA21C4"/>
    <w:rsid w:val="73CE30A1"/>
    <w:rsid w:val="73D56FFD"/>
    <w:rsid w:val="73E86D31"/>
    <w:rsid w:val="73EC4A73"/>
    <w:rsid w:val="73F904D2"/>
    <w:rsid w:val="74082F2F"/>
    <w:rsid w:val="74154B74"/>
    <w:rsid w:val="741934B1"/>
    <w:rsid w:val="74312486"/>
    <w:rsid w:val="74393A30"/>
    <w:rsid w:val="743E1078"/>
    <w:rsid w:val="744E128A"/>
    <w:rsid w:val="745C3442"/>
    <w:rsid w:val="7467234B"/>
    <w:rsid w:val="746F12DC"/>
    <w:rsid w:val="747D391D"/>
    <w:rsid w:val="748A7DE8"/>
    <w:rsid w:val="748C0004"/>
    <w:rsid w:val="74944905"/>
    <w:rsid w:val="74C96B62"/>
    <w:rsid w:val="74D3476F"/>
    <w:rsid w:val="74D472B5"/>
    <w:rsid w:val="74D95F4E"/>
    <w:rsid w:val="74DA6044"/>
    <w:rsid w:val="74F811F5"/>
    <w:rsid w:val="75047B9A"/>
    <w:rsid w:val="753B10E2"/>
    <w:rsid w:val="753D4E5A"/>
    <w:rsid w:val="75575F1C"/>
    <w:rsid w:val="75695C4F"/>
    <w:rsid w:val="75846F2D"/>
    <w:rsid w:val="75A849CA"/>
    <w:rsid w:val="75B25848"/>
    <w:rsid w:val="75C17839"/>
    <w:rsid w:val="75C612F4"/>
    <w:rsid w:val="75CB4B5C"/>
    <w:rsid w:val="75CF0660"/>
    <w:rsid w:val="75DA08FB"/>
    <w:rsid w:val="75E43528"/>
    <w:rsid w:val="75E83018"/>
    <w:rsid w:val="75EA4FE2"/>
    <w:rsid w:val="76085468"/>
    <w:rsid w:val="761C4DC1"/>
    <w:rsid w:val="76285B0A"/>
    <w:rsid w:val="762878B8"/>
    <w:rsid w:val="763E0E8A"/>
    <w:rsid w:val="765E32DA"/>
    <w:rsid w:val="767F4F40"/>
    <w:rsid w:val="76870A83"/>
    <w:rsid w:val="769A2923"/>
    <w:rsid w:val="769B13EC"/>
    <w:rsid w:val="76BA4DD8"/>
    <w:rsid w:val="76BB072D"/>
    <w:rsid w:val="76E61C4D"/>
    <w:rsid w:val="76F81981"/>
    <w:rsid w:val="76FC6140"/>
    <w:rsid w:val="77052B03"/>
    <w:rsid w:val="77167749"/>
    <w:rsid w:val="773728B1"/>
    <w:rsid w:val="77505319"/>
    <w:rsid w:val="77562E9C"/>
    <w:rsid w:val="7759005A"/>
    <w:rsid w:val="776D5ECB"/>
    <w:rsid w:val="779506FC"/>
    <w:rsid w:val="77AE3DED"/>
    <w:rsid w:val="77D22ACA"/>
    <w:rsid w:val="77DB72D8"/>
    <w:rsid w:val="77F42148"/>
    <w:rsid w:val="7803238B"/>
    <w:rsid w:val="782642CC"/>
    <w:rsid w:val="78397B5B"/>
    <w:rsid w:val="783C764B"/>
    <w:rsid w:val="783E3F0D"/>
    <w:rsid w:val="784B788E"/>
    <w:rsid w:val="78574485"/>
    <w:rsid w:val="785C5C08"/>
    <w:rsid w:val="785E5813"/>
    <w:rsid w:val="78623AAE"/>
    <w:rsid w:val="786D6849"/>
    <w:rsid w:val="786F17CF"/>
    <w:rsid w:val="78774B27"/>
    <w:rsid w:val="787B4BF8"/>
    <w:rsid w:val="78A66F97"/>
    <w:rsid w:val="78AA0A59"/>
    <w:rsid w:val="78C31B1A"/>
    <w:rsid w:val="78D67AA0"/>
    <w:rsid w:val="78D87374"/>
    <w:rsid w:val="78D967A7"/>
    <w:rsid w:val="78E35D19"/>
    <w:rsid w:val="78F33792"/>
    <w:rsid w:val="78FF2017"/>
    <w:rsid w:val="79366790"/>
    <w:rsid w:val="795310F0"/>
    <w:rsid w:val="795D5ACB"/>
    <w:rsid w:val="79A01DB4"/>
    <w:rsid w:val="79A27982"/>
    <w:rsid w:val="79A454A8"/>
    <w:rsid w:val="79AE4579"/>
    <w:rsid w:val="79B9680A"/>
    <w:rsid w:val="79CB5BB7"/>
    <w:rsid w:val="79D4638F"/>
    <w:rsid w:val="79F069C4"/>
    <w:rsid w:val="79FC0865"/>
    <w:rsid w:val="79FF6215"/>
    <w:rsid w:val="7A2D1941"/>
    <w:rsid w:val="7A3A405E"/>
    <w:rsid w:val="7A410F49"/>
    <w:rsid w:val="7A460C55"/>
    <w:rsid w:val="7A4E3666"/>
    <w:rsid w:val="7A527CB8"/>
    <w:rsid w:val="7A6F3D08"/>
    <w:rsid w:val="7A7C01D3"/>
    <w:rsid w:val="7A833E42"/>
    <w:rsid w:val="7A896833"/>
    <w:rsid w:val="7AA35300"/>
    <w:rsid w:val="7AB620DF"/>
    <w:rsid w:val="7ABE4C8F"/>
    <w:rsid w:val="7AC2652D"/>
    <w:rsid w:val="7AC35E02"/>
    <w:rsid w:val="7ACC115A"/>
    <w:rsid w:val="7AE04C06"/>
    <w:rsid w:val="7AF34939"/>
    <w:rsid w:val="7B01170F"/>
    <w:rsid w:val="7B09415C"/>
    <w:rsid w:val="7B3311D9"/>
    <w:rsid w:val="7B346CFF"/>
    <w:rsid w:val="7B365118"/>
    <w:rsid w:val="7B5A6766"/>
    <w:rsid w:val="7B65510B"/>
    <w:rsid w:val="7B7D4202"/>
    <w:rsid w:val="7B807A28"/>
    <w:rsid w:val="7B8E4A6C"/>
    <w:rsid w:val="7B927DC3"/>
    <w:rsid w:val="7B9D48A5"/>
    <w:rsid w:val="7BA479E1"/>
    <w:rsid w:val="7BB62781"/>
    <w:rsid w:val="7BC63DFB"/>
    <w:rsid w:val="7BCA1697"/>
    <w:rsid w:val="7BE349AD"/>
    <w:rsid w:val="7BEE7D17"/>
    <w:rsid w:val="7BFF730D"/>
    <w:rsid w:val="7C0376CB"/>
    <w:rsid w:val="7C142DB9"/>
    <w:rsid w:val="7C1A4147"/>
    <w:rsid w:val="7C6A21AE"/>
    <w:rsid w:val="7C703D67"/>
    <w:rsid w:val="7C765821"/>
    <w:rsid w:val="7C773348"/>
    <w:rsid w:val="7C795EBB"/>
    <w:rsid w:val="7C8A63D2"/>
    <w:rsid w:val="7CA05191"/>
    <w:rsid w:val="7CB47CBD"/>
    <w:rsid w:val="7CC55E61"/>
    <w:rsid w:val="7CCA7E1F"/>
    <w:rsid w:val="7CD10CAA"/>
    <w:rsid w:val="7CDB5685"/>
    <w:rsid w:val="7CE66D10"/>
    <w:rsid w:val="7CE704CD"/>
    <w:rsid w:val="7CE85FF3"/>
    <w:rsid w:val="7CEF7382"/>
    <w:rsid w:val="7CF70A45"/>
    <w:rsid w:val="7D0B7ADE"/>
    <w:rsid w:val="7D0F532E"/>
    <w:rsid w:val="7D1172F8"/>
    <w:rsid w:val="7D140B97"/>
    <w:rsid w:val="7D143313"/>
    <w:rsid w:val="7D175ED4"/>
    <w:rsid w:val="7D2E7EAA"/>
    <w:rsid w:val="7D2F3C22"/>
    <w:rsid w:val="7D360B0D"/>
    <w:rsid w:val="7D3F1CBD"/>
    <w:rsid w:val="7D430F88"/>
    <w:rsid w:val="7D561EC5"/>
    <w:rsid w:val="7D580A83"/>
    <w:rsid w:val="7D7D39E9"/>
    <w:rsid w:val="7D7D673C"/>
    <w:rsid w:val="7D8558F5"/>
    <w:rsid w:val="7D891584"/>
    <w:rsid w:val="7D8C545E"/>
    <w:rsid w:val="7D951CD7"/>
    <w:rsid w:val="7D965A4F"/>
    <w:rsid w:val="7D9B00D8"/>
    <w:rsid w:val="7DA55C93"/>
    <w:rsid w:val="7DA57A41"/>
    <w:rsid w:val="7DA939D5"/>
    <w:rsid w:val="7DA95783"/>
    <w:rsid w:val="7DAB7DD2"/>
    <w:rsid w:val="7DBA10EA"/>
    <w:rsid w:val="7DC9372F"/>
    <w:rsid w:val="7DF35EDA"/>
    <w:rsid w:val="7E1150D6"/>
    <w:rsid w:val="7E2056AD"/>
    <w:rsid w:val="7E2D63B4"/>
    <w:rsid w:val="7E2E3EDA"/>
    <w:rsid w:val="7E3239CA"/>
    <w:rsid w:val="7E350DC4"/>
    <w:rsid w:val="7E484F9C"/>
    <w:rsid w:val="7E5D1E63"/>
    <w:rsid w:val="7E6478FC"/>
    <w:rsid w:val="7E673C9C"/>
    <w:rsid w:val="7E6B2A38"/>
    <w:rsid w:val="7E722019"/>
    <w:rsid w:val="7E7E09BD"/>
    <w:rsid w:val="7E865AC4"/>
    <w:rsid w:val="7E885398"/>
    <w:rsid w:val="7EA47CF8"/>
    <w:rsid w:val="7EA5419C"/>
    <w:rsid w:val="7EA926FF"/>
    <w:rsid w:val="7EB52D3C"/>
    <w:rsid w:val="7EDE76AE"/>
    <w:rsid w:val="7EE36A72"/>
    <w:rsid w:val="7EFB3DBC"/>
    <w:rsid w:val="7F031359"/>
    <w:rsid w:val="7F0F1615"/>
    <w:rsid w:val="7F1D01D6"/>
    <w:rsid w:val="7F2840A2"/>
    <w:rsid w:val="7F2A7CDF"/>
    <w:rsid w:val="7F3217A8"/>
    <w:rsid w:val="7F5151E9"/>
    <w:rsid w:val="7F645E05"/>
    <w:rsid w:val="7F6C4CBA"/>
    <w:rsid w:val="7F704844"/>
    <w:rsid w:val="7F802513"/>
    <w:rsid w:val="7FAE7080"/>
    <w:rsid w:val="7FB81FD4"/>
    <w:rsid w:val="7FCE327F"/>
    <w:rsid w:val="7FDE7C65"/>
    <w:rsid w:val="7FE24F7C"/>
    <w:rsid w:val="7FE40CF4"/>
    <w:rsid w:val="7FEC5DFB"/>
    <w:rsid w:val="7FF64583"/>
    <w:rsid w:val="7FFA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autoRedefine/>
    <w:qFormat/>
    <w:uiPriority w:val="0"/>
    <w:pPr>
      <w:keepNext/>
      <w:keepLines/>
      <w:spacing w:line="360" w:lineRule="auto"/>
      <w:outlineLvl w:val="2"/>
    </w:pPr>
    <w:rPr>
      <w:b/>
      <w:bCs/>
      <w:sz w:val="24"/>
      <w:szCs w:val="32"/>
    </w:rPr>
  </w:style>
  <w:style w:type="paragraph" w:styleId="6">
    <w:name w:val="heading 4"/>
    <w:basedOn w:val="1"/>
    <w:next w:val="1"/>
    <w:autoRedefine/>
    <w:qFormat/>
    <w:uiPriority w:val="0"/>
    <w:pPr>
      <w:keepNext/>
      <w:keepLines/>
      <w:numPr>
        <w:ilvl w:val="3"/>
        <w:numId w:val="1"/>
      </w:numPr>
      <w:ind w:left="0" w:firstLine="643" w:firstLineChars="200"/>
      <w:outlineLvl w:val="3"/>
    </w:pPr>
  </w:style>
  <w:style w:type="paragraph" w:styleId="7">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napToGrid w:val="0"/>
      <w:spacing w:line="408" w:lineRule="auto"/>
      <w:ind w:left="-113" w:right="-510" w:firstLine="510"/>
    </w:pPr>
    <w:rPr>
      <w:sz w:val="24"/>
      <w:szCs w:val="20"/>
    </w:rPr>
  </w:style>
  <w:style w:type="paragraph" w:styleId="8">
    <w:name w:val="Normal Indent"/>
    <w:basedOn w:val="1"/>
    <w:next w:val="1"/>
    <w:autoRedefine/>
    <w:qFormat/>
    <w:uiPriority w:val="0"/>
    <w:pPr>
      <w:ind w:firstLine="420" w:firstLineChars="200"/>
    </w:pPr>
  </w:style>
  <w:style w:type="paragraph" w:styleId="9">
    <w:name w:val="caption"/>
    <w:basedOn w:val="1"/>
    <w:next w:val="1"/>
    <w:autoRedefine/>
    <w:qFormat/>
    <w:uiPriority w:val="35"/>
    <w:pPr>
      <w:spacing w:line="360" w:lineRule="auto"/>
      <w:jc w:val="center"/>
    </w:pPr>
    <w:rPr>
      <w:b/>
      <w:sz w:val="24"/>
      <w:szCs w:val="20"/>
    </w:rPr>
  </w:style>
  <w:style w:type="paragraph" w:styleId="10">
    <w:name w:val="annotation text"/>
    <w:basedOn w:val="1"/>
    <w:link w:val="66"/>
    <w:autoRedefine/>
    <w:qFormat/>
    <w:uiPriority w:val="0"/>
    <w:pPr>
      <w:jc w:val="left"/>
    </w:pPr>
  </w:style>
  <w:style w:type="paragraph" w:styleId="11">
    <w:name w:val="Body Text 3"/>
    <w:basedOn w:val="1"/>
    <w:autoRedefine/>
    <w:qFormat/>
    <w:uiPriority w:val="0"/>
    <w:pPr>
      <w:spacing w:after="120"/>
    </w:pPr>
    <w:rPr>
      <w:sz w:val="16"/>
      <w:szCs w:val="16"/>
    </w:rPr>
  </w:style>
  <w:style w:type="paragraph" w:styleId="12">
    <w:name w:val="Body Text"/>
    <w:basedOn w:val="1"/>
    <w:next w:val="13"/>
    <w:autoRedefine/>
    <w:qFormat/>
    <w:uiPriority w:val="0"/>
    <w:pPr>
      <w:adjustRightInd w:val="0"/>
      <w:snapToGrid w:val="0"/>
      <w:spacing w:after="120"/>
    </w:pPr>
    <w:rPr>
      <w:rFonts w:ascii="Calibri" w:hAnsi="Calibri"/>
    </w:rPr>
  </w:style>
  <w:style w:type="paragraph" w:customStyle="1" w:styleId="13">
    <w:name w:val="正文首行缩进 21"/>
    <w:basedOn w:val="14"/>
    <w:next w:val="12"/>
    <w:autoRedefine/>
    <w:qFormat/>
    <w:uiPriority w:val="0"/>
    <w:pPr>
      <w:spacing w:after="120"/>
      <w:ind w:left="420" w:leftChars="200" w:firstLine="420" w:firstLineChars="200"/>
    </w:pPr>
    <w:rPr>
      <w:sz w:val="21"/>
    </w:rPr>
  </w:style>
  <w:style w:type="paragraph" w:customStyle="1" w:styleId="14">
    <w:name w:val="正文文本缩进1"/>
    <w:basedOn w:val="1"/>
    <w:autoRedefine/>
    <w:qFormat/>
    <w:uiPriority w:val="0"/>
    <w:pPr>
      <w:ind w:firstLine="538" w:firstLineChars="192"/>
    </w:pPr>
    <w:rPr>
      <w:kern w:val="0"/>
      <w:sz w:val="28"/>
    </w:rPr>
  </w:style>
  <w:style w:type="paragraph" w:styleId="15">
    <w:name w:val="Body Text Indent"/>
    <w:basedOn w:val="1"/>
    <w:next w:val="16"/>
    <w:autoRedefine/>
    <w:qFormat/>
    <w:uiPriority w:val="0"/>
    <w:pPr>
      <w:spacing w:after="120"/>
      <w:ind w:left="420" w:leftChars="200"/>
    </w:pPr>
    <w:rPr>
      <w:kern w:val="0"/>
      <w:sz w:val="24"/>
      <w:szCs w:val="20"/>
    </w:rPr>
  </w:style>
  <w:style w:type="paragraph" w:styleId="16">
    <w:name w:val="Balloon Text"/>
    <w:basedOn w:val="1"/>
    <w:autoRedefine/>
    <w:semiHidden/>
    <w:qFormat/>
    <w:uiPriority w:val="0"/>
    <w:rPr>
      <w:kern w:val="0"/>
      <w:sz w:val="18"/>
      <w:szCs w:val="20"/>
    </w:rPr>
  </w:style>
  <w:style w:type="paragraph" w:styleId="17">
    <w:name w:val="Plain Text"/>
    <w:basedOn w:val="1"/>
    <w:autoRedefine/>
    <w:qFormat/>
    <w:uiPriority w:val="0"/>
    <w:rPr>
      <w:rFonts w:ascii="宋体" w:hAnsi="Courier New"/>
      <w:szCs w:val="21"/>
    </w:rPr>
  </w:style>
  <w:style w:type="paragraph" w:styleId="18">
    <w:name w:val="Body Text Indent 2"/>
    <w:basedOn w:val="1"/>
    <w:next w:val="19"/>
    <w:autoRedefine/>
    <w:qFormat/>
    <w:uiPriority w:val="0"/>
    <w:pPr>
      <w:ind w:firstLine="560"/>
    </w:pPr>
    <w:rPr>
      <w:rFonts w:ascii="宋体"/>
      <w:color w:val="FF0000"/>
      <w:kern w:val="0"/>
      <w:sz w:val="28"/>
      <w:szCs w:val="28"/>
    </w:rPr>
  </w:style>
  <w:style w:type="paragraph" w:customStyle="1" w:styleId="19">
    <w:name w:val="表格文字"/>
    <w:basedOn w:val="1"/>
    <w:autoRedefine/>
    <w:qFormat/>
    <w:uiPriority w:val="0"/>
    <w:pPr>
      <w:spacing w:line="300" w:lineRule="exact"/>
      <w:jc w:val="center"/>
    </w:pPr>
    <w:rPr>
      <w:rFonts w:ascii="宋体"/>
      <w:kern w:val="0"/>
      <w:szCs w:val="32"/>
    </w:rPr>
  </w:style>
  <w:style w:type="paragraph" w:styleId="20">
    <w:name w:val="footer"/>
    <w:basedOn w:val="1"/>
    <w:autoRedefine/>
    <w:qFormat/>
    <w:uiPriority w:val="99"/>
    <w:pPr>
      <w:tabs>
        <w:tab w:val="center" w:pos="4153"/>
        <w:tab w:val="right" w:pos="8306"/>
      </w:tabs>
      <w:snapToGrid w:val="0"/>
      <w:jc w:val="left"/>
    </w:pPr>
    <w:rPr>
      <w:kern w:val="0"/>
      <w:sz w:val="18"/>
      <w:szCs w:val="20"/>
    </w:rPr>
  </w:style>
  <w:style w:type="paragraph" w:styleId="21">
    <w:name w:val="header"/>
    <w:basedOn w:val="1"/>
    <w:next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List Number 5"/>
    <w:basedOn w:val="1"/>
    <w:autoRedefine/>
    <w:qFormat/>
    <w:uiPriority w:val="0"/>
    <w:pPr>
      <w:numPr>
        <w:ilvl w:val="0"/>
        <w:numId w:val="2"/>
      </w:numPr>
    </w:pPr>
  </w:style>
  <w:style w:type="paragraph" w:styleId="23">
    <w:name w:val="Body Text Indent 3"/>
    <w:basedOn w:val="1"/>
    <w:autoRedefine/>
    <w:qFormat/>
    <w:uiPriority w:val="0"/>
    <w:pPr>
      <w:snapToGrid w:val="0"/>
      <w:spacing w:line="500" w:lineRule="exact"/>
      <w:ind w:firstLine="540"/>
    </w:pPr>
    <w:rPr>
      <w:rFonts w:ascii="宋体" w:hAnsi="宋体"/>
      <w:sz w:val="28"/>
    </w:rPr>
  </w:style>
  <w:style w:type="paragraph" w:styleId="24">
    <w:name w:val="toc 2"/>
    <w:basedOn w:val="1"/>
    <w:next w:val="1"/>
    <w:autoRedefine/>
    <w:qFormat/>
    <w:uiPriority w:val="0"/>
    <w:pPr>
      <w:ind w:left="420" w:leftChars="200"/>
    </w:pPr>
  </w:style>
  <w:style w:type="paragraph" w:styleId="25">
    <w:name w:val="Body Text 2"/>
    <w:basedOn w:val="1"/>
    <w:autoRedefine/>
    <w:unhideWhenUsed/>
    <w:qFormat/>
    <w:uiPriority w:val="99"/>
    <w:pPr>
      <w:spacing w:after="120" w:line="480" w:lineRule="auto"/>
    </w:pPr>
  </w:style>
  <w:style w:type="paragraph" w:styleId="26">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7">
    <w:name w:val="annotation subject"/>
    <w:basedOn w:val="10"/>
    <w:next w:val="10"/>
    <w:link w:val="67"/>
    <w:autoRedefine/>
    <w:qFormat/>
    <w:uiPriority w:val="0"/>
    <w:rPr>
      <w:b/>
      <w:bCs/>
    </w:rPr>
  </w:style>
  <w:style w:type="paragraph" w:styleId="28">
    <w:name w:val="Body Text First Indent"/>
    <w:basedOn w:val="12"/>
    <w:next w:val="1"/>
    <w:autoRedefine/>
    <w:qFormat/>
    <w:uiPriority w:val="0"/>
    <w:pPr>
      <w:ind w:firstLine="420" w:firstLineChars="100"/>
    </w:pPr>
  </w:style>
  <w:style w:type="paragraph" w:styleId="29">
    <w:name w:val="Body Text First Indent 2"/>
    <w:basedOn w:val="15"/>
    <w:next w:val="12"/>
    <w:autoRedefine/>
    <w:qFormat/>
    <w:uiPriority w:val="0"/>
    <w:pPr>
      <w:ind w:firstLine="420"/>
    </w:pPr>
    <w:rPr>
      <w:rFonts w:ascii="Calibri" w:hAnsi="Calibri"/>
      <w:szCs w:val="22"/>
    </w:rPr>
  </w:style>
  <w:style w:type="table" w:styleId="31">
    <w:name w:val="Table Grid"/>
    <w:basedOn w:val="3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Hyperlink"/>
    <w:basedOn w:val="32"/>
    <w:autoRedefine/>
    <w:qFormat/>
    <w:uiPriority w:val="0"/>
    <w:rPr>
      <w:color w:val="0000FF"/>
      <w:u w:val="single"/>
    </w:rPr>
  </w:style>
  <w:style w:type="character" w:styleId="36">
    <w:name w:val="annotation reference"/>
    <w:basedOn w:val="32"/>
    <w:autoRedefine/>
    <w:qFormat/>
    <w:uiPriority w:val="0"/>
    <w:rPr>
      <w:sz w:val="21"/>
      <w:szCs w:val="21"/>
    </w:rPr>
  </w:style>
  <w:style w:type="paragraph" w:customStyle="1" w:styleId="37">
    <w:name w:val="Body Text 21"/>
    <w:basedOn w:val="1"/>
    <w:autoRedefine/>
    <w:qFormat/>
    <w:uiPriority w:val="0"/>
    <w:pPr>
      <w:spacing w:after="120" w:line="480" w:lineRule="auto"/>
    </w:pPr>
  </w:style>
  <w:style w:type="paragraph" w:customStyle="1" w:styleId="38">
    <w:name w:val="A正文"/>
    <w:basedOn w:val="1"/>
    <w:autoRedefine/>
    <w:qFormat/>
    <w:uiPriority w:val="0"/>
    <w:pPr>
      <w:snapToGrid/>
    </w:pPr>
    <w:rPr>
      <w:color w:val="000000" w:themeColor="text1"/>
      <w:kern w:val="2"/>
      <w14:textFill>
        <w14:solidFill>
          <w14:schemeClr w14:val="tx1"/>
        </w14:solidFill>
      </w14:textFill>
    </w:rPr>
  </w:style>
  <w:style w:type="paragraph" w:customStyle="1" w:styleId="39">
    <w:name w:val="Default"/>
    <w:basedOn w:val="40"/>
    <w:next w:val="1"/>
    <w:autoRedefine/>
    <w:qFormat/>
    <w:uiPriority w:val="0"/>
    <w:pPr>
      <w:autoSpaceDE w:val="0"/>
      <w:autoSpaceDN w:val="0"/>
    </w:pPr>
    <w:rPr>
      <w:rFonts w:ascii="宋体" w:cs="宋体"/>
      <w:sz w:val="24"/>
    </w:rPr>
  </w:style>
  <w:style w:type="paragraph" w:customStyle="1" w:styleId="40">
    <w:name w:val="纯文本1"/>
    <w:basedOn w:val="1"/>
    <w:autoRedefine/>
    <w:qFormat/>
    <w:uiPriority w:val="0"/>
    <w:rPr>
      <w:rFonts w:ascii="宋体" w:hAnsi="Courier New"/>
    </w:rPr>
  </w:style>
  <w:style w:type="paragraph" w:customStyle="1" w:styleId="41">
    <w:name w:val="1 表头"/>
    <w:basedOn w:val="1"/>
    <w:autoRedefine/>
    <w:qFormat/>
    <w:uiPriority w:val="0"/>
    <w:pPr>
      <w:adjustRightInd w:val="0"/>
      <w:snapToGrid w:val="0"/>
      <w:jc w:val="center"/>
    </w:pPr>
    <w:rPr>
      <w:b/>
      <w:color w:val="000000"/>
      <w:szCs w:val="21"/>
    </w:rPr>
  </w:style>
  <w:style w:type="paragraph" w:customStyle="1" w:styleId="42">
    <w:name w:val="标题2"/>
    <w:basedOn w:val="1"/>
    <w:autoRedefine/>
    <w:qFormat/>
    <w:uiPriority w:val="99"/>
    <w:rPr>
      <w:b/>
      <w:sz w:val="28"/>
    </w:rPr>
  </w:style>
  <w:style w:type="paragraph" w:customStyle="1" w:styleId="4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18"/>
      <w:szCs w:val="18"/>
    </w:rPr>
  </w:style>
  <w:style w:type="paragraph" w:customStyle="1" w:styleId="44">
    <w:name w:val="正文新"/>
    <w:basedOn w:val="1"/>
    <w:autoRedefine/>
    <w:qFormat/>
    <w:uiPriority w:val="0"/>
    <w:pPr>
      <w:spacing w:line="460" w:lineRule="exact"/>
      <w:ind w:firstLine="480" w:firstLineChars="200"/>
    </w:pPr>
    <w:rPr>
      <w:sz w:val="24"/>
    </w:rPr>
  </w:style>
  <w:style w:type="paragraph" w:customStyle="1" w:styleId="45">
    <w:name w:val="表头"/>
    <w:basedOn w:val="8"/>
    <w:next w:val="1"/>
    <w:autoRedefine/>
    <w:qFormat/>
    <w:uiPriority w:val="0"/>
    <w:pPr>
      <w:jc w:val="center"/>
    </w:pPr>
    <w:rPr>
      <w:rFonts w:hint="eastAsia"/>
      <w:b/>
      <w:bCs/>
      <w:szCs w:val="21"/>
    </w:rPr>
  </w:style>
  <w:style w:type="paragraph" w:customStyle="1" w:styleId="46">
    <w:name w:val="正文1"/>
    <w:basedOn w:val="47"/>
    <w:next w:val="1"/>
    <w:autoRedefine/>
    <w:qFormat/>
    <w:uiPriority w:val="0"/>
    <w:pPr>
      <w:ind w:firstLine="480"/>
    </w:pPr>
    <w:rPr>
      <w:rFonts w:hAnsi="宋体"/>
      <w:lang w:val="zh-CN"/>
    </w:rPr>
  </w:style>
  <w:style w:type="paragraph" w:customStyle="1" w:styleId="47">
    <w:name w:val="列出段落11"/>
    <w:basedOn w:val="1"/>
    <w:autoRedefine/>
    <w:qFormat/>
    <w:uiPriority w:val="34"/>
    <w:pPr>
      <w:ind w:firstLine="420"/>
    </w:pPr>
  </w:style>
  <w:style w:type="paragraph" w:customStyle="1" w:styleId="48">
    <w:name w:val="德源报告表表格"/>
    <w:autoRedefine/>
    <w:qFormat/>
    <w:uiPriority w:val="0"/>
    <w:pPr>
      <w:adjustRightInd w:val="0"/>
      <w:snapToGrid w:val="0"/>
      <w:spacing w:line="360" w:lineRule="exact"/>
      <w:jc w:val="center"/>
    </w:pPr>
    <w:rPr>
      <w:rFonts w:ascii="Times New Roman" w:hAnsi="Times New Roman" w:eastAsia="宋体" w:cs="Times New Roman"/>
      <w:snapToGrid w:val="0"/>
      <w:sz w:val="21"/>
      <w:szCs w:val="21"/>
      <w:lang w:val="en-US" w:eastAsia="zh-CN" w:bidi="ar-SA"/>
    </w:rPr>
  </w:style>
  <w:style w:type="paragraph" w:customStyle="1" w:styleId="49">
    <w:name w:val="环评正文"/>
    <w:basedOn w:val="1"/>
    <w:autoRedefine/>
    <w:qFormat/>
    <w:uiPriority w:val="0"/>
    <w:pPr>
      <w:autoSpaceDE w:val="0"/>
      <w:autoSpaceDN w:val="0"/>
      <w:adjustRightInd w:val="0"/>
      <w:snapToGrid w:val="0"/>
      <w:spacing w:line="360" w:lineRule="auto"/>
      <w:ind w:firstLine="200" w:firstLineChars="200"/>
    </w:pPr>
    <w:rPr>
      <w:rFonts w:cs="宋体"/>
      <w:kern w:val="0"/>
      <w:sz w:val="24"/>
      <w:szCs w:val="21"/>
    </w:rPr>
  </w:style>
  <w:style w:type="paragraph" w:customStyle="1" w:styleId="50">
    <w:name w:val="表格正文"/>
    <w:basedOn w:val="51"/>
    <w:autoRedefine/>
    <w:qFormat/>
    <w:uiPriority w:val="0"/>
    <w:pPr>
      <w:wordWrap w:val="0"/>
    </w:pPr>
    <w:rPr>
      <w:b w:val="0"/>
    </w:rPr>
  </w:style>
  <w:style w:type="paragraph" w:customStyle="1" w:styleId="51">
    <w:name w:val="表格标题"/>
    <w:basedOn w:val="45"/>
    <w:autoRedefine/>
    <w:qFormat/>
    <w:uiPriority w:val="0"/>
    <w:rPr>
      <w:rFonts w:hint="default"/>
    </w:rPr>
  </w:style>
  <w:style w:type="paragraph" w:customStyle="1" w:styleId="52">
    <w:name w:val="报告表标题"/>
    <w:basedOn w:val="1"/>
    <w:autoRedefine/>
    <w:qFormat/>
    <w:uiPriority w:val="0"/>
    <w:pPr>
      <w:widowControl/>
      <w:numPr>
        <w:ilvl w:val="0"/>
        <w:numId w:val="3"/>
      </w:numPr>
      <w:jc w:val="left"/>
    </w:pPr>
    <w:rPr>
      <w:rFonts w:ascii="仿宋_GB2312" w:hAnsi="仿宋_GB2312"/>
      <w:kern w:val="0"/>
      <w:sz w:val="24"/>
    </w:rPr>
  </w:style>
  <w:style w:type="paragraph" w:customStyle="1" w:styleId="53">
    <w:name w:val="正文 小四 行距: 1.5 倍行距"/>
    <w:basedOn w:val="1"/>
    <w:autoRedefine/>
    <w:qFormat/>
    <w:uiPriority w:val="0"/>
    <w:pPr>
      <w:spacing w:line="360" w:lineRule="auto"/>
      <w:ind w:firstLine="480" w:firstLineChars="200"/>
    </w:pPr>
    <w:rPr>
      <w:rFonts w:cs="宋体"/>
      <w:sz w:val="24"/>
      <w:szCs w:val="20"/>
    </w:rPr>
  </w:style>
  <w:style w:type="paragraph" w:styleId="54">
    <w:name w:val="List Paragraph"/>
    <w:basedOn w:val="1"/>
    <w:autoRedefine/>
    <w:qFormat/>
    <w:uiPriority w:val="34"/>
    <w:pPr>
      <w:ind w:firstLine="420" w:firstLineChars="200"/>
    </w:pPr>
  </w:style>
  <w:style w:type="paragraph" w:customStyle="1" w:styleId="55">
    <w:name w:val="报告表正文"/>
    <w:basedOn w:val="56"/>
    <w:autoRedefine/>
    <w:qFormat/>
    <w:uiPriority w:val="0"/>
    <w:pPr>
      <w:adjustRightInd w:val="0"/>
      <w:ind w:firstLine="482"/>
      <w:textAlignment w:val="baseline"/>
    </w:pPr>
  </w:style>
  <w:style w:type="paragraph" w:customStyle="1" w:styleId="56">
    <w:name w:val="报告正文"/>
    <w:basedOn w:val="57"/>
    <w:autoRedefine/>
    <w:qFormat/>
    <w:uiPriority w:val="0"/>
    <w:pPr>
      <w:widowControl w:val="0"/>
      <w:snapToGrid w:val="0"/>
      <w:spacing w:line="360" w:lineRule="auto"/>
      <w:ind w:firstLine="200" w:firstLineChars="200"/>
    </w:pPr>
    <w:rPr>
      <w:rFonts w:ascii="Times New Roman" w:hAnsi="Times New Roman" w:cs="Times New Roman"/>
      <w:snapToGrid w:val="0"/>
      <w:sz w:val="24"/>
      <w:szCs w:val="28"/>
    </w:rPr>
  </w:style>
  <w:style w:type="paragraph" w:customStyle="1" w:styleId="57">
    <w:name w:val="p17"/>
    <w:basedOn w:val="1"/>
    <w:autoRedefine/>
    <w:qFormat/>
    <w:uiPriority w:val="0"/>
    <w:pPr>
      <w:widowControl/>
    </w:pPr>
    <w:rPr>
      <w:rFonts w:ascii="宋体" w:hAnsi="宋体" w:cs="宋体"/>
      <w:kern w:val="0"/>
      <w:szCs w:val="21"/>
    </w:rPr>
  </w:style>
  <w:style w:type="paragraph" w:customStyle="1" w:styleId="58">
    <w:name w:val="表格"/>
    <w:basedOn w:val="8"/>
    <w:next w:val="1"/>
    <w:autoRedefine/>
    <w:qFormat/>
    <w:uiPriority w:val="0"/>
    <w:pPr>
      <w:adjustRightInd w:val="0"/>
      <w:snapToGrid w:val="0"/>
      <w:spacing w:before="10" w:beforeLines="10" w:after="10" w:afterLines="10" w:line="259" w:lineRule="auto"/>
    </w:pPr>
  </w:style>
  <w:style w:type="paragraph" w:customStyle="1" w:styleId="59">
    <w:name w:val="正文(首行缩进)"/>
    <w:basedOn w:val="1"/>
    <w:autoRedefine/>
    <w:qFormat/>
    <w:uiPriority w:val="0"/>
    <w:pPr>
      <w:spacing w:line="360" w:lineRule="auto"/>
      <w:ind w:firstLine="540" w:firstLineChars="225"/>
    </w:pPr>
    <w:rPr>
      <w:snapToGrid w:val="0"/>
      <w:color w:val="000000"/>
      <w:sz w:val="24"/>
    </w:rPr>
  </w:style>
  <w:style w:type="paragraph" w:customStyle="1" w:styleId="60">
    <w:name w:val="环评标题"/>
    <w:basedOn w:val="49"/>
    <w:autoRedefine/>
    <w:qFormat/>
    <w:uiPriority w:val="0"/>
    <w:pPr>
      <w:ind w:firstLine="0" w:firstLineChars="0"/>
    </w:pPr>
    <w:rPr>
      <w:b/>
    </w:rPr>
  </w:style>
  <w:style w:type="paragraph" w:customStyle="1" w:styleId="61">
    <w:name w:val="M正文"/>
    <w:basedOn w:val="1"/>
    <w:autoRedefine/>
    <w:qFormat/>
    <w:uiPriority w:val="0"/>
    <w:pPr>
      <w:ind w:firstLine="200"/>
    </w:pPr>
    <w:rPr>
      <w:szCs w:val="21"/>
    </w:rPr>
  </w:style>
  <w:style w:type="paragraph" w:customStyle="1" w:styleId="62">
    <w:name w:val="文本"/>
    <w:basedOn w:val="1"/>
    <w:autoRedefine/>
    <w:qFormat/>
    <w:uiPriority w:val="0"/>
    <w:pPr>
      <w:adjustRightInd w:val="0"/>
      <w:snapToGrid w:val="0"/>
      <w:spacing w:line="360" w:lineRule="auto"/>
      <w:ind w:firstLine="480" w:firstLineChars="200"/>
      <w:jc w:val="left"/>
    </w:pPr>
    <w:rPr>
      <w:rFonts w:ascii="Calibri" w:hAnsi="Calibri"/>
      <w:sz w:val="24"/>
    </w:rPr>
  </w:style>
  <w:style w:type="paragraph" w:customStyle="1" w:styleId="63">
    <w:name w:val="表格字体"/>
    <w:basedOn w:val="1"/>
    <w:autoRedefine/>
    <w:qFormat/>
    <w:uiPriority w:val="0"/>
    <w:pPr>
      <w:adjustRightInd w:val="0"/>
      <w:snapToGrid w:val="0"/>
      <w:jc w:val="center"/>
    </w:pPr>
    <w:rPr>
      <w:rFonts w:hint="eastAsia"/>
    </w:rPr>
  </w:style>
  <w:style w:type="paragraph" w:customStyle="1" w:styleId="64">
    <w:name w:val="报告书正文"/>
    <w:basedOn w:val="17"/>
    <w:autoRedefine/>
    <w:qFormat/>
    <w:uiPriority w:val="0"/>
    <w:pPr>
      <w:widowControl/>
      <w:spacing w:line="360" w:lineRule="auto"/>
      <w:ind w:firstLine="480" w:firstLineChars="200"/>
    </w:pPr>
    <w:rPr>
      <w:rFonts w:ascii="Times New Roman" w:hAnsi="Times New Roman"/>
      <w:sz w:val="24"/>
    </w:rPr>
  </w:style>
  <w:style w:type="paragraph" w:customStyle="1" w:styleId="65">
    <w:name w:val="表格内"/>
    <w:basedOn w:val="1"/>
    <w:autoRedefine/>
    <w:qFormat/>
    <w:uiPriority w:val="0"/>
    <w:pPr>
      <w:spacing w:line="360" w:lineRule="exact"/>
      <w:jc w:val="center"/>
    </w:pPr>
    <w:rPr>
      <w:snapToGrid w:val="0"/>
      <w:szCs w:val="21"/>
    </w:rPr>
  </w:style>
  <w:style w:type="character" w:customStyle="1" w:styleId="66">
    <w:name w:val="批注文字 字符"/>
    <w:basedOn w:val="32"/>
    <w:link w:val="10"/>
    <w:autoRedefine/>
    <w:qFormat/>
    <w:uiPriority w:val="0"/>
    <w:rPr>
      <w:kern w:val="2"/>
      <w:sz w:val="21"/>
      <w:szCs w:val="24"/>
    </w:rPr>
  </w:style>
  <w:style w:type="character" w:customStyle="1" w:styleId="67">
    <w:name w:val="批注主题 字符"/>
    <w:basedOn w:val="66"/>
    <w:link w:val="27"/>
    <w:autoRedefine/>
    <w:qFormat/>
    <w:uiPriority w:val="0"/>
    <w:rPr>
      <w:b/>
      <w:bCs/>
      <w:kern w:val="2"/>
      <w:sz w:val="21"/>
      <w:szCs w:val="24"/>
    </w:rPr>
  </w:style>
  <w:style w:type="paragraph" w:customStyle="1" w:styleId="68">
    <w:name w:val="表格标题."/>
    <w:basedOn w:val="1"/>
    <w:autoRedefine/>
    <w:qFormat/>
    <w:uiPriority w:val="0"/>
    <w:pPr>
      <w:jc w:val="center"/>
    </w:pPr>
    <w:rPr>
      <w:rFonts w:eastAsia="Times New Roman"/>
      <w:b/>
      <w:color w:val="000000"/>
      <w:szCs w:val="21"/>
    </w:rPr>
  </w:style>
  <w:style w:type="character" w:customStyle="1" w:styleId="69">
    <w:name w:val="font21"/>
    <w:basedOn w:val="32"/>
    <w:autoRedefine/>
    <w:qFormat/>
    <w:uiPriority w:val="0"/>
    <w:rPr>
      <w:rFonts w:hint="default" w:ascii="Times New Roman" w:hAnsi="Times New Roman" w:cs="Times New Roman"/>
      <w:color w:val="000000"/>
      <w:sz w:val="21"/>
      <w:szCs w:val="21"/>
      <w:u w:val="none"/>
    </w:rPr>
  </w:style>
  <w:style w:type="character" w:customStyle="1" w:styleId="70">
    <w:name w:val="font31"/>
    <w:basedOn w:val="32"/>
    <w:autoRedefine/>
    <w:qFormat/>
    <w:uiPriority w:val="0"/>
    <w:rPr>
      <w:rFonts w:hint="eastAsia" w:ascii="宋体" w:hAnsi="宋体" w:eastAsia="宋体" w:cs="宋体"/>
      <w:color w:val="000000"/>
      <w:sz w:val="21"/>
      <w:szCs w:val="21"/>
      <w:u w:val="none"/>
    </w:rPr>
  </w:style>
  <w:style w:type="paragraph" w:customStyle="1" w:styleId="7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表格内容1"/>
    <w:basedOn w:val="1"/>
    <w:autoRedefine/>
    <w:qFormat/>
    <w:uiPriority w:val="0"/>
    <w:pPr>
      <w:tabs>
        <w:tab w:val="left" w:pos="1535"/>
        <w:tab w:val="left" w:pos="3105"/>
        <w:tab w:val="left" w:pos="4676"/>
        <w:tab w:val="left" w:pos="6247"/>
        <w:tab w:val="left" w:pos="7740"/>
        <w:tab w:val="left" w:pos="9288"/>
      </w:tabs>
      <w:adjustRightInd w:val="0"/>
      <w:snapToGrid w:val="0"/>
      <w:spacing w:line="240" w:lineRule="auto"/>
      <w:ind w:firstLine="0" w:firstLineChars="0"/>
      <w:jc w:val="center"/>
      <w:textAlignment w:val="baseline"/>
    </w:pPr>
    <w:rPr>
      <w:rFonts w:ascii="Times New Roman" w:hAnsi="Times New Roman"/>
      <w:sz w:val="21"/>
      <w:szCs w:val="21"/>
    </w:rPr>
  </w:style>
  <w:style w:type="paragraph" w:customStyle="1" w:styleId="73">
    <w:name w:val="Table Paragraph"/>
    <w:basedOn w:val="1"/>
    <w:autoRedefine/>
    <w:qFormat/>
    <w:uiPriority w:val="0"/>
    <w:pPr>
      <w:jc w:val="center"/>
    </w:pPr>
    <w:rPr>
      <w:rFonts w:eastAsia="Times New Roman"/>
      <w:lang w:val="zh-CN" w:bidi="zh-CN"/>
    </w:rPr>
  </w:style>
  <w:style w:type="paragraph" w:customStyle="1" w:styleId="74">
    <w:name w:val="+正文"/>
    <w:basedOn w:val="1"/>
    <w:autoRedefine/>
    <w:qFormat/>
    <w:uiPriority w:val="0"/>
    <w:pPr>
      <w:ind w:firstLine="200" w:firstLineChars="200"/>
    </w:pPr>
    <w:rPr>
      <w:sz w:val="28"/>
      <w:szCs w:val="28"/>
    </w:rPr>
  </w:style>
  <w:style w:type="paragraph" w:customStyle="1" w:styleId="75">
    <w:name w:val="表格标题5.21"/>
    <w:basedOn w:val="1"/>
    <w:autoRedefine/>
    <w:qFormat/>
    <w:uiPriority w:val="0"/>
    <w:pPr>
      <w:adjustRightInd w:val="0"/>
      <w:snapToGrid w:val="0"/>
      <w:spacing w:line="520" w:lineRule="exact"/>
      <w:jc w:val="center"/>
      <w:textAlignment w:val="baseline"/>
    </w:pPr>
    <w:rPr>
      <w:rFonts w:ascii="黑体" w:hAnsi="黑体" w:eastAsia="黑体" w:cs="宋体"/>
      <w:snapToGrid w:val="0"/>
      <w:kern w:val="0"/>
      <w:sz w:val="24"/>
    </w:rPr>
  </w:style>
  <w:style w:type="paragraph" w:customStyle="1" w:styleId="76">
    <w:name w:val="正文26-5.21"/>
    <w:basedOn w:val="1"/>
    <w:autoRedefine/>
    <w:qFormat/>
    <w:uiPriority w:val="0"/>
    <w:pPr>
      <w:adjustRightInd w:val="0"/>
      <w:snapToGrid w:val="0"/>
      <w:spacing w:line="520" w:lineRule="exact"/>
      <w:ind w:firstLine="480" w:firstLineChars="200"/>
      <w:textAlignment w:val="baseline"/>
    </w:pPr>
    <w:rPr>
      <w:rFonts w:cs="宋体"/>
      <w:snapToGrid w:val="0"/>
      <w:sz w:val="24"/>
    </w:rPr>
  </w:style>
  <w:style w:type="paragraph" w:customStyle="1" w:styleId="77">
    <w:name w:val="正文 首行缩进:  2 字符"/>
    <w:basedOn w:val="1"/>
    <w:autoRedefine/>
    <w:qFormat/>
    <w:uiPriority w:val="0"/>
    <w:pPr>
      <w:adjustRightInd w:val="0"/>
      <w:snapToGrid w:val="0"/>
      <w:spacing w:line="500" w:lineRule="exact"/>
      <w:ind w:firstLine="480"/>
    </w:pPr>
    <w:rPr>
      <w:rFonts w:eastAsia="楷体_GB2312"/>
      <w:lang w:val="zh-CN"/>
    </w:rPr>
  </w:style>
  <w:style w:type="paragraph" w:customStyle="1" w:styleId="78">
    <w:name w:val="表格内容"/>
    <w:basedOn w:val="1"/>
    <w:autoRedefine/>
    <w:qFormat/>
    <w:uiPriority w:val="0"/>
    <w:pPr>
      <w:jc w:val="center"/>
    </w:pPr>
    <w:rPr>
      <w:szCs w:val="21"/>
    </w:rPr>
  </w:style>
  <w:style w:type="paragraph" w:customStyle="1" w:styleId="79">
    <w:name w:val="@正文缩进"/>
    <w:basedOn w:val="1"/>
    <w:autoRedefine/>
    <w:qFormat/>
    <w:uiPriority w:val="0"/>
    <w:pPr>
      <w:ind w:firstLine="200" w:firstLineChars="200"/>
      <w:jc w:val="left"/>
    </w:pPr>
    <w:rPr>
      <w:kern w:val="0"/>
    </w:rPr>
  </w:style>
  <w:style w:type="paragraph" w:customStyle="1" w:styleId="80">
    <w:name w:val="表头、图号"/>
    <w:basedOn w:val="1"/>
    <w:autoRedefine/>
    <w:qFormat/>
    <w:uiPriority w:val="0"/>
    <w:pPr>
      <w:jc w:val="center"/>
    </w:pPr>
    <w:rPr>
      <w:rFonts w:eastAsia="黑体"/>
      <w:b/>
      <w:szCs w:val="22"/>
    </w:rPr>
  </w:style>
  <w:style w:type="paragraph" w:customStyle="1" w:styleId="81">
    <w:name w:val="表内文字"/>
    <w:autoRedefine/>
    <w:qFormat/>
    <w:uiPriority w:val="0"/>
    <w:pPr>
      <w:jc w:val="center"/>
    </w:pPr>
    <w:rPr>
      <w:rFonts w:ascii="宋体" w:hAnsi="宋体" w:eastAsia="宋体" w:cs="Times New Roman"/>
      <w:sz w:val="21"/>
      <w:szCs w:val="21"/>
      <w:lang w:val="en-US" w:eastAsia="zh-CN" w:bidi="ar-SA"/>
    </w:rPr>
  </w:style>
  <w:style w:type="paragraph" w:customStyle="1" w:styleId="82">
    <w:name w:val="表内容"/>
    <w:basedOn w:val="1"/>
    <w:next w:val="1"/>
    <w:autoRedefine/>
    <w:qFormat/>
    <w:uiPriority w:val="0"/>
    <w:pPr>
      <w:jc w:val="center"/>
    </w:pPr>
    <w:rPr>
      <w:szCs w:val="21"/>
    </w:rPr>
  </w:style>
  <w:style w:type="paragraph" w:customStyle="1" w:styleId="83">
    <w:name w:val="表格题目1"/>
    <w:basedOn w:val="1"/>
    <w:autoRedefine/>
    <w:qFormat/>
    <w:uiPriority w:val="0"/>
    <w:pPr>
      <w:ind w:firstLine="525" w:firstLineChars="250"/>
      <w:jc w:val="left"/>
    </w:pPr>
    <w:rPr>
      <w:rFonts w:eastAsia="黑体"/>
      <w:color w:val="000000"/>
    </w:rPr>
  </w:style>
  <w:style w:type="paragraph" w:customStyle="1" w:styleId="84">
    <w:name w:val="正文26-模板"/>
    <w:basedOn w:val="1"/>
    <w:autoRedefine/>
    <w:qFormat/>
    <w:uiPriority w:val="0"/>
    <w:pPr>
      <w:adjustRightInd w:val="0"/>
      <w:snapToGrid w:val="0"/>
      <w:spacing w:line="520" w:lineRule="exact"/>
      <w:ind w:firstLine="480" w:firstLineChars="200"/>
      <w:textAlignment w:val="baseline"/>
    </w:pPr>
    <w:rPr>
      <w:snapToGrid w:val="0"/>
      <w:kern w:val="0"/>
    </w:rPr>
  </w:style>
  <w:style w:type="paragraph" w:customStyle="1" w:styleId="85">
    <w:name w:val="报告书"/>
    <w:basedOn w:val="1"/>
    <w:autoRedefine/>
    <w:qFormat/>
    <w:uiPriority w:val="0"/>
    <w:pPr>
      <w:adjustRightInd w:val="0"/>
      <w:snapToGrid w:val="0"/>
      <w:spacing w:line="440" w:lineRule="atLeast"/>
      <w:ind w:firstLine="482"/>
      <w:textAlignment w:val="baseline"/>
    </w:pPr>
    <w:rPr>
      <w:rFonts w:ascii="宋体" w:hAnsi="Times New Roman" w:eastAsia="宋体" w:cs="Times New Roman"/>
      <w:kern w:val="24"/>
      <w:sz w:val="24"/>
    </w:rPr>
  </w:style>
  <w:style w:type="paragraph" w:customStyle="1" w:styleId="86">
    <w:name w:val="正文文本1"/>
    <w:basedOn w:val="1"/>
    <w:autoRedefine/>
    <w:qFormat/>
    <w:uiPriority w:val="0"/>
    <w:pPr>
      <w:shd w:val="clear" w:color="auto" w:fill="FFFFFF"/>
      <w:spacing w:before="840" w:after="100" w:afterAutospacing="1" w:line="464" w:lineRule="exact"/>
      <w:jc w:val="distribute"/>
    </w:pPr>
    <w:rPr>
      <w:rFonts w:ascii="Arial Unicode MS" w:hAnsi="Arial Unicode MS" w:cs="宋体"/>
      <w:spacing w:val="5"/>
      <w:kern w:val="0"/>
      <w:sz w:val="22"/>
      <w:szCs w:val="22"/>
    </w:rPr>
  </w:style>
  <w:style w:type="paragraph" w:customStyle="1" w:styleId="87">
    <w:name w:val="新正文"/>
    <w:basedOn w:val="1"/>
    <w:link w:val="88"/>
    <w:autoRedefine/>
    <w:qFormat/>
    <w:uiPriority w:val="0"/>
    <w:pPr>
      <w:spacing w:before="60" w:line="460" w:lineRule="exact"/>
      <w:ind w:firstLine="200" w:firstLineChars="200"/>
    </w:pPr>
    <w:rPr>
      <w:sz w:val="24"/>
      <w:szCs w:val="20"/>
    </w:rPr>
  </w:style>
  <w:style w:type="character" w:customStyle="1" w:styleId="88">
    <w:name w:val="新正文 Char"/>
    <w:link w:val="87"/>
    <w:autoRedefine/>
    <w:qFormat/>
    <w:uiPriority w:val="0"/>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wmf"/><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jg1MTQ4Nzk1NTI4IiwKCSJHcm91cElkIiA6ICI4MDY3MTg3MjQiLAoJIkltYWdlIiA6ICJpVkJPUncwS0dnb0FBQUFOU1VoRVVnQUFCRjBBQUFFSUNBWUFBQUNObkl1eEFBQUFBWE5TUjBJQXJzNGM2UUFBSUFCSlJFRlVlSnpzM1hsY1ZOWDdCL0RQblJsZ0FCZFVNRlJVWEg2Z3FLeGF1ZVdhV3BtWkd1U0NtcHByWkdYdVcyNlE1cTY0N3d2bVhpNllxS0c1cFNRb0ttaW9rV0toZ1NLZ0RMUGQzeDg0OTh2QXNLTW9mTjZ2VnkvaDNudk9uRUU3M0hudWM1NERF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vRXYwUFZ5RlFGbVdFdTlBQUFBQUFTVVZPUks1Q1lJST0iLAoJIlRoZW1lIiA6ICIiLAoJIlR5cGUiIDogImZsb3ciLAoJIlZlcnNpb24iIDogIiIKfQo="/>
    </extobj>
    <extobj name="ECB019B1-382A-4266-B25C-5B523AA43C14-2">
      <extobjdata type="ECB019B1-382A-4266-B25C-5B523AA43C14" data="ewoJIkZpbGVJZCIgOiAiMjg1MTQ4OTk2NTQwIiwKCSJHcm91cElkIiA6ICI4MDY3MTg3MjQiLAoJIkltYWdlIiA6ICJpVkJPUncwS0dnb0FBQUFOU1VoRVVnQUFCTzhBQUFMeUNBWUFBQUNDZnZCWEFBQUFBWE5TUjBJQXJzNGM2UUFBSUFCSlJFRlVlSnpzM1h0OEhIVzkvL0gzWjJaejZ4VUNGTVFDQVVvdm9TUTdXMER3NEJGRUZBOUhEeUJlT0lpZ0NBais1T0FWUlM2Q2lPQVJLd0lxb0loY1JTNmljQTdDUVc0V2tVdXl1YlJwZTZnMHhVS0JsdDVwbW1SM1ByOC91c2xKMHlSTm16UzdTVjdQeDROSGRyN3puWm5QaEU1bTk3MHozNU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EQ4UDlieTlMKzVXN2xKUUFBQUFCSlJVNUVya0pnZ2c9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36914</Words>
  <Characters>40855</Characters>
  <Lines>291</Lines>
  <Paragraphs>82</Paragraphs>
  <TotalTime>9</TotalTime>
  <ScaleCrop>false</ScaleCrop>
  <LinksUpToDate>false</LinksUpToDate>
  <CharactersWithSpaces>41239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2022-06-08T10:29:00Z</dcterms:created>
  <dc:creator>lu'ping</dc:creator>
  <cp:lastModifiedBy>yangfan</cp:lastModifiedBy>
  <cp:lastPrinted>2024-03-29T03:39:00Z</cp:lastPrinted>
  <dcterms:modified xsi:type="dcterms:W3CDTF">2024-04-16T05:55:37Z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FC470303C385481787E77D6BBD1CC94E_13</vt:lpwstr>
  </property>
</Properties>
</file>