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bookmarkStart w:id="0" w:name="_Hlk57883707"/>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bookmarkEnd w:id="0"/>
    <w:p>
      <w:pPr>
        <w:adjustRightInd w:val="0"/>
        <w:snapToGrid w:val="0"/>
        <w:jc w:val="center"/>
        <w:outlineLvl w:val="0"/>
        <w:rPr>
          <w:rFonts w:hint="default" w:ascii="Times New Roman" w:hAnsi="Times New Roman" w:eastAsia="方正小标宋_GBK" w:cs="Times New Roman"/>
          <w:bCs/>
          <w:color w:val="auto"/>
          <w:sz w:val="56"/>
          <w:szCs w:val="56"/>
        </w:rPr>
      </w:pPr>
      <w:r>
        <w:rPr>
          <w:rFonts w:hint="default" w:ascii="Times New Roman" w:hAnsi="Times New Roman" w:eastAsia="方正小标宋_GBK" w:cs="Times New Roman"/>
          <w:bCs/>
          <w:color w:val="auto"/>
          <w:sz w:val="56"/>
          <w:szCs w:val="56"/>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4"/>
          <w:szCs w:val="44"/>
        </w:rPr>
      </w:pPr>
      <w:r>
        <w:rPr>
          <w:rFonts w:hint="default" w:ascii="Times New Roman" w:hAnsi="Times New Roman" w:eastAsia="楷体_GB2312" w:cs="Times New Roman"/>
          <w:bCs/>
          <w:color w:val="auto"/>
          <w:sz w:val="44"/>
          <w:szCs w:val="44"/>
        </w:rPr>
        <w:t>（</w:t>
      </w:r>
      <w:r>
        <w:rPr>
          <w:rFonts w:hint="eastAsia" w:ascii="楷体_GB2312" w:eastAsia="楷体_GB2312"/>
          <w:bCs/>
          <w:color w:val="000000"/>
          <w:sz w:val="48"/>
          <w:szCs w:val="48"/>
        </w:rPr>
        <w:t>污染影响</w:t>
      </w:r>
      <w:r>
        <w:rPr>
          <w:rFonts w:hint="default" w:ascii="Times New Roman" w:hAnsi="Times New Roman" w:eastAsia="楷体_GB2312" w:cs="Times New Roman"/>
          <w:bCs/>
          <w:color w:val="auto"/>
          <w:sz w:val="44"/>
          <w:szCs w:val="44"/>
        </w:rPr>
        <w:t>类）</w:t>
      </w:r>
    </w:p>
    <w:p>
      <w:pPr>
        <w:pStyle w:val="27"/>
        <w:jc w:val="center"/>
        <w:rPr>
          <w:rFonts w:hint="eastAsia" w:eastAsia="楷体_GB2312"/>
          <w:lang w:eastAsia="zh-CN"/>
        </w:rPr>
      </w:pPr>
      <w:r>
        <w:rPr>
          <w:rFonts w:hint="eastAsia" w:ascii="Times New Roman" w:hAnsi="Times New Roman" w:eastAsia="楷体_GB2312" w:cs="Times New Roman"/>
          <w:bCs/>
          <w:color w:val="auto"/>
          <w:sz w:val="44"/>
          <w:szCs w:val="44"/>
          <w:lang w:eastAsia="zh-CN"/>
        </w:rPr>
        <w:t>（报批稿）</w:t>
      </w:r>
    </w:p>
    <w:p>
      <w:pPr>
        <w:jc w:val="center"/>
        <w:rPr>
          <w:rFonts w:hint="eastAsia" w:ascii="Times New Roman" w:hAnsi="Times New Roman" w:eastAsia="仿宋" w:cs="Times New Roman"/>
          <w:color w:val="auto"/>
          <w:sz w:val="44"/>
          <w:szCs w:val="44"/>
          <w:lang w:eastAsia="zh-CN"/>
        </w:rPr>
      </w:pPr>
      <w:bookmarkStart w:id="1" w:name="_Hlk57883728"/>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bookmarkEnd w:id="1"/>
    <w:p>
      <w:pPr>
        <w:keepNext w:val="0"/>
        <w:keepLines w:val="0"/>
        <w:pageBreakBefore w:val="0"/>
        <w:widowControl w:val="0"/>
        <w:kinsoku/>
        <w:wordWrap/>
        <w:overflowPunct/>
        <w:topLinePunct w:val="0"/>
        <w:autoSpaceDE/>
        <w:autoSpaceDN/>
        <w:bidi w:val="0"/>
        <w:adjustRightInd w:val="0"/>
        <w:snapToGrid w:val="0"/>
        <w:spacing w:line="360" w:lineRule="auto"/>
        <w:ind w:left="2800" w:leftChars="200" w:hanging="2380" w:hangingChars="850"/>
        <w:jc w:val="left"/>
        <w:textAlignment w:val="auto"/>
        <w:rPr>
          <w:rFonts w:hint="default" w:ascii="Times New Roman" w:hAnsi="Times New Roman" w:eastAsia="仿宋_GB2312" w:cs="Times New Roman"/>
          <w:color w:val="auto"/>
          <w:sz w:val="28"/>
          <w:szCs w:val="28"/>
          <w:u w:val="single"/>
          <w:lang w:val="en-US" w:eastAsia="zh-CN"/>
        </w:rPr>
      </w:pPr>
      <w:r>
        <w:rPr>
          <w:rFonts w:hint="default" w:ascii="Times New Roman" w:hAnsi="Times New Roman" w:eastAsia="仿宋_GB2312" w:cs="Times New Roman"/>
          <w:color w:val="auto"/>
          <w:sz w:val="28"/>
          <w:szCs w:val="28"/>
        </w:rPr>
        <w:t>项   目  名   称：</w:t>
      </w:r>
      <w:r>
        <w:rPr>
          <w:rFonts w:hint="default" w:ascii="Times New Roman" w:hAnsi="Times New Roman" w:eastAsia="仿宋_GB2312" w:cs="Times New Roman"/>
          <w:color w:val="auto"/>
          <w:sz w:val="28"/>
          <w:szCs w:val="28"/>
          <w:u w:val="single"/>
        </w:rPr>
        <w:t>新疆双剑农机制造有限公司扩建项目</w:t>
      </w:r>
      <w:r>
        <w:rPr>
          <w:rFonts w:hint="eastAsia" w:eastAsia="仿宋_GB2312" w:cs="Times New Roman"/>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2660" w:leftChars="200" w:hanging="2240" w:hangingChars="800"/>
        <w:textAlignment w:val="auto"/>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建设单位（盖章）：</w:t>
      </w:r>
      <w:r>
        <w:rPr>
          <w:rFonts w:hint="default" w:ascii="Times New Roman" w:hAnsi="Times New Roman" w:eastAsia="仿宋_GB2312" w:cs="Times New Roman"/>
          <w:color w:val="auto"/>
          <w:sz w:val="28"/>
          <w:szCs w:val="28"/>
          <w:u w:val="single"/>
        </w:rPr>
        <w:t>新疆双剑农机制造有限公司</w:t>
      </w:r>
      <w:r>
        <w:rPr>
          <w:rFonts w:hint="eastAsia"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编   制  日   期：</w:t>
      </w:r>
      <w:r>
        <w:rPr>
          <w:rFonts w:hint="default" w:ascii="Times New Roman" w:hAnsi="Times New Roman" w:eastAsia="仿宋_GB2312" w:cs="Times New Roman"/>
          <w:color w:val="auto"/>
          <w:sz w:val="28"/>
          <w:szCs w:val="28"/>
          <w:u w:val="single"/>
        </w:rPr>
        <w:t xml:space="preserve">           202</w:t>
      </w:r>
      <w:r>
        <w:rPr>
          <w:rFonts w:hint="eastAsia" w:eastAsia="仿宋_GB2312" w:cs="Times New Roman"/>
          <w:color w:val="auto"/>
          <w:sz w:val="28"/>
          <w:szCs w:val="28"/>
          <w:u w:val="single"/>
          <w:lang w:val="en-US" w:eastAsia="zh-CN"/>
        </w:rPr>
        <w:t>4</w:t>
      </w:r>
      <w:r>
        <w:rPr>
          <w:rFonts w:hint="default" w:ascii="Times New Roman" w:hAnsi="Times New Roman" w:eastAsia="仿宋_GB2312" w:cs="Times New Roman"/>
          <w:color w:val="auto"/>
          <w:sz w:val="28"/>
          <w:szCs w:val="28"/>
          <w:u w:val="single"/>
        </w:rPr>
        <w:t>年</w:t>
      </w:r>
      <w:r>
        <w:rPr>
          <w:rFonts w:hint="eastAsia" w:eastAsia="仿宋_GB2312" w:cs="Times New Roman"/>
          <w:color w:val="auto"/>
          <w:sz w:val="28"/>
          <w:szCs w:val="28"/>
          <w:u w:val="single"/>
          <w:lang w:val="en-US" w:eastAsia="zh-CN"/>
        </w:rPr>
        <w:t>3</w:t>
      </w:r>
      <w:r>
        <w:rPr>
          <w:rFonts w:hint="default" w:ascii="Times New Roman" w:hAnsi="Times New Roman" w:eastAsia="仿宋_GB2312" w:cs="Times New Roman"/>
          <w:color w:val="auto"/>
          <w:sz w:val="28"/>
          <w:szCs w:val="28"/>
          <w:u w:val="single"/>
        </w:rPr>
        <w:t xml:space="preserve">月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r>
        <w:br w:type="page"/>
      </w:r>
      <w:r>
        <w:drawing>
          <wp:inline distT="0" distB="0" distL="114300" distR="114300">
            <wp:extent cx="5264150" cy="8122920"/>
            <wp:effectExtent l="0" t="0" r="12700" b="11430"/>
            <wp:docPr id="16" name="图片 16" descr="8e31f47c7ab34043df91a32d6f6c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e31f47c7ab34043df91a32d6f6cd78"/>
                    <pic:cNvPicPr>
                      <a:picLocks noChangeAspect="1"/>
                    </pic:cNvPicPr>
                  </pic:nvPicPr>
                  <pic:blipFill>
                    <a:blip r:embed="rId6"/>
                    <a:stretch>
                      <a:fillRect/>
                    </a:stretch>
                  </pic:blipFill>
                  <pic:spPr>
                    <a:xfrm>
                      <a:off x="0" y="0"/>
                      <a:ext cx="5264150" cy="8122920"/>
                    </a:xfrm>
                    <a:prstGeom prst="rect">
                      <a:avLst/>
                    </a:prstGeom>
                  </pic:spPr>
                </pic:pic>
              </a:graphicData>
            </a:graphic>
          </wp:inline>
        </w:drawing>
      </w:r>
      <w:r>
        <w:br w:type="page"/>
      </w:r>
    </w:p>
    <w:tbl>
      <w:tblPr>
        <w:tblStyle w:val="23"/>
        <w:tblW w:w="9082"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41"/>
        <w:gridCol w:w="4541"/>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3900" w:hRule="atLeast"/>
          <w:jc w:val="center"/>
        </w:trPr>
        <w:tc>
          <w:tcPr>
            <w:tcW w:w="4541" w:type="dxa"/>
            <w:noWrap w:val="0"/>
            <w:tcMar>
              <w:left w:w="0" w:type="dxa"/>
              <w:right w:w="0" w:type="dxa"/>
            </w:tcMar>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750185" cy="2237740"/>
                  <wp:effectExtent l="0" t="0" r="12065" b="10160"/>
                  <wp:docPr id="2" name="图片 2" descr="a5ecb603e7a8dbf10c92a25c1268fc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5ecb603e7a8dbf10c92a25c1268fc25_"/>
                          <pic:cNvPicPr>
                            <a:picLocks noChangeAspect="1"/>
                          </pic:cNvPicPr>
                        </pic:nvPicPr>
                        <pic:blipFill>
                          <a:blip r:embed="rId7"/>
                          <a:stretch>
                            <a:fillRect/>
                          </a:stretch>
                        </pic:blipFill>
                        <pic:spPr>
                          <a:xfrm>
                            <a:off x="0" y="0"/>
                            <a:ext cx="2750185" cy="2237740"/>
                          </a:xfrm>
                          <a:prstGeom prst="rect">
                            <a:avLst/>
                          </a:prstGeom>
                        </pic:spPr>
                      </pic:pic>
                    </a:graphicData>
                  </a:graphic>
                </wp:inline>
              </w:drawing>
            </w:r>
          </w:p>
        </w:tc>
        <w:tc>
          <w:tcPr>
            <w:tcW w:w="4541" w:type="dxa"/>
            <w:noWrap w:val="0"/>
            <w:tcMar>
              <w:left w:w="0" w:type="dxa"/>
              <w:right w:w="0" w:type="dxa"/>
            </w:tcMar>
            <w:vAlign w:val="center"/>
          </w:tcPr>
          <w:p>
            <w:pPr>
              <w:jc w:val="center"/>
              <w:rPr>
                <w:rFonts w:hint="eastAsia" w:ascii="Times New Roman" w:hAnsi="Times New Roman" w:eastAsia="宋体" w:cs="Times New Roman"/>
                <w:color w:val="auto"/>
                <w:lang w:eastAsia="zh-CN"/>
              </w:rPr>
            </w:pPr>
            <w:r>
              <w:rPr>
                <w:rFonts w:hint="eastAsia" w:eastAsiaTheme="minorEastAsia"/>
                <w:vertAlign w:val="baseline"/>
                <w:lang w:eastAsia="zh-CN"/>
              </w:rPr>
              <w:drawing>
                <wp:inline distT="0" distB="0" distL="114300" distR="114300">
                  <wp:extent cx="2560955" cy="2154555"/>
                  <wp:effectExtent l="0" t="0" r="10795" b="17145"/>
                  <wp:docPr id="14" name="图片 14" descr="bf187eea9ee1d9b1bda642f55d12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f187eea9ee1d9b1bda642f55d1247e"/>
                          <pic:cNvPicPr>
                            <a:picLocks noChangeAspect="1"/>
                          </pic:cNvPicPr>
                        </pic:nvPicPr>
                        <pic:blipFill>
                          <a:blip r:embed="rId8"/>
                          <a:stretch>
                            <a:fillRect/>
                          </a:stretch>
                        </pic:blipFill>
                        <pic:spPr>
                          <a:xfrm>
                            <a:off x="0" y="0"/>
                            <a:ext cx="2560955" cy="215455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9" w:hRule="atLeast"/>
          <w:jc w:val="center"/>
        </w:trPr>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项目区东侧经六路</w:t>
            </w:r>
          </w:p>
        </w:tc>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项目区南侧新疆金域仁和混凝土有限公司</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8" w:hRule="atLeast"/>
          <w:jc w:val="center"/>
        </w:trPr>
        <w:tc>
          <w:tcPr>
            <w:tcW w:w="4541" w:type="dxa"/>
            <w:noWrap w:val="0"/>
            <w:tcMar>
              <w:left w:w="0" w:type="dxa"/>
              <w:right w:w="0"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657475" cy="2157730"/>
                  <wp:effectExtent l="0" t="0" r="9525" b="13970"/>
                  <wp:docPr id="3" name="图片 3" descr="b8a34bb5035f7f5e07690dfaf52771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8a34bb5035f7f5e07690dfaf5277144_"/>
                          <pic:cNvPicPr>
                            <a:picLocks noChangeAspect="1"/>
                          </pic:cNvPicPr>
                        </pic:nvPicPr>
                        <pic:blipFill>
                          <a:blip r:embed="rId9"/>
                          <a:stretch>
                            <a:fillRect/>
                          </a:stretch>
                        </pic:blipFill>
                        <pic:spPr>
                          <a:xfrm>
                            <a:off x="0" y="0"/>
                            <a:ext cx="2657475" cy="2157730"/>
                          </a:xfrm>
                          <a:prstGeom prst="rect">
                            <a:avLst/>
                          </a:prstGeom>
                        </pic:spPr>
                      </pic:pic>
                    </a:graphicData>
                  </a:graphic>
                </wp:inline>
              </w:drawing>
            </w:r>
          </w:p>
        </w:tc>
        <w:tc>
          <w:tcPr>
            <w:tcW w:w="4541" w:type="dxa"/>
            <w:noWrap w:val="0"/>
            <w:tcMar>
              <w:left w:w="0" w:type="dxa"/>
              <w:right w:w="0" w:type="dxa"/>
            </w:tcMar>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554605" cy="2157730"/>
                  <wp:effectExtent l="0" t="0" r="17145" b="13970"/>
                  <wp:docPr id="4" name="图片 4" descr="f2bab154b09c793c66c4ceb3bb134b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bab154b09c793c66c4ceb3bb134b93_"/>
                          <pic:cNvPicPr>
                            <a:picLocks noChangeAspect="1"/>
                          </pic:cNvPicPr>
                        </pic:nvPicPr>
                        <pic:blipFill>
                          <a:blip r:embed="rId10"/>
                          <a:stretch>
                            <a:fillRect/>
                          </a:stretch>
                        </pic:blipFill>
                        <pic:spPr>
                          <a:xfrm>
                            <a:off x="0" y="0"/>
                            <a:ext cx="2554605" cy="215773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59" w:hRule="atLeast"/>
          <w:jc w:val="center"/>
        </w:trPr>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项目区西侧空地</w:t>
            </w:r>
          </w:p>
        </w:tc>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项目区北侧空地</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1" w:hRule="atLeast"/>
          <w:jc w:val="center"/>
        </w:trPr>
        <w:tc>
          <w:tcPr>
            <w:tcW w:w="4541" w:type="dxa"/>
            <w:noWrap w:val="0"/>
            <w:tcMar>
              <w:left w:w="0" w:type="dxa"/>
              <w:right w:w="0" w:type="dxa"/>
            </w:tcMar>
            <w:vAlign w:val="center"/>
          </w:tcPr>
          <w:p>
            <w:pPr>
              <w:jc w:val="center"/>
              <w:rPr>
                <w:rFonts w:hint="eastAsia" w:ascii="Times New Roman" w:hAnsi="Times New Roman" w:eastAsia="宋体" w:cs="Times New Roman"/>
                <w:b w:val="0"/>
                <w:bCs w:val="0"/>
                <w:color w:val="auto"/>
                <w:sz w:val="28"/>
                <w:szCs w:val="28"/>
                <w:lang w:eastAsia="zh-CN"/>
              </w:rPr>
            </w:pPr>
            <w:r>
              <w:rPr>
                <w:rFonts w:hint="eastAsia" w:ascii="Times New Roman" w:hAnsi="Times New Roman" w:eastAsia="宋体" w:cs="Times New Roman"/>
                <w:b w:val="0"/>
                <w:bCs w:val="0"/>
                <w:color w:val="auto"/>
                <w:sz w:val="28"/>
                <w:szCs w:val="28"/>
                <w:lang w:eastAsia="zh-CN"/>
              </w:rPr>
              <w:drawing>
                <wp:inline distT="0" distB="0" distL="114300" distR="114300">
                  <wp:extent cx="2703195" cy="2280920"/>
                  <wp:effectExtent l="0" t="0" r="1905" b="5080"/>
                  <wp:docPr id="13" name="图片 13" descr="微信图片_20240126210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1262103292"/>
                          <pic:cNvPicPr>
                            <a:picLocks noChangeAspect="1"/>
                          </pic:cNvPicPr>
                        </pic:nvPicPr>
                        <pic:blipFill>
                          <a:blip r:embed="rId11"/>
                          <a:stretch>
                            <a:fillRect/>
                          </a:stretch>
                        </pic:blipFill>
                        <pic:spPr>
                          <a:xfrm>
                            <a:off x="0" y="0"/>
                            <a:ext cx="2703195" cy="2280920"/>
                          </a:xfrm>
                          <a:prstGeom prst="rect">
                            <a:avLst/>
                          </a:prstGeom>
                        </pic:spPr>
                      </pic:pic>
                    </a:graphicData>
                  </a:graphic>
                </wp:inline>
              </w:drawing>
            </w:r>
          </w:p>
        </w:tc>
        <w:tc>
          <w:tcPr>
            <w:tcW w:w="4541" w:type="dxa"/>
            <w:noWrap w:val="0"/>
            <w:tcMar>
              <w:left w:w="0" w:type="dxa"/>
              <w:right w:w="0" w:type="dxa"/>
            </w:tcMar>
            <w:vAlign w:val="center"/>
          </w:tcPr>
          <w:p>
            <w:pPr>
              <w:jc w:val="center"/>
              <w:rPr>
                <w:rFonts w:hint="eastAsia" w:ascii="Times New Roman" w:hAnsi="Times New Roman" w:eastAsia="宋体" w:cs="Times New Roman"/>
                <w:b/>
                <w:bCs/>
                <w:color w:val="auto"/>
                <w:sz w:val="28"/>
                <w:szCs w:val="28"/>
                <w:lang w:eastAsia="zh-CN"/>
              </w:rPr>
            </w:pPr>
            <w:r>
              <w:rPr>
                <w:rFonts w:hint="eastAsia" w:ascii="Times New Roman" w:hAnsi="Times New Roman" w:eastAsia="宋体" w:cs="Times New Roman"/>
                <w:b/>
                <w:bCs/>
                <w:color w:val="auto"/>
                <w:sz w:val="28"/>
                <w:szCs w:val="28"/>
                <w:lang w:eastAsia="zh-CN"/>
              </w:rPr>
              <w:drawing>
                <wp:inline distT="0" distB="0" distL="114300" distR="114300">
                  <wp:extent cx="2601595" cy="2195195"/>
                  <wp:effectExtent l="0" t="0" r="8255" b="14605"/>
                  <wp:docPr id="6" name="图片 6" descr="微信图片_202401262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126210319"/>
                          <pic:cNvPicPr>
                            <a:picLocks noChangeAspect="1"/>
                          </pic:cNvPicPr>
                        </pic:nvPicPr>
                        <pic:blipFill>
                          <a:blip r:embed="rId12"/>
                          <a:stretch>
                            <a:fillRect/>
                          </a:stretch>
                        </pic:blipFill>
                        <pic:spPr>
                          <a:xfrm>
                            <a:off x="0" y="0"/>
                            <a:ext cx="2601595" cy="219519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1" w:hRule="atLeast"/>
          <w:jc w:val="center"/>
        </w:trPr>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车间1（现有项目占用区域）</w:t>
            </w:r>
          </w:p>
        </w:tc>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原有项目仓库外部</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1" w:hRule="atLeast"/>
          <w:jc w:val="center"/>
        </w:trPr>
        <w:tc>
          <w:tcPr>
            <w:tcW w:w="9082" w:type="dxa"/>
            <w:gridSpan w:val="2"/>
            <w:noWrap w:val="0"/>
            <w:tcMar>
              <w:left w:w="0" w:type="dxa"/>
              <w:right w:w="0" w:type="dxa"/>
            </w:tcMar>
            <w:vAlign w:val="center"/>
          </w:tcPr>
          <w:p>
            <w:pPr>
              <w:tabs>
                <w:tab w:val="left" w:pos="2106"/>
                <w:tab w:val="left" w:pos="6258"/>
              </w:tabs>
              <w:jc w:val="center"/>
              <w:rPr>
                <w:rFonts w:hint="eastAsia" w:eastAsia="宋体" w:cs="Times New Roman"/>
                <w:b/>
                <w:bCs/>
                <w:color w:val="auto"/>
                <w:sz w:val="24"/>
                <w:lang w:val="en-US" w:eastAsia="zh-CN"/>
              </w:rPr>
            </w:pPr>
            <w:r>
              <w:rPr>
                <w:rFonts w:hint="default" w:ascii="Times New Roman" w:hAnsi="Times New Roman" w:cs="Times New Roman"/>
                <w:b/>
                <w:bCs/>
                <w:color w:val="auto"/>
                <w:sz w:val="28"/>
                <w:szCs w:val="28"/>
              </w:rPr>
              <w:t>现场照片</w:t>
            </w:r>
            <w:r>
              <w:rPr>
                <w:rFonts w:hint="eastAsia" w:cs="Times New Roman"/>
                <w:b/>
                <w:bCs/>
                <w:color w:val="auto"/>
                <w:sz w:val="28"/>
                <w:szCs w:val="28"/>
                <w:lang w:val="en-US" w:eastAsia="zh-CN"/>
              </w:rPr>
              <w:t>1</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38" w:hRule="atLeast"/>
          <w:jc w:val="center"/>
        </w:trPr>
        <w:tc>
          <w:tcPr>
            <w:tcW w:w="4541" w:type="dxa"/>
            <w:noWrap w:val="0"/>
            <w:tcMar>
              <w:left w:w="0" w:type="dxa"/>
              <w:right w:w="0" w:type="dxa"/>
            </w:tcMar>
            <w:vAlign w:val="center"/>
          </w:tcPr>
          <w:p>
            <w:pPr>
              <w:tabs>
                <w:tab w:val="left" w:pos="2106"/>
                <w:tab w:val="left" w:pos="6258"/>
              </w:tabs>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drawing>
                <wp:inline distT="0" distB="0" distL="114300" distR="114300">
                  <wp:extent cx="2769870" cy="2211705"/>
                  <wp:effectExtent l="0" t="0" r="11430" b="17145"/>
                  <wp:docPr id="7" name="图片 7" descr="微信图片_202401262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26210320"/>
                          <pic:cNvPicPr>
                            <a:picLocks noChangeAspect="1"/>
                          </pic:cNvPicPr>
                        </pic:nvPicPr>
                        <pic:blipFill>
                          <a:blip r:embed="rId13"/>
                          <a:stretch>
                            <a:fillRect/>
                          </a:stretch>
                        </pic:blipFill>
                        <pic:spPr>
                          <a:xfrm>
                            <a:off x="0" y="0"/>
                            <a:ext cx="2769870" cy="2211705"/>
                          </a:xfrm>
                          <a:prstGeom prst="rect">
                            <a:avLst/>
                          </a:prstGeom>
                        </pic:spPr>
                      </pic:pic>
                    </a:graphicData>
                  </a:graphic>
                </wp:inline>
              </w:drawing>
            </w:r>
          </w:p>
        </w:tc>
        <w:tc>
          <w:tcPr>
            <w:tcW w:w="4541" w:type="dxa"/>
            <w:noWrap w:val="0"/>
            <w:tcMar>
              <w:left w:w="0" w:type="dxa"/>
              <w:right w:w="0" w:type="dxa"/>
            </w:tcMar>
            <w:vAlign w:val="center"/>
          </w:tcPr>
          <w:p>
            <w:pPr>
              <w:tabs>
                <w:tab w:val="left" w:pos="2106"/>
                <w:tab w:val="left" w:pos="6258"/>
              </w:tabs>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drawing>
                <wp:inline distT="0" distB="0" distL="114300" distR="114300">
                  <wp:extent cx="2774315" cy="2214880"/>
                  <wp:effectExtent l="0" t="0" r="6985" b="13970"/>
                  <wp:docPr id="8" name="图片 8" descr="微信图片_202401262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26210332"/>
                          <pic:cNvPicPr>
                            <a:picLocks noChangeAspect="1"/>
                          </pic:cNvPicPr>
                        </pic:nvPicPr>
                        <pic:blipFill>
                          <a:blip r:embed="rId14"/>
                          <a:stretch>
                            <a:fillRect/>
                          </a:stretch>
                        </pic:blipFill>
                        <pic:spPr>
                          <a:xfrm>
                            <a:off x="0" y="0"/>
                            <a:ext cx="2774315" cy="221488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4" w:hRule="atLeast"/>
          <w:jc w:val="center"/>
        </w:trPr>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原有项目仓库内部</w:t>
            </w:r>
          </w:p>
        </w:tc>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原有项目焊接工序</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72" w:hRule="atLeast"/>
          <w:jc w:val="center"/>
        </w:trPr>
        <w:tc>
          <w:tcPr>
            <w:tcW w:w="4541" w:type="dxa"/>
            <w:noWrap w:val="0"/>
            <w:tcMar>
              <w:left w:w="0" w:type="dxa"/>
              <w:right w:w="0" w:type="dxa"/>
            </w:tcMar>
            <w:vAlign w:val="center"/>
          </w:tcPr>
          <w:p>
            <w:pPr>
              <w:jc w:val="center"/>
              <w:rPr>
                <w:rFonts w:hint="eastAsia" w:ascii="Times New Roman" w:hAnsi="Times New Roman" w:cs="Times New Roman"/>
                <w:b/>
                <w:bCs/>
                <w:color w:val="auto"/>
                <w:sz w:val="28"/>
                <w:szCs w:val="28"/>
                <w:lang w:eastAsia="zh-CN"/>
              </w:rPr>
            </w:pPr>
            <w:r>
              <w:rPr>
                <w:rFonts w:hint="eastAsia" w:ascii="Times New Roman" w:hAnsi="Times New Roman" w:cs="Times New Roman"/>
                <w:b/>
                <w:bCs/>
                <w:color w:val="auto"/>
                <w:sz w:val="28"/>
                <w:szCs w:val="28"/>
                <w:lang w:eastAsia="zh-CN"/>
              </w:rPr>
              <w:drawing>
                <wp:inline distT="0" distB="0" distL="114300" distR="114300">
                  <wp:extent cx="2837815" cy="2336800"/>
                  <wp:effectExtent l="0" t="0" r="635" b="6350"/>
                  <wp:docPr id="10" name="图片 10" descr="微信图片_202401262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126210335"/>
                          <pic:cNvPicPr>
                            <a:picLocks noChangeAspect="1"/>
                          </pic:cNvPicPr>
                        </pic:nvPicPr>
                        <pic:blipFill>
                          <a:blip r:embed="rId15"/>
                          <a:stretch>
                            <a:fillRect/>
                          </a:stretch>
                        </pic:blipFill>
                        <pic:spPr>
                          <a:xfrm>
                            <a:off x="0" y="0"/>
                            <a:ext cx="2837815" cy="2336800"/>
                          </a:xfrm>
                          <a:prstGeom prst="rect">
                            <a:avLst/>
                          </a:prstGeom>
                        </pic:spPr>
                      </pic:pic>
                    </a:graphicData>
                  </a:graphic>
                </wp:inline>
              </w:drawing>
            </w:r>
          </w:p>
        </w:tc>
        <w:tc>
          <w:tcPr>
            <w:tcW w:w="4541" w:type="dxa"/>
            <w:noWrap w:val="0"/>
            <w:tcMar>
              <w:left w:w="0" w:type="dxa"/>
              <w:right w:w="0" w:type="dxa"/>
            </w:tcMar>
            <w:vAlign w:val="center"/>
          </w:tcPr>
          <w:p>
            <w:pPr>
              <w:jc w:val="center"/>
              <w:rPr>
                <w:rFonts w:hint="eastAsia" w:ascii="Times New Roman" w:hAnsi="Times New Roman" w:cs="Times New Roman"/>
                <w:b/>
                <w:bCs/>
                <w:color w:val="auto"/>
                <w:sz w:val="28"/>
                <w:szCs w:val="28"/>
                <w:lang w:eastAsia="zh-CN"/>
              </w:rPr>
            </w:pPr>
            <w:r>
              <w:rPr>
                <w:rFonts w:hint="eastAsia" w:ascii="Times New Roman" w:hAnsi="Times New Roman" w:cs="Times New Roman"/>
                <w:b/>
                <w:bCs/>
                <w:color w:val="auto"/>
                <w:sz w:val="28"/>
                <w:szCs w:val="28"/>
                <w:lang w:eastAsia="zh-CN"/>
              </w:rPr>
              <w:drawing>
                <wp:inline distT="0" distB="0" distL="114300" distR="114300">
                  <wp:extent cx="2865120" cy="2314575"/>
                  <wp:effectExtent l="0" t="0" r="11430" b="9525"/>
                  <wp:docPr id="11" name="图片 11" descr="微信图片_202401262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126210340"/>
                          <pic:cNvPicPr>
                            <a:picLocks noChangeAspect="1"/>
                          </pic:cNvPicPr>
                        </pic:nvPicPr>
                        <pic:blipFill>
                          <a:blip r:embed="rId16"/>
                          <a:stretch>
                            <a:fillRect/>
                          </a:stretch>
                        </pic:blipFill>
                        <pic:spPr>
                          <a:xfrm>
                            <a:off x="0" y="0"/>
                            <a:ext cx="2865120" cy="231457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7" w:hRule="atLeast"/>
          <w:jc w:val="center"/>
        </w:trPr>
        <w:tc>
          <w:tcPr>
            <w:tcW w:w="4541" w:type="dxa"/>
            <w:noWrap w:val="0"/>
            <w:tcMar>
              <w:left w:w="0" w:type="dxa"/>
              <w:right w:w="0" w:type="dxa"/>
            </w:tcMar>
            <w:vAlign w:val="center"/>
          </w:tcPr>
          <w:p>
            <w:pPr>
              <w:tabs>
                <w:tab w:val="left" w:pos="2106"/>
                <w:tab w:val="left" w:pos="6258"/>
              </w:tabs>
              <w:jc w:val="center"/>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原有项目装配区</w:t>
            </w:r>
          </w:p>
        </w:tc>
        <w:tc>
          <w:tcPr>
            <w:tcW w:w="4541" w:type="dxa"/>
            <w:noWrap w:val="0"/>
            <w:tcMar>
              <w:left w:w="0" w:type="dxa"/>
              <w:right w:w="0" w:type="dxa"/>
            </w:tcMar>
            <w:vAlign w:val="center"/>
          </w:tcPr>
          <w:p>
            <w:pPr>
              <w:tabs>
                <w:tab w:val="left" w:pos="2106"/>
                <w:tab w:val="left" w:pos="6258"/>
              </w:tabs>
              <w:jc w:val="center"/>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办公区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2" w:hRule="atLeast"/>
          <w:jc w:val="center"/>
        </w:trPr>
        <w:tc>
          <w:tcPr>
            <w:tcW w:w="4541" w:type="dxa"/>
            <w:noWrap w:val="0"/>
            <w:tcMar>
              <w:left w:w="0" w:type="dxa"/>
              <w:right w:w="0" w:type="dxa"/>
            </w:tcMar>
            <w:vAlign w:val="center"/>
          </w:tcPr>
          <w:p>
            <w:pPr>
              <w:jc w:val="center"/>
              <w:rPr>
                <w:rFonts w:hint="eastAsia" w:ascii="Times New Roman" w:hAnsi="Times New Roman" w:cs="Times New Roman"/>
                <w:b/>
                <w:bCs/>
                <w:color w:val="auto"/>
                <w:sz w:val="28"/>
                <w:szCs w:val="28"/>
                <w:lang w:eastAsia="zh-CN"/>
              </w:rPr>
            </w:pPr>
            <w:r>
              <w:rPr>
                <w:rFonts w:hint="eastAsia" w:ascii="Times New Roman" w:hAnsi="Times New Roman" w:eastAsia="宋体" w:cs="Times New Roman"/>
                <w:b/>
                <w:bCs/>
                <w:color w:val="auto"/>
                <w:sz w:val="28"/>
                <w:szCs w:val="28"/>
                <w:lang w:eastAsia="zh-CN"/>
              </w:rPr>
              <w:drawing>
                <wp:inline distT="0" distB="0" distL="114300" distR="114300">
                  <wp:extent cx="2673985" cy="2256790"/>
                  <wp:effectExtent l="0" t="0" r="12065" b="10160"/>
                  <wp:docPr id="5" name="图片 5" descr="微信图片_2024012621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126210318"/>
                          <pic:cNvPicPr>
                            <a:picLocks noChangeAspect="1"/>
                          </pic:cNvPicPr>
                        </pic:nvPicPr>
                        <pic:blipFill>
                          <a:blip r:embed="rId17"/>
                          <a:stretch>
                            <a:fillRect/>
                          </a:stretch>
                        </pic:blipFill>
                        <pic:spPr>
                          <a:xfrm>
                            <a:off x="0" y="0"/>
                            <a:ext cx="2673985" cy="2256790"/>
                          </a:xfrm>
                          <a:prstGeom prst="rect">
                            <a:avLst/>
                          </a:prstGeom>
                        </pic:spPr>
                      </pic:pic>
                    </a:graphicData>
                  </a:graphic>
                </wp:inline>
              </w:drawing>
            </w:r>
          </w:p>
        </w:tc>
        <w:tc>
          <w:tcPr>
            <w:tcW w:w="4541" w:type="dxa"/>
            <w:noWrap w:val="0"/>
            <w:tcMar>
              <w:left w:w="0" w:type="dxa"/>
              <w:right w:w="0" w:type="dxa"/>
            </w:tcMar>
            <w:vAlign w:val="center"/>
          </w:tcPr>
          <w:p>
            <w:pPr>
              <w:jc w:val="center"/>
              <w:rPr>
                <w:rFonts w:hint="eastAsia" w:ascii="Times New Roman" w:hAnsi="Times New Roman" w:cs="Times New Roman"/>
                <w:b/>
                <w:bCs/>
                <w:color w:val="auto"/>
                <w:sz w:val="28"/>
                <w:szCs w:val="28"/>
                <w:lang w:eastAsia="zh-CN"/>
              </w:rPr>
            </w:pPr>
            <w:r>
              <w:rPr>
                <w:rFonts w:hint="eastAsia" w:ascii="Times New Roman" w:hAnsi="Times New Roman" w:cs="Times New Roman"/>
                <w:b/>
                <w:bCs/>
                <w:color w:val="auto"/>
                <w:sz w:val="28"/>
                <w:szCs w:val="28"/>
                <w:lang w:eastAsia="zh-CN"/>
              </w:rPr>
              <w:drawing>
                <wp:inline distT="0" distB="0" distL="114300" distR="114300">
                  <wp:extent cx="2810510" cy="2258060"/>
                  <wp:effectExtent l="0" t="0" r="8890" b="8890"/>
                  <wp:docPr id="12" name="图片 12" descr="微信图片_20240126210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1262103161"/>
                          <pic:cNvPicPr>
                            <a:picLocks noChangeAspect="1"/>
                          </pic:cNvPicPr>
                        </pic:nvPicPr>
                        <pic:blipFill>
                          <a:blip r:embed="rId18"/>
                          <a:stretch>
                            <a:fillRect/>
                          </a:stretch>
                        </pic:blipFill>
                        <pic:spPr>
                          <a:xfrm>
                            <a:off x="0" y="0"/>
                            <a:ext cx="2810510" cy="225806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7" w:hRule="atLeast"/>
          <w:jc w:val="center"/>
        </w:trPr>
        <w:tc>
          <w:tcPr>
            <w:tcW w:w="4541" w:type="dxa"/>
            <w:noWrap w:val="0"/>
            <w:tcMar>
              <w:left w:w="0" w:type="dxa"/>
              <w:right w:w="0" w:type="dxa"/>
            </w:tcMar>
            <w:vAlign w:val="center"/>
          </w:tcPr>
          <w:p>
            <w:pPr>
              <w:tabs>
                <w:tab w:val="left" w:pos="2106"/>
                <w:tab w:val="left" w:pos="6258"/>
              </w:tabs>
              <w:jc w:val="center"/>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车间2外部</w:t>
            </w:r>
          </w:p>
        </w:tc>
        <w:tc>
          <w:tcPr>
            <w:tcW w:w="4541" w:type="dxa"/>
            <w:noWrap w:val="0"/>
            <w:tcMar>
              <w:left w:w="0" w:type="dxa"/>
              <w:right w:w="0" w:type="dxa"/>
            </w:tcMar>
            <w:vAlign w:val="center"/>
          </w:tcPr>
          <w:p>
            <w:pPr>
              <w:tabs>
                <w:tab w:val="left" w:pos="2106"/>
                <w:tab w:val="left" w:pos="6258"/>
              </w:tabs>
              <w:jc w:val="center"/>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车间2（现有项目占用区域）</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1" w:hRule="atLeast"/>
          <w:jc w:val="center"/>
        </w:trPr>
        <w:tc>
          <w:tcPr>
            <w:tcW w:w="9082" w:type="dxa"/>
            <w:gridSpan w:val="2"/>
            <w:noWrap w:val="0"/>
            <w:tcMar>
              <w:left w:w="0" w:type="dxa"/>
              <w:right w:w="0" w:type="dxa"/>
            </w:tcMar>
            <w:vAlign w:val="center"/>
          </w:tcPr>
          <w:p>
            <w:pPr>
              <w:jc w:val="center"/>
              <w:rPr>
                <w:rFonts w:hint="eastAsia" w:ascii="Times New Roman" w:hAnsi="Times New Roman" w:eastAsia="宋体" w:cs="Times New Roman"/>
                <w:b/>
                <w:bCs/>
                <w:color w:val="auto"/>
                <w:sz w:val="28"/>
                <w:szCs w:val="28"/>
                <w:lang w:val="en-US" w:eastAsia="zh-CN"/>
              </w:rPr>
            </w:pPr>
            <w:r>
              <w:rPr>
                <w:rFonts w:hint="default" w:ascii="Times New Roman" w:hAnsi="Times New Roman" w:cs="Times New Roman"/>
                <w:b/>
                <w:bCs/>
                <w:color w:val="auto"/>
                <w:sz w:val="28"/>
                <w:szCs w:val="28"/>
              </w:rPr>
              <w:t>现场照片</w:t>
            </w:r>
            <w:r>
              <w:rPr>
                <w:rFonts w:hint="eastAsia" w:cs="Times New Roman"/>
                <w:b/>
                <w:bCs/>
                <w:color w:val="auto"/>
                <w:sz w:val="28"/>
                <w:szCs w:val="28"/>
                <w:lang w:val="en-US" w:eastAsia="zh-CN"/>
              </w:rPr>
              <w:t>2</w:t>
            </w:r>
          </w:p>
        </w:tc>
      </w:tr>
    </w:tbl>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33"/>
        <w:gridCol w:w="2061"/>
        <w:gridCol w:w="1900"/>
        <w:gridCol w:w="3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建设项目名称</w:t>
            </w:r>
          </w:p>
        </w:tc>
        <w:tc>
          <w:tcPr>
            <w:tcW w:w="7237" w:type="dxa"/>
            <w:gridSpan w:val="3"/>
            <w:vAlign w:val="center"/>
          </w:tcPr>
          <w:p>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新疆双剑农机制造有限公司扩建项目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项目代码</w:t>
            </w:r>
          </w:p>
        </w:tc>
        <w:tc>
          <w:tcPr>
            <w:tcW w:w="7237" w:type="dxa"/>
            <w:gridSpan w:val="3"/>
            <w:vAlign w:val="center"/>
          </w:tcPr>
          <w:p>
            <w:pPr>
              <w:adjustRightInd w:val="0"/>
              <w:snapToGrid w:val="0"/>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建设单位联系人</w:t>
            </w:r>
          </w:p>
        </w:tc>
        <w:tc>
          <w:tcPr>
            <w:tcW w:w="2061" w:type="dxa"/>
            <w:vAlign w:val="center"/>
          </w:tcPr>
          <w:p>
            <w:pPr>
              <w:widowControl/>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color w:val="auto"/>
                <w:sz w:val="24"/>
                <w:szCs w:val="24"/>
                <w:highlight w:val="none"/>
                <w:lang w:val="en-US" w:eastAsia="zh-CN"/>
              </w:rPr>
              <w:t>***</w:t>
            </w:r>
          </w:p>
        </w:tc>
        <w:tc>
          <w:tcPr>
            <w:tcW w:w="1900" w:type="dxa"/>
            <w:vAlign w:val="center"/>
          </w:tcPr>
          <w:p>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联系方式</w:t>
            </w:r>
          </w:p>
        </w:tc>
        <w:tc>
          <w:tcPr>
            <w:tcW w:w="3276" w:type="dxa"/>
            <w:vAlign w:val="center"/>
          </w:tcPr>
          <w:p>
            <w:pPr>
              <w:widowControl/>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建设地点</w:t>
            </w:r>
          </w:p>
        </w:tc>
        <w:tc>
          <w:tcPr>
            <w:tcW w:w="7237" w:type="dxa"/>
            <w:gridSpan w:val="3"/>
            <w:vAlign w:val="center"/>
          </w:tcPr>
          <w:p>
            <w:pPr>
              <w:widowControl/>
              <w:jc w:val="center"/>
              <w:rPr>
                <w:rFonts w:hint="eastAsia" w:ascii="Times New Roman" w:hAnsi="Times New Roman" w:cs="Times New Roman" w:eastAsiaTheme="minorEastAsia"/>
                <w:color w:val="auto"/>
                <w:sz w:val="24"/>
                <w:lang w:eastAsia="zh-CN"/>
              </w:rPr>
            </w:pPr>
            <w:r>
              <w:rPr>
                <w:rFonts w:hint="eastAsia" w:eastAsiaTheme="minorEastAsia"/>
                <w:color w:val="000000" w:themeColor="text1"/>
                <w:spacing w:val="-7"/>
                <w:sz w:val="24"/>
                <w:szCs w:val="24"/>
                <w:lang w:eastAsia="zh-CN"/>
                <w14:textFill>
                  <w14:solidFill>
                    <w14:schemeClr w14:val="tx1"/>
                  </w14:solidFill>
                </w14:textFill>
              </w:rPr>
              <w:t>新疆昌吉州昌吉市三工镇八钢工业聚集区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地理坐标</w:t>
            </w:r>
          </w:p>
        </w:tc>
        <w:tc>
          <w:tcPr>
            <w:tcW w:w="7237" w:type="dxa"/>
            <w:gridSpan w:val="3"/>
            <w:vAlign w:val="center"/>
          </w:tcPr>
          <w:p>
            <w:pPr>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000000" w:themeColor="text1"/>
                <w:sz w:val="24"/>
                <w14:textFill>
                  <w14:solidFill>
                    <w14:schemeClr w14:val="tx1"/>
                  </w14:solidFill>
                </w14:textFill>
              </w:rPr>
              <w:t>（东经</w:t>
            </w:r>
            <w:r>
              <w:rPr>
                <w:rFonts w:hint="eastAsia" w:cs="Times New Roman" w:eastAsiaTheme="minorEastAsia"/>
                <w:color w:val="000000" w:themeColor="text1"/>
                <w:sz w:val="24"/>
                <w:u w:val="single"/>
                <w:lang w:val="en-US" w:eastAsia="zh-CN"/>
                <w14:textFill>
                  <w14:solidFill>
                    <w14:schemeClr w14:val="tx1"/>
                  </w14:solidFill>
                </w14:textFill>
              </w:rPr>
              <w:t>87</w:t>
            </w:r>
            <w:r>
              <w:rPr>
                <w:rFonts w:hint="default" w:ascii="Times New Roman" w:hAnsi="Times New Roman" w:cs="Times New Roman" w:eastAsiaTheme="minorEastAsia"/>
                <w:color w:val="000000" w:themeColor="text1"/>
                <w:sz w:val="24"/>
                <w14:textFill>
                  <w14:solidFill>
                    <w14:schemeClr w14:val="tx1"/>
                  </w14:solidFill>
                </w14:textFill>
              </w:rPr>
              <w:t>度</w:t>
            </w:r>
            <w:r>
              <w:rPr>
                <w:rFonts w:hint="eastAsia" w:cs="Times New Roman" w:eastAsiaTheme="minorEastAsia"/>
                <w:color w:val="000000" w:themeColor="text1"/>
                <w:sz w:val="24"/>
                <w:u w:val="single"/>
                <w:lang w:val="en-US" w:eastAsia="zh-CN"/>
                <w14:textFill>
                  <w14:solidFill>
                    <w14:schemeClr w14:val="tx1"/>
                  </w14:solidFill>
                </w14:textFill>
              </w:rPr>
              <w:t>14</w:t>
            </w:r>
            <w:r>
              <w:rPr>
                <w:rFonts w:hint="default" w:ascii="Times New Roman" w:hAnsi="Times New Roman" w:cs="Times New Roman" w:eastAsiaTheme="minorEastAsia"/>
                <w:color w:val="000000" w:themeColor="text1"/>
                <w:sz w:val="24"/>
                <w14:textFill>
                  <w14:solidFill>
                    <w14:schemeClr w14:val="tx1"/>
                  </w14:solidFill>
                </w14:textFill>
              </w:rPr>
              <w:t>分</w:t>
            </w:r>
            <w:r>
              <w:rPr>
                <w:rFonts w:hint="eastAsia" w:cs="Times New Roman" w:eastAsiaTheme="minorEastAsia"/>
                <w:color w:val="000000" w:themeColor="text1"/>
                <w:sz w:val="24"/>
                <w:u w:val="single"/>
                <w:lang w:val="en-US" w:eastAsia="zh-CN"/>
                <w14:textFill>
                  <w14:solidFill>
                    <w14:schemeClr w14:val="tx1"/>
                  </w14:solidFill>
                </w14:textFill>
              </w:rPr>
              <w:t>23.648</w:t>
            </w:r>
            <w:r>
              <w:rPr>
                <w:rFonts w:hint="default" w:ascii="Times New Roman" w:hAnsi="Times New Roman" w:cs="Times New Roman" w:eastAsiaTheme="minorEastAsia"/>
                <w:color w:val="000000" w:themeColor="text1"/>
                <w:sz w:val="24"/>
                <w14:textFill>
                  <w14:solidFill>
                    <w14:schemeClr w14:val="tx1"/>
                  </w14:solidFill>
                </w14:textFill>
              </w:rPr>
              <w:t>秒，北纬</w:t>
            </w:r>
            <w:r>
              <w:rPr>
                <w:rFonts w:hint="default" w:ascii="Times New Roman" w:hAnsi="Times New Roman" w:cs="Times New Roman" w:eastAsiaTheme="minorEastAsia"/>
                <w:color w:val="000000" w:themeColor="text1"/>
                <w:sz w:val="24"/>
                <w:u w:val="single"/>
                <w14:textFill>
                  <w14:solidFill>
                    <w14:schemeClr w14:val="tx1"/>
                  </w14:solidFill>
                </w14:textFill>
              </w:rPr>
              <w:t>4</w:t>
            </w:r>
            <w:r>
              <w:rPr>
                <w:rFonts w:hint="eastAsia" w:cs="Times New Roman" w:eastAsiaTheme="minorEastAsia"/>
                <w:color w:val="000000" w:themeColor="text1"/>
                <w:sz w:val="24"/>
                <w:u w:val="singl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度</w:t>
            </w:r>
            <w:r>
              <w:rPr>
                <w:rFonts w:hint="eastAsia" w:cs="Times New Roman" w:eastAsiaTheme="minorEastAsia"/>
                <w:color w:val="000000" w:themeColor="text1"/>
                <w:sz w:val="24"/>
                <w:u w:val="single"/>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4"/>
                <w14:textFill>
                  <w14:solidFill>
                    <w14:schemeClr w14:val="tx1"/>
                  </w14:solidFill>
                </w14:textFill>
              </w:rPr>
              <w:t>分</w:t>
            </w:r>
            <w:r>
              <w:rPr>
                <w:rFonts w:hint="eastAsia" w:cs="Times New Roman" w:eastAsiaTheme="minorEastAsia"/>
                <w:color w:val="000000" w:themeColor="text1"/>
                <w:sz w:val="24"/>
                <w:u w:val="single"/>
                <w:lang w:val="en-US" w:eastAsia="zh-CN"/>
                <w14:textFill>
                  <w14:solidFill>
                    <w14:schemeClr w14:val="tx1"/>
                  </w14:solidFill>
                </w14:textFill>
              </w:rPr>
              <w:t>18.105</w:t>
            </w:r>
            <w:r>
              <w:rPr>
                <w:rFonts w:hint="default" w:ascii="Times New Roman" w:hAnsi="Times New Roman" w:cs="Times New Roman" w:eastAsiaTheme="minorEastAsia"/>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国民经济行业类别</w:t>
            </w:r>
          </w:p>
        </w:tc>
        <w:tc>
          <w:tcPr>
            <w:tcW w:w="2061" w:type="dxa"/>
            <w:vAlign w:val="center"/>
          </w:tcPr>
          <w:p>
            <w:pPr>
              <w:pStyle w:val="31"/>
              <w:jc w:val="center"/>
              <w:rPr>
                <w:rFonts w:hint="default" w:ascii="Times New Roman" w:hAnsi="Times New Roman" w:cs="Times New Roman" w:eastAsiaTheme="minorEastAsia"/>
                <w:color w:val="auto"/>
                <w:sz w:val="24"/>
                <w:lang w:val="en-US" w:eastAsia="zh-CN"/>
              </w:rPr>
            </w:pPr>
            <w:r>
              <w:rPr>
                <w:rFonts w:hint="default" w:ascii="Times New Roman" w:hAnsi="Times New Roman" w:eastAsia="宋体" w:cs="Times New Roman"/>
                <w:color w:val="auto"/>
                <w:sz w:val="24"/>
                <w:szCs w:val="24"/>
                <w:highlight w:val="none"/>
                <w:lang w:val="en-US" w:eastAsia="zh-CN"/>
              </w:rPr>
              <w:t>C3572机械化农业及园艺机具制造</w:t>
            </w:r>
          </w:p>
        </w:tc>
        <w:tc>
          <w:tcPr>
            <w:tcW w:w="1900" w:type="dxa"/>
            <w:vAlign w:val="center"/>
          </w:tcPr>
          <w:p>
            <w:pPr>
              <w:pStyle w:val="31"/>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建设项目行业类别</w:t>
            </w:r>
          </w:p>
        </w:tc>
        <w:tc>
          <w:tcPr>
            <w:tcW w:w="3276" w:type="dxa"/>
          </w:tcPr>
          <w:p>
            <w:pPr>
              <w:pStyle w:val="31"/>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三十二、专用设备制造业35</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中的</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农、林、牧、渔专用机械制造357其他（仅分割、焊接、组装的除外；年用非溶剂型低VOCs含量涂料10吨以下的除外）</w:t>
            </w:r>
            <w:r>
              <w:rPr>
                <w:rFonts w:hint="eastAsia" w:ascii="Times New Roman" w:hAnsi="Times New Roman" w:eastAsia="宋体" w:cs="Times New Roman"/>
                <w:b w:val="0"/>
                <w:bCs w:val="0"/>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33" w:type="dxa"/>
            <w:tcMar>
              <w:top w:w="16" w:type="dxa"/>
              <w:left w:w="16" w:type="dxa"/>
              <w:right w:w="16" w:type="dxa"/>
            </w:tcMar>
            <w:vAlign w:val="center"/>
          </w:tcPr>
          <w:p>
            <w:pPr>
              <w:pStyle w:val="31"/>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建设性质</w:t>
            </w:r>
          </w:p>
        </w:tc>
        <w:tc>
          <w:tcPr>
            <w:tcW w:w="2061" w:type="dxa"/>
            <w:vAlign w:val="center"/>
          </w:tcPr>
          <w:p>
            <w:pPr>
              <w:pStyle w:val="31"/>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新建（迁建）</w:t>
            </w:r>
          </w:p>
          <w:p>
            <w:pPr>
              <w:pStyle w:val="31"/>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改建</w:t>
            </w:r>
          </w:p>
          <w:p>
            <w:pPr>
              <w:pStyle w:val="31"/>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52"/>
            </w:r>
            <w:r>
              <w:rPr>
                <w:rFonts w:hint="default" w:ascii="Times New Roman" w:hAnsi="Times New Roman" w:cs="Times New Roman" w:eastAsiaTheme="minorEastAsia"/>
                <w:color w:val="auto"/>
                <w:sz w:val="24"/>
              </w:rPr>
              <w:t>扩建</w:t>
            </w:r>
          </w:p>
          <w:p>
            <w:pPr>
              <w:pStyle w:val="31"/>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技术改造</w:t>
            </w:r>
          </w:p>
        </w:tc>
        <w:tc>
          <w:tcPr>
            <w:tcW w:w="1900" w:type="dxa"/>
            <w:vAlign w:val="center"/>
          </w:tcPr>
          <w:p>
            <w:pPr>
              <w:pStyle w:val="31"/>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建设项目申报情形</w:t>
            </w:r>
          </w:p>
        </w:tc>
        <w:tc>
          <w:tcPr>
            <w:tcW w:w="3276" w:type="dxa"/>
          </w:tcPr>
          <w:p>
            <w:pPr>
              <w:pStyle w:val="31"/>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52"/>
            </w:r>
            <w:r>
              <w:rPr>
                <w:rFonts w:hint="default" w:ascii="Times New Roman" w:hAnsi="Times New Roman" w:cs="Times New Roman" w:eastAsiaTheme="minorEastAsia"/>
                <w:color w:val="auto"/>
                <w:sz w:val="24"/>
              </w:rPr>
              <w:t>首次申报项目</w:t>
            </w:r>
          </w:p>
          <w:p>
            <w:pPr>
              <w:pStyle w:val="31"/>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不予批准后再次申报项目</w:t>
            </w:r>
          </w:p>
          <w:p>
            <w:pPr>
              <w:pStyle w:val="31"/>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超五年重新审核项目</w:t>
            </w:r>
          </w:p>
          <w:p>
            <w:pPr>
              <w:pStyle w:val="31"/>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项目审批（核准/备案）部门（选填）</w:t>
            </w:r>
          </w:p>
        </w:tc>
        <w:tc>
          <w:tcPr>
            <w:tcW w:w="2061" w:type="dxa"/>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w:t>
            </w:r>
          </w:p>
        </w:tc>
        <w:tc>
          <w:tcPr>
            <w:tcW w:w="1900" w:type="dxa"/>
            <w:vAlign w:val="center"/>
          </w:tcPr>
          <w:p>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项目审批（核准/备案）文号（选填）</w:t>
            </w:r>
          </w:p>
        </w:tc>
        <w:tc>
          <w:tcPr>
            <w:tcW w:w="3276" w:type="dxa"/>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总投资（万元）</w:t>
            </w:r>
          </w:p>
        </w:tc>
        <w:tc>
          <w:tcPr>
            <w:tcW w:w="2061" w:type="dxa"/>
            <w:vAlign w:val="center"/>
          </w:tcPr>
          <w:p>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eastAsia="宋体" w:cs="Times New Roman"/>
                <w:color w:val="auto"/>
                <w:sz w:val="24"/>
                <w:szCs w:val="24"/>
                <w:highlight w:val="none"/>
                <w:lang w:val="en-US" w:eastAsia="zh-CN"/>
              </w:rPr>
              <w:t>5500</w:t>
            </w:r>
          </w:p>
        </w:tc>
        <w:tc>
          <w:tcPr>
            <w:tcW w:w="1900"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环保投资（万元）</w:t>
            </w:r>
          </w:p>
        </w:tc>
        <w:tc>
          <w:tcPr>
            <w:tcW w:w="3276" w:type="dxa"/>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color w:val="auto"/>
                <w:sz w:val="24"/>
                <w:szCs w:val="24"/>
                <w:highlight w:val="none"/>
                <w:lang w:val="en-US" w:eastAsia="zh-CN"/>
              </w:rPr>
              <w:t>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环保投资占比（%）</w:t>
            </w:r>
          </w:p>
        </w:tc>
        <w:tc>
          <w:tcPr>
            <w:tcW w:w="2061" w:type="dxa"/>
            <w:vAlign w:val="center"/>
          </w:tcPr>
          <w:p>
            <w:pPr>
              <w:adjustRightInd w:val="0"/>
              <w:snapToGrid w:val="0"/>
              <w:jc w:val="center"/>
              <w:rPr>
                <w:rFonts w:hint="default" w:ascii="Times New Roman" w:hAnsi="Times New Roman" w:cs="Times New Roman" w:eastAsiaTheme="minorEastAsia"/>
                <w:color w:val="auto"/>
                <w:sz w:val="24"/>
                <w:lang w:val="en-US"/>
              </w:rPr>
            </w:pPr>
            <w:r>
              <w:rPr>
                <w:rFonts w:hint="eastAsia" w:cs="Times New Roman" w:eastAsiaTheme="minorEastAsia"/>
                <w:color w:val="auto"/>
                <w:sz w:val="24"/>
                <w:lang w:val="en-US" w:eastAsia="zh-CN"/>
              </w:rPr>
              <w:t>0.89</w:t>
            </w:r>
          </w:p>
        </w:tc>
        <w:tc>
          <w:tcPr>
            <w:tcW w:w="1900"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施工工期</w:t>
            </w:r>
          </w:p>
        </w:tc>
        <w:tc>
          <w:tcPr>
            <w:tcW w:w="3276" w:type="dxa"/>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30天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3"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是否开工建设</w:t>
            </w:r>
          </w:p>
        </w:tc>
        <w:tc>
          <w:tcPr>
            <w:tcW w:w="2061" w:type="dxa"/>
            <w:vAlign w:val="center"/>
          </w:tcPr>
          <w:p>
            <w:pPr>
              <w:adjustRightInd w:val="0"/>
              <w:snapToGrid w:val="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52"/>
            </w:r>
            <w:r>
              <w:rPr>
                <w:rFonts w:hint="default" w:ascii="Times New Roman" w:hAnsi="Times New Roman" w:cs="Times New Roman" w:eastAsiaTheme="minorEastAsia"/>
                <w:color w:val="auto"/>
                <w:sz w:val="24"/>
              </w:rPr>
              <w:t>否</w:t>
            </w:r>
          </w:p>
          <w:p>
            <w:pPr>
              <w:adjustRightInd w:val="0"/>
              <w:snapToGrid w:val="0"/>
              <w:jc w:val="both"/>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是</w:t>
            </w:r>
          </w:p>
        </w:tc>
        <w:tc>
          <w:tcPr>
            <w:tcW w:w="1900" w:type="dxa"/>
            <w:tcMar>
              <w:top w:w="16" w:type="dxa"/>
              <w:left w:w="16" w:type="dxa"/>
              <w:right w:w="16" w:type="dxa"/>
            </w:tcMar>
            <w:vAlign w:val="center"/>
          </w:tcPr>
          <w:p>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用地（用海）面积（m</w:t>
            </w:r>
            <w:r>
              <w:rPr>
                <w:rFonts w:hint="default" w:ascii="Times New Roman" w:hAnsi="Times New Roman" w:cs="Times New Roman" w:eastAsiaTheme="minorEastAsia"/>
                <w:b/>
                <w:bCs/>
                <w:color w:val="auto"/>
                <w:kern w:val="2"/>
                <w:sz w:val="21"/>
                <w:szCs w:val="21"/>
                <w:vertAlign w:val="superscript"/>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w:t>
            </w:r>
          </w:p>
        </w:tc>
        <w:tc>
          <w:tcPr>
            <w:tcW w:w="3276" w:type="dxa"/>
            <w:vAlign w:val="center"/>
          </w:tcPr>
          <w:p>
            <w:pPr>
              <w:adjustRightInd w:val="0"/>
              <w:snapToGrid w:val="0"/>
              <w:jc w:val="center"/>
              <w:rPr>
                <w:rFonts w:hint="default" w:ascii="Times New Roman" w:hAnsi="Times New Roman" w:eastAsia="宋体" w:cs="Times New Roman"/>
                <w:color w:val="auto"/>
                <w:kern w:val="0"/>
                <w:sz w:val="24"/>
                <w:szCs w:val="24"/>
                <w:highlight w:val="none"/>
                <w:u w:val="none"/>
                <w:vertAlign w:val="superscript"/>
                <w:lang w:val="en-US" w:eastAsia="zh-CN"/>
              </w:rPr>
            </w:pPr>
            <w:r>
              <w:rPr>
                <w:rFonts w:hint="default" w:ascii="Times New Roman" w:hAnsi="Times New Roman" w:eastAsia="宋体" w:cs="Times New Roman"/>
                <w:color w:val="auto"/>
                <w:kern w:val="0"/>
                <w:sz w:val="24"/>
                <w:szCs w:val="24"/>
                <w:highlight w:val="none"/>
                <w:u w:val="none"/>
                <w:lang w:val="en-US" w:eastAsia="zh-CN"/>
              </w:rPr>
              <w:t>14600</w:t>
            </w:r>
          </w:p>
          <w:p>
            <w:pPr>
              <w:adjustRightInd w:val="0"/>
              <w:snapToGrid w:val="0"/>
              <w:jc w:val="center"/>
              <w:rPr>
                <w:rFonts w:hint="default" w:ascii="Times New Roman" w:hAnsi="Times New Roman" w:cs="Times New Roman" w:eastAsiaTheme="minorEastAsia"/>
                <w:color w:val="auto"/>
                <w:sz w:val="24"/>
                <w:lang w:val="en-US" w:eastAsia="zh-CN"/>
              </w:rPr>
            </w:pPr>
            <w:r>
              <w:rPr>
                <w:rFonts w:hint="default" w:ascii="Times New Roman" w:hAnsi="Times New Roman" w:eastAsia="宋体" w:cs="Times New Roman"/>
                <w:color w:val="auto"/>
                <w:spacing w:val="-6"/>
                <w:sz w:val="24"/>
                <w:szCs w:val="24"/>
                <w:highlight w:val="none"/>
                <w:lang w:val="en-US" w:eastAsia="zh-CN"/>
              </w:rPr>
              <w:t>（</w:t>
            </w:r>
            <w:r>
              <w:rPr>
                <w:rFonts w:hint="default" w:ascii="Times New Roman" w:hAnsi="Times New Roman" w:eastAsia="宋体" w:cs="Times New Roman"/>
                <w:color w:val="auto"/>
                <w:spacing w:val="-6"/>
                <w:sz w:val="24"/>
                <w:szCs w:val="24"/>
                <w:highlight w:val="none"/>
              </w:rPr>
              <w:t>本次建设不新增占地</w:t>
            </w:r>
            <w:r>
              <w:rPr>
                <w:rFonts w:hint="default" w:ascii="Times New Roman" w:hAnsi="Times New Roman" w:eastAsia="宋体" w:cs="Times New Roman"/>
                <w:color w:val="auto"/>
                <w:spacing w:val="-6"/>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633" w:type="dxa"/>
            <w:vAlign w:val="center"/>
          </w:tcPr>
          <w:p>
            <w:pPr>
              <w:autoSpaceDE w:val="0"/>
              <w:autoSpaceDN w:val="0"/>
              <w:adjustRightInd w:val="0"/>
              <w:snapToGrid w:val="0"/>
              <w:jc w:val="center"/>
              <w:rPr>
                <w:rFonts w:hint="default" w:ascii="Times New Roman" w:hAnsi="Times New Roman" w:cs="Times New Roman" w:eastAsiaTheme="minorEastAsia"/>
                <w:b/>
                <w:bCs/>
                <w:color w:val="auto"/>
                <w:kern w:val="0"/>
                <w:szCs w:val="21"/>
              </w:rPr>
            </w:pPr>
            <w:r>
              <w:rPr>
                <w:rFonts w:hint="default" w:ascii="Times New Roman" w:hAnsi="Times New Roman" w:cs="Times New Roman" w:eastAsiaTheme="minorEastAsia"/>
                <w:b/>
                <w:bCs/>
                <w:color w:val="auto"/>
                <w:kern w:val="0"/>
                <w:szCs w:val="21"/>
              </w:rPr>
              <w:t>专项评价设置情况</w:t>
            </w:r>
          </w:p>
        </w:tc>
        <w:tc>
          <w:tcPr>
            <w:tcW w:w="7237" w:type="dxa"/>
            <w:gridSpan w:val="3"/>
            <w:vAlign w:val="center"/>
          </w:tcPr>
          <w:p>
            <w:pPr>
              <w:autoSpaceDE w:val="0"/>
              <w:autoSpaceDN w:val="0"/>
              <w:adjustRightInd w:val="0"/>
              <w:snapToGrid w:val="0"/>
              <w:jc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1633" w:type="dxa"/>
            <w:vAlign w:val="center"/>
          </w:tcPr>
          <w:p>
            <w:pPr>
              <w:autoSpaceDE w:val="0"/>
              <w:autoSpaceDN w:val="0"/>
              <w:adjustRightInd w:val="0"/>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b/>
                <w:bCs/>
                <w:color w:val="auto"/>
                <w:szCs w:val="21"/>
              </w:rPr>
              <w:t>规划情况</w:t>
            </w:r>
          </w:p>
        </w:tc>
        <w:tc>
          <w:tcPr>
            <w:tcW w:w="7237" w:type="dxa"/>
            <w:gridSpan w:val="3"/>
            <w:vAlign w:val="center"/>
          </w:tcPr>
          <w:p>
            <w:pPr>
              <w:pStyle w:val="19"/>
              <w:ind w:left="0" w:leftChars="0" w:firstLine="0" w:firstLineChars="0"/>
              <w:jc w:val="center"/>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633" w:type="dxa"/>
            <w:vAlign w:val="center"/>
          </w:tcPr>
          <w:p>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规划环境影响</w:t>
            </w:r>
          </w:p>
          <w:p>
            <w:pPr>
              <w:adjustRightInd w:val="0"/>
              <w:snapToGrid w:val="0"/>
              <w:jc w:val="center"/>
              <w:rPr>
                <w:rFonts w:hint="default" w:ascii="Times New Roman" w:hAnsi="Times New Roman" w:cs="Times New Roman" w:eastAsiaTheme="minorEastAsia"/>
                <w:b/>
                <w:bCs/>
                <w:color w:val="auto"/>
                <w:kern w:val="0"/>
                <w:szCs w:val="21"/>
              </w:rPr>
            </w:pPr>
            <w:r>
              <w:rPr>
                <w:rFonts w:hint="default" w:ascii="Times New Roman" w:hAnsi="Times New Roman" w:cs="Times New Roman" w:eastAsiaTheme="minorEastAsia"/>
                <w:b/>
                <w:bCs/>
                <w:color w:val="auto"/>
                <w:szCs w:val="21"/>
              </w:rPr>
              <w:t>评价情况</w:t>
            </w:r>
          </w:p>
        </w:tc>
        <w:tc>
          <w:tcPr>
            <w:tcW w:w="7237" w:type="dxa"/>
            <w:gridSpan w:val="3"/>
            <w:vAlign w:val="center"/>
          </w:tcPr>
          <w:p>
            <w:pPr>
              <w:pStyle w:val="19"/>
              <w:ind w:left="0" w:leftChars="0" w:firstLine="0" w:firstLineChars="0"/>
              <w:jc w:val="center"/>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633" w:type="dxa"/>
            <w:vAlign w:val="center"/>
          </w:tcPr>
          <w:p>
            <w:pPr>
              <w:autoSpaceDE w:val="0"/>
              <w:autoSpaceDN w:val="0"/>
              <w:adjustRightInd w:val="0"/>
              <w:snapToGrid w:val="0"/>
              <w:jc w:val="center"/>
              <w:rPr>
                <w:rFonts w:hint="default" w:ascii="Times New Roman" w:hAnsi="Times New Roman" w:cs="Times New Roman" w:eastAsiaTheme="minorEastAsia"/>
                <w:b/>
                <w:bCs/>
                <w:color w:val="auto"/>
                <w:kern w:val="0"/>
                <w:szCs w:val="21"/>
              </w:rPr>
            </w:pPr>
            <w:r>
              <w:rPr>
                <w:rFonts w:hint="default" w:ascii="Times New Roman" w:hAnsi="Times New Roman" w:cs="Times New Roman" w:eastAsiaTheme="minorEastAsia"/>
                <w:b/>
                <w:bCs/>
                <w:color w:val="auto"/>
                <w:kern w:val="0"/>
                <w:szCs w:val="21"/>
              </w:rPr>
              <w:t>规划及规划环境影响评价符合性分析</w:t>
            </w:r>
          </w:p>
        </w:tc>
        <w:tc>
          <w:tcPr>
            <w:tcW w:w="723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b/>
                <w:bCs/>
                <w:color w:val="0000FF"/>
                <w:sz w:val="24"/>
                <w:szCs w:val="24"/>
              </w:rPr>
            </w:pPr>
            <w:r>
              <w:rPr>
                <w:rFonts w:hint="default" w:ascii="Times New Roman" w:hAnsi="Times New Roman" w:cs="Times New Roman" w:eastAsiaTheme="minor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3" w:type="dxa"/>
            <w:vAlign w:val="center"/>
          </w:tcPr>
          <w:p>
            <w:pPr>
              <w:autoSpaceDE w:val="0"/>
              <w:autoSpaceDN w:val="0"/>
              <w:adjustRightInd w:val="0"/>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b/>
                <w:bCs/>
                <w:color w:val="auto"/>
                <w:kern w:val="0"/>
                <w:szCs w:val="21"/>
              </w:rPr>
              <w:t>其他符合性分析</w:t>
            </w:r>
          </w:p>
        </w:tc>
        <w:tc>
          <w:tcPr>
            <w:tcW w:w="7237" w:type="dxa"/>
            <w:gridSpan w:val="3"/>
            <w:vAlign w:val="center"/>
          </w:tcPr>
          <w:p>
            <w:pPr>
              <w:pStyle w:val="31"/>
              <w:spacing w:line="360" w:lineRule="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rPr>
              <w:t>1.</w:t>
            </w:r>
            <w:r>
              <w:rPr>
                <w:rFonts w:hint="default" w:ascii="Times New Roman" w:hAnsi="Times New Roman" w:cs="Times New Roman" w:eastAsiaTheme="minorEastAsia"/>
                <w:b/>
                <w:bCs/>
                <w:color w:val="auto"/>
                <w:sz w:val="24"/>
                <w:szCs w:val="24"/>
              </w:rPr>
              <w:t>产业政策相符性分析</w:t>
            </w:r>
          </w:p>
          <w:p>
            <w:pPr>
              <w:pStyle w:val="31"/>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根据中华人民共和国国家发展和改革委员会</w:t>
            </w:r>
            <w:r>
              <w:rPr>
                <w:rFonts w:hint="eastAsia" w:ascii="Times New Roman" w:hAnsi="Times New Roman" w:cs="Times New Roman" w:eastAsiaTheme="minorEastAsia"/>
                <w:color w:val="auto"/>
                <w:sz w:val="24"/>
                <w:szCs w:val="24"/>
                <w:lang w:val="en-US" w:eastAsia="zh-CN"/>
              </w:rPr>
              <w:t>12月29日发布的</w:t>
            </w:r>
            <w:r>
              <w:rPr>
                <w:rFonts w:hint="default" w:ascii="Times New Roman" w:hAnsi="Times New Roman" w:cs="Times New Roman" w:eastAsiaTheme="minorEastAsia"/>
                <w:color w:val="auto"/>
                <w:sz w:val="24"/>
                <w:szCs w:val="24"/>
              </w:rPr>
              <w:t>《产业结构调整指导目录（2024年本）》，</w:t>
            </w:r>
            <w:r>
              <w:rPr>
                <w:rFonts w:hint="eastAsia" w:ascii="Times New Roman" w:hAnsi="Times New Roman" w:cs="Times New Roman" w:eastAsiaTheme="minorEastAsia"/>
                <w:color w:val="auto"/>
                <w:sz w:val="24"/>
                <w:szCs w:val="24"/>
                <w:lang w:eastAsia="zh-CN"/>
              </w:rPr>
              <w:t>本项目为</w:t>
            </w:r>
            <w:r>
              <w:rPr>
                <w:rFonts w:hint="default" w:ascii="Times New Roman" w:hAnsi="Times New Roman" w:eastAsia="宋体" w:cs="Times New Roman"/>
                <w:color w:val="auto"/>
                <w:sz w:val="24"/>
                <w:szCs w:val="24"/>
                <w:highlight w:val="none"/>
                <w:lang w:val="en-US" w:eastAsia="zh-CN"/>
              </w:rPr>
              <w:t>机械化农业及园艺机具制造</w:t>
            </w:r>
            <w:r>
              <w:rPr>
                <w:rFonts w:hint="eastAsia" w:ascii="Times New Roman" w:hAnsi="Times New Roman" w:cs="Times New Roman" w:eastAsiaTheme="minorEastAsia"/>
                <w:color w:val="auto"/>
                <w:sz w:val="24"/>
                <w:lang w:val="en-US" w:eastAsia="zh-CN"/>
              </w:rPr>
              <w:t>行业</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rPr>
              <w:t>不属于</w:t>
            </w:r>
            <w:r>
              <w:rPr>
                <w:rFonts w:hint="default" w:ascii="Times New Roman" w:hAnsi="Times New Roman" w:cs="Times New Roman" w:eastAsiaTheme="minorEastAsia"/>
                <w:color w:val="auto"/>
                <w:sz w:val="24"/>
                <w:szCs w:val="24"/>
              </w:rPr>
              <w:t>鼓励类、</w:t>
            </w:r>
            <w:r>
              <w:rPr>
                <w:rFonts w:hint="default" w:ascii="Times New Roman" w:hAnsi="Times New Roman" w:cs="Times New Roman" w:eastAsiaTheme="minorEastAsia"/>
                <w:color w:val="auto"/>
                <w:sz w:val="24"/>
                <w:szCs w:val="24"/>
                <w:lang w:val="en-US"/>
              </w:rPr>
              <w:t>限制类和淘汰类建设项目</w:t>
            </w:r>
            <w:r>
              <w:rPr>
                <w:rFonts w:hint="eastAsia" w:ascii="Times New Roman" w:hAnsi="Times New Roman" w:cs="Times New Roman" w:eastAsiaTheme="minorEastAsia"/>
                <w:color w:val="auto"/>
                <w:sz w:val="24"/>
                <w:szCs w:val="24"/>
                <w:lang w:val="en-US" w:eastAsia="zh-CN"/>
              </w:rPr>
              <w:t>。根据国务院关于发布实施《促进产业结构调整暂行规定》的决定第三章产业结构调整指导目录第十三条“不属于</w:t>
            </w:r>
            <w:r>
              <w:rPr>
                <w:rFonts w:hint="default" w:ascii="Times New Roman" w:hAnsi="Times New Roman" w:cs="Times New Roman" w:eastAsiaTheme="minorEastAsia"/>
                <w:color w:val="auto"/>
                <w:sz w:val="24"/>
                <w:szCs w:val="24"/>
              </w:rPr>
              <w:t>鼓励类、</w:t>
            </w:r>
            <w:r>
              <w:rPr>
                <w:rFonts w:hint="default" w:ascii="Times New Roman" w:hAnsi="Times New Roman" w:cs="Times New Roman" w:eastAsiaTheme="minorEastAsia"/>
                <w:color w:val="auto"/>
                <w:sz w:val="24"/>
                <w:szCs w:val="24"/>
                <w:lang w:val="en-US"/>
              </w:rPr>
              <w:t>限制类和淘汰类</w:t>
            </w:r>
            <w:r>
              <w:rPr>
                <w:rFonts w:hint="eastAsia" w:ascii="Times New Roman" w:hAnsi="Times New Roman" w:cs="Times New Roman" w:eastAsiaTheme="minorEastAsia"/>
                <w:color w:val="auto"/>
                <w:sz w:val="24"/>
                <w:szCs w:val="24"/>
                <w:lang w:val="en-US" w:eastAsia="zh-CN"/>
              </w:rPr>
              <w:t>，且符合国家有关法律、法规和政策规定的，视为允许类”，本项目</w:t>
            </w:r>
            <w:r>
              <w:rPr>
                <w:rFonts w:hint="default" w:ascii="Times New Roman" w:hAnsi="Times New Roman" w:cs="Times New Roman" w:eastAsiaTheme="minorEastAsia"/>
                <w:color w:val="auto"/>
                <w:sz w:val="24"/>
                <w:szCs w:val="24"/>
                <w:lang w:val="en-US"/>
              </w:rPr>
              <w:t>为允许类建设项目</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因此本项目的建设符合国家产业政策的要求。</w:t>
            </w:r>
          </w:p>
          <w:p>
            <w:pPr>
              <w:pStyle w:val="31"/>
              <w:spacing w:line="360" w:lineRule="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rPr>
              <w:t>2.</w:t>
            </w:r>
            <w:r>
              <w:rPr>
                <w:rFonts w:hint="eastAsia" w:ascii="Times New Roman" w:hAnsi="Times New Roman" w:cs="Times New Roman" w:eastAsiaTheme="minorEastAsia"/>
                <w:b/>
                <w:bCs/>
                <w:color w:val="auto"/>
                <w:sz w:val="24"/>
                <w:szCs w:val="24"/>
                <w:lang w:val="en-US" w:eastAsia="zh-CN"/>
              </w:rPr>
              <w:t>项目</w:t>
            </w:r>
            <w:r>
              <w:rPr>
                <w:rFonts w:hint="default" w:ascii="Times New Roman" w:hAnsi="Times New Roman" w:cs="Times New Roman" w:eastAsiaTheme="minorEastAsia"/>
                <w:b/>
                <w:bCs/>
                <w:color w:val="auto"/>
                <w:sz w:val="24"/>
                <w:szCs w:val="24"/>
              </w:rPr>
              <w:t>与</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三线一单</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相符性分析</w:t>
            </w:r>
          </w:p>
          <w:p>
            <w:pPr>
              <w:pStyle w:val="7"/>
              <w:spacing w:line="360" w:lineRule="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rPr>
              <w:t>2</w:t>
            </w:r>
            <w:r>
              <w:rPr>
                <w:rFonts w:hint="default" w:ascii="Times New Roman" w:hAnsi="Times New Roman" w:cs="Times New Roman" w:eastAsiaTheme="minorEastAsia"/>
                <w:b/>
                <w:bCs/>
                <w:color w:val="auto"/>
                <w:sz w:val="24"/>
                <w:szCs w:val="24"/>
              </w:rPr>
              <w:t>.1与《新疆维吾尔自治区</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三线一单</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生态环境分区管控方案》</w:t>
            </w:r>
            <w:r>
              <w:rPr>
                <w:rFonts w:hint="eastAsia" w:ascii="Times New Roman" w:hAnsi="Times New Roman" w:cs="Times New Roman" w:eastAsiaTheme="minorEastAsia"/>
                <w:b/>
                <w:bCs/>
                <w:color w:val="auto"/>
                <w:sz w:val="24"/>
                <w:szCs w:val="24"/>
                <w:lang w:eastAsia="zh-CN"/>
              </w:rPr>
              <w:t>（新政发〔20</w:t>
            </w:r>
            <w:r>
              <w:rPr>
                <w:rFonts w:hint="eastAsia" w:ascii="Times New Roman" w:hAnsi="Times New Roman" w:cs="Times New Roman" w:eastAsiaTheme="minorEastAsia"/>
                <w:b/>
                <w:bCs/>
                <w:color w:val="auto"/>
                <w:sz w:val="24"/>
                <w:szCs w:val="24"/>
                <w:lang w:val="en-US" w:eastAsia="zh-CN"/>
              </w:rPr>
              <w:t>21</w:t>
            </w:r>
            <w:r>
              <w:rPr>
                <w:rFonts w:hint="eastAsia"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lang w:val="en-US" w:eastAsia="zh-CN"/>
              </w:rPr>
              <w:t>18号</w:t>
            </w:r>
            <w:r>
              <w:rPr>
                <w:rFonts w:hint="eastAsia" w:ascii="Times New Roman" w:hAnsi="Times New Roman" w:cs="Times New Roman" w:eastAsiaTheme="minorEastAsia"/>
                <w:b/>
                <w:bCs/>
                <w:color w:val="auto"/>
                <w:sz w:val="24"/>
                <w:szCs w:val="24"/>
                <w:lang w:eastAsia="zh-CN"/>
              </w:rPr>
              <w:t>）的</w:t>
            </w:r>
            <w:r>
              <w:rPr>
                <w:rFonts w:hint="default" w:ascii="Times New Roman" w:hAnsi="Times New Roman" w:cs="Times New Roman" w:eastAsiaTheme="minorEastAsia"/>
                <w:b/>
                <w:bCs/>
                <w:color w:val="auto"/>
                <w:sz w:val="24"/>
                <w:szCs w:val="24"/>
              </w:rPr>
              <w:t>符合性分析</w:t>
            </w:r>
          </w:p>
          <w:p>
            <w:pPr>
              <w:pStyle w:val="31"/>
              <w:spacing w:line="360" w:lineRule="auto"/>
              <w:ind w:firstLine="480" w:firstLineChars="200"/>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2021年2月22日新疆维吾尔自治区人民政府办公厅发布了</w:t>
            </w:r>
            <w:r>
              <w:rPr>
                <w:rFonts w:hint="default" w:ascii="Times New Roman" w:hAnsi="Times New Roman" w:cs="Times New Roman" w:eastAsiaTheme="minorEastAsia"/>
                <w:color w:val="auto"/>
                <w:sz w:val="24"/>
                <w:szCs w:val="24"/>
              </w:rPr>
              <w:t>关于印发《新疆维吾尔自治区</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三线一单</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生态环境分区管控方案》的通知</w:t>
            </w:r>
            <w:r>
              <w:rPr>
                <w:rFonts w:hint="eastAsia" w:ascii="Times New Roman" w:hAnsi="Times New Roman" w:cs="Times New Roman" w:eastAsiaTheme="minorEastAsia"/>
                <w:color w:val="auto"/>
                <w:sz w:val="24"/>
                <w:szCs w:val="24"/>
                <w:lang w:eastAsia="zh-CN"/>
              </w:rPr>
              <w:t>；同时，按照生态环境部统一部署，自治区生态环境厅组织编制了《生态保护红线、环境质量底线、资源利用上线和生态环境准入清单》</w:t>
            </w:r>
            <w:r>
              <w:rPr>
                <w:rFonts w:hint="default" w:ascii="Times New Roman" w:hAnsi="Times New Roman" w:cs="Times New Roman" w:eastAsiaTheme="minorEastAsia"/>
                <w:color w:val="auto"/>
                <w:sz w:val="24"/>
                <w:szCs w:val="24"/>
              </w:rPr>
              <w:t>。</w:t>
            </w:r>
          </w:p>
          <w:p>
            <w:pPr>
              <w:pStyle w:val="31"/>
              <w:spacing w:line="360" w:lineRule="auto"/>
              <w:ind w:firstLine="480" w:firstLineChars="200"/>
              <w:rPr>
                <w:rFonts w:hint="default" w:cs="Times New Roman" w:eastAsiaTheme="minorEastAsia"/>
                <w:color w:val="auto"/>
                <w:sz w:val="24"/>
                <w:szCs w:val="24"/>
                <w:lang w:val="en-US" w:eastAsia="zh-CN"/>
              </w:rPr>
            </w:pPr>
            <w:r>
              <w:rPr>
                <w:rFonts w:hint="eastAsia" w:cs="Times New Roman" w:eastAsiaTheme="minorEastAsia"/>
                <w:color w:val="auto"/>
                <w:sz w:val="24"/>
                <w:szCs w:val="24"/>
                <w:lang w:eastAsia="zh-CN"/>
              </w:rPr>
              <w:t>本项目位于新疆维吾尔自治区昌吉回族自治州昌吉市，本工程与自治区“三线一单”生态分区管控方案的相符性详见表</w:t>
            </w:r>
            <w:r>
              <w:rPr>
                <w:rFonts w:hint="eastAsia" w:cs="Times New Roman" w:eastAsiaTheme="minorEastAsia"/>
                <w:color w:val="auto"/>
                <w:sz w:val="24"/>
                <w:szCs w:val="24"/>
                <w:lang w:val="en-US" w:eastAsia="zh-CN"/>
              </w:rPr>
              <w:t>1-1。</w:t>
            </w:r>
          </w:p>
          <w:p>
            <w:pPr>
              <w:tabs>
                <w:tab w:val="left" w:pos="3120"/>
              </w:tabs>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b/>
                <w:bCs/>
                <w:color w:val="auto"/>
                <w:szCs w:val="21"/>
              </w:rPr>
              <w:t>表1-1《新疆维吾尔自治区</w:t>
            </w:r>
            <w:r>
              <w:rPr>
                <w:rFonts w:hint="default" w:ascii="Times New Roman" w:hAnsi="Times New Roman" w:cs="Times New Roman" w:eastAsiaTheme="minorEastAsia"/>
                <w:b/>
                <w:bCs/>
                <w:color w:val="auto"/>
                <w:szCs w:val="21"/>
                <w:lang w:eastAsia="zh-CN"/>
              </w:rPr>
              <w:t>“</w:t>
            </w:r>
            <w:r>
              <w:rPr>
                <w:rFonts w:hint="default" w:ascii="Times New Roman" w:hAnsi="Times New Roman" w:cs="Times New Roman" w:eastAsiaTheme="minorEastAsia"/>
                <w:b/>
                <w:bCs/>
                <w:color w:val="auto"/>
                <w:szCs w:val="21"/>
              </w:rPr>
              <w:t>三线一单</w:t>
            </w:r>
            <w:r>
              <w:rPr>
                <w:rFonts w:hint="default" w:ascii="Times New Roman" w:hAnsi="Times New Roman" w:cs="Times New Roman" w:eastAsiaTheme="minorEastAsia"/>
                <w:b/>
                <w:bCs/>
                <w:color w:val="auto"/>
                <w:szCs w:val="21"/>
                <w:lang w:eastAsia="zh-CN"/>
              </w:rPr>
              <w:t>”</w:t>
            </w:r>
            <w:r>
              <w:rPr>
                <w:rFonts w:hint="default" w:ascii="Times New Roman" w:hAnsi="Times New Roman" w:cs="Times New Roman" w:eastAsiaTheme="minorEastAsia"/>
                <w:b/>
                <w:bCs/>
                <w:color w:val="auto"/>
                <w:szCs w:val="21"/>
              </w:rPr>
              <w:t>生态环境分区管控方案》符合性分析</w:t>
            </w:r>
          </w:p>
          <w:tbl>
            <w:tblPr>
              <w:tblStyle w:val="23"/>
              <w:tblW w:w="70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09"/>
              <w:gridCol w:w="3175"/>
              <w:gridCol w:w="2475"/>
              <w:gridCol w:w="8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pct"/>
                  <w:tcBorders>
                    <w:bottom w:val="single" w:color="000000" w:sz="12" w:space="0"/>
                  </w:tcBorders>
                  <w:vAlign w:val="center"/>
                </w:tcPr>
                <w:p>
                  <w:pPr>
                    <w:pStyle w:val="31"/>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内容</w:t>
                  </w:r>
                </w:p>
              </w:tc>
              <w:tc>
                <w:tcPr>
                  <w:tcW w:w="2256" w:type="pct"/>
                  <w:tcBorders>
                    <w:bottom w:val="single" w:color="000000" w:sz="12" w:space="0"/>
                  </w:tcBorders>
                  <w:vAlign w:val="center"/>
                </w:tcPr>
                <w:p>
                  <w:pPr>
                    <w:pStyle w:val="31"/>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要求</w:t>
                  </w:r>
                </w:p>
              </w:tc>
              <w:tc>
                <w:tcPr>
                  <w:tcW w:w="1759" w:type="pct"/>
                  <w:tcBorders>
                    <w:bottom w:val="single" w:color="000000" w:sz="12" w:space="0"/>
                  </w:tcBorders>
                  <w:vAlign w:val="center"/>
                </w:tcPr>
                <w:p>
                  <w:pPr>
                    <w:pStyle w:val="31"/>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符合性</w:t>
                  </w:r>
                </w:p>
              </w:tc>
              <w:tc>
                <w:tcPr>
                  <w:tcW w:w="621" w:type="pct"/>
                  <w:tcBorders>
                    <w:bottom w:val="single" w:color="000000" w:sz="12" w:space="0"/>
                  </w:tcBorders>
                  <w:vAlign w:val="center"/>
                </w:tcPr>
                <w:p>
                  <w:pPr>
                    <w:pStyle w:val="31"/>
                    <w:jc w:val="center"/>
                    <w:rPr>
                      <w:rFonts w:hint="eastAsia" w:ascii="Times New Roman" w:hAnsi="Times New Roman" w:cs="Times New Roman" w:eastAsiaTheme="minorEastAsia"/>
                      <w:b/>
                      <w:bCs/>
                      <w:color w:val="auto"/>
                      <w:szCs w:val="21"/>
                      <w:lang w:eastAsia="zh-CN"/>
                    </w:rPr>
                  </w:pPr>
                  <w:r>
                    <w:rPr>
                      <w:rFonts w:hint="eastAsia" w:ascii="Times New Roman" w:hAnsi="Times New Roman" w:cs="Times New Roman" w:eastAsiaTheme="minorEastAsia"/>
                      <w:b/>
                      <w:bCs/>
                      <w:color w:val="auto"/>
                      <w:szCs w:val="21"/>
                      <w:lang w:eastAsia="zh-CN"/>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pct"/>
                  <w:tcBorders>
                    <w:top w:val="single" w:color="000000" w:sz="12" w:space="0"/>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生态保护红线</w:t>
                  </w:r>
                </w:p>
              </w:tc>
              <w:tc>
                <w:tcPr>
                  <w:tcW w:w="2256" w:type="pct"/>
                  <w:tcBorders>
                    <w:top w:val="single" w:color="000000" w:sz="12" w:space="0"/>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759" w:type="pct"/>
                  <w:tcBorders>
                    <w:top w:val="single" w:color="000000" w:sz="12" w:space="0"/>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建设项目位于新疆维吾尔自治区昌吉回族自治州昌吉市八钢工业聚集区，项目不涉及国家公园、自然保护区、风景名胜区、世界文化和自然遗产地、海洋特别保护区、饮用水水源保护区等环境敏感区，项目区不涉及生态保护红线。</w:t>
                  </w:r>
                </w:p>
              </w:tc>
              <w:tc>
                <w:tcPr>
                  <w:tcW w:w="621" w:type="pct"/>
                  <w:tcBorders>
                    <w:top w:val="single" w:color="000000" w:sz="12" w:space="0"/>
                    <w:tl2br w:val="nil"/>
                    <w:tr2bl w:val="nil"/>
                  </w:tcBorders>
                  <w:vAlign w:val="center"/>
                </w:tcPr>
                <w:p>
                  <w:pPr>
                    <w:pStyle w:val="31"/>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pct"/>
                  <w:tcBorders>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环境质量底线</w:t>
                  </w:r>
                </w:p>
              </w:tc>
              <w:tc>
                <w:tcPr>
                  <w:tcW w:w="2256" w:type="pct"/>
                  <w:tcBorders>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1759" w:type="pct"/>
                  <w:tcBorders>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本项目产生的废气、噪声、固废等污染物均能达标排放，能够满足相关标准要求，符合环境质量底线的要求，不会对环境质量底线产生冲击。</w:t>
                  </w:r>
                </w:p>
              </w:tc>
              <w:tc>
                <w:tcPr>
                  <w:tcW w:w="621" w:type="pct"/>
                  <w:tcBorders>
                    <w:tl2br w:val="nil"/>
                    <w:tr2bl w:val="nil"/>
                  </w:tcBorders>
                  <w:vAlign w:val="center"/>
                </w:tcPr>
                <w:p>
                  <w:pPr>
                    <w:pStyle w:val="31"/>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pct"/>
                  <w:tcBorders>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资源利用上线</w:t>
                  </w:r>
                </w:p>
              </w:tc>
              <w:tc>
                <w:tcPr>
                  <w:tcW w:w="2256" w:type="pct"/>
                  <w:tcBorders>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资源是环境的载体，资源利用上线是各区能源、水、土地等资源消耗不得突破的“天花板”。</w:t>
                  </w:r>
                </w:p>
              </w:tc>
              <w:tc>
                <w:tcPr>
                  <w:tcW w:w="1759" w:type="pct"/>
                  <w:tcBorders>
                    <w:tl2br w:val="nil"/>
                    <w:tr2bl w:val="nil"/>
                  </w:tcBorders>
                  <w:vAlign w:val="center"/>
                </w:tcPr>
                <w:p>
                  <w:pPr>
                    <w:pStyle w:val="31"/>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本项目充分利用现有公用和辅助工程，营运期通过内部管理、设备选择、原辅材料的选用和管理、废物回收利用、污染治理等多方面采取合理可行的防治措施，以“节能、降耗、减污”为目标，有效地控制污染，实现废物资源化。项目使用的水、电等资源利用不会突破区域的资源利用上</w:t>
                  </w:r>
                  <w:r>
                    <w:rPr>
                      <w:rFonts w:hint="eastAsia" w:ascii="Times New Roman" w:hAnsi="Times New Roman" w:cs="Times New Roman" w:eastAsiaTheme="minorEastAsia"/>
                      <w:color w:val="auto"/>
                      <w:szCs w:val="21"/>
                      <w:lang w:eastAsia="zh-CN"/>
                    </w:rPr>
                    <w:t>限。</w:t>
                  </w:r>
                </w:p>
              </w:tc>
              <w:tc>
                <w:tcPr>
                  <w:tcW w:w="621" w:type="pct"/>
                  <w:tcBorders>
                    <w:tl2br w:val="nil"/>
                    <w:tr2bl w:val="nil"/>
                  </w:tcBorders>
                  <w:vAlign w:val="center"/>
                </w:tcPr>
                <w:p>
                  <w:pPr>
                    <w:pStyle w:val="31"/>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pct"/>
                  <w:tcBorders>
                    <w:tl2br w:val="nil"/>
                    <w:tr2bl w:val="nil"/>
                  </w:tcBorders>
                  <w:vAlign w:val="center"/>
                </w:tcPr>
                <w:p>
                  <w:pPr>
                    <w:pStyle w:val="31"/>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生态环境准入清单</w:t>
                  </w:r>
                </w:p>
              </w:tc>
              <w:tc>
                <w:tcPr>
                  <w:tcW w:w="2256" w:type="pct"/>
                  <w:tcBorders>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态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759" w:type="pct"/>
                  <w:tcBorders>
                    <w:tl2br w:val="nil"/>
                    <w:tr2bl w:val="nil"/>
                  </w:tcBorders>
                  <w:vAlign w:val="center"/>
                </w:tcPr>
                <w:p>
                  <w:pPr>
                    <w:pStyle w:val="31"/>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本项目符合产业政策，未列入《新疆重点生态功能区产业准入清单》中限制类和禁止类。</w:t>
                  </w:r>
                </w:p>
              </w:tc>
              <w:tc>
                <w:tcPr>
                  <w:tcW w:w="621" w:type="pct"/>
                  <w:tcBorders>
                    <w:tl2br w:val="nil"/>
                    <w:tr2bl w:val="nil"/>
                  </w:tcBorders>
                  <w:vAlign w:val="center"/>
                </w:tcPr>
                <w:p>
                  <w:pPr>
                    <w:pStyle w:val="31"/>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符合</w:t>
                  </w:r>
                </w:p>
              </w:tc>
            </w:tr>
          </w:tbl>
          <w:p>
            <w:pPr>
              <w:pStyle w:val="31"/>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cs="Times New Roman" w:eastAsiaTheme="minorEastAsia"/>
                <w:color w:val="auto"/>
                <w:spacing w:val="0"/>
                <w:w w:val="100"/>
                <w:kern w:val="2"/>
                <w:position w:val="0"/>
                <w:sz w:val="24"/>
                <w:szCs w:val="32"/>
                <w:highlight w:val="none"/>
                <w:lang w:val="en-US" w:eastAsia="zh-CN" w:bidi="ar-SA"/>
              </w:rPr>
            </w:pPr>
            <w:r>
              <w:rPr>
                <w:rFonts w:hint="eastAsia" w:ascii="Times New Roman" w:hAnsi="Times New Roman" w:cs="Times New Roman" w:eastAsiaTheme="minorEastAsia"/>
                <w:color w:val="auto"/>
                <w:spacing w:val="0"/>
                <w:w w:val="100"/>
                <w:kern w:val="2"/>
                <w:position w:val="0"/>
                <w:sz w:val="24"/>
                <w:szCs w:val="32"/>
                <w:highlight w:val="none"/>
                <w:lang w:val="en-US" w:eastAsia="zh-CN" w:bidi="ar-SA"/>
              </w:rPr>
              <w:t>综上所述，本项目符合《新疆维吾尔自治区“三线一单”生态环境分区管控方案》（新政发〔2021〕18号）的相关要求。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2.2与《新疆维吾尔自治区七大片区</w:t>
            </w:r>
            <w:r>
              <w:rPr>
                <w:rFonts w:hint="default" w:ascii="Times New Roman" w:hAnsi="Times New Roman"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三线一单</w:t>
            </w:r>
            <w:r>
              <w:rPr>
                <w:rFonts w:hint="default" w:ascii="Times New Roman" w:hAnsi="Times New Roman"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生态环境分区管控</w:t>
            </w:r>
            <w:r>
              <w:rPr>
                <w:rFonts w:hint="eastAsia" w:cs="Times New Roman" w:eastAsiaTheme="minorEastAsia"/>
                <w:b/>
                <w:bCs/>
                <w:color w:val="auto"/>
                <w:kern w:val="0"/>
                <w:sz w:val="24"/>
                <w:szCs w:val="24"/>
                <w:lang w:eastAsia="zh-CN"/>
              </w:rPr>
              <w:t>要求</w:t>
            </w:r>
            <w:r>
              <w:rPr>
                <w:rFonts w:hint="default" w:ascii="Times New Roman" w:hAnsi="Times New Roman" w:cs="Times New Roman" w:eastAsiaTheme="minorEastAsia"/>
                <w:b/>
                <w:bCs/>
                <w:color w:val="auto"/>
                <w:kern w:val="0"/>
                <w:sz w:val="24"/>
                <w:szCs w:val="24"/>
              </w:rPr>
              <w:t>》</w:t>
            </w:r>
            <w:r>
              <w:rPr>
                <w:rFonts w:hint="eastAsia" w:cs="Times New Roman" w:eastAsiaTheme="minorEastAsia"/>
                <w:b/>
                <w:bCs/>
                <w:color w:val="auto"/>
                <w:kern w:val="0"/>
                <w:sz w:val="24"/>
                <w:szCs w:val="24"/>
                <w:lang w:eastAsia="zh-CN"/>
              </w:rPr>
              <w:t>（新环环评发〔2021〕</w:t>
            </w:r>
            <w:r>
              <w:rPr>
                <w:rFonts w:hint="eastAsia" w:cs="Times New Roman" w:eastAsiaTheme="minorEastAsia"/>
                <w:b/>
                <w:bCs/>
                <w:color w:val="auto"/>
                <w:kern w:val="0"/>
                <w:sz w:val="24"/>
                <w:szCs w:val="24"/>
                <w:lang w:val="en-US" w:eastAsia="zh-CN"/>
              </w:rPr>
              <w:t>162号</w:t>
            </w:r>
            <w:r>
              <w:rPr>
                <w:rFonts w:hint="eastAsia"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的符合性分析</w:t>
            </w:r>
          </w:p>
          <w:p>
            <w:pPr>
              <w:keepNext w:val="0"/>
              <w:keepLines w:val="0"/>
              <w:pageBreakBefore w:val="0"/>
              <w:widowControl w:val="0"/>
              <w:shd w:val="clea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both"/>
              <w:textAlignment w:val="auto"/>
              <w:rPr>
                <w:rFonts w:hint="default" w:ascii="Times New Roman" w:hAnsi="Times New Roman" w:cs="Times New Roman" w:eastAsiaTheme="minorEastAsia"/>
                <w:snapToGrid/>
                <w:color w:val="auto"/>
                <w:sz w:val="24"/>
                <w:szCs w:val="24"/>
                <w:lang w:eastAsia="zh-CN"/>
              </w:rPr>
            </w:pPr>
            <w:r>
              <w:rPr>
                <w:rFonts w:hint="default" w:ascii="Times New Roman" w:hAnsi="Times New Roman" w:cs="Times New Roman" w:eastAsiaTheme="minorEastAsia"/>
                <w:color w:val="auto"/>
                <w:spacing w:val="0"/>
                <w:w w:val="100"/>
                <w:position w:val="0"/>
                <w:sz w:val="24"/>
                <w:szCs w:val="32"/>
                <w:highlight w:val="none"/>
                <w:lang w:eastAsia="zh-CN"/>
              </w:rPr>
              <w:t>根据《新疆维吾尔自治区七大片区“三线一单”生态环境分区管控要求》文件要求：“除国家规划项目外，乌鲁木齐市七区一县、昌吉市、阜康市、玛纳斯县、呼图壁县、沙湾市建成区及周边敏感区域内不再布局建设煤化工、电解铝、燃煤纯发电机组、金属硅、碳化硅、聚氯乙烯电石法入、焦炭（含半焦）等新增产能项目。具备风光电清洁供暖建设条件的区域原则上不新批热电联产项目。坚持属地负责与区域大气污染联防联控相结合，以明显降低细颗粒物浓度为重点，协同推进“乌-昌-石”同防同治区域大气环境治理。</w:t>
            </w:r>
            <w:r>
              <w:rPr>
                <w:rFonts w:hint="default" w:ascii="Times New Roman" w:hAnsi="Times New Roman" w:cs="Times New Roman" w:eastAsiaTheme="minorEastAsia"/>
                <w:snapToGrid/>
                <w:color w:val="auto"/>
                <w:sz w:val="24"/>
                <w:szCs w:val="24"/>
              </w:rPr>
              <w:t>所有新建、改建、扩建工业项目执行最严格的大气污染物排放标准，强化氮氧化物深度治理，确保区域环境空气质量持续改善。强化挥发性有机物防治措施。</w:t>
            </w:r>
            <w:r>
              <w:rPr>
                <w:rFonts w:hint="default" w:ascii="Times New Roman" w:hAnsi="Times New Roman" w:cs="Times New Roman" w:eastAsiaTheme="minorEastAsia"/>
                <w:snapToGrid/>
                <w:color w:val="auto"/>
                <w:sz w:val="24"/>
                <w:szCs w:val="24"/>
                <w:lang w:eastAsia="zh-CN"/>
              </w:rPr>
              <w:t>”</w:t>
            </w:r>
          </w:p>
          <w:p>
            <w:pPr>
              <w:keepNext w:val="0"/>
              <w:keepLines w:val="0"/>
              <w:pageBreakBefore w:val="0"/>
              <w:widowControl w:val="0"/>
              <w:shd w:val="clea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000000" w:themeColor="text1"/>
                <w:spacing w:val="0"/>
                <w:w w:val="100"/>
                <w:position w:val="0"/>
                <w:sz w:val="24"/>
                <w:szCs w:val="32"/>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本项目属于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机械化农业及园艺机具制造</w:t>
            </w:r>
            <w:r>
              <w:rPr>
                <w:rFonts w:hint="eastAsia" w:ascii="Times New Roman" w:hAnsi="Times New Roman" w:cs="Times New Roman" w:eastAsiaTheme="minorEastAsia"/>
                <w:color w:val="000000" w:themeColor="text1"/>
                <w:sz w:val="24"/>
                <w:lang w:eastAsia="zh-CN"/>
                <w14:textFill>
                  <w14:solidFill>
                    <w14:schemeClr w14:val="tx1"/>
                  </w14:solidFill>
                </w14:textFill>
              </w:rPr>
              <w:t>业，不属于</w:t>
            </w:r>
            <w:r>
              <w:rPr>
                <w:rFonts w:hint="default" w:ascii="Times New Roman" w:hAnsi="Times New Roman" w:cs="Times New Roman" w:eastAsiaTheme="minorEastAsia"/>
                <w:color w:val="000000" w:themeColor="text1"/>
                <w:spacing w:val="0"/>
                <w:w w:val="100"/>
                <w:position w:val="0"/>
                <w:sz w:val="24"/>
                <w:szCs w:val="32"/>
                <w:highlight w:val="none"/>
                <w:lang w:eastAsia="zh-CN"/>
                <w14:textFill>
                  <w14:solidFill>
                    <w14:schemeClr w14:val="tx1"/>
                  </w14:solidFill>
                </w14:textFill>
              </w:rPr>
              <w:t>煤化工、电解铝、燃煤纯发电机组、金属硅、碳化硅、聚氯乙烯电石法入、焦炭（含半焦）等</w:t>
            </w:r>
            <w:r>
              <w:rPr>
                <w:rFonts w:hint="eastAsia" w:ascii="Times New Roman" w:hAnsi="Times New Roman" w:cs="Times New Roman" w:eastAsiaTheme="minorEastAsia"/>
                <w:color w:val="000000" w:themeColor="text1"/>
                <w:spacing w:val="0"/>
                <w:w w:val="100"/>
                <w:position w:val="0"/>
                <w:sz w:val="24"/>
                <w:szCs w:val="32"/>
                <w:highlight w:val="none"/>
                <w:lang w:eastAsia="zh-CN"/>
                <w14:textFill>
                  <w14:solidFill>
                    <w14:schemeClr w14:val="tx1"/>
                  </w14:solidFill>
                </w14:textFill>
              </w:rPr>
              <w:t>项目，</w:t>
            </w:r>
            <w:r>
              <w:rPr>
                <w:rFonts w:hint="default" w:ascii="Times New Roman" w:hAnsi="Times New Roman" w:cs="Times New Roman" w:eastAsiaTheme="minorEastAsia"/>
                <w:color w:val="000000" w:themeColor="text1"/>
                <w:spacing w:val="0"/>
                <w:w w:val="100"/>
                <w:position w:val="0"/>
                <w:sz w:val="24"/>
                <w:szCs w:val="32"/>
                <w:highlight w:val="none"/>
                <w:lang w:eastAsia="zh-CN"/>
                <w14:textFill>
                  <w14:solidFill>
                    <w14:schemeClr w14:val="tx1"/>
                  </w14:solidFill>
                </w14:textFill>
              </w:rPr>
              <w:t>本项目位于</w:t>
            </w:r>
            <w:r>
              <w:rPr>
                <w:rFonts w:hint="eastAsia" w:ascii="Times New Roman" w:hAnsi="Times New Roman" w:cs="Times New Roman" w:eastAsiaTheme="minorEastAsia"/>
                <w:color w:val="000000" w:themeColor="text1"/>
                <w:spacing w:val="0"/>
                <w:w w:val="100"/>
                <w:position w:val="0"/>
                <w:sz w:val="24"/>
                <w:szCs w:val="32"/>
                <w:highlight w:val="none"/>
                <w:lang w:eastAsia="zh-CN"/>
                <w14:textFill>
                  <w14:solidFill>
                    <w14:schemeClr w14:val="tx1"/>
                  </w14:solidFill>
                </w14:textFill>
              </w:rPr>
              <w:t>昌吉市</w:t>
            </w:r>
            <w:r>
              <w:rPr>
                <w:rFonts w:hint="default" w:ascii="Times New Roman" w:hAnsi="Times New Roman" w:cs="Times New Roman" w:eastAsiaTheme="minorEastAsia"/>
                <w:color w:val="000000" w:themeColor="text1"/>
                <w:spacing w:val="0"/>
                <w:w w:val="100"/>
                <w:position w:val="0"/>
                <w:sz w:val="24"/>
                <w:szCs w:val="24"/>
                <w:highlight w:val="none"/>
                <w:lang w:eastAsia="zh-CN"/>
                <w14:textFill>
                  <w14:solidFill>
                    <w14:schemeClr w14:val="tx1"/>
                  </w14:solidFill>
                </w14:textFill>
              </w:rPr>
              <w:t>，属于“乌</w:t>
            </w:r>
            <w:r>
              <w:rPr>
                <w:rFonts w:hint="default" w:ascii="Times New Roman" w:hAnsi="Times New Roman" w:cs="Times New Roman" w:eastAsiaTheme="minorEastAsia"/>
                <w:color w:val="000000" w:themeColor="text1"/>
                <w:spacing w:val="0"/>
                <w:w w:val="100"/>
                <w:position w:val="0"/>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pacing w:val="0"/>
                <w:w w:val="100"/>
                <w:position w:val="0"/>
                <w:sz w:val="24"/>
                <w:szCs w:val="24"/>
                <w:highlight w:val="none"/>
                <w:lang w:eastAsia="zh-CN"/>
                <w14:textFill>
                  <w14:solidFill>
                    <w14:schemeClr w14:val="tx1"/>
                  </w14:solidFill>
                </w14:textFill>
              </w:rPr>
              <w:t>昌</w:t>
            </w:r>
            <w:r>
              <w:rPr>
                <w:rFonts w:hint="default" w:ascii="Times New Roman" w:hAnsi="Times New Roman" w:cs="Times New Roman" w:eastAsiaTheme="minorEastAsia"/>
                <w:color w:val="000000" w:themeColor="text1"/>
                <w:spacing w:val="0"/>
                <w:w w:val="100"/>
                <w:position w:val="0"/>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pacing w:val="0"/>
                <w:w w:val="100"/>
                <w:position w:val="0"/>
                <w:sz w:val="24"/>
                <w:szCs w:val="24"/>
                <w:highlight w:val="none"/>
                <w:lang w:eastAsia="zh-CN"/>
                <w14:textFill>
                  <w14:solidFill>
                    <w14:schemeClr w14:val="tx1"/>
                  </w14:solidFill>
                </w14:textFill>
              </w:rPr>
              <w:t>石”片区</w:t>
            </w:r>
            <w:r>
              <w:rPr>
                <w:rFonts w:hint="eastAsia" w:ascii="Times New Roman" w:hAnsi="Times New Roman" w:cs="Times New Roman" w:eastAsiaTheme="minorEastAsia"/>
                <w:color w:val="000000" w:themeColor="text1"/>
                <w:spacing w:val="0"/>
                <w:w w:val="100"/>
                <w:position w:val="0"/>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pacing w:val="0"/>
                <w:w w:val="100"/>
                <w:position w:val="0"/>
                <w:sz w:val="24"/>
                <w:szCs w:val="32"/>
                <w:highlight w:val="none"/>
                <w:lang w:eastAsia="zh-CN"/>
                <w14:textFill>
                  <w14:solidFill>
                    <w14:schemeClr w14:val="tx1"/>
                  </w14:solidFill>
                </w14:textFill>
              </w:rPr>
              <w:t>本项目</w:t>
            </w:r>
            <w:r>
              <w:rPr>
                <w:rFonts w:hint="eastAsia" w:cs="Times New Roman" w:eastAsiaTheme="minorEastAsia"/>
                <w:color w:val="000000" w:themeColor="text1"/>
                <w:spacing w:val="0"/>
                <w:w w:val="100"/>
                <w:position w:val="0"/>
                <w:sz w:val="24"/>
                <w:szCs w:val="32"/>
                <w:highlight w:val="none"/>
                <w:lang w:eastAsia="zh-CN"/>
                <w14:textFill>
                  <w14:solidFill>
                    <w14:schemeClr w14:val="tx1"/>
                  </w14:solidFill>
                </w14:textFill>
              </w:rPr>
              <w:t>有组织颗粒物执行</w:t>
            </w:r>
            <w:r>
              <w:rPr>
                <w:rFonts w:hint="eastAsia" w:ascii="Times New Roman" w:hAnsi="Times New Roman" w:eastAsia="宋体" w:cs="Times New Roman"/>
                <w:color w:val="000000" w:themeColor="text1"/>
                <w:kern w:val="21"/>
                <w:sz w:val="24"/>
                <w:lang w:eastAsia="zh-CN" w:bidi="ar"/>
                <w14:textFill>
                  <w14:solidFill>
                    <w14:schemeClr w14:val="tx1"/>
                  </w14:solidFill>
                </w14:textFill>
              </w:rPr>
              <w:t>《大气污染物综合排放标准》（GB16297-1996）中表2新污染源颗粒物有组织排放限值。</w:t>
            </w:r>
            <w:r>
              <w:rPr>
                <w:rFonts w:hint="eastAsia" w:ascii="宋体" w:hAnsi="宋体" w:cs="宋体"/>
                <w:b w:val="0"/>
                <w:bCs w:val="0"/>
                <w:sz w:val="24"/>
                <w:szCs w:val="24"/>
                <w:lang w:val="en-US" w:eastAsia="zh-CN"/>
              </w:rPr>
              <w:t>非甲烷总烃</w:t>
            </w:r>
            <w:r>
              <w:rPr>
                <w:rFonts w:hint="eastAsia" w:ascii="Times New Roman" w:hAnsi="Times New Roman" w:eastAsia="宋体" w:cs="Times New Roman"/>
                <w:color w:val="000000" w:themeColor="text1"/>
                <w:kern w:val="21"/>
                <w:sz w:val="24"/>
                <w:lang w:eastAsia="zh-CN" w:bidi="ar"/>
                <w14:textFill>
                  <w14:solidFill>
                    <w14:schemeClr w14:val="tx1"/>
                  </w14:solidFill>
                </w14:textFill>
              </w:rPr>
              <w:t>执行《大气污染物综合排放标准》（GB16297-1996）中表2新污染源大气污染物特别排放限值。</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因此，本项目符合《新疆维吾尔自治区七大片区“三线一单”生态环境分区管控要求》相关要求。因此，本项目建设符合该意见的要求。</w:t>
            </w:r>
          </w:p>
          <w:p>
            <w:pPr>
              <w:autoSpaceDE w:val="0"/>
              <w:autoSpaceDN w:val="0"/>
              <w:adjustRightInd w:val="0"/>
              <w:snapToGrid w:val="0"/>
              <w:spacing w:line="360" w:lineRule="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2.3与《昌吉回族自治州</w:t>
            </w:r>
            <w:r>
              <w:rPr>
                <w:rFonts w:hint="default" w:ascii="Times New Roman" w:hAnsi="Times New Roman"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三线一单</w:t>
            </w:r>
            <w:r>
              <w:rPr>
                <w:rFonts w:hint="default" w:ascii="Times New Roman" w:hAnsi="Times New Roman"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生态环境分区管控方案</w:t>
            </w:r>
            <w:r>
              <w:rPr>
                <w:rFonts w:hint="eastAsia" w:cs="Times New Roman" w:eastAsiaTheme="minorEastAsia"/>
                <w:b/>
                <w:bCs/>
                <w:color w:val="auto"/>
                <w:kern w:val="0"/>
                <w:sz w:val="24"/>
                <w:szCs w:val="24"/>
                <w:lang w:eastAsia="zh-CN"/>
              </w:rPr>
              <w:t>及生态环境准入清单</w:t>
            </w:r>
            <w:r>
              <w:rPr>
                <w:rFonts w:hint="default" w:ascii="Times New Roman" w:hAnsi="Times New Roman" w:cs="Times New Roman" w:eastAsiaTheme="minorEastAsia"/>
                <w:b/>
                <w:bCs/>
                <w:color w:val="auto"/>
                <w:kern w:val="0"/>
                <w:sz w:val="24"/>
                <w:szCs w:val="24"/>
              </w:rPr>
              <w:t>》</w:t>
            </w:r>
            <w:r>
              <w:rPr>
                <w:rFonts w:hint="eastAsia" w:cs="Times New Roman" w:eastAsiaTheme="minorEastAsia"/>
                <w:b/>
                <w:bCs/>
                <w:color w:val="auto"/>
                <w:kern w:val="0"/>
                <w:sz w:val="24"/>
                <w:szCs w:val="24"/>
                <w:lang w:eastAsia="zh-CN"/>
              </w:rPr>
              <w:t>（昌州政办发〔2021〕</w:t>
            </w:r>
            <w:r>
              <w:rPr>
                <w:rFonts w:hint="eastAsia" w:cs="Times New Roman" w:eastAsiaTheme="minorEastAsia"/>
                <w:b/>
                <w:bCs/>
                <w:color w:val="auto"/>
                <w:kern w:val="0"/>
                <w:sz w:val="24"/>
                <w:szCs w:val="24"/>
                <w:lang w:val="en-US" w:eastAsia="zh-CN"/>
              </w:rPr>
              <w:t>41号</w:t>
            </w:r>
            <w:r>
              <w:rPr>
                <w:rFonts w:hint="eastAsia" w:cs="Times New Roman" w:eastAsiaTheme="minorEastAsia"/>
                <w:b/>
                <w:bCs/>
                <w:color w:val="auto"/>
                <w:kern w:val="0"/>
                <w:sz w:val="24"/>
                <w:szCs w:val="24"/>
                <w:lang w:eastAsia="zh-CN"/>
              </w:rPr>
              <w:t>）</w:t>
            </w:r>
            <w:r>
              <w:rPr>
                <w:rFonts w:hint="default" w:ascii="Times New Roman" w:hAnsi="Times New Roman" w:cs="Times New Roman" w:eastAsiaTheme="minorEastAsia"/>
                <w:b/>
                <w:bCs/>
                <w:color w:val="auto"/>
                <w:kern w:val="0"/>
                <w:sz w:val="24"/>
                <w:szCs w:val="24"/>
              </w:rPr>
              <w:t>的符合性分析</w:t>
            </w:r>
          </w:p>
          <w:p>
            <w:pPr>
              <w:pStyle w:val="10"/>
              <w:keepNext w:val="0"/>
              <w:keepLines w:val="0"/>
              <w:pageBreakBefore w:val="0"/>
              <w:widowControl w:val="0"/>
              <w:shd w:val="clear"/>
              <w:kinsoku/>
              <w:wordWrap/>
              <w:overflowPunct/>
              <w:bidi w:val="0"/>
              <w:snapToGrid w:val="0"/>
              <w:spacing w:beforeAutospacing="0" w:afterAutospacing="0" w:line="360" w:lineRule="auto"/>
              <w:ind w:left="0" w:leftChars="0" w:right="0" w:rightChars="0" w:firstLine="480"/>
              <w:jc w:val="both"/>
              <w:rPr>
                <w:rFonts w:hint="default" w:cs="Times New Roman" w:eastAsiaTheme="minorEastAsia"/>
                <w:color w:val="auto"/>
                <w:spacing w:val="0"/>
                <w:w w:val="100"/>
                <w:position w:val="0"/>
                <w:sz w:val="24"/>
                <w:szCs w:val="24"/>
                <w:highlight w:val="none"/>
                <w:lang w:val="en-US" w:eastAsia="zh-CN"/>
              </w:rPr>
            </w:pPr>
            <w:r>
              <w:rPr>
                <w:rFonts w:hint="eastAsia" w:cs="Times New Roman" w:eastAsiaTheme="minorEastAsia"/>
                <w:color w:val="auto"/>
                <w:spacing w:val="0"/>
                <w:w w:val="100"/>
                <w:position w:val="0"/>
                <w:sz w:val="24"/>
                <w:szCs w:val="24"/>
                <w:highlight w:val="none"/>
                <w:lang w:eastAsia="zh-CN"/>
              </w:rPr>
              <w:t>本项目位于昌吉市三工镇八钢工业聚集区，根据</w:t>
            </w:r>
            <w:r>
              <w:rPr>
                <w:rFonts w:hint="default" w:ascii="Times New Roman" w:hAnsi="Times New Roman" w:cs="Times New Roman" w:eastAsiaTheme="minorEastAsia"/>
                <w:color w:val="auto"/>
                <w:spacing w:val="0"/>
                <w:w w:val="100"/>
                <w:position w:val="0"/>
                <w:sz w:val="24"/>
                <w:szCs w:val="24"/>
                <w:highlight w:val="none"/>
                <w:lang w:eastAsia="zh-CN"/>
              </w:rPr>
              <w:t>《昌吉回族自治州“三线一单”生态环境分区管控方案</w:t>
            </w:r>
            <w:r>
              <w:rPr>
                <w:rFonts w:hint="eastAsia" w:cs="Times New Roman" w:eastAsiaTheme="minorEastAsia"/>
                <w:color w:val="auto"/>
                <w:spacing w:val="0"/>
                <w:w w:val="100"/>
                <w:position w:val="0"/>
                <w:sz w:val="24"/>
                <w:szCs w:val="24"/>
                <w:highlight w:val="none"/>
                <w:lang w:eastAsia="zh-CN"/>
              </w:rPr>
              <w:t>及生态环境准入清单</w:t>
            </w:r>
            <w:r>
              <w:rPr>
                <w:rFonts w:hint="default" w:ascii="Times New Roman" w:hAnsi="Times New Roman" w:cs="Times New Roman" w:eastAsiaTheme="minorEastAsia"/>
                <w:color w:val="auto"/>
                <w:spacing w:val="0"/>
                <w:w w:val="100"/>
                <w:position w:val="0"/>
                <w:sz w:val="24"/>
                <w:szCs w:val="24"/>
                <w:highlight w:val="none"/>
                <w:lang w:eastAsia="zh-CN"/>
              </w:rPr>
              <w:t>》（昌州政办发〔2021〕41号）</w:t>
            </w:r>
            <w:r>
              <w:rPr>
                <w:rFonts w:hint="eastAsia" w:ascii="Times New Roman" w:hAnsi="Times New Roman" w:cs="Times New Roman" w:eastAsiaTheme="minorEastAsia"/>
                <w:color w:val="auto"/>
                <w:spacing w:val="0"/>
                <w:w w:val="100"/>
                <w:position w:val="0"/>
                <w:sz w:val="24"/>
                <w:szCs w:val="24"/>
                <w:highlight w:val="none"/>
                <w:lang w:eastAsia="zh-CN"/>
              </w:rPr>
              <w:t>，本项目属于重点管控单元，编码为</w:t>
            </w:r>
            <w:r>
              <w:rPr>
                <w:rFonts w:hint="eastAsia" w:ascii="Times New Roman" w:hAnsi="Times New Roman" w:cs="Times New Roman" w:eastAsiaTheme="minorEastAsia"/>
                <w:color w:val="auto"/>
                <w:spacing w:val="0"/>
                <w:w w:val="100"/>
                <w:position w:val="0"/>
                <w:sz w:val="24"/>
                <w:szCs w:val="24"/>
                <w:highlight w:val="none"/>
                <w:lang w:val="en-US" w:eastAsia="zh-CN"/>
              </w:rPr>
              <w:t>ZH65230120003。</w:t>
            </w:r>
          </w:p>
          <w:p>
            <w:pPr>
              <w:pStyle w:val="10"/>
              <w:keepNext w:val="0"/>
              <w:keepLines w:val="0"/>
              <w:pageBreakBefore w:val="0"/>
              <w:widowControl w:val="0"/>
              <w:shd w:val="clear"/>
              <w:kinsoku/>
              <w:wordWrap/>
              <w:overflowPunct/>
              <w:bidi w:val="0"/>
              <w:snapToGrid w:val="0"/>
              <w:spacing w:beforeAutospacing="0" w:afterAutospacing="0" w:line="360" w:lineRule="auto"/>
              <w:ind w:left="0" w:leftChars="0" w:right="0" w:rightChars="0" w:firstLine="480"/>
              <w:jc w:val="both"/>
              <w:rPr>
                <w:rFonts w:hint="default" w:ascii="Times New Roman" w:hAnsi="Times New Roman" w:cs="Times New Roman" w:eastAsiaTheme="minorEastAsia"/>
                <w:color w:val="auto"/>
                <w:spacing w:val="0"/>
                <w:w w:val="100"/>
                <w:position w:val="0"/>
                <w:sz w:val="24"/>
                <w:szCs w:val="24"/>
                <w:highlight w:val="none"/>
                <w:lang w:eastAsia="zh-CN"/>
              </w:rPr>
            </w:pPr>
            <w:r>
              <w:rPr>
                <w:rFonts w:hint="default" w:ascii="Times New Roman" w:hAnsi="Times New Roman" w:cs="Times New Roman" w:eastAsiaTheme="minorEastAsia"/>
                <w:color w:val="auto"/>
                <w:spacing w:val="0"/>
                <w:w w:val="100"/>
                <w:position w:val="0"/>
                <w:sz w:val="24"/>
                <w:szCs w:val="24"/>
                <w:highlight w:val="none"/>
                <w:lang w:eastAsia="zh-CN"/>
              </w:rPr>
              <w:t>本项目与《昌吉回族自治州“三线一单”生态环境分区管控方案</w:t>
            </w:r>
            <w:r>
              <w:rPr>
                <w:rFonts w:hint="eastAsia" w:cs="Times New Roman" w:eastAsiaTheme="minorEastAsia"/>
                <w:color w:val="auto"/>
                <w:spacing w:val="0"/>
                <w:w w:val="100"/>
                <w:position w:val="0"/>
                <w:sz w:val="24"/>
                <w:szCs w:val="24"/>
                <w:highlight w:val="none"/>
                <w:lang w:eastAsia="zh-CN"/>
              </w:rPr>
              <w:t>及生态环境准入清单</w:t>
            </w:r>
            <w:r>
              <w:rPr>
                <w:rFonts w:hint="default" w:ascii="Times New Roman" w:hAnsi="Times New Roman" w:cs="Times New Roman" w:eastAsiaTheme="minorEastAsia"/>
                <w:color w:val="auto"/>
                <w:spacing w:val="0"/>
                <w:w w:val="100"/>
                <w:position w:val="0"/>
                <w:sz w:val="24"/>
                <w:szCs w:val="24"/>
                <w:highlight w:val="none"/>
                <w:lang w:eastAsia="zh-CN"/>
              </w:rPr>
              <w:t>》文件相符性分析具体见表1-2。</w:t>
            </w:r>
          </w:p>
          <w:p>
            <w:pPr>
              <w:keepNext w:val="0"/>
              <w:keepLines w:val="0"/>
              <w:pageBreakBefore w:val="0"/>
              <w:widowControl w:val="0"/>
              <w:shd w:val="clear"/>
              <w:kinsoku/>
              <w:wordWrap/>
              <w:overflowPunct/>
              <w:topLine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highlight w:val="none"/>
                <w:lang w:eastAsia="zh-CN"/>
              </w:rPr>
            </w:pPr>
            <w:r>
              <w:rPr>
                <w:rFonts w:hint="default" w:ascii="Times New Roman" w:hAnsi="Times New Roman" w:cs="Times New Roman" w:eastAsiaTheme="minorEastAsia"/>
                <w:b/>
                <w:bCs/>
                <w:snapToGrid w:val="0"/>
                <w:color w:val="auto"/>
                <w:spacing w:val="0"/>
                <w:w w:val="100"/>
                <w:position w:val="0"/>
                <w:sz w:val="21"/>
                <w:szCs w:val="21"/>
                <w:highlight w:val="none"/>
                <w:lang w:eastAsia="zh-CN"/>
              </w:rPr>
              <w:t>表1-2项目与《昌吉回族自治州“三线一单”生态环境分区管控方案》文件相符性分析</w:t>
            </w:r>
          </w:p>
          <w:tbl>
            <w:tblPr>
              <w:tblStyle w:val="23"/>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073"/>
              <w:gridCol w:w="2229"/>
              <w:gridCol w:w="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617" w:type="pct"/>
                  <w:tcBorders>
                    <w:bottom w:val="single" w:color="auto" w:sz="12" w:space="0"/>
                  </w:tcBorders>
                  <w:noWrap w:val="0"/>
                  <w:vAlign w:val="center"/>
                </w:tcPr>
                <w:p>
                  <w:pPr>
                    <w:keepNext w:val="0"/>
                    <w:keepLines w:val="0"/>
                    <w:pageBreakBefore w:val="0"/>
                    <w:shd w:val="clear"/>
                    <w:kinsoku/>
                    <w:wordWrap/>
                    <w:overflowPunct/>
                    <w:bidi w:val="0"/>
                    <w:spacing w:beforeAutospacing="0" w:afterAutospacing="0" w:line="240" w:lineRule="auto"/>
                    <w:ind w:left="0" w:leftChars="0" w:right="0" w:rightChars="0"/>
                    <w:jc w:val="center"/>
                    <w:rPr>
                      <w:rFonts w:hint="default" w:ascii="Times New Roman" w:hAnsi="Times New Roman" w:cs="Times New Roman" w:eastAsiaTheme="minorEastAsia"/>
                      <w:b/>
                      <w:bCs/>
                      <w:color w:val="auto"/>
                      <w:spacing w:val="0"/>
                      <w:w w:val="100"/>
                      <w:position w:val="0"/>
                      <w:sz w:val="21"/>
                      <w:szCs w:val="21"/>
                      <w:highlight w:val="none"/>
                    </w:rPr>
                  </w:pPr>
                  <w:r>
                    <w:rPr>
                      <w:rFonts w:hint="default" w:ascii="Times New Roman" w:hAnsi="Times New Roman" w:cs="Times New Roman" w:eastAsiaTheme="minorEastAsia"/>
                      <w:b/>
                      <w:bCs/>
                      <w:color w:val="auto"/>
                      <w:spacing w:val="0"/>
                      <w:w w:val="100"/>
                      <w:position w:val="0"/>
                      <w:sz w:val="21"/>
                      <w:szCs w:val="21"/>
                      <w:highlight w:val="none"/>
                    </w:rPr>
                    <w:t>环境管控单元类别</w:t>
                  </w:r>
                </w:p>
              </w:tc>
              <w:tc>
                <w:tcPr>
                  <w:tcW w:w="2189" w:type="pct"/>
                  <w:tcBorders>
                    <w:bottom w:val="single" w:color="auto" w:sz="12" w:space="0"/>
                  </w:tcBorders>
                  <w:noWrap w:val="0"/>
                  <w:vAlign w:val="center"/>
                </w:tcPr>
                <w:p>
                  <w:pPr>
                    <w:keepNext w:val="0"/>
                    <w:keepLines w:val="0"/>
                    <w:pageBreakBefore w:val="0"/>
                    <w:shd w:val="clear"/>
                    <w:kinsoku/>
                    <w:wordWrap/>
                    <w:overflowPunct/>
                    <w:bidi w:val="0"/>
                    <w:spacing w:beforeAutospacing="0" w:afterAutospacing="0" w:line="240" w:lineRule="auto"/>
                    <w:ind w:left="0" w:leftChars="0" w:right="0" w:rightChars="0"/>
                    <w:jc w:val="center"/>
                    <w:rPr>
                      <w:rFonts w:hint="default" w:ascii="Times New Roman" w:hAnsi="Times New Roman" w:cs="Times New Roman" w:eastAsiaTheme="minorEastAsia"/>
                      <w:b/>
                      <w:bCs/>
                      <w:color w:val="auto"/>
                      <w:spacing w:val="0"/>
                      <w:w w:val="100"/>
                      <w:position w:val="0"/>
                      <w:sz w:val="21"/>
                      <w:szCs w:val="21"/>
                      <w:highlight w:val="none"/>
                    </w:rPr>
                  </w:pPr>
                  <w:r>
                    <w:rPr>
                      <w:rFonts w:hint="default" w:ascii="Times New Roman" w:hAnsi="Times New Roman" w:cs="Times New Roman" w:eastAsiaTheme="minorEastAsia"/>
                      <w:b/>
                      <w:bCs/>
                      <w:color w:val="auto"/>
                      <w:spacing w:val="0"/>
                      <w:w w:val="100"/>
                      <w:position w:val="0"/>
                      <w:sz w:val="21"/>
                      <w:szCs w:val="21"/>
                      <w:highlight w:val="none"/>
                    </w:rPr>
                    <w:t>管控要求</w:t>
                  </w:r>
                </w:p>
              </w:tc>
              <w:tc>
                <w:tcPr>
                  <w:tcW w:w="1588" w:type="pct"/>
                  <w:tcBorders>
                    <w:bottom w:val="single" w:color="auto" w:sz="12" w:space="0"/>
                  </w:tcBorders>
                  <w:noWrap w:val="0"/>
                  <w:vAlign w:val="center"/>
                </w:tcPr>
                <w:p>
                  <w:pPr>
                    <w:keepNext w:val="0"/>
                    <w:keepLines w:val="0"/>
                    <w:pageBreakBefore w:val="0"/>
                    <w:shd w:val="clear"/>
                    <w:kinsoku/>
                    <w:wordWrap/>
                    <w:overflowPunct/>
                    <w:bidi w:val="0"/>
                    <w:spacing w:beforeAutospacing="0" w:afterAutospacing="0" w:line="240" w:lineRule="auto"/>
                    <w:ind w:left="0" w:leftChars="0" w:right="0" w:rightChars="0"/>
                    <w:jc w:val="center"/>
                    <w:rPr>
                      <w:rFonts w:hint="default" w:ascii="Times New Roman" w:hAnsi="Times New Roman" w:cs="Times New Roman" w:eastAsiaTheme="minorEastAsia"/>
                      <w:b/>
                      <w:bCs/>
                      <w:color w:val="auto"/>
                      <w:spacing w:val="0"/>
                      <w:w w:val="100"/>
                      <w:position w:val="0"/>
                      <w:sz w:val="21"/>
                      <w:szCs w:val="21"/>
                      <w:highlight w:val="none"/>
                    </w:rPr>
                  </w:pPr>
                  <w:r>
                    <w:rPr>
                      <w:rFonts w:hint="default" w:ascii="Times New Roman" w:hAnsi="Times New Roman" w:cs="Times New Roman" w:eastAsiaTheme="minorEastAsia"/>
                      <w:b/>
                      <w:bCs/>
                      <w:color w:val="auto"/>
                      <w:spacing w:val="0"/>
                      <w:w w:val="100"/>
                      <w:position w:val="0"/>
                      <w:sz w:val="21"/>
                      <w:szCs w:val="21"/>
                      <w:highlight w:val="none"/>
                    </w:rPr>
                    <w:t>本项目</w:t>
                  </w:r>
                </w:p>
              </w:tc>
              <w:tc>
                <w:tcPr>
                  <w:tcW w:w="604" w:type="pct"/>
                  <w:tcBorders>
                    <w:bottom w:val="single" w:color="auto" w:sz="12" w:space="0"/>
                  </w:tcBorders>
                  <w:noWrap w:val="0"/>
                  <w:vAlign w:val="center"/>
                </w:tcPr>
                <w:p>
                  <w:pPr>
                    <w:keepNext w:val="0"/>
                    <w:keepLines w:val="0"/>
                    <w:pageBreakBefore w:val="0"/>
                    <w:shd w:val="clear"/>
                    <w:kinsoku/>
                    <w:wordWrap/>
                    <w:overflowPunct/>
                    <w:bidi w:val="0"/>
                    <w:spacing w:beforeAutospacing="0" w:afterAutospacing="0" w:line="240" w:lineRule="auto"/>
                    <w:ind w:left="0" w:leftChars="0" w:right="0" w:rightChars="0"/>
                    <w:jc w:val="center"/>
                    <w:rPr>
                      <w:rFonts w:hint="default" w:ascii="Times New Roman" w:hAnsi="Times New Roman" w:cs="Times New Roman" w:eastAsiaTheme="minorEastAsia"/>
                      <w:b/>
                      <w:bCs/>
                      <w:color w:val="auto"/>
                      <w:spacing w:val="0"/>
                      <w:w w:val="100"/>
                      <w:position w:val="0"/>
                      <w:sz w:val="21"/>
                      <w:szCs w:val="21"/>
                      <w:highlight w:val="none"/>
                      <w:lang w:val="en-US" w:eastAsia="zh-CN"/>
                    </w:rPr>
                  </w:pPr>
                  <w:r>
                    <w:rPr>
                      <w:rFonts w:hint="default" w:ascii="Times New Roman" w:hAnsi="Times New Roman" w:cs="Times New Roman" w:eastAsiaTheme="minorEastAsia"/>
                      <w:b/>
                      <w:bCs/>
                      <w:color w:val="auto"/>
                      <w:spacing w:val="0"/>
                      <w:w w:val="100"/>
                      <w:position w:val="0"/>
                      <w:sz w:val="21"/>
                      <w:szCs w:val="21"/>
                      <w:highlight w:val="none"/>
                    </w:rPr>
                    <w:t>符合性</w:t>
                  </w:r>
                  <w:r>
                    <w:rPr>
                      <w:rFonts w:hint="default" w:ascii="Times New Roman" w:hAnsi="Times New Roman" w:cs="Times New Roman" w:eastAsiaTheme="minorEastAsia"/>
                      <w:b/>
                      <w:bCs/>
                      <w:color w:val="auto"/>
                      <w:spacing w:val="0"/>
                      <w:w w:val="100"/>
                      <w:position w:val="0"/>
                      <w:sz w:val="21"/>
                      <w:szCs w:val="21"/>
                      <w:highlight w:val="none"/>
                      <w:lang w:val="en-US" w:eastAsia="zh-CN"/>
                    </w:rPr>
                    <w:t>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7" w:type="pct"/>
                  <w:tcBorders>
                    <w:top w:val="single" w:color="auto" w:sz="12" w:space="0"/>
                    <w:tl2br w:val="nil"/>
                    <w:tr2bl w:val="nil"/>
                  </w:tcBorders>
                  <w:noWrap w:val="0"/>
                  <w:vAlign w:val="center"/>
                </w:tcPr>
                <w:p>
                  <w:pPr>
                    <w:keepNext w:val="0"/>
                    <w:keepLines w:val="0"/>
                    <w:pageBreakBefore w:val="0"/>
                    <w:widowControl/>
                    <w:suppressLineNumbers w:val="0"/>
                    <w:shd w:val="clear"/>
                    <w:kinsoku/>
                    <w:wordWrap/>
                    <w:overflowPunct/>
                    <w:bidi w:val="0"/>
                    <w:spacing w:beforeAutospacing="0" w:afterAutospacing="0"/>
                    <w:ind w:left="0" w:leftChars="0" w:right="0" w:rightChars="0"/>
                    <w:jc w:val="center"/>
                    <w:textAlignment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i w:val="0"/>
                      <w:iCs w:val="0"/>
                      <w:color w:val="auto"/>
                      <w:spacing w:val="0"/>
                      <w:kern w:val="0"/>
                      <w:position w:val="0"/>
                      <w:sz w:val="21"/>
                      <w:szCs w:val="21"/>
                      <w:highlight w:val="none"/>
                      <w:u w:val="none"/>
                      <w:lang w:val="en-US" w:eastAsia="zh-CN" w:bidi="ar"/>
                    </w:rPr>
                    <w:t>空间布局约束</w:t>
                  </w:r>
                </w:p>
              </w:tc>
              <w:tc>
                <w:tcPr>
                  <w:tcW w:w="2189" w:type="pct"/>
                  <w:tcBorders>
                    <w:top w:val="single" w:color="auto" w:sz="12" w:space="0"/>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、执行自治区、乌昌石片区总体准入要求中关于重点管控单元空间布局约束的准入要求（表 </w:t>
                  </w:r>
                  <w:r>
                    <w:rPr>
                      <w:rFonts w:hint="default" w:ascii="Times New Roman" w:hAnsi="Times New Roman" w:eastAsia="宋体" w:cs="Times New Roman"/>
                      <w:color w:val="000000"/>
                      <w:kern w:val="0"/>
                      <w:sz w:val="20"/>
                      <w:szCs w:val="20"/>
                      <w:lang w:val="en-US" w:eastAsia="zh-CN" w:bidi="ar"/>
                    </w:rPr>
                    <w:t>2-3 A6.1</w:t>
                  </w:r>
                  <w:r>
                    <w:rPr>
                      <w:rFonts w:hint="eastAsia" w:ascii="宋体" w:hAnsi="宋体" w:eastAsia="宋体" w:cs="宋体"/>
                      <w:color w:val="000000"/>
                      <w:kern w:val="0"/>
                      <w:sz w:val="20"/>
                      <w:szCs w:val="20"/>
                      <w:lang w:val="en-US" w:eastAsia="zh-CN" w:bidi="ar"/>
                    </w:rPr>
                    <w:t xml:space="preserve">、表 </w:t>
                  </w:r>
                  <w:r>
                    <w:rPr>
                      <w:rFonts w:hint="default" w:ascii="Times New Roman" w:hAnsi="Times New Roman" w:eastAsia="宋体" w:cs="Times New Roman"/>
                      <w:color w:val="000000"/>
                      <w:kern w:val="0"/>
                      <w:sz w:val="20"/>
                      <w:szCs w:val="20"/>
                      <w:lang w:val="en-US" w:eastAsia="zh-CN" w:bidi="ar"/>
                    </w:rPr>
                    <w:t>3.4-2 B1</w:t>
                  </w:r>
                  <w:r>
                    <w:rPr>
                      <w:rFonts w:hint="eastAsia" w:ascii="宋体" w:hAnsi="宋体" w:eastAsia="宋体" w:cs="宋体"/>
                      <w:color w:val="000000"/>
                      <w:kern w:val="0"/>
                      <w:sz w:val="20"/>
                      <w:szCs w:val="20"/>
                      <w:lang w:val="en-US" w:eastAsia="zh-CN" w:bidi="ar"/>
                    </w:rPr>
                    <w:t xml:space="preserve">）。 </w:t>
                  </w:r>
                </w:p>
                <w:p>
                  <w:pPr>
                    <w:keepNext w:val="0"/>
                    <w:keepLines w:val="0"/>
                    <w:widowControl/>
                    <w:suppressLineNumbers w:val="0"/>
                    <w:jc w:val="left"/>
                    <w:rPr>
                      <w:rFonts w:hint="eastAsia" w:ascii="Times New Roman" w:hAnsi="Times New Roman" w:cs="Times New Roman" w:eastAsiaTheme="minorEastAsia"/>
                      <w:i w:val="0"/>
                      <w:iCs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、入园企业需符合园区产业发展定位，产业发展以装备制造、新材料、节能环保产业为主导。</w:t>
                  </w:r>
                </w:p>
              </w:tc>
              <w:tc>
                <w:tcPr>
                  <w:tcW w:w="1588" w:type="pct"/>
                  <w:tcBorders>
                    <w:top w:val="single" w:color="auto" w:sz="12" w:space="0"/>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、本项目执行自治区、乌昌石片区总体准入要求中 关于重点管控单元空间布局约束的准入要求。 </w:t>
                  </w:r>
                </w:p>
                <w:p>
                  <w:pPr>
                    <w:keepNext w:val="0"/>
                    <w:keepLines w:val="0"/>
                    <w:widowControl/>
                    <w:suppressLineNumbers w:val="0"/>
                    <w:jc w:val="left"/>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、本项目为机械化农业及园艺机具制造项目，属于装备制造，符合园区发展定位。</w:t>
                  </w:r>
                </w:p>
              </w:tc>
              <w:tc>
                <w:tcPr>
                  <w:tcW w:w="604" w:type="pct"/>
                  <w:tcBorders>
                    <w:top w:val="single" w:color="auto" w:sz="12" w:space="0"/>
                    <w:tl2br w:val="nil"/>
                    <w:tr2bl w:val="nil"/>
                  </w:tcBorders>
                  <w:noWrap w:val="0"/>
                  <w:vAlign w:val="center"/>
                </w:tcPr>
                <w:p>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color w:val="auto"/>
                      <w:spacing w:val="0"/>
                      <w:w w:val="100"/>
                      <w:position w:val="0"/>
                      <w:sz w:val="21"/>
                      <w:szCs w:val="21"/>
                      <w:highlight w:val="none"/>
                    </w:rPr>
                    <w:t>符合</w:t>
                  </w:r>
                </w:p>
                <w:p>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7" w:type="pct"/>
                  <w:tcBorders>
                    <w:tl2br w:val="nil"/>
                    <w:tr2bl w:val="nil"/>
                  </w:tcBorders>
                  <w:noWrap w:val="0"/>
                  <w:vAlign w:val="center"/>
                </w:tcPr>
                <w:p>
                  <w:pPr>
                    <w:keepNext w:val="0"/>
                    <w:keepLines w:val="0"/>
                    <w:pageBreakBefore w:val="0"/>
                    <w:widowControl/>
                    <w:suppressLineNumbers w:val="0"/>
                    <w:shd w:val="clear"/>
                    <w:kinsoku/>
                    <w:wordWrap/>
                    <w:overflowPunct/>
                    <w:bidi w:val="0"/>
                    <w:spacing w:beforeAutospacing="0" w:afterAutospacing="0"/>
                    <w:ind w:left="0" w:leftChars="0" w:right="0" w:rightChars="0"/>
                    <w:jc w:val="center"/>
                    <w:textAlignment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i w:val="0"/>
                      <w:iCs w:val="0"/>
                      <w:color w:val="auto"/>
                      <w:spacing w:val="0"/>
                      <w:kern w:val="0"/>
                      <w:position w:val="0"/>
                      <w:sz w:val="21"/>
                      <w:szCs w:val="21"/>
                      <w:highlight w:val="none"/>
                      <w:u w:val="none"/>
                      <w:lang w:val="en-US" w:eastAsia="zh-CN" w:bidi="ar"/>
                    </w:rPr>
                    <w:t>污染物排放管控</w:t>
                  </w:r>
                </w:p>
              </w:tc>
              <w:tc>
                <w:tcPr>
                  <w:tcW w:w="2189" w:type="pct"/>
                  <w:tcBorders>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、执行自治区、乌昌石片区总体准入要求中关于重点管控单元污染物排放管控的准入要求（表 </w:t>
                  </w:r>
                  <w:r>
                    <w:rPr>
                      <w:rFonts w:hint="default" w:ascii="Times New Roman" w:hAnsi="Times New Roman" w:eastAsia="宋体" w:cs="Times New Roman"/>
                      <w:color w:val="000000"/>
                      <w:kern w:val="0"/>
                      <w:sz w:val="20"/>
                      <w:szCs w:val="20"/>
                      <w:lang w:val="en-US" w:eastAsia="zh-CN" w:bidi="ar"/>
                    </w:rPr>
                    <w:t>2-3 A6.2</w:t>
                  </w:r>
                  <w:r>
                    <w:rPr>
                      <w:rFonts w:hint="eastAsia" w:ascii="宋体" w:hAnsi="宋体" w:eastAsia="宋体" w:cs="宋体"/>
                      <w:color w:val="000000"/>
                      <w:kern w:val="0"/>
                      <w:sz w:val="20"/>
                      <w:szCs w:val="20"/>
                      <w:lang w:val="en-US" w:eastAsia="zh-CN" w:bidi="ar"/>
                    </w:rPr>
                    <w:t xml:space="preserve">、表 </w:t>
                  </w:r>
                  <w:r>
                    <w:rPr>
                      <w:rFonts w:hint="default" w:ascii="Times New Roman" w:hAnsi="Times New Roman" w:eastAsia="宋体" w:cs="Times New Roman"/>
                      <w:color w:val="000000"/>
                      <w:kern w:val="0"/>
                      <w:sz w:val="20"/>
                      <w:szCs w:val="20"/>
                      <w:lang w:val="en-US" w:eastAsia="zh-CN" w:bidi="ar"/>
                    </w:rPr>
                    <w:t>3.4-2 B2</w:t>
                  </w:r>
                  <w:r>
                    <w:rPr>
                      <w:rFonts w:hint="eastAsia" w:ascii="宋体" w:hAnsi="宋体" w:eastAsia="宋体" w:cs="宋体"/>
                      <w:color w:val="000000"/>
                      <w:kern w:val="0"/>
                      <w:sz w:val="20"/>
                      <w:szCs w:val="20"/>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 xml:space="preserve">、新（改、扩）建项目应执行最严格的大气污染物排放标准。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PM</w:t>
                  </w:r>
                  <w:r>
                    <w:rPr>
                      <w:rFonts w:hint="default" w:ascii="Times New Roman" w:hAnsi="Times New Roman" w:eastAsia="宋体" w:cs="Times New Roman"/>
                      <w:color w:val="000000"/>
                      <w:kern w:val="0"/>
                      <w:sz w:val="13"/>
                      <w:szCs w:val="13"/>
                      <w:lang w:val="en-US" w:eastAsia="zh-CN" w:bidi="ar"/>
                    </w:rPr>
                    <w:t>2.5</w:t>
                  </w:r>
                  <w:r>
                    <w:rPr>
                      <w:rFonts w:hint="eastAsia" w:ascii="宋体" w:hAnsi="宋体" w:eastAsia="宋体" w:cs="宋体"/>
                      <w:color w:val="000000"/>
                      <w:kern w:val="0"/>
                      <w:sz w:val="20"/>
                      <w:szCs w:val="20"/>
                      <w:lang w:val="en-US" w:eastAsia="zh-CN" w:bidi="ar"/>
                    </w:rPr>
                    <w:t xml:space="preserve">年均浓度不达标城市，禁止新（改、扩）建未落实 </w:t>
                  </w:r>
                  <w:r>
                    <w:rPr>
                      <w:rFonts w:hint="default" w:ascii="Times New Roman" w:hAnsi="Times New Roman" w:eastAsia="宋体" w:cs="Times New Roman"/>
                      <w:color w:val="000000"/>
                      <w:kern w:val="0"/>
                      <w:sz w:val="20"/>
                      <w:szCs w:val="20"/>
                      <w:lang w:val="en-US" w:eastAsia="zh-CN" w:bidi="ar"/>
                    </w:rPr>
                    <w:t>SO</w:t>
                  </w:r>
                  <w:r>
                    <w:rPr>
                      <w:rFonts w:hint="default" w:ascii="Times New Roman" w:hAnsi="Times New Roman" w:eastAsia="宋体" w:cs="Times New Roman"/>
                      <w:color w:val="000000"/>
                      <w:kern w:val="0"/>
                      <w:sz w:val="13"/>
                      <w:szCs w:val="13"/>
                      <w:lang w:val="en-US" w:eastAsia="zh-CN" w:bidi="ar"/>
                    </w:rPr>
                    <w:t>2</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NO</w:t>
                  </w:r>
                  <w:r>
                    <w:rPr>
                      <w:rFonts w:hint="default" w:ascii="Times New Roman" w:hAnsi="Times New Roman" w:eastAsia="宋体" w:cs="Times New Roman"/>
                      <w:color w:val="000000"/>
                      <w:kern w:val="0"/>
                      <w:sz w:val="13"/>
                      <w:szCs w:val="13"/>
                      <w:lang w:val="en-US" w:eastAsia="zh-CN" w:bidi="ar"/>
                    </w:rPr>
                    <w:t>X</w:t>
                  </w:r>
                  <w:r>
                    <w:rPr>
                      <w:rFonts w:hint="eastAsia" w:ascii="宋体" w:hAnsi="宋体" w:eastAsia="宋体" w:cs="宋体"/>
                      <w:color w:val="000000"/>
                      <w:kern w:val="0"/>
                      <w:sz w:val="20"/>
                      <w:szCs w:val="20"/>
                      <w:lang w:val="en-US" w:eastAsia="zh-CN" w:bidi="ar"/>
                    </w:rPr>
                    <w:t>、烟粉尘、挥发性有机物（</w:t>
                  </w:r>
                  <w:r>
                    <w:rPr>
                      <w:rFonts w:hint="default" w:ascii="Times New Roman" w:hAnsi="Times New Roman" w:eastAsia="宋体" w:cs="Times New Roman"/>
                      <w:color w:val="000000"/>
                      <w:kern w:val="0"/>
                      <w:sz w:val="20"/>
                      <w:szCs w:val="20"/>
                      <w:lang w:val="en-US" w:eastAsia="zh-CN" w:bidi="ar"/>
                    </w:rPr>
                    <w:t>VOC</w:t>
                  </w:r>
                  <w:r>
                    <w:rPr>
                      <w:rFonts w:hint="default" w:ascii="Times New Roman" w:hAnsi="Times New Roman" w:eastAsia="宋体" w:cs="Times New Roman"/>
                      <w:color w:val="000000"/>
                      <w:kern w:val="0"/>
                      <w:sz w:val="13"/>
                      <w:szCs w:val="13"/>
                      <w:lang w:val="en-US" w:eastAsia="zh-CN" w:bidi="ar"/>
                    </w:rPr>
                    <w:t>S</w:t>
                  </w:r>
                  <w:r>
                    <w:rPr>
                      <w:rFonts w:hint="eastAsia" w:ascii="宋体" w:hAnsi="宋体" w:eastAsia="宋体" w:cs="宋体"/>
                      <w:color w:val="000000"/>
                      <w:kern w:val="0"/>
                      <w:sz w:val="20"/>
                      <w:szCs w:val="20"/>
                      <w:lang w:val="en-US" w:eastAsia="zh-CN" w:bidi="ar"/>
                    </w:rPr>
                    <w:t xml:space="preserve">）等四项大气污染物总量指标昌吉州区域内倍量替代的项目。 </w:t>
                  </w:r>
                </w:p>
                <w:p>
                  <w:pPr>
                    <w:keepNext w:val="0"/>
                    <w:keepLines w:val="0"/>
                    <w:widowControl/>
                    <w:suppressLineNumbers w:val="0"/>
                    <w:jc w:val="left"/>
                    <w:rPr>
                      <w:rFonts w:hint="default" w:ascii="Times New Roman" w:hAnsi="Times New Roman" w:cs="Times New Roman" w:eastAsiaTheme="minorEastAsia"/>
                      <w:i w:val="0"/>
                      <w:iCs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 xml:space="preserve">、严格涉 </w:t>
                  </w:r>
                  <w:r>
                    <w:rPr>
                      <w:rFonts w:hint="default" w:ascii="Times New Roman" w:hAnsi="Times New Roman" w:eastAsia="宋体" w:cs="Times New Roman"/>
                      <w:color w:val="000000"/>
                      <w:kern w:val="0"/>
                      <w:sz w:val="20"/>
                      <w:szCs w:val="20"/>
                      <w:lang w:val="en-US" w:eastAsia="zh-CN" w:bidi="ar"/>
                    </w:rPr>
                    <w:t xml:space="preserve">VOCs </w:t>
                  </w:r>
                  <w:r>
                    <w:rPr>
                      <w:rFonts w:hint="eastAsia" w:ascii="宋体" w:hAnsi="宋体" w:eastAsia="宋体" w:cs="宋体"/>
                      <w:color w:val="000000"/>
                      <w:kern w:val="0"/>
                      <w:sz w:val="20"/>
                      <w:szCs w:val="20"/>
                      <w:lang w:val="en-US" w:eastAsia="zh-CN" w:bidi="ar"/>
                    </w:rPr>
                    <w:t>建设项目环境影响评价，实行区域内</w:t>
                  </w:r>
                  <w:r>
                    <w:rPr>
                      <w:rFonts w:hint="default" w:ascii="Times New Roman" w:hAnsi="Times New Roman" w:eastAsia="宋体" w:cs="Times New Roman"/>
                      <w:color w:val="000000"/>
                      <w:kern w:val="0"/>
                      <w:sz w:val="20"/>
                      <w:szCs w:val="20"/>
                      <w:lang w:val="en-US" w:eastAsia="zh-CN" w:bidi="ar"/>
                    </w:rPr>
                    <w:t xml:space="preserve">VOCs </w:t>
                  </w:r>
                  <w:r>
                    <w:rPr>
                      <w:rFonts w:hint="eastAsia" w:ascii="宋体" w:hAnsi="宋体" w:eastAsia="宋体" w:cs="宋体"/>
                      <w:color w:val="000000"/>
                      <w:kern w:val="0"/>
                      <w:sz w:val="20"/>
                      <w:szCs w:val="20"/>
                      <w:lang w:val="en-US" w:eastAsia="zh-CN" w:bidi="ar"/>
                    </w:rPr>
                    <w:t xml:space="preserve">排放倍量削减替代。新、改、扩建涉 </w:t>
                  </w:r>
                  <w:r>
                    <w:rPr>
                      <w:rFonts w:hint="default" w:ascii="Times New Roman" w:hAnsi="Times New Roman" w:eastAsia="宋体" w:cs="Times New Roman"/>
                      <w:color w:val="000000"/>
                      <w:kern w:val="0"/>
                      <w:sz w:val="20"/>
                      <w:szCs w:val="20"/>
                      <w:lang w:val="en-US" w:eastAsia="zh-CN" w:bidi="ar"/>
                    </w:rPr>
                    <w:t xml:space="preserve">VOCs </w:t>
                  </w:r>
                  <w:r>
                    <w:rPr>
                      <w:rFonts w:hint="eastAsia" w:ascii="宋体" w:hAnsi="宋体" w:eastAsia="宋体" w:cs="宋体"/>
                      <w:color w:val="000000"/>
                      <w:kern w:val="0"/>
                      <w:sz w:val="20"/>
                      <w:szCs w:val="20"/>
                      <w:lang w:val="en-US" w:eastAsia="zh-CN" w:bidi="ar"/>
                    </w:rPr>
                    <w:t>排放项目，应从源头加强控制，使用低（无）</w:t>
                  </w:r>
                  <w:r>
                    <w:rPr>
                      <w:rFonts w:hint="default" w:ascii="Times New Roman" w:hAnsi="Times New Roman" w:eastAsia="宋体" w:cs="Times New Roman"/>
                      <w:color w:val="000000"/>
                      <w:kern w:val="0"/>
                      <w:sz w:val="20"/>
                      <w:szCs w:val="20"/>
                      <w:lang w:val="en-US" w:eastAsia="zh-CN" w:bidi="ar"/>
                    </w:rPr>
                    <w:t xml:space="preserve">VOCs </w:t>
                  </w:r>
                  <w:r>
                    <w:rPr>
                      <w:rFonts w:hint="eastAsia" w:ascii="宋体" w:hAnsi="宋体" w:eastAsia="宋体" w:cs="宋体"/>
                      <w:color w:val="000000"/>
                      <w:kern w:val="0"/>
                      <w:sz w:val="20"/>
                      <w:szCs w:val="20"/>
                      <w:lang w:val="en-US" w:eastAsia="zh-CN" w:bidi="ar"/>
                    </w:rPr>
                    <w:t>含量的原辅材料，加强废气收集，安装高效治理设施。</w:t>
                  </w:r>
                </w:p>
              </w:tc>
              <w:tc>
                <w:tcPr>
                  <w:tcW w:w="1588" w:type="pct"/>
                  <w:tcBorders>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、本项目执行自治区、乌昌石片区总体准入要求中关于重点管控单元污染物排放管控的准入要求。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 xml:space="preserve">、本项目废气执行最严格的大气污染物排放标准。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 xml:space="preserve">、本项目已设置非甲烷总烃总量控制指标，并实行倍量替代。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、本项目 非甲烷总烃</w:t>
                  </w:r>
                  <w:r>
                    <w:rPr>
                      <w:rFonts w:hint="default" w:ascii="Times New Roman" w:hAnsi="Times New Roman"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实行倍量替代，企业采用二级活性炭吸附装置处理非甲烷总烃。</w:t>
                  </w:r>
                </w:p>
                <w:p>
                  <w:pPr>
                    <w:pStyle w:val="31"/>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cs="Times New Roman" w:eastAsiaTheme="minorEastAsia"/>
                      <w:color w:val="auto"/>
                      <w:spacing w:val="0"/>
                      <w:position w:val="0"/>
                      <w:highlight w:val="none"/>
                    </w:rPr>
                  </w:pPr>
                </w:p>
              </w:tc>
              <w:tc>
                <w:tcPr>
                  <w:tcW w:w="604" w:type="pct"/>
                  <w:tcBorders>
                    <w:tl2br w:val="nil"/>
                    <w:tr2bl w:val="nil"/>
                  </w:tcBorders>
                  <w:noWrap w:val="0"/>
                  <w:vAlign w:val="center"/>
                </w:tcPr>
                <w:p>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color w:val="auto"/>
                      <w:spacing w:val="0"/>
                      <w:w w:val="100"/>
                      <w:position w:val="0"/>
                      <w:sz w:val="21"/>
                      <w:szCs w:val="21"/>
                      <w:highlight w:val="none"/>
                    </w:rPr>
                    <w:t>符合</w:t>
                  </w:r>
                </w:p>
                <w:p>
                  <w:pPr>
                    <w:pStyle w:val="33"/>
                    <w:keepNext w:val="0"/>
                    <w:keepLines w:val="0"/>
                    <w:pageBreakBefore w:val="0"/>
                    <w:shd w:val="clear"/>
                    <w:kinsoku/>
                    <w:wordWrap/>
                    <w:overflowPunct/>
                    <w:bidi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7" w:type="pct"/>
                  <w:tcBorders>
                    <w:tl2br w:val="nil"/>
                    <w:tr2bl w:val="nil"/>
                  </w:tcBorders>
                  <w:noWrap w:val="0"/>
                  <w:vAlign w:val="center"/>
                </w:tcPr>
                <w:p>
                  <w:pPr>
                    <w:keepNext w:val="0"/>
                    <w:keepLines w:val="0"/>
                    <w:pageBreakBefore w:val="0"/>
                    <w:widowControl/>
                    <w:suppressLineNumbers w:val="0"/>
                    <w:shd w:val="clear"/>
                    <w:kinsoku/>
                    <w:wordWrap/>
                    <w:overflowPunct/>
                    <w:bidi w:val="0"/>
                    <w:spacing w:beforeAutospacing="0" w:afterAutospacing="0"/>
                    <w:ind w:left="0" w:leftChars="0" w:right="0" w:rightChars="0"/>
                    <w:jc w:val="center"/>
                    <w:textAlignment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i w:val="0"/>
                      <w:iCs w:val="0"/>
                      <w:color w:val="auto"/>
                      <w:spacing w:val="0"/>
                      <w:kern w:val="0"/>
                      <w:position w:val="0"/>
                      <w:sz w:val="21"/>
                      <w:szCs w:val="21"/>
                      <w:highlight w:val="none"/>
                      <w:u w:val="none"/>
                      <w:lang w:val="en-US" w:eastAsia="zh-CN" w:bidi="ar"/>
                    </w:rPr>
                    <w:t>环境风险防控</w:t>
                  </w:r>
                </w:p>
              </w:tc>
              <w:tc>
                <w:tcPr>
                  <w:tcW w:w="2189" w:type="pct"/>
                  <w:tcBorders>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、执行自治区、乌昌石片区总体准入要求中关于重点管控单元环境风险防控的准入要求（表 </w:t>
                  </w:r>
                  <w:r>
                    <w:rPr>
                      <w:rFonts w:hint="default" w:ascii="Times New Roman" w:hAnsi="Times New Roman" w:eastAsia="宋体" w:cs="Times New Roman"/>
                      <w:color w:val="000000"/>
                      <w:kern w:val="0"/>
                      <w:sz w:val="20"/>
                      <w:szCs w:val="20"/>
                      <w:lang w:val="en-US" w:eastAsia="zh-CN" w:bidi="ar"/>
                    </w:rPr>
                    <w:t>2-3 A6.3</w:t>
                  </w:r>
                  <w:r>
                    <w:rPr>
                      <w:rFonts w:hint="eastAsia" w:ascii="宋体" w:hAnsi="宋体" w:eastAsia="宋体" w:cs="宋体"/>
                      <w:color w:val="000000"/>
                      <w:kern w:val="0"/>
                      <w:sz w:val="20"/>
                      <w:szCs w:val="20"/>
                      <w:lang w:val="en-US" w:eastAsia="zh-CN" w:bidi="ar"/>
                    </w:rPr>
                    <w:t xml:space="preserve">、表 </w:t>
                  </w:r>
                  <w:r>
                    <w:rPr>
                      <w:rFonts w:hint="default" w:ascii="Times New Roman" w:hAnsi="Times New Roman" w:eastAsia="宋体" w:cs="Times New Roman"/>
                      <w:color w:val="000000"/>
                      <w:kern w:val="0"/>
                      <w:sz w:val="20"/>
                      <w:szCs w:val="20"/>
                      <w:lang w:val="en-US" w:eastAsia="zh-CN" w:bidi="ar"/>
                    </w:rPr>
                    <w:t>3.4-2 B3</w:t>
                  </w:r>
                  <w:r>
                    <w:rPr>
                      <w:rFonts w:hint="eastAsia" w:ascii="宋体" w:hAnsi="宋体" w:eastAsia="宋体" w:cs="宋体"/>
                      <w:color w:val="000000"/>
                      <w:kern w:val="0"/>
                      <w:sz w:val="20"/>
                      <w:szCs w:val="20"/>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 xml:space="preserve">、做好污水和废水等的地下管槽防渗工作，防止污染地下水。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 xml:space="preserve">、严格落实错峰生产方案和重污染天气应急响应措施。 </w:t>
                  </w:r>
                </w:p>
                <w:p>
                  <w:pPr>
                    <w:keepNext w:val="0"/>
                    <w:keepLines w:val="0"/>
                    <w:widowControl/>
                    <w:suppressLineNumbers w:val="0"/>
                    <w:jc w:val="left"/>
                    <w:rPr>
                      <w:rFonts w:hint="default" w:cs="Times New Roman" w:eastAsiaTheme="minorEastAsia"/>
                      <w:i w:val="0"/>
                      <w:iCs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、生产、使用、贮存、运输、回收、处置、排放有毒有害物质的单位和个人，应当采取措施，防止有毒有害物质渗漏、流失、扬散，避免土壤受到污染。</w:t>
                  </w:r>
                </w:p>
              </w:tc>
              <w:tc>
                <w:tcPr>
                  <w:tcW w:w="1588" w:type="pct"/>
                  <w:tcBorders>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、本项目执行自治区、乌昌石片区总体准入要求中关于重点管控单元环境风险防控的准入要求。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 xml:space="preserve">、本项目无废水产生。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、本项目不属于重点</w:t>
                  </w:r>
                  <w:r>
                    <w:rPr>
                      <w:rFonts w:hint="eastAsia" w:ascii="宋体" w:hAnsi="宋体" w:cs="宋体"/>
                      <w:color w:val="000000"/>
                      <w:kern w:val="0"/>
                      <w:sz w:val="20"/>
                      <w:szCs w:val="20"/>
                      <w:lang w:val="en-US" w:eastAsia="zh-CN" w:bidi="ar"/>
                    </w:rPr>
                    <w:t>行</w:t>
                  </w:r>
                  <w:r>
                    <w:rPr>
                      <w:rFonts w:hint="eastAsia" w:ascii="宋体" w:hAnsi="宋体" w:eastAsia="宋体" w:cs="宋体"/>
                      <w:color w:val="000000"/>
                      <w:kern w:val="0"/>
                      <w:sz w:val="20"/>
                      <w:szCs w:val="20"/>
                      <w:lang w:val="en-US" w:eastAsia="zh-CN" w:bidi="ar"/>
                    </w:rPr>
                    <w:t xml:space="preserve">业，不涉及该项内容。 </w:t>
                  </w:r>
                </w:p>
                <w:p>
                  <w:pPr>
                    <w:keepNext w:val="0"/>
                    <w:keepLines w:val="0"/>
                    <w:widowControl/>
                    <w:suppressLineNumbers w:val="0"/>
                    <w:jc w:val="left"/>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、本项目产生的废机油、废活性炭，暂存于危废暂存间，</w:t>
                  </w:r>
                  <w:r>
                    <w:rPr>
                      <w:rFonts w:hint="eastAsia" w:ascii="Times New Roman" w:hAnsi="Times New Roman" w:eastAsia="宋体" w:cs="Times New Roman"/>
                      <w:color w:val="auto"/>
                      <w:szCs w:val="21"/>
                      <w:lang w:val="en-US" w:eastAsia="zh-CN"/>
                    </w:rPr>
                    <w:t>定期交于有资质单位集中处理</w:t>
                  </w:r>
                  <w:r>
                    <w:rPr>
                      <w:rFonts w:hint="eastAsia" w:ascii="宋体" w:hAnsi="宋体" w:eastAsia="宋体" w:cs="宋体"/>
                      <w:color w:val="000000"/>
                      <w:kern w:val="0"/>
                      <w:sz w:val="20"/>
                      <w:szCs w:val="20"/>
                      <w:lang w:val="en-US" w:eastAsia="zh-CN" w:bidi="ar"/>
                    </w:rPr>
                    <w:t>。</w:t>
                  </w:r>
                </w:p>
              </w:tc>
              <w:tc>
                <w:tcPr>
                  <w:tcW w:w="604" w:type="pct"/>
                  <w:tcBorders>
                    <w:tl2br w:val="nil"/>
                    <w:tr2bl w:val="nil"/>
                  </w:tcBorders>
                  <w:noWrap w:val="0"/>
                  <w:vAlign w:val="center"/>
                </w:tcPr>
                <w:p>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color w:val="auto"/>
                      <w:spacing w:val="0"/>
                      <w:w w:val="100"/>
                      <w:position w:val="0"/>
                      <w:sz w:val="21"/>
                      <w:szCs w:val="21"/>
                      <w:highlight w:val="none"/>
                    </w:rPr>
                    <w:t>符合</w:t>
                  </w:r>
                </w:p>
                <w:p>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7" w:type="pct"/>
                  <w:tcBorders>
                    <w:tl2br w:val="nil"/>
                    <w:tr2bl w:val="nil"/>
                  </w:tcBorders>
                  <w:noWrap w:val="0"/>
                  <w:vAlign w:val="center"/>
                </w:tcPr>
                <w:p>
                  <w:pPr>
                    <w:keepNext w:val="0"/>
                    <w:keepLines w:val="0"/>
                    <w:pageBreakBefore w:val="0"/>
                    <w:widowControl/>
                    <w:suppressLineNumbers w:val="0"/>
                    <w:shd w:val="clear"/>
                    <w:kinsoku/>
                    <w:wordWrap/>
                    <w:overflowPunct/>
                    <w:bidi w:val="0"/>
                    <w:spacing w:beforeAutospacing="0" w:afterAutospacing="0"/>
                    <w:ind w:left="0" w:leftChars="0" w:right="0" w:rightChars="0"/>
                    <w:jc w:val="center"/>
                    <w:textAlignment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i w:val="0"/>
                      <w:iCs w:val="0"/>
                      <w:color w:val="auto"/>
                      <w:spacing w:val="0"/>
                      <w:kern w:val="0"/>
                      <w:position w:val="0"/>
                      <w:sz w:val="21"/>
                      <w:szCs w:val="21"/>
                      <w:highlight w:val="none"/>
                      <w:u w:val="none"/>
                      <w:lang w:val="en-US" w:eastAsia="zh-CN" w:bidi="ar"/>
                    </w:rPr>
                    <w:t>资源利用效率</w:t>
                  </w:r>
                </w:p>
              </w:tc>
              <w:tc>
                <w:tcPr>
                  <w:tcW w:w="2189" w:type="pct"/>
                  <w:tcBorders>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、执行自治区、乌昌石片区总体准入要求中关于重点管控单元资源利用效率的准入要求（表 </w:t>
                  </w:r>
                  <w:r>
                    <w:rPr>
                      <w:rFonts w:hint="default" w:ascii="Times New Roman" w:hAnsi="Times New Roman" w:eastAsia="宋体" w:cs="Times New Roman"/>
                      <w:color w:val="000000"/>
                      <w:kern w:val="0"/>
                      <w:sz w:val="20"/>
                      <w:szCs w:val="20"/>
                      <w:lang w:val="en-US" w:eastAsia="zh-CN" w:bidi="ar"/>
                    </w:rPr>
                    <w:t>2-3A6.4</w:t>
                  </w:r>
                  <w:r>
                    <w:rPr>
                      <w:rFonts w:hint="eastAsia" w:ascii="宋体" w:hAnsi="宋体" w:eastAsia="宋体" w:cs="宋体"/>
                      <w:color w:val="000000"/>
                      <w:kern w:val="0"/>
                      <w:sz w:val="20"/>
                      <w:szCs w:val="20"/>
                      <w:lang w:val="en-US" w:eastAsia="zh-CN" w:bidi="ar"/>
                    </w:rPr>
                    <w:t xml:space="preserve">、表 </w:t>
                  </w:r>
                  <w:r>
                    <w:rPr>
                      <w:rFonts w:hint="default" w:ascii="Times New Roman" w:hAnsi="Times New Roman" w:eastAsia="宋体" w:cs="Times New Roman"/>
                      <w:color w:val="000000"/>
                      <w:kern w:val="0"/>
                      <w:sz w:val="20"/>
                      <w:szCs w:val="20"/>
                      <w:lang w:val="en-US" w:eastAsia="zh-CN" w:bidi="ar"/>
                    </w:rPr>
                    <w:t>3.4-2 B4</w:t>
                  </w:r>
                  <w:r>
                    <w:rPr>
                      <w:rFonts w:hint="eastAsia" w:ascii="宋体" w:hAnsi="宋体" w:eastAsia="宋体" w:cs="宋体"/>
                      <w:color w:val="000000"/>
                      <w:kern w:val="0"/>
                      <w:sz w:val="20"/>
                      <w:szCs w:val="20"/>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 xml:space="preserve">、提高工业固废综合利用 </w:t>
                  </w:r>
                </w:p>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 xml:space="preserve">率。 </w:t>
                  </w:r>
                </w:p>
                <w:p>
                  <w:pPr>
                    <w:keepNext w:val="0"/>
                    <w:keepLines w:val="0"/>
                    <w:widowControl/>
                    <w:suppressLineNumbers w:val="0"/>
                    <w:jc w:val="left"/>
                    <w:rPr>
                      <w:rFonts w:hint="eastAsia" w:ascii="Times New Roman" w:hAnsi="Times New Roman" w:cs="Times New Roman" w:eastAsiaTheme="minorEastAsia"/>
                      <w:i w:val="0"/>
                      <w:iCs w:val="0"/>
                      <w:color w:val="auto"/>
                      <w:spacing w:val="0"/>
                      <w:kern w:val="0"/>
                      <w:position w:val="0"/>
                      <w:sz w:val="21"/>
                      <w:szCs w:val="21"/>
                      <w:highlight w:val="none"/>
                      <w:u w:val="none"/>
                      <w:lang w:val="en-US" w:eastAsia="zh-CN" w:bidi="ar"/>
                    </w:rPr>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、提高水资源重复利用率。</w:t>
                  </w:r>
                </w:p>
              </w:tc>
              <w:tc>
                <w:tcPr>
                  <w:tcW w:w="1588" w:type="pct"/>
                  <w:tcBorders>
                    <w:tl2br w:val="nil"/>
                    <w:tr2bl w:val="nil"/>
                  </w:tcBorders>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 xml:space="preserve">、本项目执行自治区、乌 昌石片区总体准入要求中 关于重点管控单元资源利用效率的准入要求。 </w:t>
                  </w:r>
                </w:p>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、本项目产生的</w:t>
                  </w:r>
                  <w:r>
                    <w:rPr>
                      <w:rFonts w:hint="default" w:ascii="Times New Roman" w:hAnsi="Times New Roman" w:eastAsia="宋体" w:cs="Times New Roman"/>
                      <w:color w:val="auto"/>
                      <w:kern w:val="2"/>
                      <w:sz w:val="21"/>
                      <w:szCs w:val="21"/>
                      <w:lang w:val="en-US" w:eastAsia="zh-CN" w:bidi="ar-SA"/>
                    </w:rPr>
                    <w:t>废塑粉滤芯及塑化废渣</w:t>
                  </w:r>
                  <w:r>
                    <w:rPr>
                      <w:rFonts w:hint="eastAsia" w:ascii="Times New Roman" w:hAnsi="Times New Roman" w:cs="Times New Roman"/>
                      <w:color w:val="auto"/>
                      <w:kern w:val="2"/>
                      <w:sz w:val="21"/>
                      <w:szCs w:val="21"/>
                      <w:lang w:val="en-US" w:eastAsia="zh-CN" w:bidi="ar-SA"/>
                    </w:rPr>
                    <w:t>交由一般固废处置单位处置，喷塑布袋除尘器收集尘作为喷塑原料使用，抛丸布袋除尘器收集粉尘</w:t>
                  </w:r>
                  <w:r>
                    <w:rPr>
                      <w:rFonts w:hint="eastAsia"/>
                      <w:szCs w:val="21"/>
                    </w:rPr>
                    <w:t>集中收集后外售</w:t>
                  </w:r>
                  <w:r>
                    <w:rPr>
                      <w:rFonts w:hint="eastAsia"/>
                      <w:szCs w:val="21"/>
                      <w:lang w:eastAsia="zh-CN"/>
                    </w:rPr>
                    <w:t>综合利用</w:t>
                  </w:r>
                  <w:r>
                    <w:rPr>
                      <w:rFonts w:hint="eastAsia" w:ascii="宋体" w:hAnsi="宋体" w:eastAsia="宋体" w:cs="宋体"/>
                      <w:color w:val="000000"/>
                      <w:kern w:val="0"/>
                      <w:sz w:val="20"/>
                      <w:szCs w:val="20"/>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、本项目不使用水。</w:t>
                  </w:r>
                </w:p>
              </w:tc>
              <w:tc>
                <w:tcPr>
                  <w:tcW w:w="604" w:type="pct"/>
                  <w:tcBorders>
                    <w:tl2br w:val="nil"/>
                    <w:tr2bl w:val="nil"/>
                  </w:tcBorders>
                  <w:noWrap w:val="0"/>
                  <w:vAlign w:val="center"/>
                </w:tcPr>
                <w:p>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color w:val="auto"/>
                      <w:spacing w:val="0"/>
                      <w:w w:val="100"/>
                      <w:position w:val="0"/>
                      <w:sz w:val="21"/>
                      <w:szCs w:val="21"/>
                      <w:highlight w:val="none"/>
                    </w:rPr>
                    <w:t>符合</w:t>
                  </w:r>
                </w:p>
                <w:p>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eastAsiaTheme="minorEastAsia"/>
                      <w:color w:val="auto"/>
                      <w:spacing w:val="0"/>
                      <w:w w:val="100"/>
                      <w:position w:val="0"/>
                      <w:sz w:val="21"/>
                      <w:szCs w:val="21"/>
                      <w:highlight w:val="none"/>
                    </w:rPr>
                  </w:pPr>
                </w:p>
              </w:tc>
            </w:tr>
          </w:tbl>
          <w:p>
            <w:pPr>
              <w:autoSpaceDE w:val="0"/>
              <w:autoSpaceDN w:val="0"/>
              <w:adjustRightInd w:val="0"/>
              <w:snapToGrid w:val="0"/>
              <w:spacing w:line="360" w:lineRule="auto"/>
              <w:ind w:firstLine="480" w:firstLineChars="200"/>
              <w:rPr>
                <w:rFonts w:hint="eastAsia" w:cs="Times New Roman" w:eastAsiaTheme="minorEastAsia"/>
                <w:color w:val="auto"/>
                <w:sz w:val="24"/>
                <w:lang w:val="en-US" w:eastAsia="zh-CN"/>
              </w:rPr>
            </w:pPr>
            <w:r>
              <w:rPr>
                <w:rFonts w:hint="default" w:ascii="Times New Roman" w:hAnsi="Times New Roman" w:cs="Times New Roman" w:eastAsiaTheme="minorEastAsia"/>
                <w:color w:val="auto"/>
                <w:sz w:val="24"/>
              </w:rPr>
              <w:t>综上所述，本项目符合</w:t>
            </w:r>
            <w:r>
              <w:rPr>
                <w:rFonts w:hint="default" w:ascii="Times New Roman" w:hAnsi="Times New Roman" w:cs="Times New Roman" w:eastAsiaTheme="minorEastAsia"/>
                <w:color w:val="auto"/>
                <w:kern w:val="0"/>
                <w:sz w:val="24"/>
              </w:rPr>
              <w:t>《</w:t>
            </w:r>
            <w:r>
              <w:rPr>
                <w:rFonts w:hint="default" w:ascii="Times New Roman" w:hAnsi="Times New Roman" w:cs="Times New Roman" w:eastAsiaTheme="minorEastAsia"/>
                <w:color w:val="auto"/>
                <w:sz w:val="24"/>
              </w:rPr>
              <w:t>昌吉回族自治州</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三线一单</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生态环境分区管控方案》</w:t>
            </w:r>
            <w:r>
              <w:rPr>
                <w:rFonts w:hint="default" w:ascii="Times New Roman" w:hAnsi="Times New Roman" w:cs="Times New Roman" w:eastAsiaTheme="minorEastAsia"/>
                <w:color w:val="auto"/>
                <w:spacing w:val="0"/>
                <w:w w:val="100"/>
                <w:position w:val="0"/>
                <w:sz w:val="24"/>
                <w:szCs w:val="24"/>
                <w:highlight w:val="none"/>
                <w:lang w:eastAsia="zh-CN"/>
              </w:rPr>
              <w:t>（昌州政办发〔2021〕41号）</w:t>
            </w:r>
            <w:r>
              <w:rPr>
                <w:rFonts w:hint="default" w:ascii="Times New Roman" w:hAnsi="Times New Roman" w:cs="Times New Roman" w:eastAsiaTheme="minorEastAsia"/>
                <w:color w:val="auto"/>
                <w:sz w:val="24"/>
              </w:rPr>
              <w:t>相关要求</w:t>
            </w:r>
            <w:r>
              <w:rPr>
                <w:rFonts w:hint="eastAsia" w:cs="Times New Roman" w:eastAsiaTheme="minorEastAsia"/>
                <w:color w:val="auto"/>
                <w:sz w:val="24"/>
                <w:lang w:eastAsia="zh-CN"/>
              </w:rPr>
              <w:t>。项目与昌吉回族自治州环境管控单元位置关系见附图</w:t>
            </w:r>
            <w:r>
              <w:rPr>
                <w:rFonts w:hint="eastAsia" w:cs="Times New Roman" w:eastAsiaTheme="minorEastAsia"/>
                <w:color w:val="auto"/>
                <w:sz w:val="24"/>
                <w:lang w:val="en-US" w:eastAsia="zh-CN"/>
              </w:rPr>
              <w:t>4。</w:t>
            </w:r>
          </w:p>
          <w:p>
            <w:pPr>
              <w:autoSpaceDE w:val="0"/>
              <w:autoSpaceDN w:val="0"/>
              <w:adjustRightInd w:val="0"/>
              <w:snapToGrid w:val="0"/>
              <w:spacing w:line="360" w:lineRule="auto"/>
              <w:rPr>
                <w:rFonts w:hint="eastAsia" w:ascii="Times New Roman" w:hAnsi="Times New Roman" w:cs="Times New Roman" w:eastAsiaTheme="minorEastAsia"/>
                <w:b/>
                <w:bCs/>
                <w:color w:val="auto"/>
                <w:kern w:val="0"/>
                <w:sz w:val="24"/>
                <w:szCs w:val="24"/>
                <w:lang w:val="en-US" w:eastAsia="zh-CN" w:bidi="zh-CN"/>
              </w:rPr>
            </w:pPr>
            <w:r>
              <w:rPr>
                <w:rFonts w:hint="default" w:ascii="Times New Roman" w:hAnsi="Times New Roman" w:cs="Times New Roman" w:eastAsiaTheme="minorEastAsia"/>
                <w:b/>
                <w:bCs/>
                <w:color w:val="auto"/>
                <w:kern w:val="0"/>
                <w:sz w:val="24"/>
                <w:szCs w:val="24"/>
                <w:lang w:val="en-US" w:eastAsia="zh-CN" w:bidi="zh-CN"/>
              </w:rPr>
              <w:t>3.</w:t>
            </w:r>
            <w:r>
              <w:rPr>
                <w:rFonts w:hint="eastAsia" w:ascii="Times New Roman" w:hAnsi="Times New Roman" w:cs="Times New Roman" w:eastAsiaTheme="minorEastAsia"/>
                <w:b/>
                <w:bCs/>
                <w:color w:val="auto"/>
                <w:kern w:val="0"/>
                <w:sz w:val="24"/>
                <w:szCs w:val="24"/>
                <w:lang w:val="en-US" w:eastAsia="zh-CN" w:bidi="zh-CN"/>
              </w:rPr>
              <w:t xml:space="preserve">项目与《新疆维吾尔自治区大气污染防治条例》的符合性分析 </w:t>
            </w:r>
          </w:p>
          <w:p>
            <w:pPr>
              <w:autoSpaceDE w:val="0"/>
              <w:autoSpaceDN w:val="0"/>
              <w:adjustRightInd w:val="0"/>
              <w:snapToGrid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根据《新疆维吾尔自治区大气污染防治条例》中的相关内容：“禁止在自治区行政区域内引进能（水）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目录的工艺、设备、产品。” </w:t>
            </w:r>
          </w:p>
          <w:p>
            <w:pPr>
              <w:autoSpaceDE w:val="0"/>
              <w:autoSpaceDN w:val="0"/>
              <w:adjustRightInd w:val="0"/>
              <w:snapToGrid w:val="0"/>
              <w:spacing w:line="360" w:lineRule="auto"/>
              <w:ind w:firstLine="480" w:firstLineChars="200"/>
            </w:pPr>
            <w:r>
              <w:rPr>
                <w:rFonts w:hint="eastAsia" w:ascii="宋体" w:hAnsi="宋体" w:eastAsia="宋体" w:cs="宋体"/>
                <w:color w:val="000000"/>
                <w:kern w:val="0"/>
                <w:sz w:val="24"/>
                <w:szCs w:val="24"/>
                <w:lang w:val="en-US" w:eastAsia="zh-CN" w:bidi="ar"/>
              </w:rPr>
              <w:t>本项目不属于高污染（排放）、高能（水）耗、高环境风险的工业项目，不属于淘汰类目录的高污染工业项目，本项目使用先进的生产工艺及设备，符合《新疆维吾尔自治区大气污染防治条例》。</w:t>
            </w:r>
          </w:p>
          <w:p>
            <w:pPr>
              <w:pStyle w:val="7"/>
              <w:autoSpaceDE w:val="0"/>
              <w:autoSpaceDN w:val="0"/>
              <w:spacing w:line="360" w:lineRule="auto"/>
              <w:rPr>
                <w:rFonts w:hint="default" w:ascii="Times New Roman" w:hAnsi="Times New Roman" w:cs="Times New Roman" w:eastAsiaTheme="minorEastAsia"/>
                <w:b/>
                <w:bCs/>
                <w:color w:val="auto"/>
                <w:kern w:val="0"/>
                <w:sz w:val="24"/>
              </w:rPr>
            </w:pPr>
            <w:r>
              <w:rPr>
                <w:rFonts w:hint="default" w:ascii="Times New Roman" w:hAnsi="Times New Roman" w:cs="Times New Roman" w:eastAsiaTheme="minorEastAsia"/>
                <w:b/>
                <w:bCs/>
                <w:color w:val="auto"/>
                <w:kern w:val="0"/>
                <w:sz w:val="24"/>
                <w:lang w:val="en-US" w:eastAsia="zh-CN"/>
              </w:rPr>
              <w:t>4</w:t>
            </w:r>
            <w:r>
              <w:rPr>
                <w:rFonts w:hint="default" w:ascii="Times New Roman" w:hAnsi="Times New Roman" w:cs="Times New Roman" w:eastAsiaTheme="minorEastAsia"/>
                <w:b/>
                <w:bCs/>
                <w:color w:val="auto"/>
                <w:kern w:val="0"/>
                <w:sz w:val="24"/>
              </w:rPr>
              <w:t>.项目与《新疆生态环境保护“十四五”规划》的符合性分析</w:t>
            </w:r>
          </w:p>
          <w:p>
            <w:pPr>
              <w:pStyle w:val="7"/>
              <w:autoSpaceDE w:val="0"/>
              <w:autoSpaceDN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新疆生态环境保护“十四五”规划》指出：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强化区域大气污染联防联控，合理确定产业布局，推动区域内统一产业准入和排放标准。实施钢铁、水泥、焦化等行业季节性生产调控措施，推进散煤整治、挥发性有机污染物</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以下简称“</w:t>
            </w:r>
            <w:r>
              <w:rPr>
                <w:rFonts w:hint="default" w:ascii="Times New Roman" w:hAnsi="Times New Roman" w:eastAsia="宋体" w:cs="Times New Roman"/>
                <w:color w:val="000000"/>
                <w:kern w:val="0"/>
                <w:sz w:val="24"/>
                <w:szCs w:val="24"/>
                <w:lang w:val="en-US" w:eastAsia="zh-CN" w:bidi="ar"/>
              </w:rPr>
              <w:t>VOCs</w:t>
            </w:r>
            <w:r>
              <w:rPr>
                <w:rFonts w:hint="eastAsia" w:ascii="宋体" w:hAnsi="宋体" w:eastAsia="宋体" w:cs="宋体"/>
                <w:color w:val="000000"/>
                <w:kern w:val="0"/>
                <w:sz w:val="24"/>
                <w:szCs w:val="24"/>
                <w:lang w:val="en-US" w:eastAsia="zh-CN" w:bidi="ar"/>
              </w:rPr>
              <w:t>”</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综合治理、钢铁、水泥、焦化和燃煤工业锅炉行业超低排放改造、燃气锅炉低氮燃烧改造、工业聚集区内轨道运输</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大宗货物“公转铁”</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、柴油货车治理、锅炉炉窑综合治理等工程项目。全面推行绿色施工，持续推动城市建成区重污染企业搬迁或关闭退出。</w:t>
            </w:r>
          </w:p>
          <w:p>
            <w:pPr>
              <w:pStyle w:val="7"/>
              <w:autoSpaceDE w:val="0"/>
              <w:autoSpaceDN w:val="0"/>
              <w:spacing w:line="360" w:lineRule="auto"/>
              <w:ind w:firstLine="480" w:firstLineChars="200"/>
            </w:pPr>
            <w:r>
              <w:rPr>
                <w:rFonts w:hint="eastAsia" w:ascii="宋体" w:hAnsi="宋体" w:eastAsia="宋体" w:cs="宋体"/>
                <w:color w:val="000000"/>
                <w:kern w:val="0"/>
                <w:sz w:val="24"/>
                <w:szCs w:val="24"/>
                <w:lang w:val="en-US" w:eastAsia="zh-CN" w:bidi="ar"/>
              </w:rPr>
              <w:t>本项目不属于“两高”项目。不在新疆及昌吉州生态保护红线范围内，符合“三线一单”生态环境分区管控要求。本项目生产过程中产生的有机废气经二级活性炭吸附装置处理后达标排放，对周围环境影响较小。因此，项目建设符合《新疆生态环境保护“十四五”规划》要求。</w:t>
            </w:r>
          </w:p>
          <w:p>
            <w:pPr>
              <w:pStyle w:val="35"/>
              <w:widowControl w:val="0"/>
              <w:wordWrap w:val="0"/>
              <w:autoSpaceDE w:val="0"/>
              <w:autoSpaceDN w:val="0"/>
              <w:adjustRightInd w:val="0"/>
              <w:snapToGrid w:val="0"/>
              <w:spacing w:line="360" w:lineRule="auto"/>
              <w:rPr>
                <w:rFonts w:hint="default" w:ascii="Times New Roman" w:hAnsi="Times New Roman" w:cs="Times New Roman" w:eastAsiaTheme="minorEastAsia"/>
                <w:b w:val="0"/>
                <w:color w:val="auto"/>
                <w:sz w:val="24"/>
                <w:szCs w:val="24"/>
              </w:rPr>
            </w:pPr>
            <w:r>
              <w:rPr>
                <w:rFonts w:hint="default" w:ascii="Times New Roman" w:hAnsi="Times New Roman" w:cs="Times New Roman" w:eastAsiaTheme="minorEastAsia"/>
                <w:bCs/>
                <w:color w:val="auto"/>
                <w:sz w:val="24"/>
                <w:szCs w:val="24"/>
                <w:lang w:val="en-US" w:eastAsia="zh-CN"/>
              </w:rPr>
              <w:t>5</w:t>
            </w:r>
            <w:r>
              <w:rPr>
                <w:rFonts w:hint="default" w:ascii="Times New Roman" w:hAnsi="Times New Roman" w:cs="Times New Roman" w:eastAsiaTheme="minorEastAsia"/>
                <w:bCs/>
                <w:color w:val="auto"/>
                <w:sz w:val="24"/>
                <w:szCs w:val="24"/>
              </w:rPr>
              <w:t>.项目与《</w:t>
            </w:r>
            <w:r>
              <w:rPr>
                <w:rFonts w:hint="default" w:ascii="Times New Roman" w:hAnsi="Times New Roman" w:cs="Times New Roman" w:eastAsiaTheme="minorEastAsia"/>
                <w:color w:val="auto"/>
                <w:sz w:val="24"/>
                <w:szCs w:val="24"/>
              </w:rPr>
              <w:t>昌吉回族自治州生态环境保护与建设“十四五”规划</w:t>
            </w:r>
            <w:r>
              <w:rPr>
                <w:rFonts w:hint="default" w:ascii="Times New Roman" w:hAnsi="Times New Roman" w:cs="Times New Roman" w:eastAsiaTheme="minorEastAsia"/>
                <w:bCs/>
                <w:color w:val="auto"/>
                <w:sz w:val="24"/>
                <w:szCs w:val="24"/>
              </w:rPr>
              <w:t>》的符合性分析</w:t>
            </w:r>
          </w:p>
          <w:p>
            <w:pPr>
              <w:pStyle w:val="3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昌吉回族自治州生态环境保护与建设“十四五”规划》的内容要求：根据《昌吉回族自治州生态环境保护与建设“十四五”规划》的内容要求：强化高污染燃料禁燃区监督管理，加强“乌-昌-石”区域4县市禁燃区监督管理工作。积极推进城市建成区、工业园区热电联供，加快推进集中供热、“煤改电”工程建设。加快城乡结合部、农村民用和农业生产散烧煤13的清洁能源替代，积极争取中央财政关于北方地区冬季清洁取暖项目资金支持。优化天然气使用方向，新增天然气优先保障城镇居民和“乌-昌-石”区域内4县市、2园区散煤替代。积极开发煤层气（煤矿瓦斯）综合利用，实施生物天然气工程。</w:t>
            </w:r>
          </w:p>
          <w:p>
            <w:pPr>
              <w:pStyle w:val="3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本项目不涉及燃煤锅炉，生活用热采用电采暖，符合《昌吉回族自治州生态环境保护与建设“十四五”规划》相关内容。</w:t>
            </w:r>
          </w:p>
          <w:p>
            <w:pPr>
              <w:pStyle w:val="3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cs="Times New Roman" w:eastAsiaTheme="minorEastAsia"/>
                <w:b/>
                <w:bCs/>
                <w:color w:val="auto"/>
                <w:sz w:val="24"/>
                <w:szCs w:val="24"/>
                <w:lang w:val="en-US" w:eastAsia="zh-CN" w:bidi="ar-SA"/>
              </w:rPr>
            </w:pPr>
            <w:r>
              <w:rPr>
                <w:rFonts w:hint="eastAsia" w:ascii="Times New Roman" w:hAnsi="Times New Roman" w:cs="Times New Roman" w:eastAsiaTheme="minorEastAsia"/>
                <w:b/>
                <w:bCs/>
                <w:color w:val="auto"/>
                <w:sz w:val="24"/>
                <w:szCs w:val="24"/>
                <w:lang w:val="en-US" w:eastAsia="zh-CN" w:bidi="ar-SA"/>
              </w:rPr>
              <w:t>6.项目与《昌吉市生态环境保护“十四五”规划》的符合性分析</w:t>
            </w:r>
          </w:p>
          <w:p>
            <w:pPr>
              <w:pStyle w:val="3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昌吉市生态环境保护“十四五”规划》指出：“加强重点行业挥发性有机物治理。实施挥发性有机物排放总量控制，重点推进包装印刷、工业涂装、油品储运销等重点行业排放源以及机动车等移动源挥发性有机物污染防治，加强重点行业、重点企业的精细化管控；全面推进使用低挥发性有机物含量涂料、油墨、胶粘剂、清洗剂等；加强汽修行业挥发性有机物综合治理，持续削减挥发性有机物排放量”。</w:t>
            </w:r>
          </w:p>
          <w:p>
            <w:pPr>
              <w:pStyle w:val="3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本项目为</w:t>
            </w:r>
            <w:r>
              <w:rPr>
                <w:rFonts w:hint="default" w:ascii="Times New Roman" w:hAnsi="Times New Roman" w:eastAsia="宋体" w:cs="Times New Roman"/>
                <w:color w:val="auto"/>
                <w:sz w:val="24"/>
                <w:szCs w:val="24"/>
                <w:highlight w:val="none"/>
                <w:lang w:val="en-US" w:eastAsia="zh-CN"/>
              </w:rPr>
              <w:t>机械化农业及园艺机具制造</w:t>
            </w:r>
            <w:r>
              <w:rPr>
                <w:rFonts w:hint="eastAsia" w:ascii="Times New Roman" w:hAnsi="Times New Roman" w:eastAsia="宋体" w:cs="Times New Roman"/>
                <w:color w:val="auto"/>
                <w:sz w:val="24"/>
                <w:szCs w:val="24"/>
                <w:highlight w:val="none"/>
                <w:lang w:val="en-US" w:eastAsia="zh-CN"/>
              </w:rPr>
              <w:t>行业</w:t>
            </w:r>
            <w:r>
              <w:rPr>
                <w:rFonts w:hint="eastAsia" w:ascii="Times New Roman" w:hAnsi="Times New Roman" w:eastAsia="宋体" w:cs="Times New Roman"/>
                <w:color w:val="auto"/>
                <w:kern w:val="0"/>
                <w:sz w:val="24"/>
                <w:szCs w:val="24"/>
                <w:highlight w:val="none"/>
                <w:lang w:val="en-US" w:eastAsia="zh-CN" w:bidi="ar-SA"/>
              </w:rPr>
              <w:t>，生产过程中产生的有机废气经二级活性炭吸附装置处理后达标排放，对周围环境影响较小。因此，项目建设符合《昌吉市生态环境保护“十四五”规划》要求。</w:t>
            </w:r>
          </w:p>
          <w:p>
            <w:pPr>
              <w:pStyle w:val="3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cs="Times New Roman" w:eastAsiaTheme="minorEastAsia"/>
                <w:b/>
                <w:bCs/>
                <w:color w:val="auto"/>
                <w:sz w:val="24"/>
                <w:szCs w:val="24"/>
                <w:lang w:val="en-US" w:eastAsia="zh-CN" w:bidi="ar-SA"/>
              </w:rPr>
            </w:pPr>
            <w:r>
              <w:rPr>
                <w:rFonts w:hint="eastAsia" w:ascii="Times New Roman" w:hAnsi="Times New Roman" w:cs="Times New Roman" w:eastAsiaTheme="minorEastAsia"/>
                <w:b/>
                <w:bCs/>
                <w:color w:val="auto"/>
                <w:sz w:val="24"/>
                <w:szCs w:val="24"/>
                <w:lang w:val="en-US" w:eastAsia="zh-CN" w:bidi="ar-SA"/>
              </w:rPr>
              <w:t>7.</w:t>
            </w:r>
            <w:r>
              <w:rPr>
                <w:rFonts w:hint="default" w:ascii="Times New Roman" w:hAnsi="Times New Roman" w:cs="Times New Roman" w:eastAsiaTheme="minorEastAsia"/>
                <w:b/>
                <w:bCs/>
                <w:color w:val="auto"/>
                <w:sz w:val="24"/>
                <w:szCs w:val="24"/>
                <w:lang w:val="en-US" w:eastAsia="zh-CN" w:bidi="ar-SA"/>
              </w:rPr>
              <w:t>项目与</w:t>
            </w:r>
            <w:r>
              <w:rPr>
                <w:rFonts w:hint="eastAsia" w:ascii="Times New Roman" w:hAnsi="Times New Roman" w:cs="Times New Roman" w:eastAsiaTheme="minorEastAsia"/>
                <w:b/>
                <w:bCs/>
                <w:color w:val="auto"/>
                <w:sz w:val="24"/>
                <w:szCs w:val="24"/>
                <w:lang w:val="en-US" w:eastAsia="zh-CN" w:bidi="ar-SA"/>
              </w:rPr>
              <w:t>《关于做好乌鲁木齐、昌吉、石河子、五家渠区域环境同防同治的意见》（新政发〔</w:t>
            </w:r>
            <w:r>
              <w:rPr>
                <w:rFonts w:hint="default" w:ascii="Times New Roman" w:hAnsi="Times New Roman" w:cs="Times New Roman" w:eastAsiaTheme="minorEastAsia"/>
                <w:b/>
                <w:bCs/>
                <w:color w:val="auto"/>
                <w:sz w:val="24"/>
                <w:szCs w:val="24"/>
                <w:lang w:val="en-US" w:eastAsia="zh-CN" w:bidi="ar-SA"/>
              </w:rPr>
              <w:t>201</w:t>
            </w:r>
            <w:r>
              <w:rPr>
                <w:rFonts w:hint="eastAsia" w:ascii="Times New Roman" w:hAnsi="Times New Roman" w:cs="Times New Roman" w:eastAsiaTheme="minorEastAsia"/>
                <w:b/>
                <w:bCs/>
                <w:color w:val="auto"/>
                <w:sz w:val="24"/>
                <w:szCs w:val="24"/>
                <w:lang w:val="en-US" w:eastAsia="zh-CN" w:bidi="ar-SA"/>
              </w:rPr>
              <w:t>6〕140号）相符性分析</w:t>
            </w:r>
          </w:p>
          <w:p>
            <w:pPr>
              <w:pStyle w:val="7"/>
              <w:autoSpaceDE w:val="0"/>
              <w:autoSpaceDN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关于加强乌鲁木齐、昌吉、石河子、五家渠区域环境同防同治的意见》文件中规定：乌鲁木齐、昌吉、石河子、五家渠区域需优化产业布局，强化大气污染物综合治理，深入开展水环境治理，加强土壤环境管理，加强重点区域、流域污染防治和生态环境保护，加强环境监管。</w:t>
            </w:r>
          </w:p>
          <w:p>
            <w:pPr>
              <w:pStyle w:val="7"/>
              <w:autoSpaceDE w:val="0"/>
              <w:autoSpaceDN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本项目为</w:t>
            </w:r>
            <w:r>
              <w:rPr>
                <w:rFonts w:hint="default" w:ascii="Times New Roman" w:hAnsi="Times New Roman" w:eastAsia="宋体" w:cs="Times New Roman"/>
                <w:color w:val="auto"/>
                <w:sz w:val="24"/>
                <w:szCs w:val="24"/>
                <w:highlight w:val="none"/>
                <w:lang w:val="en-US" w:eastAsia="zh-CN"/>
              </w:rPr>
              <w:t>机械化农业及园艺机具制造</w:t>
            </w:r>
            <w:r>
              <w:rPr>
                <w:rFonts w:hint="eastAsia" w:ascii="Times New Roman" w:hAnsi="Times New Roman" w:eastAsia="宋体" w:cs="Times New Roman"/>
                <w:color w:val="auto"/>
                <w:sz w:val="24"/>
                <w:szCs w:val="24"/>
                <w:highlight w:val="none"/>
                <w:lang w:val="en-US" w:eastAsia="zh-CN"/>
              </w:rPr>
              <w:t>行业</w:t>
            </w:r>
            <w:r>
              <w:rPr>
                <w:rFonts w:hint="eastAsia" w:ascii="宋体" w:hAnsi="宋体" w:eastAsia="宋体" w:cs="宋体"/>
                <w:color w:val="000000"/>
                <w:kern w:val="0"/>
                <w:sz w:val="24"/>
                <w:szCs w:val="24"/>
                <w:lang w:val="en-US" w:eastAsia="zh-CN" w:bidi="ar"/>
              </w:rPr>
              <w:t>，在采取了有效的处置措施后，废气、固体废物、噪声污染排放均可达标，项目的建设符合《关于加强乌鲁木齐、昌吉、石河子、五家渠区域环境同防同治的意见》文件相关规定。</w:t>
            </w:r>
          </w:p>
          <w:p>
            <w:pPr>
              <w:pStyle w:val="7"/>
              <w:autoSpaceDE w:val="0"/>
              <w:autoSpaceDN w:val="0"/>
              <w:spacing w:line="360" w:lineRule="auto"/>
              <w:rPr>
                <w:rFonts w:hint="default" w:ascii="宋体" w:hAnsi="宋体" w:eastAsia="宋体" w:cs="宋体"/>
                <w:b/>
                <w:bCs/>
                <w:color w:val="000000" w:themeColor="text1"/>
                <w:kern w:val="0"/>
                <w:sz w:val="24"/>
                <w:szCs w:val="24"/>
                <w:lang w:val="zh-CN" w:eastAsia="zh-CN" w:bidi="ar"/>
                <w14:textFill>
                  <w14:solidFill>
                    <w14:schemeClr w14:val="tx1"/>
                  </w14:solidFill>
                </w14:textFill>
              </w:rPr>
            </w:pPr>
            <w:r>
              <w:rPr>
                <w:rFonts w:hint="eastAsia" w:cs="宋体"/>
                <w:b/>
                <w:bCs/>
                <w:color w:val="000000" w:themeColor="text1"/>
                <w:kern w:val="0"/>
                <w:sz w:val="24"/>
                <w:szCs w:val="24"/>
                <w:lang w:val="en-US" w:eastAsia="zh-CN" w:bidi="ar"/>
                <w14:textFill>
                  <w14:solidFill>
                    <w14:schemeClr w14:val="tx1"/>
                  </w14:solidFill>
                </w14:textFill>
              </w:rPr>
              <w:t>7</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w:t>
            </w:r>
            <w:r>
              <w:rPr>
                <w:rFonts w:hint="default" w:ascii="宋体" w:hAnsi="宋体" w:eastAsia="宋体" w:cs="宋体"/>
                <w:b/>
                <w:bCs/>
                <w:color w:val="000000" w:themeColor="text1"/>
                <w:kern w:val="0"/>
                <w:sz w:val="24"/>
                <w:szCs w:val="24"/>
                <w:lang w:val="en-US" w:eastAsia="zh-CN" w:bidi="ar"/>
                <w14:textFill>
                  <w14:solidFill>
                    <w14:schemeClr w14:val="tx1"/>
                  </w14:solidFill>
                </w14:textFill>
              </w:rPr>
              <w:t>项目与</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《“乌-昌-石”区域大气环境整治2023年行动方案》相符性分析</w:t>
            </w:r>
          </w:p>
          <w:p>
            <w:pPr>
              <w:pStyle w:val="31"/>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zh-CN"/>
              </w:rPr>
            </w:pPr>
            <w:r>
              <w:rPr>
                <w:rFonts w:hint="eastAsia" w:ascii="Times New Roman" w:hAnsi="Times New Roman" w:eastAsia="宋体" w:cs="Times New Roman"/>
                <w:color w:val="auto"/>
                <w:kern w:val="2"/>
                <w:sz w:val="24"/>
                <w:szCs w:val="24"/>
                <w:highlight w:val="none"/>
                <w:lang w:val="en-US" w:eastAsia="zh-CN" w:bidi="zh-CN"/>
              </w:rPr>
              <w:t xml:space="preserve">根据文件内容，行动三：工业污染防治中“（十二）推进挥发性有机物综合治理。组织开展涉VOCs企业精细管控，对现有VOCs废气收集治理设施同步运行率和去除率开展自查，对标先进高效治理技术实施深度整治，提高末端处理设施效率。” </w:t>
            </w:r>
          </w:p>
          <w:p>
            <w:pPr>
              <w:pStyle w:val="31"/>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zh-CN"/>
              </w:rPr>
            </w:pPr>
            <w:r>
              <w:rPr>
                <w:rFonts w:hint="eastAsia" w:ascii="Times New Roman" w:hAnsi="Times New Roman" w:eastAsia="宋体" w:cs="Times New Roman"/>
                <w:color w:val="auto"/>
                <w:kern w:val="2"/>
                <w:sz w:val="24"/>
                <w:szCs w:val="24"/>
                <w:highlight w:val="none"/>
                <w:lang w:val="en-US" w:eastAsia="zh-CN" w:bidi="zh-CN"/>
              </w:rPr>
              <w:t>本项目从源头加强控制，生产过程中产生的有机废气经</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二级</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活性炭吸附处理</w:t>
            </w:r>
            <w:r>
              <w:rPr>
                <w:rFonts w:hint="eastAsia" w:ascii="Times New Roman" w:hAnsi="Times New Roman" w:eastAsia="宋体" w:cs="Times New Roman"/>
                <w:color w:val="auto"/>
                <w:kern w:val="2"/>
                <w:sz w:val="24"/>
                <w:szCs w:val="24"/>
                <w:highlight w:val="none"/>
                <w:lang w:val="en-US" w:eastAsia="zh-CN" w:bidi="zh-CN"/>
              </w:rPr>
              <w:t>后达标排放，有效减少了非甲烷总烃的排放量，因此项目的建设符合《“乌-昌-石”区域大气环境整治2023年行动方案》要求。</w:t>
            </w:r>
          </w:p>
          <w:p>
            <w:pPr>
              <w:pStyle w:val="31"/>
              <w:spacing w:line="360" w:lineRule="auto"/>
              <w:rPr>
                <w:rFonts w:hint="eastAsia" w:ascii="Times New Roman" w:hAnsi="Times New Roman" w:cs="Times New Roman"/>
                <w:b/>
                <w:bCs/>
                <w:color w:val="0000FF"/>
                <w:sz w:val="24"/>
                <w:szCs w:val="24"/>
                <w:highlight w:val="none"/>
                <w:lang w:val="en-US" w:eastAsia="zh-CN"/>
              </w:rPr>
            </w:pPr>
            <w:r>
              <w:rPr>
                <w:rFonts w:hint="eastAsia" w:ascii="Times New Roman" w:hAnsi="Times New Roman" w:cs="Times New Roman"/>
                <w:b/>
                <w:bCs/>
                <w:color w:val="0000FF"/>
                <w:sz w:val="24"/>
                <w:szCs w:val="24"/>
                <w:highlight w:val="none"/>
                <w:lang w:val="en-US" w:eastAsia="zh-CN"/>
              </w:rPr>
              <w:t>8.项目与《2020年挥发性有机物治理攻坚方案》相符性分析</w:t>
            </w:r>
          </w:p>
          <w:p>
            <w:pPr>
              <w:pStyle w:val="31"/>
              <w:spacing w:line="360" w:lineRule="auto"/>
              <w:ind w:firstLine="480" w:firstLineChars="200"/>
              <w:rPr>
                <w:rFonts w:hint="eastAsia" w:ascii="Times New Roman" w:hAnsi="Times New Roman" w:cs="Times New Roman"/>
                <w:b w:val="0"/>
                <w:bCs w:val="0"/>
                <w:color w:val="0000FF"/>
                <w:sz w:val="24"/>
                <w:szCs w:val="24"/>
                <w:highlight w:val="none"/>
                <w:lang w:val="en-US" w:eastAsia="zh-CN"/>
              </w:rPr>
            </w:pPr>
            <w:r>
              <w:rPr>
                <w:rFonts w:hint="eastAsia" w:ascii="Times New Roman" w:hAnsi="Times New Roman" w:cs="Times New Roman"/>
                <w:b w:val="0"/>
                <w:bCs w:val="0"/>
                <w:color w:val="0000FF"/>
                <w:sz w:val="24"/>
                <w:szCs w:val="24"/>
                <w:highlight w:val="none"/>
                <w:lang w:val="en-US" w:eastAsia="zh-CN"/>
              </w:rPr>
              <w:t>《2020年挥发性有机物治理攻坚方案》中规定：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w:t>
            </w:r>
          </w:p>
          <w:p>
            <w:pPr>
              <w:pStyle w:val="31"/>
              <w:spacing w:line="360" w:lineRule="auto"/>
              <w:ind w:firstLine="480" w:firstLineChars="200"/>
              <w:rPr>
                <w:rFonts w:hint="default" w:ascii="Times New Roman" w:hAnsi="Times New Roman" w:cs="Times New Roman"/>
                <w:b w:val="0"/>
                <w:bCs w:val="0"/>
                <w:color w:val="0000FF"/>
                <w:sz w:val="24"/>
                <w:szCs w:val="24"/>
                <w:highlight w:val="none"/>
                <w:lang w:val="en-US" w:eastAsia="zh-CN"/>
              </w:rPr>
            </w:pPr>
            <w:r>
              <w:rPr>
                <w:rFonts w:hint="eastAsia" w:ascii="Times New Roman" w:hAnsi="Times New Roman" w:eastAsia="宋体" w:cs="Times New Roman"/>
                <w:color w:val="0000FF"/>
                <w:kern w:val="2"/>
                <w:sz w:val="24"/>
                <w:szCs w:val="24"/>
                <w:highlight w:val="none"/>
                <w:lang w:val="en-US" w:eastAsia="zh-CN" w:bidi="zh-CN"/>
              </w:rPr>
              <w:t>本项目从源头加强控制，生产过程中产生的有机废气经</w:t>
            </w:r>
            <w:r>
              <w:rPr>
                <w:rFonts w:hint="eastAsia" w:ascii="Times New Roman" w:hAnsi="Times New Roman" w:eastAsia="宋体" w:cs="Times New Roman"/>
                <w:i w:val="0"/>
                <w:iCs w:val="0"/>
                <w:caps w:val="0"/>
                <w:color w:val="0000FF"/>
                <w:spacing w:val="0"/>
                <w:sz w:val="24"/>
                <w:szCs w:val="24"/>
                <w:highlight w:val="none"/>
                <w:shd w:val="clear" w:fill="FFFFFF"/>
                <w:lang w:val="en-US" w:eastAsia="zh-CN"/>
              </w:rPr>
              <w:t>二级</w:t>
            </w:r>
            <w:r>
              <w:rPr>
                <w:rFonts w:hint="default" w:ascii="Times New Roman" w:hAnsi="Times New Roman" w:eastAsia="宋体" w:cs="Times New Roman"/>
                <w:i w:val="0"/>
                <w:iCs w:val="0"/>
                <w:caps w:val="0"/>
                <w:color w:val="0000FF"/>
                <w:spacing w:val="0"/>
                <w:sz w:val="24"/>
                <w:szCs w:val="24"/>
                <w:highlight w:val="none"/>
                <w:shd w:val="clear" w:fill="FFFFFF"/>
                <w:lang w:val="en-US" w:eastAsia="zh-CN"/>
              </w:rPr>
              <w:t>活性炭吸附处理</w:t>
            </w:r>
            <w:r>
              <w:rPr>
                <w:rFonts w:hint="eastAsia" w:ascii="Times New Roman" w:hAnsi="Times New Roman" w:eastAsia="宋体" w:cs="Times New Roman"/>
                <w:color w:val="0000FF"/>
                <w:kern w:val="2"/>
                <w:sz w:val="24"/>
                <w:szCs w:val="24"/>
                <w:highlight w:val="none"/>
                <w:lang w:val="en-US" w:eastAsia="zh-CN" w:bidi="zh-CN"/>
              </w:rPr>
              <w:t>后达标排放，</w:t>
            </w:r>
            <w:r>
              <w:rPr>
                <w:rFonts w:hint="eastAsia" w:ascii="Times New Roman" w:hAnsi="Times New Roman" w:cs="Times New Roman"/>
                <w:color w:val="0000FF"/>
                <w:kern w:val="2"/>
                <w:sz w:val="24"/>
                <w:szCs w:val="24"/>
                <w:highlight w:val="none"/>
                <w:lang w:val="en-US" w:eastAsia="zh-CN" w:bidi="zh-CN"/>
              </w:rPr>
              <w:t>因此项目的建设符合《</w:t>
            </w:r>
            <w:r>
              <w:rPr>
                <w:rFonts w:hint="eastAsia" w:ascii="Times New Roman" w:hAnsi="Times New Roman" w:cs="Times New Roman"/>
                <w:b w:val="0"/>
                <w:bCs w:val="0"/>
                <w:color w:val="0000FF"/>
                <w:sz w:val="24"/>
                <w:szCs w:val="24"/>
                <w:highlight w:val="none"/>
                <w:lang w:val="en-US" w:eastAsia="zh-CN"/>
              </w:rPr>
              <w:t>2020年挥发性有机物治理攻坚方案</w:t>
            </w:r>
            <w:r>
              <w:rPr>
                <w:rFonts w:hint="eastAsia" w:ascii="Times New Roman" w:hAnsi="Times New Roman" w:cs="Times New Roman"/>
                <w:color w:val="0000FF"/>
                <w:kern w:val="2"/>
                <w:sz w:val="24"/>
                <w:szCs w:val="24"/>
                <w:highlight w:val="none"/>
                <w:lang w:val="en-US" w:eastAsia="zh-CN" w:bidi="zh-CN"/>
              </w:rPr>
              <w:t>》要求。</w:t>
            </w:r>
          </w:p>
          <w:p>
            <w:pPr>
              <w:pStyle w:val="31"/>
              <w:spacing w:line="360" w:lineRule="auto"/>
              <w:rPr>
                <w:rFonts w:hint="default" w:ascii="Times New Roman" w:hAnsi="Times New Roman" w:eastAsia="宋体" w:cs="Times New Roman"/>
                <w:b/>
                <w:bCs/>
                <w:color w:val="0000FF"/>
                <w:sz w:val="24"/>
                <w:szCs w:val="24"/>
                <w:highlight w:val="none"/>
              </w:rPr>
            </w:pPr>
            <w:r>
              <w:rPr>
                <w:rFonts w:hint="eastAsia" w:ascii="Times New Roman" w:hAnsi="Times New Roman" w:cs="Times New Roman"/>
                <w:b/>
                <w:bCs/>
                <w:color w:val="0000FF"/>
                <w:sz w:val="24"/>
                <w:szCs w:val="24"/>
                <w:highlight w:val="none"/>
                <w:lang w:val="en-US" w:eastAsia="zh-CN"/>
              </w:rPr>
              <w:t>9</w:t>
            </w:r>
            <w:r>
              <w:rPr>
                <w:rFonts w:hint="default" w:ascii="Times New Roman" w:hAnsi="Times New Roman" w:eastAsia="宋体" w:cs="Times New Roman"/>
                <w:b/>
                <w:bCs/>
                <w:color w:val="0000FF"/>
                <w:sz w:val="24"/>
                <w:szCs w:val="24"/>
                <w:highlight w:val="none"/>
                <w:lang w:val="en-US"/>
              </w:rPr>
              <w:t>.</w:t>
            </w:r>
            <w:r>
              <w:rPr>
                <w:rFonts w:hint="default" w:ascii="Times New Roman" w:hAnsi="Times New Roman" w:eastAsia="宋体" w:cs="Times New Roman"/>
                <w:b/>
                <w:bCs/>
                <w:color w:val="0000FF"/>
                <w:sz w:val="24"/>
                <w:szCs w:val="24"/>
                <w:highlight w:val="none"/>
              </w:rPr>
              <w:t>选址合理性分析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（1）本项目选址合理性体现在以下方面：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①本项目位于新疆昌吉州昌吉市三工镇二工村八组</w:t>
            </w:r>
            <w:r>
              <w:rPr>
                <w:rFonts w:hint="eastAsia" w:ascii="Times New Roman" w:hAnsi="Times New Roman" w:eastAsia="宋体" w:cs="Times New Roman"/>
                <w:color w:val="0000FF"/>
                <w:kern w:val="0"/>
                <w:sz w:val="24"/>
                <w:szCs w:val="24"/>
                <w:highlight w:val="none"/>
                <w:lang w:val="en-US" w:eastAsia="zh-CN"/>
              </w:rPr>
              <w:t>八钢工业</w:t>
            </w:r>
            <w:r>
              <w:rPr>
                <w:rFonts w:hint="eastAsia" w:eastAsiaTheme="minorEastAsia"/>
                <w:color w:val="0000FF"/>
                <w:spacing w:val="-7"/>
                <w:sz w:val="24"/>
                <w:szCs w:val="24"/>
                <w:lang w:eastAsia="zh-CN"/>
              </w:rPr>
              <w:t>聚集区</w:t>
            </w:r>
            <w:r>
              <w:rPr>
                <w:rFonts w:hint="default" w:ascii="Times New Roman" w:hAnsi="Times New Roman" w:eastAsia="宋体" w:cs="Times New Roman"/>
                <w:color w:val="0000FF"/>
                <w:kern w:val="0"/>
                <w:sz w:val="24"/>
                <w:szCs w:val="24"/>
                <w:highlight w:val="none"/>
                <w:lang w:val="en-US" w:eastAsia="zh-CN"/>
              </w:rPr>
              <w:t>，四周无特殊环境敏感点，该项目建设符合城乡规划。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②项目区供水、供电、道路等基础设施已基本完善，为项目的建设提供了较好的基础条件。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③厂区地势平坦，周围无风景名胜区、自然保护区等环境敏感区，且未占用耕地、林地等经济利用价值较高的土地。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④厂址所在地原料市场供应充足，原料供给方便，可保证项目运营期间原料的供应。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（2）环境相容性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根据现场勘查可知，本项目周边现状无与本项目冲突的企业存在，无对本项目敏感的企业存在。评价建议项目周边后期企业设置时考虑与本项目的相容性。因此，项目选址合理，与周边环境相容。</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color w:val="0000FF"/>
                <w:kern w:val="0"/>
                <w:sz w:val="24"/>
                <w:szCs w:val="24"/>
                <w:highlight w:val="none"/>
                <w:lang w:val="en-US" w:eastAsia="zh-CN"/>
              </w:rPr>
              <w:t>综上，本项目选址基本可行。</w:t>
            </w:r>
          </w:p>
          <w:p>
            <w:pPr>
              <w:pStyle w:val="31"/>
              <w:tabs>
                <w:tab w:val="left" w:pos="1193"/>
              </w:tabs>
              <w:spacing w:line="360" w:lineRule="auto"/>
              <w:ind w:firstLine="420" w:firstLineChars="200"/>
              <w:jc w:val="left"/>
              <w:rPr>
                <w:rFonts w:hint="default" w:ascii="Times New Roman" w:hAnsi="Times New Roman" w:cs="Times New Roman" w:eastAsiaTheme="minorEastAsia"/>
                <w:color w:val="auto"/>
                <w:lang w:val="en-US"/>
              </w:rPr>
            </w:pPr>
          </w:p>
        </w:tc>
      </w:tr>
    </w:tbl>
    <w:p>
      <w:r>
        <w:br w:type="page"/>
      </w:r>
    </w:p>
    <w:p>
      <w:pPr>
        <w:pStyle w:val="20"/>
        <w:keepNext/>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3"/>
        <w:tblW w:w="91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2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910" w:type="dxa"/>
            <w:vAlign w:val="center"/>
          </w:tcPr>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w:t>
            </w:r>
          </w:p>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8272" w:type="dxa"/>
            <w:vAlign w:val="center"/>
          </w:tcPr>
          <w:p>
            <w:pPr>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1.项目</w:t>
            </w:r>
            <w:r>
              <w:rPr>
                <w:rFonts w:hint="eastAsia" w:cs="Times New Roman"/>
                <w:b/>
                <w:color w:val="auto"/>
                <w:sz w:val="24"/>
                <w:lang w:eastAsia="zh-CN"/>
              </w:rPr>
              <w:t>改扩建</w:t>
            </w:r>
            <w:r>
              <w:rPr>
                <w:rFonts w:hint="default" w:ascii="Times New Roman" w:hAnsi="Times New Roman" w:cs="Times New Roman"/>
                <w:b/>
                <w:color w:val="auto"/>
                <w:sz w:val="24"/>
              </w:rPr>
              <w:t>由来</w:t>
            </w:r>
          </w:p>
          <w:p>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新疆双剑农机制造有限</w:t>
            </w:r>
            <w:r>
              <w:rPr>
                <w:rFonts w:hint="default" w:ascii="Times New Roman" w:hAnsi="Times New Roman" w:eastAsia="宋体" w:cs="Times New Roman"/>
                <w:color w:val="auto"/>
                <w:kern w:val="0"/>
                <w:sz w:val="24"/>
                <w:szCs w:val="24"/>
                <w:highlight w:val="none"/>
                <w:lang w:val="en-US" w:eastAsia="zh-CN"/>
              </w:rPr>
              <w:t>公司</w:t>
            </w:r>
            <w:r>
              <w:rPr>
                <w:rFonts w:hint="eastAsia" w:ascii="Times New Roman" w:hAnsi="Times New Roman" w:eastAsia="宋体" w:cs="Times New Roman"/>
                <w:color w:val="auto"/>
                <w:kern w:val="0"/>
                <w:sz w:val="24"/>
                <w:szCs w:val="24"/>
                <w:highlight w:val="none"/>
                <w:lang w:val="en-US" w:eastAsia="zh-CN"/>
              </w:rPr>
              <w:t>（曾用名：昌吉市天余双剑农机制造有限责任公司）</w:t>
            </w:r>
            <w:r>
              <w:rPr>
                <w:rFonts w:hint="default" w:ascii="Times New Roman" w:hAnsi="Times New Roman" w:eastAsia="宋体" w:cs="Times New Roman"/>
                <w:color w:val="auto"/>
                <w:kern w:val="0"/>
                <w:sz w:val="24"/>
                <w:szCs w:val="24"/>
                <w:highlight w:val="none"/>
                <w:lang w:val="en-US" w:eastAsia="zh-CN"/>
              </w:rPr>
              <w:t>于2009年租赁昌吉市三工镇二工村</w:t>
            </w:r>
            <w:r>
              <w:rPr>
                <w:rFonts w:hint="eastAsia" w:ascii="Times New Roman" w:hAnsi="Times New Roman" w:eastAsia="宋体" w:cs="Times New Roman"/>
                <w:b w:val="0"/>
                <w:bCs w:val="0"/>
                <w:color w:val="auto"/>
                <w:kern w:val="0"/>
                <w:sz w:val="24"/>
                <w:szCs w:val="24"/>
                <w:highlight w:val="none"/>
                <w:lang w:val="en-US" w:eastAsia="zh-CN"/>
              </w:rPr>
              <w:t>土地建设</w:t>
            </w:r>
            <w:r>
              <w:rPr>
                <w:rFonts w:hint="default" w:ascii="Times New Roman" w:hAnsi="Times New Roman" w:eastAsia="宋体" w:cs="Times New Roman"/>
                <w:b w:val="0"/>
                <w:bCs w:val="0"/>
                <w:color w:val="auto"/>
                <w:kern w:val="0"/>
                <w:sz w:val="24"/>
                <w:szCs w:val="24"/>
                <w:highlight w:val="none"/>
                <w:lang w:val="en-US" w:eastAsia="zh-CN"/>
              </w:rPr>
              <w:t>厂房生产各类农业机械，</w:t>
            </w:r>
            <w:r>
              <w:rPr>
                <w:rFonts w:hint="eastAsia" w:cs="Times New Roman"/>
                <w:b w:val="0"/>
                <w:bCs w:val="0"/>
                <w:color w:val="auto"/>
                <w:kern w:val="0"/>
                <w:sz w:val="24"/>
                <w:szCs w:val="24"/>
                <w:highlight w:val="none"/>
                <w:lang w:val="en-US" w:eastAsia="zh-CN"/>
              </w:rPr>
              <w:t>原有生产线为农机具加工项目，年产</w:t>
            </w:r>
            <w:r>
              <w:rPr>
                <w:rFonts w:hint="default" w:ascii="Times New Roman" w:hAnsi="Times New Roman" w:eastAsia="宋体" w:cs="Times New Roman"/>
                <w:b w:val="0"/>
                <w:bCs w:val="0"/>
                <w:color w:val="auto"/>
                <w:kern w:val="0"/>
                <w:sz w:val="24"/>
                <w:szCs w:val="24"/>
                <w:highlight w:val="none"/>
                <w:lang w:val="en-US" w:eastAsia="zh-CN"/>
              </w:rPr>
              <w:t>各类农业机械</w:t>
            </w:r>
            <w:r>
              <w:rPr>
                <w:rFonts w:hint="eastAsia" w:cs="Times New Roman"/>
                <w:b w:val="0"/>
                <w:bCs w:val="0"/>
                <w:color w:val="auto"/>
                <w:kern w:val="0"/>
                <w:sz w:val="24"/>
                <w:szCs w:val="24"/>
                <w:highlight w:val="none"/>
                <w:lang w:val="en-US" w:eastAsia="zh-CN"/>
              </w:rPr>
              <w:t>组件</w:t>
            </w:r>
            <w:r>
              <w:rPr>
                <w:rFonts w:hint="default" w:ascii="Times New Roman" w:hAnsi="Times New Roman" w:eastAsia="宋体" w:cs="Times New Roman"/>
                <w:b w:val="0"/>
                <w:bCs w:val="0"/>
                <w:color w:val="auto"/>
                <w:kern w:val="0"/>
                <w:sz w:val="24"/>
                <w:szCs w:val="24"/>
                <w:highlight w:val="none"/>
                <w:lang w:val="en-US" w:eastAsia="zh-CN"/>
              </w:rPr>
              <w:t>2500套（喷漆外委）</w:t>
            </w:r>
            <w:r>
              <w:rPr>
                <w:rFonts w:hint="eastAsia" w:cs="Times New Roman"/>
                <w:b w:val="0"/>
                <w:bCs w:val="0"/>
                <w:color w:val="auto"/>
                <w:kern w:val="0"/>
                <w:sz w:val="24"/>
                <w:szCs w:val="24"/>
                <w:highlight w:val="none"/>
                <w:lang w:val="en-US" w:eastAsia="zh-CN"/>
              </w:rPr>
              <w:t>，因市场需要</w:t>
            </w:r>
            <w:r>
              <w:rPr>
                <w:rFonts w:hint="default" w:ascii="Times New Roman" w:hAnsi="Times New Roman" w:eastAsia="宋体" w:cs="Times New Roman"/>
                <w:color w:val="auto"/>
                <w:kern w:val="0"/>
                <w:sz w:val="24"/>
                <w:szCs w:val="24"/>
                <w:highlight w:val="none"/>
                <w:lang w:val="en-US" w:eastAsia="zh-CN"/>
              </w:rPr>
              <w:t>企业在原有</w:t>
            </w:r>
            <w:r>
              <w:rPr>
                <w:rFonts w:hint="eastAsia" w:cs="Times New Roman"/>
                <w:color w:val="auto"/>
                <w:kern w:val="0"/>
                <w:sz w:val="24"/>
                <w:szCs w:val="24"/>
                <w:highlight w:val="none"/>
                <w:lang w:val="en-US" w:eastAsia="zh-CN"/>
              </w:rPr>
              <w:t>项目</w:t>
            </w:r>
            <w:r>
              <w:rPr>
                <w:rFonts w:hint="default" w:ascii="Times New Roman" w:hAnsi="Times New Roman" w:eastAsia="宋体" w:cs="Times New Roman"/>
                <w:color w:val="auto"/>
                <w:kern w:val="0"/>
                <w:sz w:val="24"/>
                <w:szCs w:val="24"/>
                <w:highlight w:val="none"/>
                <w:lang w:val="en-US" w:eastAsia="zh-CN"/>
              </w:rPr>
              <w:t>的基础上进行</w:t>
            </w:r>
            <w:r>
              <w:rPr>
                <w:rFonts w:hint="eastAsia" w:ascii="Times New Roman" w:hAnsi="Times New Roman" w:eastAsia="宋体" w:cs="Times New Roman"/>
                <w:color w:val="auto"/>
                <w:kern w:val="0"/>
                <w:sz w:val="24"/>
                <w:szCs w:val="24"/>
                <w:highlight w:val="none"/>
                <w:lang w:val="en-US" w:eastAsia="zh-CN"/>
              </w:rPr>
              <w:t>改</w:t>
            </w:r>
            <w:r>
              <w:rPr>
                <w:rFonts w:hint="default" w:ascii="Times New Roman" w:hAnsi="Times New Roman" w:eastAsia="宋体" w:cs="Times New Roman"/>
                <w:color w:val="auto"/>
                <w:kern w:val="0"/>
                <w:sz w:val="24"/>
                <w:szCs w:val="24"/>
                <w:highlight w:val="none"/>
                <w:lang w:val="en-US" w:eastAsia="zh-CN"/>
              </w:rPr>
              <w:t>扩建，增加</w:t>
            </w:r>
            <w:r>
              <w:rPr>
                <w:rFonts w:hint="eastAsia" w:cs="Times New Roman"/>
                <w:color w:val="auto"/>
                <w:kern w:val="0"/>
                <w:sz w:val="24"/>
                <w:szCs w:val="24"/>
                <w:highlight w:val="none"/>
                <w:lang w:val="en-US" w:eastAsia="zh-CN"/>
              </w:rPr>
              <w:t>抛丸</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喷塑</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固化工艺</w:t>
            </w:r>
            <w:r>
              <w:rPr>
                <w:rFonts w:hint="eastAsia" w:cs="Times New Roman"/>
                <w:color w:val="auto"/>
                <w:kern w:val="0"/>
                <w:sz w:val="24"/>
                <w:szCs w:val="24"/>
                <w:highlight w:val="none"/>
                <w:lang w:val="en-US" w:eastAsia="zh-CN"/>
              </w:rPr>
              <w:t>的两条生产线</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改</w:t>
            </w:r>
            <w:r>
              <w:rPr>
                <w:rFonts w:hint="default" w:ascii="Times New Roman" w:hAnsi="Times New Roman" w:eastAsia="宋体" w:cs="Times New Roman"/>
                <w:color w:val="auto"/>
                <w:kern w:val="0"/>
                <w:sz w:val="24"/>
                <w:szCs w:val="24"/>
                <w:highlight w:val="none"/>
                <w:lang w:val="en-US" w:eastAsia="zh-CN"/>
              </w:rPr>
              <w:t>扩建</w:t>
            </w:r>
            <w:r>
              <w:rPr>
                <w:rFonts w:hint="eastAsia" w:ascii="Times New Roman" w:hAnsi="Times New Roman" w:eastAsia="宋体" w:cs="Times New Roman"/>
                <w:color w:val="auto"/>
                <w:kern w:val="0"/>
                <w:sz w:val="24"/>
                <w:szCs w:val="24"/>
                <w:highlight w:val="none"/>
                <w:lang w:val="en-US" w:eastAsia="zh-CN"/>
              </w:rPr>
              <w:t>后</w:t>
            </w:r>
            <w:r>
              <w:rPr>
                <w:rFonts w:hint="default" w:ascii="Times New Roman" w:hAnsi="Times New Roman" w:eastAsia="宋体" w:cs="Times New Roman"/>
                <w:color w:val="auto"/>
                <w:sz w:val="24"/>
                <w:szCs w:val="24"/>
                <w:highlight w:val="none"/>
                <w:lang w:val="en-US" w:eastAsia="zh-CN"/>
              </w:rPr>
              <w:t>年产350台动力驱动耙、300台谷物播种机、300台联合整地机、20台耙播一体机。</w:t>
            </w:r>
          </w:p>
          <w:p>
            <w:pPr>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建设项目组成</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2.1项目位置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highlight w:val="yellow"/>
                <w:lang w:val="en-US" w:eastAsia="zh-CN"/>
              </w:rPr>
            </w:pPr>
            <w:r>
              <w:rPr>
                <w:rFonts w:hint="eastAsia" w:ascii="Times New Roman" w:hAnsi="Times New Roman" w:eastAsia="宋体" w:cs="Times New Roman"/>
                <w:b w:val="0"/>
                <w:bCs w:val="0"/>
                <w:color w:val="auto"/>
                <w:kern w:val="0"/>
                <w:sz w:val="24"/>
                <w:szCs w:val="24"/>
                <w:highlight w:val="none"/>
                <w:lang w:val="en-US" w:eastAsia="zh-CN"/>
              </w:rPr>
              <w:t>本</w:t>
            </w:r>
            <w:r>
              <w:rPr>
                <w:rFonts w:hint="default" w:ascii="Times New Roman" w:hAnsi="Times New Roman" w:eastAsia="宋体" w:cs="Times New Roman"/>
                <w:b w:val="0"/>
                <w:bCs w:val="0"/>
                <w:color w:val="auto"/>
                <w:kern w:val="0"/>
                <w:sz w:val="24"/>
                <w:szCs w:val="24"/>
                <w:highlight w:val="none"/>
                <w:lang w:val="en-US" w:eastAsia="zh-CN"/>
              </w:rPr>
              <w:t>项目位于新疆昌吉州昌吉市三工镇八钢工业聚集区</w:t>
            </w:r>
            <w:r>
              <w:rPr>
                <w:rFonts w:hint="default"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项目区中心地理坐标为E87°14′23.648″，N43°52′18.105″，项目北侧为空地，南侧为新疆金域仁和混凝土有限公司，西侧为空地，东侧为经六路，项目区地理位置详见</w:t>
            </w:r>
            <w:r>
              <w:rPr>
                <w:rFonts w:hint="eastAsia" w:ascii="Times New Roman" w:hAnsi="Times New Roman" w:eastAsia="宋体" w:cs="Times New Roman"/>
                <w:b w:val="0"/>
                <w:bCs w:val="0"/>
                <w:color w:val="auto"/>
                <w:kern w:val="0"/>
                <w:sz w:val="24"/>
                <w:szCs w:val="24"/>
                <w:highlight w:val="none"/>
                <w:lang w:val="en-US" w:eastAsia="zh-CN"/>
              </w:rPr>
              <w:t>附图1</w:t>
            </w:r>
            <w:r>
              <w:rPr>
                <w:rFonts w:hint="default" w:ascii="Times New Roman" w:hAnsi="Times New Roman" w:eastAsia="宋体" w:cs="Times New Roman"/>
                <w:b w:val="0"/>
                <w:bCs w:val="0"/>
                <w:color w:val="auto"/>
                <w:kern w:val="0"/>
                <w:sz w:val="24"/>
                <w:szCs w:val="24"/>
                <w:highlight w:val="none"/>
                <w:lang w:val="en-US" w:eastAsia="zh-CN"/>
              </w:rPr>
              <w:t>。</w:t>
            </w:r>
          </w:p>
          <w:p>
            <w:pPr>
              <w:pStyle w:val="21"/>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imes New Roman" w:hAnsi="Times New Roman" w:cs="Times New Roman"/>
                <w:b/>
                <w:bCs/>
                <w:color w:val="0000FF"/>
                <w:kern w:val="2"/>
                <w:sz w:val="24"/>
                <w:szCs w:val="24"/>
                <w:lang w:val="en-US" w:eastAsia="zh-CN" w:bidi="ar-SA"/>
              </w:rPr>
            </w:pPr>
            <w:r>
              <w:rPr>
                <w:rFonts w:hint="eastAsia" w:ascii="Times New Roman" w:hAnsi="Times New Roman" w:eastAsia="宋体" w:cs="Times New Roman"/>
                <w:b/>
                <w:bCs/>
                <w:color w:val="0000FF"/>
                <w:kern w:val="2"/>
                <w:sz w:val="24"/>
                <w:szCs w:val="24"/>
                <w:lang w:val="en-US" w:eastAsia="zh-CN" w:bidi="ar-SA"/>
              </w:rPr>
              <w:t>2.2</w:t>
            </w:r>
            <w:r>
              <w:rPr>
                <w:rFonts w:hint="eastAsia" w:ascii="Times New Roman" w:hAnsi="Times New Roman" w:cs="Times New Roman"/>
                <w:b/>
                <w:bCs/>
                <w:color w:val="0000FF"/>
                <w:kern w:val="2"/>
                <w:sz w:val="24"/>
                <w:szCs w:val="24"/>
                <w:lang w:val="en-US" w:eastAsia="zh-CN" w:bidi="ar-SA"/>
              </w:rPr>
              <w:t>项目建设内容</w:t>
            </w:r>
          </w:p>
          <w:p>
            <w:pPr>
              <w:pStyle w:val="21"/>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b w:val="0"/>
                <w:bCs w:val="0"/>
                <w:color w:val="0000FF"/>
                <w:kern w:val="0"/>
                <w:sz w:val="24"/>
                <w:szCs w:val="24"/>
                <w:highlight w:val="none"/>
                <w:lang w:val="en-US" w:eastAsia="zh-CN" w:bidi="ar-SA"/>
              </w:rPr>
            </w:pPr>
            <w:r>
              <w:rPr>
                <w:rFonts w:hint="default" w:ascii="Times New Roman" w:hAnsi="Times New Roman" w:eastAsia="宋体" w:cs="Times New Roman"/>
                <w:b w:val="0"/>
                <w:bCs w:val="0"/>
                <w:color w:val="0000FF"/>
                <w:kern w:val="0"/>
                <w:sz w:val="24"/>
                <w:szCs w:val="24"/>
                <w:highlight w:val="none"/>
                <w:lang w:val="en-US" w:eastAsia="zh-CN" w:bidi="ar-SA"/>
              </w:rPr>
              <w:t>本次扩建不新增用地，无土建施工，分别在车间1、车间2新增抛丸、喷粉、固化生产线各一条，车间在原有生产车间内隔出，利旧原则，新增抛丸、喷塑、烘干设备等设备，扩建后产能为350台动力驱动耙、300台谷物播种机、300台联合整地机、20台耙播一体机。项目建设内容见表2-1。</w:t>
            </w:r>
          </w:p>
          <w:p>
            <w:pPr>
              <w:pStyle w:val="40"/>
              <w:keepNext w:val="0"/>
              <w:keepLines w:val="0"/>
              <w:pageBreakBefore w:val="0"/>
              <w:kinsoku/>
              <w:wordWrap/>
              <w:overflowPunct/>
              <w:topLinePunct w:val="0"/>
              <w:bidi w:val="0"/>
              <w:spacing w:line="240" w:lineRule="auto"/>
              <w:rPr>
                <w:rFonts w:hint="default" w:ascii="Times New Roman" w:hAnsi="Times New Roman" w:eastAsia="宋体" w:cs="Times New Roman"/>
                <w:b/>
                <w:bCs/>
                <w:snapToGrid w:val="0"/>
                <w:color w:val="0000FF"/>
                <w:spacing w:val="0"/>
                <w:w w:val="100"/>
                <w:kern w:val="2"/>
                <w:position w:val="0"/>
                <w:sz w:val="21"/>
                <w:szCs w:val="21"/>
                <w:highlight w:val="none"/>
                <w:lang w:val="en-US" w:eastAsia="zh-CN" w:bidi="ar-SA"/>
              </w:rPr>
            </w:pPr>
            <w:r>
              <w:rPr>
                <w:rFonts w:hint="default" w:ascii="Times New Roman" w:hAnsi="Times New Roman" w:eastAsia="宋体" w:cs="Times New Roman"/>
                <w:b/>
                <w:bCs/>
                <w:snapToGrid w:val="0"/>
                <w:color w:val="0000FF"/>
                <w:spacing w:val="0"/>
                <w:w w:val="100"/>
                <w:kern w:val="2"/>
                <w:position w:val="0"/>
                <w:sz w:val="21"/>
                <w:szCs w:val="21"/>
                <w:highlight w:val="none"/>
                <w:lang w:val="en-US" w:eastAsia="zh-CN" w:bidi="ar-SA"/>
              </w:rPr>
              <w:t>表2-1    项目建设内容一览表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115"/>
              <w:gridCol w:w="120"/>
              <w:gridCol w:w="1236"/>
              <w:gridCol w:w="1711"/>
              <w:gridCol w:w="2555"/>
              <w:gridCol w:w="6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tl2br w:val="nil"/>
                    <w:tr2bl w:val="nil"/>
                  </w:tcBorders>
                  <w:noWrap w:val="0"/>
                  <w:vAlign w:val="center"/>
                </w:tcPr>
                <w:p>
                  <w:pPr>
                    <w:pStyle w:val="31"/>
                    <w:keepNext w:val="0"/>
                    <w:keepLines w:val="0"/>
                    <w:pageBreakBefore w:val="0"/>
                    <w:kinsoku/>
                    <w:wordWrap/>
                    <w:overflowPunct/>
                    <w:topLinePunct w:val="0"/>
                    <w:bidi w:val="0"/>
                    <w:jc w:val="center"/>
                    <w:rPr>
                      <w:rFonts w:hint="eastAsia" w:ascii="Times New Roman" w:hAnsi="Times New Roman" w:eastAsia="宋体" w:cs="Times New Roman"/>
                      <w:b/>
                      <w:color w:val="0000FF"/>
                      <w:szCs w:val="21"/>
                      <w:lang w:eastAsia="zh-CN"/>
                    </w:rPr>
                  </w:pPr>
                  <w:r>
                    <w:rPr>
                      <w:rFonts w:hint="eastAsia" w:ascii="Times New Roman" w:hAnsi="Times New Roman" w:eastAsia="宋体" w:cs="Times New Roman"/>
                      <w:b/>
                      <w:color w:val="0000FF"/>
                      <w:szCs w:val="21"/>
                      <w:lang w:eastAsia="zh-CN"/>
                    </w:rPr>
                    <w:t>工程</w:t>
                  </w:r>
                </w:p>
              </w:tc>
              <w:tc>
                <w:tcPr>
                  <w:tcW w:w="1534" w:type="pct"/>
                  <w:gridSpan w:val="3"/>
                  <w:tcBorders>
                    <w:tl2br w:val="nil"/>
                    <w:tr2bl w:val="nil"/>
                  </w:tcBorders>
                  <w:noWrap w:val="0"/>
                  <w:vAlign w:val="center"/>
                </w:tcPr>
                <w:p>
                  <w:pPr>
                    <w:pStyle w:val="31"/>
                    <w:keepNext w:val="0"/>
                    <w:keepLines w:val="0"/>
                    <w:pageBreakBefore w:val="0"/>
                    <w:kinsoku/>
                    <w:wordWrap/>
                    <w:overflowPunct/>
                    <w:topLinePunct w:val="0"/>
                    <w:bidi w:val="0"/>
                    <w:jc w:val="center"/>
                    <w:rPr>
                      <w:rFonts w:hint="default" w:ascii="Times New Roman" w:hAnsi="Times New Roman" w:eastAsia="宋体" w:cs="Times New Roman"/>
                      <w:b/>
                      <w:color w:val="0000FF"/>
                      <w:szCs w:val="21"/>
                    </w:rPr>
                  </w:pPr>
                  <w:r>
                    <w:rPr>
                      <w:rFonts w:hint="default" w:ascii="Times New Roman" w:hAnsi="Times New Roman" w:eastAsia="宋体" w:cs="Times New Roman"/>
                      <w:b/>
                      <w:color w:val="0000FF"/>
                      <w:szCs w:val="21"/>
                    </w:rPr>
                    <w:t>项目组成</w:t>
                  </w:r>
                </w:p>
              </w:tc>
              <w:tc>
                <w:tcPr>
                  <w:tcW w:w="2649" w:type="pct"/>
                  <w:gridSpan w:val="2"/>
                  <w:tcBorders>
                    <w:tl2br w:val="nil"/>
                    <w:tr2bl w:val="nil"/>
                  </w:tcBorders>
                  <w:noWrap w:val="0"/>
                  <w:vAlign w:val="center"/>
                </w:tcPr>
                <w:p>
                  <w:pPr>
                    <w:pStyle w:val="31"/>
                    <w:keepNext w:val="0"/>
                    <w:keepLines w:val="0"/>
                    <w:pageBreakBefore w:val="0"/>
                    <w:kinsoku/>
                    <w:wordWrap/>
                    <w:overflowPunct/>
                    <w:topLinePunct w:val="0"/>
                    <w:bidi w:val="0"/>
                    <w:jc w:val="center"/>
                    <w:rPr>
                      <w:rFonts w:hint="default" w:ascii="Times New Roman" w:hAnsi="Times New Roman" w:eastAsia="宋体" w:cs="Times New Roman"/>
                      <w:b/>
                      <w:color w:val="0000FF"/>
                      <w:szCs w:val="21"/>
                    </w:rPr>
                  </w:pPr>
                  <w:r>
                    <w:rPr>
                      <w:rFonts w:hint="default" w:ascii="Times New Roman" w:hAnsi="Times New Roman" w:eastAsia="宋体" w:cs="Times New Roman"/>
                      <w:b/>
                      <w:color w:val="0000FF"/>
                      <w:szCs w:val="21"/>
                    </w:rPr>
                    <w:t>主要内容</w:t>
                  </w:r>
                </w:p>
              </w:tc>
              <w:tc>
                <w:tcPr>
                  <w:tcW w:w="404" w:type="pct"/>
                  <w:tcBorders>
                    <w:tl2br w:val="nil"/>
                    <w:tr2bl w:val="nil"/>
                  </w:tcBorders>
                  <w:noWrap w:val="0"/>
                  <w:vAlign w:val="center"/>
                </w:tcPr>
                <w:p>
                  <w:pPr>
                    <w:pStyle w:val="31"/>
                    <w:keepNext w:val="0"/>
                    <w:keepLines w:val="0"/>
                    <w:pageBreakBefore w:val="0"/>
                    <w:kinsoku/>
                    <w:wordWrap/>
                    <w:overflowPunct/>
                    <w:topLinePunct w:val="0"/>
                    <w:bidi w:val="0"/>
                    <w:jc w:val="center"/>
                    <w:rPr>
                      <w:rFonts w:hint="eastAsia" w:ascii="Times New Roman" w:hAnsi="Times New Roman" w:eastAsia="宋体" w:cs="Times New Roman"/>
                      <w:b/>
                      <w:color w:val="0000FF"/>
                      <w:szCs w:val="21"/>
                      <w:lang w:eastAsia="zh-CN"/>
                    </w:rPr>
                  </w:pPr>
                  <w:r>
                    <w:rPr>
                      <w:rFonts w:hint="eastAsia" w:ascii="Times New Roman" w:hAnsi="Times New Roman" w:eastAsia="宋体" w:cs="Times New Roman"/>
                      <w:b/>
                      <w:color w:val="0000FF"/>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4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eastAsia="zh-CN"/>
                    </w:rPr>
                  </w:pPr>
                  <w:r>
                    <w:rPr>
                      <w:rFonts w:hint="default" w:ascii="Times New Roman" w:hAnsi="Times New Roman" w:eastAsia="宋体" w:cs="Times New Roman"/>
                      <w:color w:val="0000FF"/>
                      <w:kern w:val="0"/>
                      <w:sz w:val="21"/>
                      <w:szCs w:val="21"/>
                      <w:highlight w:val="none"/>
                    </w:rPr>
                    <w:t>主体工程</w:t>
                  </w:r>
                </w:p>
              </w:tc>
              <w:tc>
                <w:tcPr>
                  <w:tcW w:w="6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喷粉固化车间</w:t>
                  </w:r>
                </w:p>
              </w:tc>
              <w:tc>
                <w:tcPr>
                  <w:tcW w:w="8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2间</w:t>
                  </w:r>
                  <w:r>
                    <w:rPr>
                      <w:rFonts w:hint="eastAsia" w:cs="Times New Roman"/>
                      <w:color w:val="0000FF"/>
                      <w:kern w:val="0"/>
                      <w:sz w:val="21"/>
                      <w:szCs w:val="21"/>
                      <w:highlight w:val="none"/>
                      <w:lang w:val="en-US" w:eastAsia="zh-CN"/>
                    </w:rPr>
                    <w:t>（车间1及车间2）</w:t>
                  </w:r>
                  <w:r>
                    <w:rPr>
                      <w:rFonts w:hint="default" w:ascii="Times New Roman" w:hAnsi="Times New Roman" w:eastAsia="宋体" w:cs="Times New Roman"/>
                      <w:color w:val="0000FF"/>
                      <w:kern w:val="0"/>
                      <w:sz w:val="21"/>
                      <w:szCs w:val="21"/>
                      <w:highlight w:val="none"/>
                      <w:lang w:val="en-US" w:eastAsia="zh-CN"/>
                    </w:rPr>
                    <w:t>，占地共计400</w:t>
                  </w:r>
                  <w:r>
                    <w:rPr>
                      <w:rFonts w:hint="default" w:ascii="Times New Roman" w:hAnsi="Times New Roman" w:eastAsia="宋体" w:cs="Times New Roman"/>
                      <w:color w:val="0000FF"/>
                      <w:sz w:val="21"/>
                      <w:szCs w:val="21"/>
                      <w:highlight w:val="none"/>
                      <w:lang w:val="en-US" w:eastAsia="zh-CN"/>
                    </w:rPr>
                    <w:t>m</w:t>
                  </w:r>
                  <w:r>
                    <w:rPr>
                      <w:rFonts w:hint="default" w:ascii="Times New Roman" w:hAnsi="Times New Roman" w:eastAsia="宋体" w:cs="Times New Roman"/>
                      <w:color w:val="0000FF"/>
                      <w:sz w:val="21"/>
                      <w:szCs w:val="21"/>
                      <w:highlight w:val="none"/>
                      <w:vertAlign w:val="superscript"/>
                      <w:lang w:val="en-US" w:eastAsia="zh-CN"/>
                    </w:rPr>
                    <w:t>2</w:t>
                  </w:r>
                </w:p>
              </w:tc>
              <w:tc>
                <w:tcPr>
                  <w:tcW w:w="2649" w:type="pct"/>
                  <w:gridSpan w:val="2"/>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eastAsia="zh-CN"/>
                    </w:rPr>
                  </w:pPr>
                  <w:r>
                    <w:rPr>
                      <w:rFonts w:hint="default" w:ascii="Times New Roman" w:hAnsi="Times New Roman" w:eastAsia="宋体" w:cs="Times New Roman"/>
                      <w:color w:val="0000FF"/>
                      <w:kern w:val="0"/>
                      <w:sz w:val="21"/>
                      <w:szCs w:val="21"/>
                      <w:highlight w:val="none"/>
                      <w:lang w:val="en-US" w:eastAsia="zh-CN"/>
                    </w:rPr>
                    <w:t>本次扩建不新增占地，</w:t>
                  </w:r>
                  <w:r>
                    <w:rPr>
                      <w:rFonts w:hint="eastAsia" w:ascii="Times New Roman" w:hAnsi="Times New Roman" w:eastAsia="宋体" w:cs="Times New Roman"/>
                      <w:color w:val="0000FF"/>
                      <w:kern w:val="0"/>
                      <w:sz w:val="21"/>
                      <w:szCs w:val="21"/>
                      <w:highlight w:val="none"/>
                      <w:lang w:val="en-US" w:eastAsia="zh-CN"/>
                    </w:rPr>
                    <w:t>无土建施工，新增抛丸、</w:t>
                  </w:r>
                  <w:r>
                    <w:rPr>
                      <w:rFonts w:hint="default" w:ascii="Times New Roman" w:hAnsi="Times New Roman" w:eastAsia="宋体" w:cs="Times New Roman"/>
                      <w:color w:val="0000FF"/>
                      <w:kern w:val="0"/>
                      <w:sz w:val="21"/>
                      <w:szCs w:val="21"/>
                      <w:highlight w:val="none"/>
                      <w:lang w:val="en-US" w:eastAsia="zh-CN"/>
                    </w:rPr>
                    <w:t>喷粉</w:t>
                  </w:r>
                  <w:r>
                    <w:rPr>
                      <w:rFonts w:hint="eastAsia" w:ascii="Times New Roman" w:hAnsi="Times New Roman" w:eastAsia="宋体" w:cs="Times New Roman"/>
                      <w:color w:val="0000FF"/>
                      <w:kern w:val="0"/>
                      <w:sz w:val="21"/>
                      <w:szCs w:val="21"/>
                      <w:highlight w:val="none"/>
                      <w:lang w:val="en-US" w:eastAsia="zh-CN"/>
                    </w:rPr>
                    <w:t>、</w:t>
                  </w:r>
                  <w:r>
                    <w:rPr>
                      <w:rFonts w:hint="default" w:ascii="Times New Roman" w:hAnsi="Times New Roman" w:eastAsia="宋体" w:cs="Times New Roman"/>
                      <w:color w:val="0000FF"/>
                      <w:kern w:val="0"/>
                      <w:sz w:val="21"/>
                      <w:szCs w:val="21"/>
                      <w:highlight w:val="none"/>
                      <w:lang w:val="en-US" w:eastAsia="zh-CN"/>
                    </w:rPr>
                    <w:t>固化</w:t>
                  </w:r>
                  <w:r>
                    <w:rPr>
                      <w:rFonts w:hint="eastAsia" w:ascii="Times New Roman" w:hAnsi="Times New Roman" w:eastAsia="宋体" w:cs="Times New Roman"/>
                      <w:color w:val="0000FF"/>
                      <w:kern w:val="0"/>
                      <w:sz w:val="21"/>
                      <w:szCs w:val="21"/>
                      <w:highlight w:val="none"/>
                      <w:lang w:val="en-US" w:eastAsia="zh-CN"/>
                    </w:rPr>
                    <w:t>生产线</w:t>
                  </w:r>
                  <w:r>
                    <w:rPr>
                      <w:rFonts w:hint="default" w:ascii="Times New Roman" w:hAnsi="Times New Roman" w:eastAsia="宋体" w:cs="Times New Roman"/>
                      <w:color w:val="0000FF"/>
                      <w:kern w:val="0"/>
                      <w:sz w:val="21"/>
                      <w:szCs w:val="21"/>
                      <w:highlight w:val="none"/>
                      <w:lang w:val="en-US" w:eastAsia="zh-CN"/>
                    </w:rPr>
                    <w:t>车间在原有生产车间内隔出，</w:t>
                  </w:r>
                  <w:r>
                    <w:rPr>
                      <w:rFonts w:hint="eastAsia" w:ascii="Times New Roman" w:hAnsi="Times New Roman" w:eastAsia="宋体" w:cs="Times New Roman"/>
                      <w:color w:val="0000FF"/>
                      <w:kern w:val="0"/>
                      <w:sz w:val="21"/>
                      <w:szCs w:val="21"/>
                      <w:highlight w:val="none"/>
                      <w:lang w:val="en-US" w:eastAsia="zh-CN"/>
                    </w:rPr>
                    <w:t>利旧原则，</w:t>
                  </w:r>
                  <w:r>
                    <w:rPr>
                      <w:rFonts w:hint="default" w:ascii="Times New Roman" w:hAnsi="Times New Roman" w:eastAsia="宋体" w:cs="Times New Roman"/>
                      <w:color w:val="0000FF"/>
                      <w:kern w:val="0"/>
                      <w:sz w:val="21"/>
                      <w:szCs w:val="21"/>
                      <w:highlight w:val="none"/>
                      <w:lang w:val="en-US" w:eastAsia="zh-CN"/>
                    </w:rPr>
                    <w:t>新增</w:t>
                  </w:r>
                  <w:r>
                    <w:rPr>
                      <w:rFonts w:hint="eastAsia" w:ascii="Times New Roman" w:hAnsi="Times New Roman" w:eastAsia="宋体" w:cs="Times New Roman"/>
                      <w:color w:val="0000FF"/>
                      <w:kern w:val="0"/>
                      <w:sz w:val="21"/>
                      <w:szCs w:val="21"/>
                      <w:highlight w:val="none"/>
                      <w:lang w:val="en-US" w:eastAsia="zh-CN"/>
                    </w:rPr>
                    <w:t>抛丸、</w:t>
                  </w:r>
                  <w:r>
                    <w:rPr>
                      <w:rFonts w:hint="default" w:ascii="Times New Roman" w:hAnsi="Times New Roman" w:eastAsia="宋体" w:cs="Times New Roman"/>
                      <w:color w:val="0000FF"/>
                      <w:kern w:val="0"/>
                      <w:sz w:val="21"/>
                      <w:szCs w:val="21"/>
                      <w:highlight w:val="none"/>
                      <w:lang w:val="en-US" w:eastAsia="zh-CN"/>
                    </w:rPr>
                    <w:t>喷塑</w:t>
                  </w:r>
                  <w:r>
                    <w:rPr>
                      <w:rFonts w:hint="eastAsia" w:ascii="Times New Roman" w:hAnsi="Times New Roman" w:eastAsia="宋体" w:cs="Times New Roman"/>
                      <w:color w:val="0000FF"/>
                      <w:kern w:val="0"/>
                      <w:sz w:val="21"/>
                      <w:szCs w:val="21"/>
                      <w:highlight w:val="none"/>
                      <w:lang w:val="en-US" w:eastAsia="zh-CN"/>
                    </w:rPr>
                    <w:t>、</w:t>
                  </w:r>
                  <w:r>
                    <w:rPr>
                      <w:rFonts w:hint="default" w:ascii="Times New Roman" w:hAnsi="Times New Roman" w:eastAsia="宋体" w:cs="Times New Roman"/>
                      <w:color w:val="0000FF"/>
                      <w:kern w:val="0"/>
                      <w:sz w:val="21"/>
                      <w:szCs w:val="21"/>
                      <w:highlight w:val="none"/>
                      <w:lang w:val="en-US" w:eastAsia="zh-CN"/>
                    </w:rPr>
                    <w:t>烘干设备</w:t>
                  </w:r>
                  <w:r>
                    <w:rPr>
                      <w:rFonts w:hint="eastAsia" w:ascii="Times New Roman" w:hAnsi="Times New Roman" w:eastAsia="宋体" w:cs="Times New Roman"/>
                      <w:color w:val="0000FF"/>
                      <w:kern w:val="0"/>
                      <w:sz w:val="21"/>
                      <w:szCs w:val="21"/>
                      <w:highlight w:val="none"/>
                      <w:lang w:val="en-US" w:eastAsia="zh-CN"/>
                    </w:rPr>
                    <w:t>等设备</w:t>
                  </w:r>
                </w:p>
              </w:tc>
              <w:tc>
                <w:tcPr>
                  <w:tcW w:w="404" w:type="pct"/>
                  <w:tcBorders>
                    <w:tl2br w:val="nil"/>
                    <w:tr2bl w:val="nil"/>
                  </w:tcBorders>
                  <w:noWrap w:val="0"/>
                  <w:vAlign w:val="center"/>
                </w:tcPr>
                <w:p>
                  <w:pPr>
                    <w:adjustRightInd w:val="0"/>
                    <w:snapToGrid w:val="0"/>
                    <w:jc w:val="both"/>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现有生产车间</w:t>
                  </w:r>
                </w:p>
                <w:p>
                  <w:pPr>
                    <w:adjustRightInd w:val="0"/>
                    <w:snapToGrid w:val="0"/>
                    <w:jc w:val="both"/>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p>
              </w:tc>
              <w:tc>
                <w:tcPr>
                  <w:tcW w:w="6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装配车间</w:t>
                  </w:r>
                </w:p>
              </w:tc>
              <w:tc>
                <w:tcPr>
                  <w:tcW w:w="8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2间，占地共计3500</w:t>
                  </w:r>
                  <w:r>
                    <w:rPr>
                      <w:rFonts w:hint="default" w:ascii="Times New Roman" w:hAnsi="Times New Roman" w:eastAsia="宋体" w:cs="Times New Roman"/>
                      <w:color w:val="0000FF"/>
                      <w:sz w:val="21"/>
                      <w:szCs w:val="21"/>
                      <w:highlight w:val="none"/>
                      <w:lang w:val="en-US" w:eastAsia="zh-CN"/>
                    </w:rPr>
                    <w:t>m</w:t>
                  </w:r>
                  <w:r>
                    <w:rPr>
                      <w:rFonts w:hint="default" w:ascii="Times New Roman" w:hAnsi="Times New Roman" w:eastAsia="宋体" w:cs="Times New Roman"/>
                      <w:color w:val="0000FF"/>
                      <w:sz w:val="21"/>
                      <w:szCs w:val="21"/>
                      <w:highlight w:val="none"/>
                      <w:vertAlign w:val="superscript"/>
                      <w:lang w:val="en-US" w:eastAsia="zh-CN"/>
                    </w:rPr>
                    <w:t>2</w:t>
                  </w:r>
                </w:p>
              </w:tc>
              <w:tc>
                <w:tcPr>
                  <w:tcW w:w="2649" w:type="pct"/>
                  <w:gridSpan w:val="2"/>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储运工程</w:t>
                  </w: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成品库</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1间，占地面积共计3500</w:t>
                  </w:r>
                  <w:r>
                    <w:rPr>
                      <w:rFonts w:hint="default" w:ascii="Times New Roman" w:hAnsi="Times New Roman" w:eastAsia="宋体" w:cs="Times New Roman"/>
                      <w:color w:val="0000FF"/>
                      <w:sz w:val="21"/>
                      <w:szCs w:val="21"/>
                      <w:highlight w:val="none"/>
                      <w:lang w:val="en-US" w:eastAsia="zh-CN"/>
                    </w:rPr>
                    <w:t>m</w:t>
                  </w:r>
                  <w:r>
                    <w:rPr>
                      <w:rFonts w:hint="default" w:ascii="Times New Roman" w:hAnsi="Times New Roman" w:eastAsia="宋体" w:cs="Times New Roman"/>
                      <w:color w:val="0000FF"/>
                      <w:sz w:val="21"/>
                      <w:szCs w:val="21"/>
                      <w:highlight w:val="none"/>
                      <w:vertAlign w:val="superscript"/>
                      <w:lang w:val="en-US" w:eastAsia="zh-CN"/>
                    </w:rPr>
                    <w:t>2</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废料间</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1间，占地面积共计20</w:t>
                  </w:r>
                  <w:r>
                    <w:rPr>
                      <w:rFonts w:hint="default" w:ascii="Times New Roman" w:hAnsi="Times New Roman" w:eastAsia="宋体" w:cs="Times New Roman"/>
                      <w:color w:val="0000FF"/>
                      <w:sz w:val="21"/>
                      <w:szCs w:val="21"/>
                      <w:highlight w:val="none"/>
                      <w:lang w:val="en-US" w:eastAsia="zh-CN"/>
                    </w:rPr>
                    <w:t>m</w:t>
                  </w:r>
                  <w:r>
                    <w:rPr>
                      <w:rFonts w:hint="default" w:ascii="Times New Roman" w:hAnsi="Times New Roman" w:eastAsia="宋体" w:cs="Times New Roman"/>
                      <w:color w:val="0000FF"/>
                      <w:sz w:val="21"/>
                      <w:szCs w:val="21"/>
                      <w:highlight w:val="none"/>
                      <w:vertAlign w:val="superscript"/>
                      <w:lang w:val="en-US" w:eastAsia="zh-CN"/>
                    </w:rPr>
                    <w:t>2</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辅助工程</w:t>
                  </w: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办公楼</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1间，占地200</w:t>
                  </w:r>
                  <w:r>
                    <w:rPr>
                      <w:rFonts w:hint="default" w:ascii="Times New Roman" w:hAnsi="Times New Roman" w:eastAsia="宋体" w:cs="Times New Roman"/>
                      <w:color w:val="0000FF"/>
                      <w:sz w:val="21"/>
                      <w:szCs w:val="21"/>
                      <w:highlight w:val="none"/>
                      <w:lang w:val="en-US" w:eastAsia="zh-CN"/>
                    </w:rPr>
                    <w:t>m</w:t>
                  </w:r>
                  <w:r>
                    <w:rPr>
                      <w:rFonts w:hint="default" w:ascii="Times New Roman" w:hAnsi="Times New Roman" w:eastAsia="宋体" w:cs="Times New Roman"/>
                      <w:color w:val="0000FF"/>
                      <w:sz w:val="21"/>
                      <w:szCs w:val="21"/>
                      <w:highlight w:val="none"/>
                      <w:vertAlign w:val="superscript"/>
                      <w:lang w:val="en-US" w:eastAsia="zh-CN"/>
                    </w:rPr>
                    <w:t>2</w:t>
                  </w:r>
                  <w:r>
                    <w:rPr>
                      <w:rFonts w:hint="default" w:ascii="Times New Roman" w:hAnsi="Times New Roman" w:eastAsia="宋体" w:cs="Times New Roman"/>
                      <w:color w:val="0000FF"/>
                      <w:kern w:val="0"/>
                      <w:sz w:val="21"/>
                      <w:szCs w:val="21"/>
                      <w:highlight w:val="none"/>
                      <w:lang w:val="en-US" w:eastAsia="zh-CN"/>
                    </w:rPr>
                    <w:t>，位于现目区东侧</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pPr>
                    <w:widowControl/>
                    <w:jc w:val="left"/>
                    <w:rPr>
                      <w:rFonts w:hint="default" w:ascii="Times New Roman" w:hAnsi="Times New Roman" w:eastAsia="宋体" w:cs="Times New Roman"/>
                      <w:color w:val="0000FF"/>
                      <w:kern w:val="0"/>
                      <w:sz w:val="21"/>
                      <w:szCs w:val="21"/>
                      <w:highlight w:val="none"/>
                    </w:rPr>
                  </w:pP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宿舍</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1间，占地250</w:t>
                  </w:r>
                  <w:r>
                    <w:rPr>
                      <w:rFonts w:hint="default" w:ascii="Times New Roman" w:hAnsi="Times New Roman" w:eastAsia="宋体" w:cs="Times New Roman"/>
                      <w:color w:val="0000FF"/>
                      <w:sz w:val="21"/>
                      <w:szCs w:val="21"/>
                      <w:highlight w:val="none"/>
                      <w:lang w:val="en-US" w:eastAsia="zh-CN"/>
                    </w:rPr>
                    <w:t>m</w:t>
                  </w:r>
                  <w:r>
                    <w:rPr>
                      <w:rFonts w:hint="default" w:ascii="Times New Roman" w:hAnsi="Times New Roman" w:eastAsia="宋体" w:cs="Times New Roman"/>
                      <w:color w:val="0000FF"/>
                      <w:sz w:val="21"/>
                      <w:szCs w:val="21"/>
                      <w:highlight w:val="none"/>
                      <w:vertAlign w:val="superscript"/>
                      <w:lang w:val="en-US" w:eastAsia="zh-CN"/>
                    </w:rPr>
                    <w:t>2</w:t>
                  </w:r>
                  <w:r>
                    <w:rPr>
                      <w:rFonts w:hint="default" w:ascii="Times New Roman" w:hAnsi="Times New Roman" w:eastAsia="宋体" w:cs="Times New Roman"/>
                      <w:color w:val="0000FF"/>
                      <w:kern w:val="0"/>
                      <w:sz w:val="21"/>
                      <w:szCs w:val="21"/>
                      <w:highlight w:val="none"/>
                      <w:lang w:val="en-US" w:eastAsia="zh-CN"/>
                    </w:rPr>
                    <w:t>，位于现目区东北侧</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yellow"/>
                    </w:rPr>
                  </w:pPr>
                  <w:r>
                    <w:rPr>
                      <w:rFonts w:hint="default" w:ascii="Times New Roman" w:hAnsi="Times New Roman" w:eastAsia="宋体" w:cs="Times New Roman"/>
                      <w:color w:val="0000FF"/>
                      <w:kern w:val="0"/>
                      <w:sz w:val="21"/>
                      <w:szCs w:val="21"/>
                      <w:highlight w:val="none"/>
                    </w:rPr>
                    <w:t>公用工程</w:t>
                  </w: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给水</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三工镇自来水系统</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pPr>
                    <w:widowControl/>
                    <w:jc w:val="left"/>
                    <w:rPr>
                      <w:rFonts w:hint="default" w:ascii="Times New Roman" w:hAnsi="Times New Roman" w:eastAsia="宋体" w:cs="Times New Roman"/>
                      <w:color w:val="0000FF"/>
                      <w:kern w:val="0"/>
                      <w:sz w:val="21"/>
                      <w:szCs w:val="21"/>
                      <w:highlight w:val="yellow"/>
                    </w:rPr>
                  </w:pP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排水</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排污城镇污水管网</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pPr>
                    <w:widowControl/>
                    <w:jc w:val="left"/>
                    <w:rPr>
                      <w:rFonts w:hint="default" w:ascii="Times New Roman" w:hAnsi="Times New Roman" w:eastAsia="宋体" w:cs="Times New Roman"/>
                      <w:color w:val="0000FF"/>
                      <w:kern w:val="0"/>
                      <w:sz w:val="21"/>
                      <w:szCs w:val="21"/>
                      <w:highlight w:val="yellow"/>
                    </w:rPr>
                  </w:pP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供电</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三工镇二工村六组供给</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2" w:type="pct"/>
                  <w:vMerge w:val="continue"/>
                  <w:tcBorders>
                    <w:tl2br w:val="nil"/>
                    <w:tr2bl w:val="nil"/>
                  </w:tcBorders>
                  <w:noWrap w:val="0"/>
                  <w:vAlign w:val="center"/>
                </w:tcPr>
                <w:p>
                  <w:pPr>
                    <w:widowControl/>
                    <w:jc w:val="left"/>
                    <w:rPr>
                      <w:rFonts w:hint="default" w:ascii="Times New Roman" w:hAnsi="Times New Roman" w:eastAsia="宋体" w:cs="Times New Roman"/>
                      <w:color w:val="0000FF"/>
                      <w:kern w:val="0"/>
                      <w:sz w:val="21"/>
                      <w:szCs w:val="21"/>
                      <w:highlight w:val="yellow"/>
                    </w:rPr>
                  </w:pP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供热</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电采暖</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环保工程</w:t>
                  </w:r>
                </w:p>
              </w:tc>
              <w:tc>
                <w:tcPr>
                  <w:tcW w:w="766" w:type="pct"/>
                  <w:gridSpan w:val="2"/>
                  <w:vMerge w:val="restart"/>
                  <w:tcBorders>
                    <w:tl2br w:val="nil"/>
                    <w:tr2bl w:val="nil"/>
                  </w:tcBorders>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sz w:val="21"/>
                      <w:szCs w:val="21"/>
                      <w:highlight w:val="none"/>
                      <w:lang w:val="en-US" w:eastAsia="zh-CN"/>
                    </w:rPr>
                    <w:t>废气</w:t>
                  </w:r>
                </w:p>
              </w:tc>
              <w:tc>
                <w:tcPr>
                  <w:tcW w:w="767" w:type="pct"/>
                  <w:vMerge w:val="restart"/>
                  <w:tcBorders>
                    <w:tl2br w:val="nil"/>
                    <w:tr2bl w:val="nil"/>
                  </w:tcBorders>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cs="Times New Roman"/>
                      <w:color w:val="0000FF"/>
                      <w:szCs w:val="21"/>
                      <w:lang w:eastAsia="zh-CN"/>
                    </w:rPr>
                    <w:t>车间</w:t>
                  </w:r>
                  <w:r>
                    <w:rPr>
                      <w:rFonts w:hint="eastAsia" w:ascii="Times New Roman" w:hAnsi="Times New Roman" w:cs="Times New Roman"/>
                      <w:color w:val="0000FF"/>
                      <w:szCs w:val="21"/>
                      <w:lang w:val="en-US" w:eastAsia="zh-CN"/>
                    </w:rPr>
                    <w:t>1（抛丸、喷塑、固化生产线）</w:t>
                  </w:r>
                  <w:r>
                    <w:rPr>
                      <w:rFonts w:ascii="Times New Roman" w:hAnsi="Times New Roman" w:cs="Times New Roman"/>
                      <w:color w:val="0000FF"/>
                      <w:szCs w:val="21"/>
                    </w:rPr>
                    <w:t>DA00</w:t>
                  </w:r>
                  <w:r>
                    <w:rPr>
                      <w:rFonts w:ascii="Times New Roman" w:hAnsi="Times New Roman" w:cs="Times New Roman"/>
                      <w:color w:val="0000FF"/>
                      <w:szCs w:val="21"/>
                      <w:lang w:val="en-US"/>
                    </w:rPr>
                    <w:t>1</w:t>
                  </w:r>
                </w:p>
              </w:tc>
              <w:tc>
                <w:tcPr>
                  <w:tcW w:w="1062" w:type="pct"/>
                  <w:tcBorders>
                    <w:tl2br w:val="nil"/>
                    <w:tr2bl w:val="nil"/>
                  </w:tcBorders>
                  <w:noWrap w:val="0"/>
                  <w:vAlign w:val="center"/>
                </w:tcPr>
                <w:p>
                  <w:pPr>
                    <w:pStyle w:val="31"/>
                    <w:jc w:val="center"/>
                    <w:rPr>
                      <w:rFonts w:hint="default" w:ascii="Times New Roman" w:hAnsi="Times New Roman" w:eastAsia="宋体" w:cs="Times New Roman"/>
                      <w:color w:val="0000FF"/>
                      <w:kern w:val="2"/>
                      <w:sz w:val="21"/>
                      <w:szCs w:val="21"/>
                      <w:lang w:val="en-US" w:eastAsia="zh-CN" w:bidi="zh-CN"/>
                    </w:rPr>
                  </w:pPr>
                  <w:r>
                    <w:rPr>
                      <w:rFonts w:hint="eastAsia" w:ascii="Times New Roman" w:hAnsi="Times New Roman" w:cs="Times New Roman"/>
                      <w:color w:val="0000FF"/>
                      <w:kern w:val="2"/>
                      <w:sz w:val="21"/>
                      <w:szCs w:val="21"/>
                      <w:lang w:val="zh-CN" w:eastAsia="zh-CN" w:bidi="zh-CN"/>
                    </w:rPr>
                    <w:t>颗粒物</w:t>
                  </w:r>
                </w:p>
              </w:tc>
              <w:tc>
                <w:tcPr>
                  <w:tcW w:w="1586" w:type="pct"/>
                  <w:tcBorders>
                    <w:tl2br w:val="nil"/>
                    <w:tr2bl w:val="nil"/>
                  </w:tcBorders>
                  <w:noWrap w:val="0"/>
                  <w:vAlign w:val="center"/>
                </w:tcPr>
                <w:p>
                  <w:pPr>
                    <w:pStyle w:val="31"/>
                    <w:jc w:val="center"/>
                    <w:rPr>
                      <w:rFonts w:hint="default" w:ascii="Times New Roman" w:hAnsi="Times New Roman" w:eastAsia="宋体" w:cs="Times New Roman"/>
                      <w:color w:val="0000FF"/>
                      <w:spacing w:val="-2"/>
                      <w:sz w:val="21"/>
                      <w:szCs w:val="21"/>
                      <w:highlight w:val="none"/>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ascii="Times New Roman" w:hAnsi="Times New Roman" w:cs="Times New Roman"/>
                      <w:color w:val="0000FF"/>
                      <w:szCs w:val="21"/>
                      <w:lang w:val="en-US"/>
                    </w:rPr>
                    <w:t>1</w:t>
                  </w:r>
                  <w:r>
                    <w:rPr>
                      <w:rFonts w:hint="eastAsia" w:ascii="Times New Roman" w:hAnsi="Times New Roman" w:cs="Times New Roman"/>
                      <w:color w:val="0000FF"/>
                      <w:szCs w:val="21"/>
                      <w:lang w:val="en-US" w:eastAsia="zh-CN"/>
                    </w:rPr>
                    <w:t>）</w:t>
                  </w:r>
                </w:p>
              </w:tc>
              <w:tc>
                <w:tcPr>
                  <w:tcW w:w="404"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2" w:type="pct"/>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spacing w:line="240" w:lineRule="auto"/>
                    <w:jc w:val="center"/>
                    <w:textAlignment w:val="auto"/>
                    <w:rPr>
                      <w:color w:val="0000FF"/>
                    </w:rPr>
                  </w:pPr>
                </w:p>
              </w:tc>
              <w:tc>
                <w:tcPr>
                  <w:tcW w:w="766" w:type="pct"/>
                  <w:gridSpan w:val="2"/>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spacing w:line="240" w:lineRule="auto"/>
                    <w:jc w:val="center"/>
                    <w:textAlignment w:val="auto"/>
                    <w:rPr>
                      <w:color w:val="0000FF"/>
                    </w:rPr>
                  </w:pPr>
                </w:p>
              </w:tc>
              <w:tc>
                <w:tcPr>
                  <w:tcW w:w="767" w:type="pct"/>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spacing w:line="240" w:lineRule="auto"/>
                    <w:jc w:val="center"/>
                    <w:textAlignment w:val="auto"/>
                    <w:rPr>
                      <w:color w:val="0000FF"/>
                    </w:rPr>
                  </w:pPr>
                </w:p>
              </w:tc>
              <w:tc>
                <w:tcPr>
                  <w:tcW w:w="1062" w:type="pct"/>
                  <w:tcBorders>
                    <w:tl2br w:val="nil"/>
                    <w:tr2bl w:val="nil"/>
                  </w:tcBorders>
                  <w:noWrap w:val="0"/>
                  <w:vAlign w:val="center"/>
                </w:tcPr>
                <w:p>
                  <w:pPr>
                    <w:overflowPunct w:val="0"/>
                    <w:autoSpaceDE w:val="0"/>
                    <w:autoSpaceDN w:val="0"/>
                    <w:adjustRightInd w:val="0"/>
                    <w:snapToGrid w:val="0"/>
                    <w:jc w:val="center"/>
                    <w:rPr>
                      <w:rFonts w:ascii="Times New Roman" w:hAnsi="Times New Roman" w:eastAsia="宋体" w:cs="Times New Roman"/>
                      <w:color w:val="0000FF"/>
                      <w:kern w:val="2"/>
                      <w:sz w:val="21"/>
                      <w:szCs w:val="21"/>
                      <w:lang w:val="zh-CN" w:eastAsia="zh-CN" w:bidi="ar-SA"/>
                    </w:rPr>
                  </w:pPr>
                  <w:r>
                    <w:rPr>
                      <w:rFonts w:hint="eastAsia"/>
                      <w:color w:val="0000FF"/>
                      <w:szCs w:val="21"/>
                      <w:lang w:val="zh-CN"/>
                    </w:rPr>
                    <w:t>非甲烷总烃</w:t>
                  </w:r>
                </w:p>
              </w:tc>
              <w:tc>
                <w:tcPr>
                  <w:tcW w:w="1586" w:type="pct"/>
                  <w:tcBorders>
                    <w:tl2br w:val="nil"/>
                    <w:tr2bl w:val="nil"/>
                  </w:tcBorders>
                  <w:noWrap w:val="0"/>
                  <w:vAlign w:val="center"/>
                </w:tcPr>
                <w:p>
                  <w:pPr>
                    <w:pStyle w:val="31"/>
                    <w:jc w:val="center"/>
                    <w:rPr>
                      <w:rFonts w:hint="eastAsia" w:cs="Times New Roman"/>
                      <w:color w:val="0000FF"/>
                      <w:kern w:val="0"/>
                      <w:sz w:val="21"/>
                      <w:szCs w:val="21"/>
                      <w:highlight w:val="none"/>
                      <w:lang w:val="en-US" w:eastAsia="zh-CN"/>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ascii="Times New Roman" w:hAnsi="Times New Roman" w:cs="Times New Roman"/>
                      <w:color w:val="0000FF"/>
                      <w:szCs w:val="21"/>
                      <w:lang w:val="en-US"/>
                    </w:rPr>
                    <w:t>1</w:t>
                  </w:r>
                  <w:r>
                    <w:rPr>
                      <w:rFonts w:hint="eastAsia" w:ascii="Times New Roman" w:hAnsi="Times New Roman" w:cs="Times New Roman"/>
                      <w:color w:val="0000FF"/>
                      <w:szCs w:val="21"/>
                      <w:lang w:val="en-US" w:eastAsia="zh-CN"/>
                    </w:rPr>
                    <w:t>）</w:t>
                  </w:r>
                </w:p>
              </w:tc>
              <w:tc>
                <w:tcPr>
                  <w:tcW w:w="404" w:type="pct"/>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spacing w:line="240" w:lineRule="auto"/>
                    <w:jc w:val="center"/>
                    <w:textAlignment w:val="auto"/>
                    <w:rPr>
                      <w:rFonts w:hint="eastAsia" w:cs="Times New Roman"/>
                      <w:color w:val="0000FF"/>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12" w:type="pct"/>
                  <w:vMerge w:val="continue"/>
                  <w:tcBorders>
                    <w:tl2br w:val="nil"/>
                    <w:tr2bl w:val="nil"/>
                  </w:tcBorders>
                  <w:noWrap w:val="0"/>
                  <w:vAlign w:val="center"/>
                </w:tcPr>
                <w:p>
                  <w:pPr>
                    <w:pStyle w:val="41"/>
                    <w:adjustRightInd w:val="0"/>
                    <w:snapToGrid w:val="0"/>
                    <w:spacing w:line="240" w:lineRule="auto"/>
                    <w:ind w:firstLine="0" w:firstLineChars="0"/>
                    <w:jc w:val="center"/>
                    <w:rPr>
                      <w:color w:val="0000FF"/>
                    </w:rPr>
                  </w:pPr>
                </w:p>
              </w:tc>
              <w:tc>
                <w:tcPr>
                  <w:tcW w:w="766" w:type="pct"/>
                  <w:gridSpan w:val="2"/>
                  <w:vMerge w:val="continue"/>
                  <w:tcBorders>
                    <w:tl2br w:val="nil"/>
                    <w:tr2bl w:val="nil"/>
                  </w:tcBorders>
                  <w:noWrap w:val="0"/>
                  <w:vAlign w:val="center"/>
                </w:tcPr>
                <w:p>
                  <w:pPr>
                    <w:pStyle w:val="41"/>
                    <w:adjustRightInd w:val="0"/>
                    <w:snapToGrid w:val="0"/>
                    <w:spacing w:line="240" w:lineRule="auto"/>
                    <w:ind w:firstLine="0" w:firstLineChars="0"/>
                    <w:jc w:val="center"/>
                    <w:rPr>
                      <w:color w:val="0000FF"/>
                    </w:rPr>
                  </w:pPr>
                </w:p>
              </w:tc>
              <w:tc>
                <w:tcPr>
                  <w:tcW w:w="767" w:type="pct"/>
                  <w:vMerge w:val="restart"/>
                  <w:tcBorders>
                    <w:tl2br w:val="nil"/>
                    <w:tr2bl w:val="nil"/>
                  </w:tcBorders>
                  <w:noWrap w:val="0"/>
                  <w:vAlign w:val="center"/>
                </w:tcPr>
                <w:p>
                  <w:pPr>
                    <w:pStyle w:val="41"/>
                    <w:adjustRightInd w:val="0"/>
                    <w:snapToGrid w:val="0"/>
                    <w:spacing w:line="240" w:lineRule="auto"/>
                    <w:ind w:firstLine="0" w:firstLineChars="0"/>
                    <w:jc w:val="center"/>
                    <w:rPr>
                      <w:rFonts w:hint="eastAsia" w:eastAsia="宋体"/>
                      <w:color w:val="0000FF"/>
                      <w:lang w:eastAsia="zh-CN"/>
                    </w:rPr>
                  </w:pPr>
                  <w:r>
                    <w:rPr>
                      <w:rFonts w:hint="eastAsia" w:ascii="Times New Roman" w:hAnsi="Times New Roman" w:cs="Times New Roman"/>
                      <w:color w:val="0000FF"/>
                      <w:szCs w:val="21"/>
                      <w:lang w:eastAsia="zh-CN"/>
                    </w:rPr>
                    <w:t>车间</w:t>
                  </w:r>
                  <w:r>
                    <w:rPr>
                      <w:rFonts w:hint="eastAsia" w:ascii="Times New Roman" w:hAnsi="Times New Roman" w:cs="Times New Roman"/>
                      <w:color w:val="0000FF"/>
                      <w:szCs w:val="21"/>
                      <w:lang w:val="en-US" w:eastAsia="zh-CN"/>
                    </w:rPr>
                    <w:t>2（抛丸、喷塑、固化生产线）</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1062" w:type="pct"/>
                  <w:tcBorders>
                    <w:tl2br w:val="nil"/>
                    <w:tr2bl w:val="nil"/>
                  </w:tcBorders>
                  <w:noWrap w:val="0"/>
                  <w:vAlign w:val="center"/>
                </w:tcPr>
                <w:p>
                  <w:pPr>
                    <w:pStyle w:val="31"/>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kern w:val="2"/>
                      <w:sz w:val="21"/>
                      <w:szCs w:val="21"/>
                      <w:lang w:val="zh-CN" w:eastAsia="zh-CN" w:bidi="zh-CN"/>
                    </w:rPr>
                    <w:t>颗粒物</w:t>
                  </w:r>
                </w:p>
              </w:tc>
              <w:tc>
                <w:tcPr>
                  <w:tcW w:w="1586" w:type="pct"/>
                  <w:tcBorders>
                    <w:tl2br w:val="nil"/>
                    <w:tr2bl w:val="nil"/>
                  </w:tcBorders>
                  <w:noWrap w:val="0"/>
                  <w:vAlign w:val="center"/>
                </w:tcPr>
                <w:p>
                  <w:pPr>
                    <w:pStyle w:val="31"/>
                    <w:jc w:val="center"/>
                    <w:rPr>
                      <w:rFonts w:hint="default" w:ascii="Times New Roman" w:hAnsi="Times New Roman" w:eastAsia="宋体" w:cs="Times New Roman"/>
                      <w:color w:val="0000FF"/>
                      <w:kern w:val="2"/>
                      <w:sz w:val="21"/>
                      <w:szCs w:val="21"/>
                      <w:lang w:val="en-US" w:eastAsia="zh-CN" w:bidi="zh-CN"/>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404" w:type="pct"/>
                  <w:vMerge w:val="continue"/>
                  <w:tcBorders>
                    <w:tl2br w:val="nil"/>
                    <w:tr2bl w:val="nil"/>
                  </w:tcBorders>
                  <w:noWrap w:val="0"/>
                  <w:vAlign w:val="center"/>
                </w:tcPr>
                <w:p>
                  <w:pPr>
                    <w:pStyle w:val="41"/>
                    <w:adjustRightInd w:val="0"/>
                    <w:snapToGrid w:val="0"/>
                    <w:spacing w:line="240" w:lineRule="auto"/>
                    <w:ind w:firstLine="0" w:firstLineChars="0"/>
                    <w:jc w:val="center"/>
                    <w:rPr>
                      <w:rFonts w:hint="default" w:ascii="Times New Roman" w:hAnsi="Times New Roman" w:eastAsia="宋体" w:cs="Times New Roman"/>
                      <w:color w:val="0000FF"/>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p>
              </w:tc>
              <w:tc>
                <w:tcPr>
                  <w:tcW w:w="766" w:type="pct"/>
                  <w:gridSpan w:val="2"/>
                  <w:vMerge w:val="continue"/>
                  <w:tcBorders>
                    <w:tl2br w:val="nil"/>
                    <w:tr2bl w:val="nil"/>
                  </w:tcBorders>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FF"/>
                      <w:sz w:val="21"/>
                      <w:szCs w:val="21"/>
                      <w:highlight w:val="none"/>
                      <w:lang w:val="en-US" w:eastAsia="zh-CN"/>
                    </w:rPr>
                  </w:pPr>
                </w:p>
              </w:tc>
              <w:tc>
                <w:tcPr>
                  <w:tcW w:w="767" w:type="pct"/>
                  <w:vMerge w:val="continue"/>
                  <w:tcBorders>
                    <w:tl2br w:val="nil"/>
                    <w:tr2bl w:val="nil"/>
                  </w:tcBorders>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FF"/>
                      <w:sz w:val="21"/>
                      <w:szCs w:val="21"/>
                      <w:highlight w:val="none"/>
                      <w:lang w:val="en-US" w:eastAsia="zh-CN"/>
                    </w:rPr>
                  </w:pPr>
                </w:p>
              </w:tc>
              <w:tc>
                <w:tcPr>
                  <w:tcW w:w="1062" w:type="pct"/>
                  <w:tcBorders>
                    <w:tl2br w:val="nil"/>
                    <w:tr2bl w:val="nil"/>
                  </w:tcBorders>
                  <w:noWrap w:val="0"/>
                  <w:vAlign w:val="center"/>
                </w:tcPr>
                <w:p>
                  <w:pPr>
                    <w:overflowPunct w:val="0"/>
                    <w:autoSpaceDE w:val="0"/>
                    <w:autoSpaceDN w:val="0"/>
                    <w:adjustRightInd w:val="0"/>
                    <w:snapToGrid w:val="0"/>
                    <w:jc w:val="center"/>
                    <w:rPr>
                      <w:rFonts w:hint="eastAsia" w:ascii="Times New Roman" w:hAnsi="Times New Roman" w:eastAsia="宋体" w:cs="Times New Roman"/>
                      <w:color w:val="0000FF"/>
                      <w:kern w:val="2"/>
                      <w:sz w:val="21"/>
                      <w:szCs w:val="21"/>
                      <w:highlight w:val="none"/>
                      <w:lang w:val="en-US" w:eastAsia="zh-CN" w:bidi="ar-SA"/>
                    </w:rPr>
                  </w:pPr>
                  <w:r>
                    <w:rPr>
                      <w:rFonts w:hint="eastAsia"/>
                      <w:color w:val="0000FF"/>
                      <w:szCs w:val="21"/>
                      <w:lang w:val="zh-CN"/>
                    </w:rPr>
                    <w:t>非甲烷总烃</w:t>
                  </w:r>
                </w:p>
              </w:tc>
              <w:tc>
                <w:tcPr>
                  <w:tcW w:w="1586" w:type="pct"/>
                  <w:tcBorders>
                    <w:tl2br w:val="nil"/>
                    <w:tr2bl w:val="nil"/>
                  </w:tcBorders>
                  <w:noWrap w:val="0"/>
                  <w:vAlign w:val="center"/>
                </w:tcPr>
                <w:p>
                  <w:pPr>
                    <w:pStyle w:val="31"/>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404"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12" w:type="pct"/>
                  <w:vMerge w:val="continue"/>
                  <w:tcBorders>
                    <w:tl2br w:val="nil"/>
                    <w:tr2bl w:val="nil"/>
                  </w:tcBorders>
                  <w:noWrap w:val="0"/>
                  <w:vAlign w:val="center"/>
                </w:tcPr>
                <w:p>
                  <w:pPr>
                    <w:widowControl/>
                    <w:jc w:val="left"/>
                    <w:rPr>
                      <w:rFonts w:hint="default" w:ascii="Times New Roman" w:hAnsi="Times New Roman" w:eastAsia="宋体" w:cs="Times New Roman"/>
                      <w:color w:val="0000FF"/>
                      <w:kern w:val="0"/>
                      <w:sz w:val="21"/>
                      <w:szCs w:val="21"/>
                      <w:highlight w:val="none"/>
                    </w:rPr>
                  </w:pPr>
                </w:p>
              </w:tc>
              <w:tc>
                <w:tcPr>
                  <w:tcW w:w="1534" w:type="pct"/>
                  <w:gridSpan w:val="3"/>
                  <w:vMerge w:val="restar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固废</w:t>
                  </w:r>
                </w:p>
              </w:tc>
              <w:tc>
                <w:tcPr>
                  <w:tcW w:w="2649" w:type="pct"/>
                  <w:gridSpan w:val="2"/>
                  <w:tcBorders>
                    <w:tl2br w:val="nil"/>
                    <w:tr2bl w:val="nil"/>
                  </w:tcBorders>
                  <w:shd w:val="clear" w:color="auto" w:fill="auto"/>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一般固废：废塑粉滤芯及塑化废渣</w:t>
                  </w:r>
                  <w:r>
                    <w:rPr>
                      <w:rFonts w:hint="eastAsia" w:ascii="Times New Roman" w:hAnsi="Times New Roman" w:eastAsia="宋体" w:cs="Times New Roman"/>
                      <w:color w:val="0000FF"/>
                      <w:kern w:val="0"/>
                      <w:sz w:val="21"/>
                      <w:szCs w:val="21"/>
                      <w:highlight w:val="none"/>
                      <w:lang w:val="en-US" w:eastAsia="zh-CN"/>
                    </w:rPr>
                    <w:t>交由一般固废处置单位处置，喷塑布袋除尘器收集尘作为喷塑原料使用，抛丸布袋除尘器收集粉尘集中收集后外售综合利用</w:t>
                  </w:r>
                  <w:r>
                    <w:rPr>
                      <w:rFonts w:hint="default" w:ascii="Times New Roman" w:hAnsi="Times New Roman" w:eastAsia="宋体" w:cs="Times New Roman"/>
                      <w:color w:val="0000FF"/>
                      <w:kern w:val="0"/>
                      <w:sz w:val="21"/>
                      <w:szCs w:val="21"/>
                      <w:highlight w:val="none"/>
                      <w:lang w:val="en-US" w:eastAsia="zh-CN"/>
                    </w:rPr>
                    <w:t>。</w:t>
                  </w:r>
                </w:p>
              </w:tc>
              <w:tc>
                <w:tcPr>
                  <w:tcW w:w="404" w:type="pct"/>
                  <w:vMerge w:val="restar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12" w:type="pct"/>
                  <w:vMerge w:val="continue"/>
                  <w:tcBorders>
                    <w:tl2br w:val="nil"/>
                    <w:tr2bl w:val="nil"/>
                  </w:tcBorders>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both"/>
                    <w:textAlignment w:val="auto"/>
                    <w:rPr>
                      <w:color w:val="0000FF"/>
                    </w:rPr>
                  </w:pPr>
                </w:p>
              </w:tc>
              <w:tc>
                <w:tcPr>
                  <w:tcW w:w="1534" w:type="pct"/>
                  <w:gridSpan w:val="3"/>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both"/>
                    <w:textAlignment w:val="auto"/>
                    <w:rPr>
                      <w:color w:val="0000FF"/>
                    </w:rPr>
                  </w:pPr>
                </w:p>
              </w:tc>
              <w:tc>
                <w:tcPr>
                  <w:tcW w:w="2649" w:type="pct"/>
                  <w:gridSpan w:val="2"/>
                  <w:tcBorders>
                    <w:tl2br w:val="nil"/>
                    <w:tr2bl w:val="nil"/>
                  </w:tcBorders>
                  <w:shd w:val="clear" w:color="auto" w:fill="auto"/>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eastAsia" w:ascii="Times New Roman" w:hAnsi="Times New Roman" w:eastAsia="宋体" w:cs="Times New Roman"/>
                      <w:color w:val="0000FF"/>
                      <w:kern w:val="0"/>
                      <w:sz w:val="21"/>
                      <w:szCs w:val="21"/>
                      <w:highlight w:val="none"/>
                      <w:lang w:val="en-US" w:eastAsia="zh-CN"/>
                    </w:rPr>
                    <w:t>生活垃圾：不新增劳动定员，不新生活垃圾</w:t>
                  </w:r>
                </w:p>
              </w:tc>
              <w:tc>
                <w:tcPr>
                  <w:tcW w:w="404"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FF"/>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412" w:type="pct"/>
                  <w:vMerge w:val="continue"/>
                  <w:tcBorders>
                    <w:tl2br w:val="nil"/>
                    <w:tr2bl w:val="nil"/>
                  </w:tcBorders>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FF"/>
                    </w:rPr>
                  </w:pPr>
                </w:p>
              </w:tc>
              <w:tc>
                <w:tcPr>
                  <w:tcW w:w="1534" w:type="pct"/>
                  <w:gridSpan w:val="3"/>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FF"/>
                    </w:rPr>
                  </w:pPr>
                </w:p>
              </w:tc>
              <w:tc>
                <w:tcPr>
                  <w:tcW w:w="2649" w:type="pct"/>
                  <w:gridSpan w:val="2"/>
                  <w:tcBorders>
                    <w:tl2br w:val="nil"/>
                    <w:tr2bl w:val="nil"/>
                  </w:tcBorders>
                  <w:shd w:val="clear" w:color="auto" w:fill="auto"/>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危险废物：废活性炭、废机油等危险废物存于设置危险废物暂存间，分区分类收集暂存于</w:t>
                  </w:r>
                  <w:r>
                    <w:rPr>
                      <w:rFonts w:hint="default" w:ascii="Times New Roman" w:hAnsi="Times New Roman" w:eastAsia="宋体" w:cs="Times New Roman"/>
                      <w:color w:val="0000FF"/>
                      <w:kern w:val="0"/>
                      <w:sz w:val="21"/>
                      <w:szCs w:val="21"/>
                      <w:highlight w:val="none"/>
                    </w:rPr>
                    <w:t>危废暂存间</w:t>
                  </w:r>
                  <w:r>
                    <w:rPr>
                      <w:rFonts w:hint="default" w:ascii="Times New Roman" w:hAnsi="Times New Roman" w:eastAsia="宋体" w:cs="Times New Roman"/>
                      <w:color w:val="0000FF"/>
                      <w:kern w:val="0"/>
                      <w:sz w:val="21"/>
                      <w:szCs w:val="21"/>
                      <w:highlight w:val="none"/>
                      <w:lang w:val="en-US" w:eastAsia="zh-CN"/>
                    </w:rPr>
                    <w:t>，定期交由有资质单位处置。</w:t>
                  </w:r>
                </w:p>
              </w:tc>
              <w:tc>
                <w:tcPr>
                  <w:tcW w:w="404"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tl2br w:val="nil"/>
                    <w:tr2bl w:val="nil"/>
                  </w:tcBorders>
                  <w:noWrap w:val="0"/>
                  <w:vAlign w:val="center"/>
                </w:tcPr>
                <w:p>
                  <w:pPr>
                    <w:widowControl/>
                    <w:jc w:val="left"/>
                    <w:rPr>
                      <w:rFonts w:hint="default" w:ascii="Times New Roman" w:hAnsi="Times New Roman" w:eastAsia="宋体" w:cs="Times New Roman"/>
                      <w:color w:val="0000FF"/>
                      <w:kern w:val="0"/>
                      <w:sz w:val="21"/>
                      <w:szCs w:val="21"/>
                      <w:highlight w:val="yellow"/>
                    </w:rPr>
                  </w:pPr>
                </w:p>
              </w:tc>
              <w:tc>
                <w:tcPr>
                  <w:tcW w:w="1534"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噪声</w:t>
                  </w:r>
                </w:p>
              </w:tc>
              <w:tc>
                <w:tcPr>
                  <w:tcW w:w="264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rPr>
                    <w:t>选用低噪声设备、采取减振、消声以及厂房隔声等措施</w:t>
                  </w:r>
                </w:p>
              </w:tc>
              <w:tc>
                <w:tcPr>
                  <w:tcW w:w="40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0"/>
                      <w:sz w:val="21"/>
                      <w:szCs w:val="21"/>
                      <w:highlight w:val="none"/>
                    </w:rPr>
                  </w:pPr>
                  <w:r>
                    <w:rPr>
                      <w:rFonts w:hint="default" w:ascii="Times New Roman" w:hAnsi="Times New Roman" w:eastAsia="宋体" w:cs="Times New Roman"/>
                      <w:color w:val="0000FF"/>
                      <w:kern w:val="0"/>
                      <w:sz w:val="21"/>
                      <w:szCs w:val="21"/>
                      <w:highlight w:val="none"/>
                      <w:lang w:val="en-US" w:eastAsia="zh-CN"/>
                    </w:rPr>
                    <w:t>新建</w:t>
                  </w:r>
                </w:p>
              </w:tc>
            </w:tr>
          </w:tbl>
          <w:p>
            <w:pPr>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.主要生产设备</w:t>
            </w:r>
          </w:p>
          <w:p>
            <w:pPr>
              <w:keepNext w:val="0"/>
              <w:keepLines w:val="0"/>
              <w:pageBreakBefore w:val="0"/>
              <w:kinsoku/>
              <w:wordWrap/>
              <w:overflowPunct/>
              <w:topLinePunct w:val="0"/>
              <w:bidi w:val="0"/>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ascii="Times New Roman" w:hAnsi="Times New Roman" w:cs="Times New Roman"/>
                <w:color w:val="000000" w:themeColor="text1"/>
                <w:sz w:val="24"/>
                <w:lang w:eastAsia="zh-CN"/>
                <w14:textFill>
                  <w14:solidFill>
                    <w14:schemeClr w14:val="tx1"/>
                  </w14:solidFill>
                </w14:textFill>
              </w:rPr>
              <w:t>为扩建项目，项目扩建前后主要</w:t>
            </w:r>
            <w:r>
              <w:rPr>
                <w:rFonts w:hint="default" w:ascii="Times New Roman" w:hAnsi="Times New Roman" w:cs="Times New Roman"/>
                <w:color w:val="000000" w:themeColor="text1"/>
                <w:sz w:val="24"/>
                <w14:textFill>
                  <w14:solidFill>
                    <w14:schemeClr w14:val="tx1"/>
                  </w14:solidFill>
                </w14:textFill>
              </w:rPr>
              <w:t>生产设备</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及变化详见表</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2-2</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kinsoku/>
              <w:wordWrap/>
              <w:overflowPunct/>
              <w:topLinePunct w:val="0"/>
              <w:bidi w:val="0"/>
              <w:ind w:right="1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表2</w:t>
            </w:r>
            <w:r>
              <w:rPr>
                <w:rFonts w:hint="default" w:ascii="Times New Roman" w:hAnsi="Times New Roman" w:eastAsia="Times New Roman" w:cs="Times New Roman"/>
                <w:b/>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2  </w:t>
            </w:r>
            <w:r>
              <w:rPr>
                <w:rFonts w:hint="default" w:ascii="Times New Roman" w:hAnsi="Times New Roman" w:cs="Times New Roman"/>
                <w:b/>
                <w:color w:val="000000" w:themeColor="text1"/>
                <w:szCs w:val="21"/>
                <w14:textFill>
                  <w14:solidFill>
                    <w14:schemeClr w14:val="tx1"/>
                  </w14:solidFill>
                </w14:textFill>
              </w:rPr>
              <w:t>主要生产设备一览表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3202"/>
              <w:gridCol w:w="1151"/>
              <w:gridCol w:w="1517"/>
              <w:gridCol w:w="1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r>
                    <w:rPr>
                      <w:rFonts w:hint="default" w:ascii="Times New Roman" w:hAnsi="Times New Roman" w:eastAsia="宋体" w:cs="Times New Roman"/>
                      <w:b/>
                      <w:bCs/>
                      <w:color w:val="auto"/>
                      <w:sz w:val="21"/>
                      <w:szCs w:val="21"/>
                    </w:rPr>
                    <w:cr/>
                  </w:r>
                </w:p>
              </w:tc>
              <w:tc>
                <w:tcPr>
                  <w:tcW w:w="198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71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94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扩建前</w:t>
                  </w:r>
                  <w:r>
                    <w:rPr>
                      <w:rFonts w:hint="default" w:ascii="Times New Roman" w:hAnsi="Times New Roman" w:eastAsia="宋体" w:cs="Times New Roman"/>
                      <w:b/>
                      <w:bCs/>
                      <w:color w:val="auto"/>
                      <w:sz w:val="21"/>
                      <w:szCs w:val="21"/>
                    </w:rPr>
                    <w:t>数量</w:t>
                  </w:r>
                </w:p>
              </w:tc>
              <w:tc>
                <w:tcPr>
                  <w:tcW w:w="94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扩建后</w:t>
                  </w:r>
                  <w:r>
                    <w:rPr>
                      <w:rFonts w:hint="default" w:ascii="Times New Roman" w:hAnsi="Times New Roman" w:eastAsia="宋体" w:cs="Times New Roman"/>
                      <w:b/>
                      <w:bCs/>
                      <w:color w:val="auto"/>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数控龙门镗铣床</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4米</w:t>
                  </w:r>
                  <w:r>
                    <w:rPr>
                      <w:rFonts w:hint="default" w:ascii="Times New Roman" w:hAnsi="Times New Roman" w:eastAsia="宋体" w:cs="Times New Roman"/>
                      <w:bCs/>
                      <w:color w:val="auto"/>
                      <w:sz w:val="21"/>
                      <w:szCs w:val="21"/>
                      <w:lang w:eastAsia="zh-CN"/>
                    </w:rPr>
                    <w:t>）</w:t>
                  </w:r>
                </w:p>
              </w:tc>
              <w:tc>
                <w:tcPr>
                  <w:tcW w:w="714"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数控龙门镗铣床</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3米</w:t>
                  </w:r>
                  <w:r>
                    <w:rPr>
                      <w:rFonts w:hint="default" w:ascii="Times New Roman" w:hAnsi="Times New Roman" w:eastAsia="宋体" w:cs="Times New Roman"/>
                      <w:bCs/>
                      <w:color w:val="auto"/>
                      <w:sz w:val="21"/>
                      <w:szCs w:val="21"/>
                      <w:lang w:eastAsia="zh-CN"/>
                    </w:rPr>
                    <w:t>）</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3</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加工中心</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4</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焊接机器人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5</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激光切割机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6</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数控等离子/火焰切割机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7</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普通车床</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8</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数控车床</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9</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数控钻床</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10</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摇臂钻</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11</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锯床</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12</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立式铣床</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13</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二保</w:t>
                  </w:r>
                  <w:r>
                    <w:rPr>
                      <w:rFonts w:hint="default" w:ascii="Times New Roman" w:hAnsi="Times New Roman" w:eastAsia="宋体" w:cs="Times New Roman"/>
                      <w:bCs/>
                      <w:color w:val="auto"/>
                      <w:sz w:val="21"/>
                      <w:szCs w:val="21"/>
                      <w:lang w:eastAsia="zh-CN"/>
                    </w:rPr>
                    <w:t>焊接机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14</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抛丸机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15</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喷塑烘干设备</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0</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16</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交流电焊机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noWrap w:val="0"/>
                  <w:vAlign w:val="center"/>
                </w:tcPr>
                <w:p>
                  <w:pPr>
                    <w:tabs>
                      <w:tab w:val="left" w:pos="426"/>
                    </w:tabs>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17</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行车</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四柱压力机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1988"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振动时效机</w:t>
                  </w:r>
                </w:p>
              </w:tc>
              <w:tc>
                <w:tcPr>
                  <w:tcW w:w="714"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台</w:t>
                  </w:r>
                </w:p>
              </w:tc>
              <w:tc>
                <w:tcPr>
                  <w:tcW w:w="941" w:type="pct"/>
                  <w:tcBorders>
                    <w:tl2br w:val="nil"/>
                    <w:tr2bl w:val="nil"/>
                  </w:tcBorders>
                  <w:noWrap w:val="0"/>
                  <w:vAlign w:val="top"/>
                </w:tcPr>
                <w:p>
                  <w:pPr>
                    <w:tabs>
                      <w:tab w:val="left" w:pos="426"/>
                    </w:tabs>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941" w:type="pct"/>
                  <w:tcBorders>
                    <w:tl2br w:val="nil"/>
                    <w:tr2bl w:val="nil"/>
                  </w:tcBorders>
                  <w:noWrap w:val="0"/>
                  <w:vAlign w:val="top"/>
                </w:tcPr>
                <w:p>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bl>
          <w:p>
            <w:pPr>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b/>
                <w:bCs/>
                <w:color w:val="0000FF"/>
                <w:sz w:val="24"/>
              </w:rPr>
            </w:pPr>
            <w:r>
              <w:rPr>
                <w:rFonts w:hint="eastAsia" w:ascii="Times New Roman" w:hAnsi="Times New Roman" w:cs="Times New Roman"/>
                <w:b/>
                <w:bCs/>
                <w:color w:val="0000FF"/>
                <w:sz w:val="24"/>
                <w:lang w:val="en-US" w:eastAsia="zh-CN"/>
              </w:rPr>
              <w:t>4</w:t>
            </w:r>
            <w:r>
              <w:rPr>
                <w:rFonts w:hint="default" w:ascii="Times New Roman" w:hAnsi="Times New Roman" w:cs="Times New Roman"/>
                <w:b/>
                <w:bCs/>
                <w:color w:val="0000FF"/>
                <w:sz w:val="24"/>
              </w:rPr>
              <w:t>.主要原辅材料消耗</w:t>
            </w:r>
          </w:p>
          <w:p>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本项目扩建</w:t>
            </w:r>
            <w:r>
              <w:rPr>
                <w:rFonts w:hint="eastAsia" w:ascii="Times New Roman" w:hAnsi="Times New Roman" w:cs="Times New Roman"/>
                <w:color w:val="0000FF"/>
                <w:sz w:val="24"/>
                <w:lang w:eastAsia="zh-CN"/>
              </w:rPr>
              <w:t>前</w:t>
            </w:r>
            <w:r>
              <w:rPr>
                <w:rFonts w:hint="default" w:ascii="Times New Roman" w:hAnsi="Times New Roman" w:cs="Times New Roman"/>
                <w:color w:val="0000FF"/>
                <w:sz w:val="24"/>
              </w:rPr>
              <w:t>后主要原辅材料消耗情况见表2-</w:t>
            </w:r>
            <w:r>
              <w:rPr>
                <w:rFonts w:hint="eastAsia" w:ascii="Times New Roman" w:hAnsi="Times New Roman" w:cs="Times New Roman"/>
                <w:color w:val="0000FF"/>
                <w:sz w:val="24"/>
                <w:lang w:val="en-US" w:eastAsia="zh-CN"/>
              </w:rPr>
              <w:t>3</w:t>
            </w:r>
            <w:r>
              <w:rPr>
                <w:rFonts w:hint="default" w:ascii="Times New Roman" w:hAnsi="Times New Roman" w:cs="Times New Roman"/>
                <w:color w:val="0000FF"/>
                <w:sz w:val="24"/>
              </w:rPr>
              <w:t>。</w:t>
            </w:r>
          </w:p>
          <w:p>
            <w:pPr>
              <w:keepNext w:val="0"/>
              <w:keepLines w:val="0"/>
              <w:pageBreakBefore w:val="0"/>
              <w:kinsoku/>
              <w:wordWrap/>
              <w:overflowPunct/>
              <w:topLinePunct w:val="0"/>
              <w:bidi w:val="0"/>
              <w:jc w:val="center"/>
              <w:rPr>
                <w:rFonts w:hint="default" w:ascii="Times New Roman" w:hAnsi="Times New Roman" w:cs="Times New Roman"/>
                <w:b/>
                <w:color w:val="0000FF"/>
                <w:szCs w:val="21"/>
              </w:rPr>
            </w:pPr>
            <w:r>
              <w:rPr>
                <w:rFonts w:hint="default" w:ascii="Times New Roman" w:hAnsi="Times New Roman" w:cs="Times New Roman"/>
                <w:b/>
                <w:color w:val="0000FF"/>
                <w:szCs w:val="21"/>
              </w:rPr>
              <w:t>表2-</w:t>
            </w:r>
            <w:r>
              <w:rPr>
                <w:rFonts w:hint="eastAsia" w:ascii="Times New Roman" w:hAnsi="Times New Roman" w:cs="Times New Roman"/>
                <w:b/>
                <w:color w:val="0000FF"/>
                <w:szCs w:val="21"/>
                <w:lang w:val="en-US" w:eastAsia="zh-CN"/>
              </w:rPr>
              <w:t xml:space="preserve">3  </w:t>
            </w:r>
            <w:r>
              <w:rPr>
                <w:rFonts w:hint="default" w:ascii="Times New Roman" w:hAnsi="Times New Roman" w:cs="Times New Roman"/>
                <w:b/>
                <w:color w:val="0000FF"/>
                <w:szCs w:val="21"/>
              </w:rPr>
              <w:t>主要原辅材料</w:t>
            </w:r>
          </w:p>
          <w:tbl>
            <w:tblPr>
              <w:tblStyle w:val="23"/>
              <w:tblW w:w="80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20"/>
              <w:gridCol w:w="2079"/>
              <w:gridCol w:w="1322"/>
              <w:gridCol w:w="1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jc w:val="center"/>
                    <w:rPr>
                      <w:rFonts w:hint="default" w:ascii="Times New Roman" w:hAnsi="Times New Roman" w:eastAsia="宋体" w:cs="Times New Roman"/>
                      <w:b/>
                      <w:bCs/>
                      <w:color w:val="0000FF"/>
                    </w:rPr>
                  </w:pPr>
                  <w:r>
                    <w:rPr>
                      <w:rFonts w:hint="default" w:ascii="Times New Roman" w:hAnsi="Times New Roman" w:eastAsia="宋体" w:cs="Times New Roman"/>
                      <w:b/>
                      <w:bCs/>
                      <w:color w:val="0000FF"/>
                    </w:rPr>
                    <w:t>序号</w:t>
                  </w:r>
                </w:p>
              </w:tc>
              <w:tc>
                <w:tcPr>
                  <w:tcW w:w="2420" w:type="dxa"/>
                  <w:tcBorders>
                    <w:tl2br w:val="nil"/>
                    <w:tr2bl w:val="nil"/>
                  </w:tcBorders>
                  <w:vAlign w:val="center"/>
                </w:tcPr>
                <w:p>
                  <w:pPr>
                    <w:jc w:val="center"/>
                    <w:rPr>
                      <w:rFonts w:hint="default" w:ascii="Times New Roman" w:hAnsi="Times New Roman" w:eastAsia="宋体" w:cs="Times New Roman"/>
                      <w:b/>
                      <w:bCs/>
                      <w:color w:val="0000FF"/>
                    </w:rPr>
                  </w:pPr>
                  <w:r>
                    <w:rPr>
                      <w:rFonts w:hint="default" w:ascii="Times New Roman" w:hAnsi="Times New Roman" w:eastAsia="宋体" w:cs="Times New Roman"/>
                      <w:b/>
                      <w:bCs/>
                      <w:color w:val="0000FF"/>
                    </w:rPr>
                    <w:t>材料</w:t>
                  </w:r>
                </w:p>
              </w:tc>
              <w:tc>
                <w:tcPr>
                  <w:tcW w:w="2079" w:type="dxa"/>
                  <w:tcBorders>
                    <w:tl2br w:val="nil"/>
                    <w:tr2bl w:val="nil"/>
                  </w:tcBorders>
                  <w:vAlign w:val="center"/>
                </w:tcPr>
                <w:p>
                  <w:pPr>
                    <w:jc w:val="center"/>
                    <w:rPr>
                      <w:rFonts w:hint="default" w:ascii="Times New Roman" w:hAnsi="Times New Roman" w:eastAsia="宋体" w:cs="Times New Roman"/>
                      <w:b/>
                      <w:bCs/>
                      <w:color w:val="0000FF"/>
                      <w:lang w:val="en-US" w:eastAsia="zh-CN"/>
                    </w:rPr>
                  </w:pPr>
                  <w:r>
                    <w:rPr>
                      <w:rFonts w:hint="default" w:ascii="Times New Roman" w:hAnsi="Times New Roman" w:eastAsia="宋体" w:cs="Times New Roman"/>
                      <w:b/>
                      <w:bCs/>
                      <w:color w:val="0000FF"/>
                      <w:lang w:val="en-US" w:eastAsia="zh-CN"/>
                    </w:rPr>
                    <w:t>规格</w:t>
                  </w:r>
                </w:p>
              </w:tc>
              <w:tc>
                <w:tcPr>
                  <w:tcW w:w="132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0000FF"/>
                      <w:lang w:eastAsia="zh-CN"/>
                    </w:rPr>
                  </w:pPr>
                  <w:r>
                    <w:rPr>
                      <w:rFonts w:hint="default" w:ascii="Times New Roman" w:hAnsi="Times New Roman" w:eastAsia="宋体" w:cs="Times New Roman"/>
                      <w:b/>
                      <w:bCs/>
                      <w:color w:val="0000FF"/>
                      <w:sz w:val="21"/>
                      <w:szCs w:val="21"/>
                      <w:lang w:val="en-US" w:eastAsia="zh-CN"/>
                    </w:rPr>
                    <w:t>扩建前</w:t>
                  </w:r>
                  <w:r>
                    <w:rPr>
                      <w:rFonts w:hint="eastAsia" w:ascii="Times New Roman" w:hAnsi="Times New Roman" w:eastAsia="宋体" w:cs="Times New Roman"/>
                      <w:b/>
                      <w:bCs/>
                      <w:color w:val="0000FF"/>
                      <w:sz w:val="21"/>
                      <w:szCs w:val="21"/>
                      <w:lang w:val="en-US" w:eastAsia="zh-CN"/>
                    </w:rPr>
                    <w:t>用</w:t>
                  </w:r>
                  <w:r>
                    <w:rPr>
                      <w:rFonts w:hint="default" w:ascii="Times New Roman" w:hAnsi="Times New Roman" w:eastAsia="宋体" w:cs="Times New Roman"/>
                      <w:b/>
                      <w:bCs/>
                      <w:color w:val="0000FF"/>
                      <w:sz w:val="21"/>
                      <w:szCs w:val="21"/>
                    </w:rPr>
                    <w:t>量</w:t>
                  </w:r>
                </w:p>
              </w:tc>
              <w:tc>
                <w:tcPr>
                  <w:tcW w:w="157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0000FF"/>
                      <w:lang w:eastAsia="zh-CN"/>
                    </w:rPr>
                  </w:pPr>
                  <w:r>
                    <w:rPr>
                      <w:rFonts w:hint="default" w:ascii="Times New Roman" w:hAnsi="Times New Roman" w:eastAsia="宋体" w:cs="Times New Roman"/>
                      <w:b/>
                      <w:bCs/>
                      <w:color w:val="0000FF"/>
                      <w:sz w:val="21"/>
                      <w:szCs w:val="21"/>
                      <w:lang w:val="en-US" w:eastAsia="zh-CN"/>
                    </w:rPr>
                    <w:t>扩建后</w:t>
                  </w:r>
                  <w:r>
                    <w:rPr>
                      <w:rFonts w:hint="eastAsia" w:cs="Times New Roman"/>
                      <w:b/>
                      <w:bCs/>
                      <w:color w:val="0000FF"/>
                      <w:sz w:val="21"/>
                      <w:szCs w:val="21"/>
                      <w:lang w:val="en-US" w:eastAsia="zh-CN"/>
                    </w:rPr>
                    <w:t>用</w:t>
                  </w:r>
                  <w:r>
                    <w:rPr>
                      <w:rFonts w:hint="default" w:ascii="Times New Roman" w:hAnsi="Times New Roman" w:eastAsia="宋体" w:cs="Times New Roman"/>
                      <w:b/>
                      <w:bCs/>
                      <w:color w:val="0000FF"/>
                      <w:sz w:val="21"/>
                      <w:szCs w:val="21"/>
                    </w:rPr>
                    <w:t>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LG960QT（钢板）</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20*2000</w:t>
                  </w:r>
                </w:p>
              </w:tc>
              <w:tc>
                <w:tcPr>
                  <w:tcW w:w="1322" w:type="dxa"/>
                  <w:vMerge w:val="restart"/>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rPr>
                    <w:t>钢材、钢管</w:t>
                  </w:r>
                  <w:r>
                    <w:rPr>
                      <w:rFonts w:hint="default" w:ascii="Times New Roman" w:hAnsi="Times New Roman" w:eastAsia="宋体" w:cs="Times New Roman"/>
                      <w:bCs/>
                      <w:color w:val="0000FF"/>
                      <w:sz w:val="21"/>
                      <w:szCs w:val="21"/>
                      <w:lang w:val="en-US" w:eastAsia="zh-CN"/>
                    </w:rPr>
                    <w:t>9000t</w:t>
                  </w:r>
                  <w:r>
                    <w:rPr>
                      <w:rFonts w:hint="eastAsia" w:cs="Times New Roman"/>
                      <w:bCs/>
                      <w:color w:val="0000FF"/>
                      <w:sz w:val="21"/>
                      <w:szCs w:val="21"/>
                      <w:lang w:val="en-US" w:eastAsia="zh-CN"/>
                    </w:rPr>
                    <w:t>/a</w:t>
                  </w: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22</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LG600T（钢板）</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8*1800</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108</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3</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BS650MCK2（钢板）</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8*1800</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148</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4</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lang w:eastAsia="zh-CN"/>
                    </w:rPr>
                  </w:pPr>
                  <w:r>
                    <w:rPr>
                      <w:rFonts w:hint="default" w:ascii="Times New Roman" w:hAnsi="Times New Roman" w:eastAsia="宋体" w:cs="Times New Roman"/>
                      <w:bCs/>
                      <w:color w:val="0000FF"/>
                      <w:sz w:val="21"/>
                      <w:szCs w:val="21"/>
                    </w:rPr>
                    <w:t>700高强管</w:t>
                  </w:r>
                  <w:r>
                    <w:rPr>
                      <w:rFonts w:hint="default" w:ascii="Times New Roman" w:hAnsi="Times New Roman" w:eastAsia="宋体" w:cs="Times New Roman"/>
                      <w:bCs/>
                      <w:color w:val="0000FF"/>
                      <w:sz w:val="21"/>
                      <w:szCs w:val="21"/>
                      <w:lang w:eastAsia="zh-CN"/>
                    </w:rPr>
                    <w:t>（</w:t>
                  </w:r>
                  <w:r>
                    <w:rPr>
                      <w:rFonts w:hint="default" w:ascii="Times New Roman" w:hAnsi="Times New Roman" w:eastAsia="宋体" w:cs="Times New Roman"/>
                      <w:bCs/>
                      <w:color w:val="0000FF"/>
                      <w:sz w:val="21"/>
                      <w:szCs w:val="21"/>
                      <w:lang w:val="en-US" w:eastAsia="zh-CN"/>
                    </w:rPr>
                    <w:t>方管</w:t>
                  </w:r>
                  <w:r>
                    <w:rPr>
                      <w:rFonts w:hint="default" w:ascii="Times New Roman" w:hAnsi="Times New Roman" w:eastAsia="宋体" w:cs="Times New Roman"/>
                      <w:bCs/>
                      <w:color w:val="0000FF"/>
                      <w:sz w:val="21"/>
                      <w:szCs w:val="21"/>
                      <w:lang w:eastAsia="zh-CN"/>
                    </w:rPr>
                    <w:t>）</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80*80*5*6</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54.21</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5</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700高强管</w:t>
                  </w:r>
                  <w:r>
                    <w:rPr>
                      <w:rFonts w:hint="default" w:ascii="Times New Roman" w:hAnsi="Times New Roman" w:eastAsia="宋体" w:cs="Times New Roman"/>
                      <w:bCs/>
                      <w:color w:val="0000FF"/>
                      <w:sz w:val="21"/>
                      <w:szCs w:val="21"/>
                      <w:lang w:eastAsia="zh-CN"/>
                    </w:rPr>
                    <w:t>（</w:t>
                  </w:r>
                  <w:r>
                    <w:rPr>
                      <w:rFonts w:hint="default" w:ascii="Times New Roman" w:hAnsi="Times New Roman" w:eastAsia="宋体" w:cs="Times New Roman"/>
                      <w:bCs/>
                      <w:color w:val="0000FF"/>
                      <w:sz w:val="21"/>
                      <w:szCs w:val="21"/>
                      <w:lang w:val="en-US" w:eastAsia="zh-CN"/>
                    </w:rPr>
                    <w:t>方管</w:t>
                  </w:r>
                  <w:r>
                    <w:rPr>
                      <w:rFonts w:hint="default" w:ascii="Times New Roman" w:hAnsi="Times New Roman" w:eastAsia="宋体" w:cs="Times New Roman"/>
                      <w:bCs/>
                      <w:color w:val="0000FF"/>
                      <w:sz w:val="21"/>
                      <w:szCs w:val="21"/>
                      <w:lang w:eastAsia="zh-CN"/>
                    </w:rPr>
                    <w:t>）</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80*80*5*7</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59.74</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6</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700高强管</w:t>
                  </w:r>
                  <w:r>
                    <w:rPr>
                      <w:rFonts w:hint="default" w:ascii="Times New Roman" w:hAnsi="Times New Roman" w:eastAsia="宋体" w:cs="Times New Roman"/>
                      <w:bCs/>
                      <w:color w:val="0000FF"/>
                      <w:sz w:val="21"/>
                      <w:szCs w:val="21"/>
                      <w:lang w:eastAsia="zh-CN"/>
                    </w:rPr>
                    <w:t>（</w:t>
                  </w:r>
                  <w:r>
                    <w:rPr>
                      <w:rFonts w:hint="default" w:ascii="Times New Roman" w:hAnsi="Times New Roman" w:eastAsia="宋体" w:cs="Times New Roman"/>
                      <w:bCs/>
                      <w:color w:val="0000FF"/>
                      <w:sz w:val="21"/>
                      <w:szCs w:val="21"/>
                      <w:lang w:val="en-US" w:eastAsia="zh-CN"/>
                    </w:rPr>
                    <w:t>方管</w:t>
                  </w:r>
                  <w:r>
                    <w:rPr>
                      <w:rFonts w:hint="default" w:ascii="Times New Roman" w:hAnsi="Times New Roman" w:eastAsia="宋体" w:cs="Times New Roman"/>
                      <w:bCs/>
                      <w:color w:val="0000FF"/>
                      <w:sz w:val="21"/>
                      <w:szCs w:val="21"/>
                      <w:lang w:eastAsia="zh-CN"/>
                    </w:rPr>
                    <w:t>）</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60*80*5*6.25</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47.38</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7</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700高强管</w:t>
                  </w:r>
                  <w:r>
                    <w:rPr>
                      <w:rFonts w:hint="default" w:ascii="Times New Roman" w:hAnsi="Times New Roman" w:eastAsia="宋体" w:cs="Times New Roman"/>
                      <w:bCs/>
                      <w:color w:val="0000FF"/>
                      <w:sz w:val="21"/>
                      <w:szCs w:val="21"/>
                      <w:lang w:eastAsia="zh-CN"/>
                    </w:rPr>
                    <w:t>（</w:t>
                  </w:r>
                  <w:r>
                    <w:rPr>
                      <w:rFonts w:hint="default" w:ascii="Times New Roman" w:hAnsi="Times New Roman" w:eastAsia="宋体" w:cs="Times New Roman"/>
                      <w:bCs/>
                      <w:color w:val="0000FF"/>
                      <w:sz w:val="21"/>
                      <w:szCs w:val="21"/>
                      <w:lang w:val="en-US" w:eastAsia="zh-CN"/>
                    </w:rPr>
                    <w:t>方管</w:t>
                  </w:r>
                  <w:r>
                    <w:rPr>
                      <w:rFonts w:hint="default" w:ascii="Times New Roman" w:hAnsi="Times New Roman" w:eastAsia="宋体" w:cs="Times New Roman"/>
                      <w:bCs/>
                      <w:color w:val="0000FF"/>
                      <w:sz w:val="21"/>
                      <w:szCs w:val="21"/>
                      <w:lang w:eastAsia="zh-CN"/>
                    </w:rPr>
                    <w:t>）</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80*80*5*7.95</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40.44</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8</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Ф406*8*11850（圆管）</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Q355B</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27</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9</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Ф406*8*10500（圆管）</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Q355B</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25</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10</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Ф355*6-8*11850（圆管）</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Q355B</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6</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11</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Ф355*6-8*10500（圆管）</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Q355B</w:t>
                  </w:r>
                </w:p>
              </w:tc>
              <w:tc>
                <w:tcPr>
                  <w:tcW w:w="1322" w:type="dxa"/>
                  <w:vMerge w:val="continue"/>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7</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12</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轴承</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6307-2RS/C3</w:t>
                  </w:r>
                </w:p>
              </w:tc>
              <w:tc>
                <w:tcPr>
                  <w:tcW w:w="132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13000个</w:t>
                  </w:r>
                  <w:r>
                    <w:rPr>
                      <w:rFonts w:hint="eastAsia" w:cs="Times New Roman"/>
                      <w:bCs/>
                      <w:color w:val="0000FF"/>
                      <w:sz w:val="21"/>
                      <w:szCs w:val="21"/>
                      <w:lang w:val="en-US" w:eastAsia="zh-CN"/>
                    </w:rPr>
                    <w:t>/a</w:t>
                  </w: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8000个</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13</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轴承</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6310-2RS/C4</w:t>
                  </w:r>
                </w:p>
              </w:tc>
              <w:tc>
                <w:tcPr>
                  <w:tcW w:w="132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13000个</w:t>
                  </w:r>
                  <w:r>
                    <w:rPr>
                      <w:rFonts w:hint="eastAsia" w:cs="Times New Roman"/>
                      <w:bCs/>
                      <w:color w:val="0000FF"/>
                      <w:sz w:val="21"/>
                      <w:szCs w:val="21"/>
                      <w:lang w:val="en-US" w:eastAsia="zh-CN"/>
                    </w:rPr>
                    <w:t>/a</w:t>
                  </w: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8000个</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14</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从动刀盘轴</w:t>
                  </w:r>
                </w:p>
              </w:tc>
              <w:tc>
                <w:tcPr>
                  <w:tcW w:w="20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 w:val="0"/>
                      <w:bCs w:val="0"/>
                      <w:i w:val="0"/>
                      <w:iCs w:val="0"/>
                      <w:color w:val="0000FF"/>
                      <w:kern w:val="0"/>
                      <w:sz w:val="21"/>
                      <w:szCs w:val="21"/>
                      <w:u w:val="none"/>
                      <w:lang w:val="en-US" w:eastAsia="zh-CN" w:bidi="ar"/>
                    </w:rPr>
                    <w:t>/</w:t>
                  </w:r>
                </w:p>
              </w:tc>
              <w:tc>
                <w:tcPr>
                  <w:tcW w:w="132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3500套</w:t>
                  </w:r>
                  <w:r>
                    <w:rPr>
                      <w:rFonts w:hint="eastAsia" w:cs="Times New Roman"/>
                      <w:bCs/>
                      <w:color w:val="0000FF"/>
                      <w:sz w:val="21"/>
                      <w:szCs w:val="21"/>
                      <w:lang w:val="en-US" w:eastAsia="zh-CN"/>
                    </w:rPr>
                    <w:t>/a</w:t>
                  </w: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2000套</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15</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从动齿轮</w:t>
                  </w:r>
                </w:p>
              </w:tc>
              <w:tc>
                <w:tcPr>
                  <w:tcW w:w="20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 w:val="0"/>
                      <w:bCs w:val="0"/>
                      <w:i w:val="0"/>
                      <w:iCs w:val="0"/>
                      <w:color w:val="0000FF"/>
                      <w:kern w:val="0"/>
                      <w:sz w:val="21"/>
                      <w:szCs w:val="21"/>
                      <w:u w:val="none"/>
                      <w:lang w:val="en-US" w:eastAsia="zh-CN" w:bidi="ar"/>
                    </w:rPr>
                    <w:t>/</w:t>
                  </w:r>
                </w:p>
              </w:tc>
              <w:tc>
                <w:tcPr>
                  <w:tcW w:w="132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3500套</w:t>
                  </w:r>
                  <w:r>
                    <w:rPr>
                      <w:rFonts w:hint="eastAsia" w:cs="Times New Roman"/>
                      <w:bCs/>
                      <w:color w:val="0000FF"/>
                      <w:sz w:val="21"/>
                      <w:szCs w:val="21"/>
                      <w:lang w:val="en-US" w:eastAsia="zh-CN"/>
                    </w:rPr>
                    <w:t>/a</w:t>
                  </w: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2000套</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16</w:t>
                  </w:r>
                </w:p>
              </w:tc>
              <w:tc>
                <w:tcPr>
                  <w:tcW w:w="242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传动轴</w:t>
                  </w:r>
                </w:p>
              </w:tc>
              <w:tc>
                <w:tcPr>
                  <w:tcW w:w="2079"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S0261000-48428/SB134大8</w:t>
                  </w:r>
                  <w:r>
                    <w:rPr>
                      <w:rFonts w:hint="eastAsia" w:cs="Times New Roman"/>
                      <w:bCs/>
                      <w:color w:val="0000FF"/>
                      <w:sz w:val="21"/>
                      <w:szCs w:val="21"/>
                      <w:lang w:val="en-US" w:eastAsia="zh-CN"/>
                    </w:rPr>
                    <w:t>－</w:t>
                  </w:r>
                  <w:r>
                    <w:rPr>
                      <w:rFonts w:hint="default" w:ascii="Times New Roman" w:hAnsi="Times New Roman" w:eastAsia="宋体" w:cs="Times New Roman"/>
                      <w:bCs/>
                      <w:color w:val="0000FF"/>
                      <w:sz w:val="21"/>
                      <w:szCs w:val="21"/>
                      <w:lang w:val="en-US" w:eastAsia="zh-CN"/>
                    </w:rPr>
                    <w:t>大6剪42*104</w:t>
                  </w:r>
                </w:p>
              </w:tc>
              <w:tc>
                <w:tcPr>
                  <w:tcW w:w="1322"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560套</w:t>
                  </w:r>
                  <w:r>
                    <w:rPr>
                      <w:rFonts w:hint="eastAsia" w:cs="Times New Roman"/>
                      <w:bCs/>
                      <w:color w:val="0000FF"/>
                      <w:sz w:val="21"/>
                      <w:szCs w:val="21"/>
                      <w:lang w:val="en-US" w:eastAsia="zh-CN"/>
                    </w:rPr>
                    <w:t>/a</w:t>
                  </w:r>
                </w:p>
              </w:tc>
              <w:tc>
                <w:tcPr>
                  <w:tcW w:w="1570" w:type="dxa"/>
                  <w:tcBorders>
                    <w:tl2br w:val="nil"/>
                    <w:tr2bl w:val="nil"/>
                  </w:tcBorders>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400套</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shd w:val="clear" w:color="auto" w:fill="auto"/>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17</w:t>
                  </w:r>
                </w:p>
              </w:tc>
              <w:tc>
                <w:tcPr>
                  <w:tcW w:w="2420" w:type="dxa"/>
                  <w:tcBorders>
                    <w:tl2br w:val="nil"/>
                    <w:tr2bl w:val="nil"/>
                  </w:tcBorders>
                  <w:shd w:val="clear" w:color="auto" w:fill="auto"/>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传动轴</w:t>
                  </w:r>
                </w:p>
              </w:tc>
              <w:tc>
                <w:tcPr>
                  <w:tcW w:w="2079" w:type="dxa"/>
                  <w:tcBorders>
                    <w:tl2br w:val="nil"/>
                    <w:tr2bl w:val="nil"/>
                  </w:tcBorders>
                  <w:shd w:val="clear" w:color="auto" w:fill="auto"/>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S0261000-120/SB13420-大6剪42*104</w:t>
                  </w:r>
                </w:p>
              </w:tc>
              <w:tc>
                <w:tcPr>
                  <w:tcW w:w="1322" w:type="dxa"/>
                  <w:tcBorders>
                    <w:tl2br w:val="nil"/>
                    <w:tr2bl w:val="nil"/>
                  </w:tcBorders>
                  <w:shd w:val="clear" w:color="auto" w:fill="auto"/>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560套</w:t>
                  </w:r>
                  <w:r>
                    <w:rPr>
                      <w:rFonts w:hint="eastAsia" w:cs="Times New Roman"/>
                      <w:bCs/>
                      <w:color w:val="0000FF"/>
                      <w:sz w:val="21"/>
                      <w:szCs w:val="21"/>
                      <w:lang w:val="en-US" w:eastAsia="zh-CN"/>
                    </w:rPr>
                    <w:t>/a</w:t>
                  </w:r>
                </w:p>
              </w:tc>
              <w:tc>
                <w:tcPr>
                  <w:tcW w:w="1570" w:type="dxa"/>
                  <w:tcBorders>
                    <w:tl2br w:val="nil"/>
                    <w:tr2bl w:val="nil"/>
                  </w:tcBorders>
                  <w:shd w:val="clear" w:color="auto" w:fill="auto"/>
                  <w:vAlign w:val="center"/>
                </w:tcPr>
                <w:p>
                  <w:pPr>
                    <w:tabs>
                      <w:tab w:val="left" w:pos="426"/>
                    </w:tabs>
                    <w:snapToGrid w:val="0"/>
                    <w:spacing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lang w:val="en-US" w:eastAsia="zh-CN"/>
                    </w:rPr>
                    <w:t>400套</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02" w:type="dxa"/>
                  <w:tcBorders>
                    <w:tl2br w:val="nil"/>
                    <w:tr2bl w:val="nil"/>
                  </w:tcBorders>
                  <w:shd w:val="clear" w:color="auto" w:fill="auto"/>
                  <w:vAlign w:val="center"/>
                </w:tcPr>
                <w:p>
                  <w:pPr>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18</w:t>
                  </w:r>
                </w:p>
              </w:tc>
              <w:tc>
                <w:tcPr>
                  <w:tcW w:w="24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FF"/>
                      <w:kern w:val="0"/>
                      <w:sz w:val="21"/>
                      <w:szCs w:val="21"/>
                      <w:u w:val="none"/>
                      <w:lang w:val="en-US" w:eastAsia="zh-CN" w:bidi="ar"/>
                    </w:rPr>
                  </w:pPr>
                  <w:r>
                    <w:rPr>
                      <w:rFonts w:hint="default" w:ascii="Times New Roman" w:hAnsi="Times New Roman" w:eastAsia="宋体" w:cs="Times New Roman"/>
                      <w:color w:val="0000FF"/>
                      <w:spacing w:val="-2"/>
                      <w:sz w:val="21"/>
                      <w:szCs w:val="21"/>
                    </w:rPr>
                    <w:t>塑粉（树脂涂</w:t>
                  </w:r>
                  <w:r>
                    <w:rPr>
                      <w:rFonts w:hint="default" w:ascii="Times New Roman" w:hAnsi="Times New Roman" w:eastAsia="宋体" w:cs="Times New Roman"/>
                      <w:color w:val="0000FF"/>
                      <w:spacing w:val="-6"/>
                      <w:sz w:val="21"/>
                      <w:szCs w:val="21"/>
                    </w:rPr>
                    <w:t>料）</w:t>
                  </w:r>
                </w:p>
              </w:tc>
              <w:tc>
                <w:tcPr>
                  <w:tcW w:w="20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FF"/>
                      <w:kern w:val="0"/>
                      <w:sz w:val="21"/>
                      <w:szCs w:val="21"/>
                      <w:u w:val="none"/>
                      <w:lang w:val="en-US" w:eastAsia="zh-CN" w:bidi="ar"/>
                    </w:rPr>
                  </w:pPr>
                  <w:r>
                    <w:rPr>
                      <w:rFonts w:hint="default" w:ascii="Times New Roman" w:hAnsi="Times New Roman" w:eastAsia="宋体" w:cs="Times New Roman"/>
                      <w:b w:val="0"/>
                      <w:bCs w:val="0"/>
                      <w:i w:val="0"/>
                      <w:iCs w:val="0"/>
                      <w:color w:val="0000FF"/>
                      <w:kern w:val="0"/>
                      <w:sz w:val="21"/>
                      <w:szCs w:val="21"/>
                      <w:u w:val="none"/>
                      <w:lang w:val="en-US" w:eastAsia="zh-CN" w:bidi="ar"/>
                    </w:rPr>
                    <w:t>/</w:t>
                  </w:r>
                </w:p>
              </w:tc>
              <w:tc>
                <w:tcPr>
                  <w:tcW w:w="1322" w:type="dxa"/>
                  <w:tcBorders>
                    <w:tl2br w:val="nil"/>
                    <w:tr2bl w:val="nil"/>
                  </w:tcBorders>
                  <w:shd w:val="clear" w:color="auto" w:fill="auto"/>
                  <w:vAlign w:val="center"/>
                </w:tcPr>
                <w:p>
                  <w:pPr>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0</w:t>
                  </w:r>
                </w:p>
              </w:tc>
              <w:tc>
                <w:tcPr>
                  <w:tcW w:w="1570" w:type="dxa"/>
                  <w:tcBorders>
                    <w:tl2br w:val="nil"/>
                    <w:tr2bl w:val="nil"/>
                  </w:tcBorders>
                  <w:shd w:val="clear" w:color="auto" w:fill="auto"/>
                  <w:vAlign w:val="center"/>
                </w:tcPr>
                <w:p>
                  <w:pPr>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5t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shd w:val="clear" w:color="auto" w:fill="auto"/>
                  <w:vAlign w:val="center"/>
                </w:tcPr>
                <w:p>
                  <w:pPr>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19</w:t>
                  </w:r>
                </w:p>
              </w:tc>
              <w:tc>
                <w:tcPr>
                  <w:tcW w:w="24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2"/>
                      <w:sz w:val="21"/>
                      <w:szCs w:val="21"/>
                      <w:lang w:val="en-US" w:eastAsia="zh-CN"/>
                    </w:rPr>
                  </w:pPr>
                  <w:r>
                    <w:rPr>
                      <w:rFonts w:hint="default" w:ascii="Times New Roman" w:hAnsi="Times New Roman" w:eastAsia="宋体" w:cs="Times New Roman"/>
                      <w:color w:val="0000FF"/>
                      <w:spacing w:val="-2"/>
                      <w:sz w:val="21"/>
                      <w:szCs w:val="21"/>
                      <w:highlight w:val="none"/>
                      <w:lang w:val="en-US" w:eastAsia="zh-CN"/>
                    </w:rPr>
                    <w:t>焊丝</w:t>
                  </w:r>
                </w:p>
              </w:tc>
              <w:tc>
                <w:tcPr>
                  <w:tcW w:w="20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FF"/>
                      <w:kern w:val="0"/>
                      <w:sz w:val="21"/>
                      <w:szCs w:val="21"/>
                      <w:u w:val="none"/>
                      <w:lang w:val="en-US" w:eastAsia="zh-CN" w:bidi="ar"/>
                    </w:rPr>
                  </w:pPr>
                  <w:r>
                    <w:rPr>
                      <w:rFonts w:hint="default" w:ascii="Times New Roman" w:hAnsi="Times New Roman" w:eastAsia="宋体" w:cs="Times New Roman"/>
                      <w:b w:val="0"/>
                      <w:bCs w:val="0"/>
                      <w:i w:val="0"/>
                      <w:iCs w:val="0"/>
                      <w:color w:val="0000FF"/>
                      <w:kern w:val="0"/>
                      <w:sz w:val="21"/>
                      <w:szCs w:val="21"/>
                      <w:u w:val="none"/>
                      <w:lang w:val="en-US" w:eastAsia="zh-CN" w:bidi="ar"/>
                    </w:rPr>
                    <w:t>/</w:t>
                  </w:r>
                </w:p>
              </w:tc>
              <w:tc>
                <w:tcPr>
                  <w:tcW w:w="1322" w:type="dxa"/>
                  <w:tcBorders>
                    <w:tl2br w:val="nil"/>
                    <w:tr2bl w:val="nil"/>
                  </w:tcBorders>
                  <w:shd w:val="clear" w:color="auto" w:fill="auto"/>
                  <w:vAlign w:val="center"/>
                </w:tcPr>
                <w:p>
                  <w:pPr>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2t</w:t>
                  </w:r>
                  <w:r>
                    <w:rPr>
                      <w:rFonts w:hint="eastAsia" w:cs="Times New Roman"/>
                      <w:bCs/>
                      <w:color w:val="0000FF"/>
                      <w:sz w:val="21"/>
                      <w:szCs w:val="21"/>
                      <w:lang w:val="en-US" w:eastAsia="zh-CN"/>
                    </w:rPr>
                    <w:t>/a</w:t>
                  </w:r>
                </w:p>
              </w:tc>
              <w:tc>
                <w:tcPr>
                  <w:tcW w:w="1570" w:type="dxa"/>
                  <w:tcBorders>
                    <w:tl2br w:val="nil"/>
                    <w:tr2bl w:val="nil"/>
                  </w:tcBorders>
                  <w:shd w:val="clear" w:color="auto" w:fill="auto"/>
                  <w:vAlign w:val="center"/>
                </w:tcPr>
                <w:p>
                  <w:pPr>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2</w:t>
                  </w:r>
                  <w:r>
                    <w:rPr>
                      <w:rFonts w:hint="default" w:ascii="Times New Roman" w:hAnsi="Times New Roman" w:eastAsia="宋体" w:cs="Times New Roman"/>
                      <w:b w:val="0"/>
                      <w:bCs w:val="0"/>
                      <w:color w:val="0000FF"/>
                      <w:sz w:val="21"/>
                      <w:szCs w:val="21"/>
                      <w:lang w:val="en-US" w:eastAsia="zh-CN"/>
                    </w:rPr>
                    <w:t>t</w:t>
                  </w:r>
                  <w:r>
                    <w:rPr>
                      <w:rFonts w:hint="eastAsia" w:cs="Times New Roman"/>
                      <w:bCs/>
                      <w:color w:val="0000FF"/>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2" w:type="dxa"/>
                  <w:tcBorders>
                    <w:tl2br w:val="nil"/>
                    <w:tr2bl w:val="nil"/>
                  </w:tcBorders>
                  <w:shd w:val="clear" w:color="auto" w:fill="auto"/>
                  <w:vAlign w:val="center"/>
                </w:tcPr>
                <w:p>
                  <w:pPr>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20</w:t>
                  </w:r>
                </w:p>
              </w:tc>
              <w:tc>
                <w:tcPr>
                  <w:tcW w:w="24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2"/>
                      <w:sz w:val="21"/>
                      <w:szCs w:val="21"/>
                      <w:highlight w:val="none"/>
                      <w:lang w:val="en-US" w:eastAsia="zh-CN"/>
                    </w:rPr>
                  </w:pPr>
                  <w:r>
                    <w:rPr>
                      <w:rFonts w:hint="default" w:ascii="Times New Roman" w:hAnsi="Times New Roman" w:eastAsia="宋体" w:cs="Times New Roman"/>
                      <w:color w:val="0000FF"/>
                      <w:spacing w:val="-2"/>
                      <w:sz w:val="21"/>
                      <w:szCs w:val="21"/>
                      <w:highlight w:val="none"/>
                      <w:lang w:val="en-US" w:eastAsia="zh-CN"/>
                    </w:rPr>
                    <w:t>氧气</w:t>
                  </w:r>
                </w:p>
              </w:tc>
              <w:tc>
                <w:tcPr>
                  <w:tcW w:w="20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FF"/>
                      <w:kern w:val="0"/>
                      <w:sz w:val="21"/>
                      <w:szCs w:val="21"/>
                      <w:u w:val="none"/>
                      <w:lang w:val="en-US" w:eastAsia="zh-CN" w:bidi="ar"/>
                    </w:rPr>
                  </w:pPr>
                  <w:r>
                    <w:rPr>
                      <w:rFonts w:hint="default" w:ascii="Times New Roman" w:hAnsi="Times New Roman" w:eastAsia="宋体" w:cs="Times New Roman"/>
                      <w:b w:val="0"/>
                      <w:bCs w:val="0"/>
                      <w:i w:val="0"/>
                      <w:iCs w:val="0"/>
                      <w:color w:val="0000FF"/>
                      <w:kern w:val="0"/>
                      <w:sz w:val="21"/>
                      <w:szCs w:val="21"/>
                      <w:u w:val="none"/>
                      <w:lang w:val="en-US" w:eastAsia="zh-CN" w:bidi="ar"/>
                    </w:rPr>
                    <w:t>/</w:t>
                  </w:r>
                </w:p>
              </w:tc>
              <w:tc>
                <w:tcPr>
                  <w:tcW w:w="1322" w:type="dxa"/>
                  <w:tcBorders>
                    <w:tl2br w:val="nil"/>
                    <w:tr2bl w:val="nil"/>
                  </w:tcBorders>
                  <w:shd w:val="clear" w:color="auto" w:fill="auto"/>
                  <w:vAlign w:val="center"/>
                </w:tcPr>
                <w:p>
                  <w:pPr>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800瓶</w:t>
                  </w:r>
                  <w:r>
                    <w:rPr>
                      <w:rFonts w:hint="eastAsia" w:cs="Times New Roman"/>
                      <w:bCs/>
                      <w:color w:val="0000FF"/>
                      <w:sz w:val="21"/>
                      <w:szCs w:val="21"/>
                      <w:lang w:val="en-US" w:eastAsia="zh-CN"/>
                    </w:rPr>
                    <w:t>/a</w:t>
                  </w:r>
                </w:p>
              </w:tc>
              <w:tc>
                <w:tcPr>
                  <w:tcW w:w="1570" w:type="dxa"/>
                  <w:tcBorders>
                    <w:tl2br w:val="nil"/>
                    <w:tr2bl w:val="nil"/>
                  </w:tcBorders>
                  <w:shd w:val="clear" w:color="auto" w:fill="auto"/>
                  <w:vAlign w:val="center"/>
                </w:tcPr>
                <w:p>
                  <w:pPr>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800</w:t>
                  </w:r>
                  <w:r>
                    <w:rPr>
                      <w:rFonts w:hint="default" w:ascii="Times New Roman" w:hAnsi="Times New Roman" w:eastAsia="宋体" w:cs="Times New Roman"/>
                      <w:b w:val="0"/>
                      <w:bCs w:val="0"/>
                      <w:color w:val="0000FF"/>
                      <w:sz w:val="21"/>
                      <w:szCs w:val="21"/>
                      <w:lang w:val="en-US" w:eastAsia="zh-CN"/>
                    </w:rPr>
                    <w:t>瓶</w:t>
                  </w:r>
                  <w:r>
                    <w:rPr>
                      <w:rFonts w:hint="eastAsia" w:cs="Times New Roman"/>
                      <w:bCs/>
                      <w:color w:val="0000FF"/>
                      <w:sz w:val="21"/>
                      <w:szCs w:val="21"/>
                      <w:lang w:val="en-US" w:eastAsia="zh-CN"/>
                    </w:rPr>
                    <w:t>/a</w:t>
                  </w:r>
                </w:p>
              </w:tc>
            </w:tr>
          </w:tbl>
          <w:p>
            <w:pPr>
              <w:pStyle w:val="11"/>
              <w:keepNext w:val="0"/>
              <w:keepLines w:val="0"/>
              <w:pageBreakBefore w:val="0"/>
              <w:widowControl w:val="0"/>
              <w:kinsoku/>
              <w:wordWrap/>
              <w:overflowPunct/>
              <w:topLinePunct w:val="0"/>
              <w:autoSpaceDE/>
              <w:autoSpaceDN/>
              <w:bidi w:val="0"/>
              <w:adjustRightInd/>
              <w:snapToGrid/>
              <w:spacing w:before="0" w:beforeAutospacing="0" w:after="0" w:line="360" w:lineRule="auto"/>
              <w:ind w:left="0" w:leftChars="0" w:firstLine="482" w:firstLineChars="200"/>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bCs/>
                <w:color w:val="auto"/>
                <w:highlight w:val="none"/>
                <w:lang w:val="en-US" w:eastAsia="zh-CN"/>
              </w:rPr>
              <w:t>主要物料理化性质：</w:t>
            </w:r>
          </w:p>
          <w:p>
            <w:pPr>
              <w:pStyle w:val="4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bidi="ar"/>
              </w:rPr>
              <w:t>塑粉（树脂涂料）：主要成分为环氧树脂粉末和聚酯树脂粉末，为粉末状固体、无毒、易燃。环氧值（当量/100g）0.09～0.14；环氧当量（g/当量）714～1111；分子量2000；色泽（HGB）≤3；软化点85～95℃；无机氯（当量/100g）≤0.0007；有机</w:t>
            </w:r>
            <w:r>
              <w:rPr>
                <w:rFonts w:hint="default" w:ascii="Times New Roman" w:hAnsi="Times New Roman" w:eastAsia="宋体" w:cs="Times New Roman"/>
                <w:b w:val="0"/>
                <w:bCs w:val="0"/>
                <w:color w:val="auto"/>
                <w:kern w:val="0"/>
                <w:sz w:val="24"/>
                <w:szCs w:val="24"/>
                <w:highlight w:val="none"/>
                <w:lang w:val="en-US" w:eastAsia="zh-CN" w:bidi="ar-SA"/>
              </w:rPr>
              <w:t>氯（当量/100g）≤0.003；挥发份%≤1；D50（um）3-5um。</w:t>
            </w:r>
          </w:p>
          <w:p>
            <w:pPr>
              <w:pStyle w:val="43"/>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b/>
                <w:bCs/>
                <w:color w:val="0000FF"/>
                <w:sz w:val="24"/>
                <w:lang w:val="en-US" w:eastAsia="zh-CN"/>
              </w:rPr>
            </w:pPr>
            <w:r>
              <w:rPr>
                <w:rFonts w:hint="eastAsia" w:ascii="Times New Roman" w:hAnsi="Times New Roman" w:eastAsia="宋体" w:cs="Times New Roman"/>
                <w:b/>
                <w:bCs/>
                <w:color w:val="0000FF"/>
                <w:sz w:val="24"/>
                <w:lang w:val="en-US" w:eastAsia="zh-CN"/>
              </w:rPr>
              <w:t>5.产品方案</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本项目产品方案见下表。</w:t>
            </w:r>
          </w:p>
          <w:p>
            <w:pPr>
              <w:pStyle w:val="40"/>
              <w:keepNext w:val="0"/>
              <w:keepLines w:val="0"/>
              <w:pageBreakBefore w:val="0"/>
              <w:kinsoku/>
              <w:wordWrap/>
              <w:overflowPunct/>
              <w:topLinePunct w:val="0"/>
              <w:bidi w:val="0"/>
              <w:spacing w:line="240" w:lineRule="auto"/>
              <w:rPr>
                <w:rFonts w:hint="default" w:ascii="Times New Roman" w:hAnsi="Times New Roman" w:eastAsia="宋体" w:cs="Times New Roman"/>
                <w:b/>
                <w:bCs/>
                <w:snapToGrid w:val="0"/>
                <w:color w:val="0000FF"/>
                <w:spacing w:val="0"/>
                <w:w w:val="100"/>
                <w:kern w:val="2"/>
                <w:position w:val="0"/>
                <w:sz w:val="21"/>
                <w:szCs w:val="21"/>
                <w:highlight w:val="none"/>
                <w:lang w:val="en-US" w:eastAsia="zh-CN" w:bidi="ar-SA"/>
              </w:rPr>
            </w:pPr>
            <w:r>
              <w:rPr>
                <w:rFonts w:hint="default" w:ascii="Times New Roman" w:hAnsi="Times New Roman" w:eastAsia="宋体" w:cs="Times New Roman"/>
                <w:b/>
                <w:bCs/>
                <w:snapToGrid w:val="0"/>
                <w:color w:val="0000FF"/>
                <w:spacing w:val="0"/>
                <w:w w:val="100"/>
                <w:kern w:val="2"/>
                <w:position w:val="0"/>
                <w:sz w:val="21"/>
                <w:szCs w:val="21"/>
                <w:highlight w:val="none"/>
                <w:lang w:val="en-US" w:eastAsia="zh-CN" w:bidi="ar-SA"/>
              </w:rPr>
              <w:t>表2-</w:t>
            </w:r>
            <w:r>
              <w:rPr>
                <w:rFonts w:hint="eastAsia" w:ascii="Times New Roman" w:hAnsi="Times New Roman" w:eastAsia="宋体" w:cs="Times New Roman"/>
                <w:b/>
                <w:bCs/>
                <w:snapToGrid w:val="0"/>
                <w:color w:val="0000FF"/>
                <w:spacing w:val="0"/>
                <w:w w:val="100"/>
                <w:kern w:val="2"/>
                <w:position w:val="0"/>
                <w:sz w:val="21"/>
                <w:szCs w:val="21"/>
                <w:highlight w:val="none"/>
                <w:lang w:val="en-US" w:eastAsia="zh-CN" w:bidi="ar-SA"/>
              </w:rPr>
              <w:t xml:space="preserve">4  </w:t>
            </w:r>
            <w:r>
              <w:rPr>
                <w:rFonts w:hint="default" w:ascii="Times New Roman" w:hAnsi="Times New Roman" w:eastAsia="宋体" w:cs="Times New Roman"/>
                <w:b/>
                <w:bCs/>
                <w:snapToGrid w:val="0"/>
                <w:color w:val="0000FF"/>
                <w:spacing w:val="0"/>
                <w:w w:val="100"/>
                <w:kern w:val="2"/>
                <w:position w:val="0"/>
                <w:sz w:val="21"/>
                <w:szCs w:val="21"/>
                <w:highlight w:val="none"/>
                <w:lang w:val="en-US" w:eastAsia="zh-CN" w:bidi="ar-SA"/>
              </w:rPr>
              <w:t>项目产品方案表</w:t>
            </w:r>
          </w:p>
          <w:tbl>
            <w:tblPr>
              <w:tblStyle w:val="23"/>
              <w:tblW w:w="446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63"/>
              <w:gridCol w:w="1610"/>
              <w:gridCol w:w="2729"/>
              <w:gridCol w:w="19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600" w:type="pc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序号</w:t>
                  </w:r>
                </w:p>
              </w:tc>
              <w:tc>
                <w:tcPr>
                  <w:tcW w:w="1119" w:type="pc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b/>
                      <w:bCs/>
                      <w:color w:val="0000FF"/>
                      <w:szCs w:val="21"/>
                      <w:lang w:val="zh-CN"/>
                    </w:rPr>
                  </w:pPr>
                  <w:r>
                    <w:rPr>
                      <w:rFonts w:hint="default" w:ascii="Times New Roman" w:hAnsi="Times New Roman" w:eastAsia="宋体" w:cs="Times New Roman"/>
                      <w:b/>
                      <w:bCs/>
                      <w:color w:val="0000FF"/>
                      <w:szCs w:val="21"/>
                      <w:lang w:val="zh-CN"/>
                    </w:rPr>
                    <w:t>产品名称</w:t>
                  </w:r>
                </w:p>
              </w:tc>
              <w:tc>
                <w:tcPr>
                  <w:tcW w:w="1897" w:type="pc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b/>
                      <w:bCs/>
                      <w:color w:val="0000FF"/>
                      <w:szCs w:val="21"/>
                      <w:lang w:val="en-US" w:eastAsia="zh-CN"/>
                    </w:rPr>
                  </w:pPr>
                  <w:r>
                    <w:rPr>
                      <w:rFonts w:hint="default" w:ascii="Times New Roman" w:hAnsi="Times New Roman" w:eastAsia="宋体" w:cs="Times New Roman"/>
                      <w:b/>
                      <w:bCs/>
                      <w:color w:val="0000FF"/>
                      <w:szCs w:val="21"/>
                      <w:lang w:val="en-US" w:eastAsia="zh-CN"/>
                    </w:rPr>
                    <w:t>扩建前</w:t>
                  </w:r>
                  <w:r>
                    <w:rPr>
                      <w:rFonts w:hint="default" w:ascii="Times New Roman" w:hAnsi="Times New Roman" w:eastAsia="宋体" w:cs="Times New Roman"/>
                      <w:b/>
                      <w:bCs/>
                      <w:color w:val="0000FF"/>
                      <w:szCs w:val="21"/>
                      <w:lang w:val="zh-CN"/>
                    </w:rPr>
                    <w:t>年产量</w:t>
                  </w:r>
                </w:p>
              </w:tc>
              <w:tc>
                <w:tcPr>
                  <w:tcW w:w="1383" w:type="pc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b/>
                      <w:bCs/>
                      <w:color w:val="0000FF"/>
                      <w:szCs w:val="21"/>
                      <w:lang w:val="en-US" w:eastAsia="zh-CN"/>
                    </w:rPr>
                  </w:pPr>
                  <w:r>
                    <w:rPr>
                      <w:rFonts w:hint="default" w:ascii="Times New Roman" w:hAnsi="Times New Roman" w:eastAsia="宋体" w:cs="Times New Roman"/>
                      <w:b/>
                      <w:bCs/>
                      <w:color w:val="0000FF"/>
                      <w:szCs w:val="21"/>
                      <w:lang w:val="en-US" w:eastAsia="zh-CN"/>
                    </w:rPr>
                    <w:t>扩建</w:t>
                  </w:r>
                  <w:r>
                    <w:rPr>
                      <w:rFonts w:hint="eastAsia" w:ascii="Times New Roman" w:hAnsi="Times New Roman" w:eastAsia="宋体" w:cs="Times New Roman"/>
                      <w:b/>
                      <w:bCs/>
                      <w:color w:val="0000FF"/>
                      <w:szCs w:val="21"/>
                      <w:lang w:val="en-US" w:eastAsia="zh-CN"/>
                    </w:rPr>
                    <w:t>后</w:t>
                  </w:r>
                  <w:r>
                    <w:rPr>
                      <w:rFonts w:hint="default" w:ascii="Times New Roman" w:hAnsi="Times New Roman" w:eastAsia="宋体" w:cs="Times New Roman"/>
                      <w:b/>
                      <w:bCs/>
                      <w:color w:val="0000FF"/>
                      <w:szCs w:val="21"/>
                      <w:lang w:val="zh-CN"/>
                    </w:rPr>
                    <w:t>年产量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1</w:t>
                  </w:r>
                </w:p>
              </w:tc>
              <w:tc>
                <w:tcPr>
                  <w:tcW w:w="1119"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动力驱动耙</w:t>
                  </w:r>
                </w:p>
              </w:tc>
              <w:tc>
                <w:tcPr>
                  <w:tcW w:w="1897" w:type="pct"/>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color w:val="0000FF"/>
                      <w:szCs w:val="21"/>
                      <w:lang w:val="en-US" w:eastAsia="zh-CN"/>
                    </w:rPr>
                  </w:pPr>
                  <w:r>
                    <w:rPr>
                      <w:rFonts w:hint="default" w:ascii="Times New Roman" w:hAnsi="Times New Roman" w:eastAsia="宋体" w:cs="Times New Roman"/>
                      <w:b w:val="0"/>
                      <w:bCs/>
                      <w:color w:val="0000FF"/>
                      <w:szCs w:val="21"/>
                      <w:lang w:val="en-US" w:eastAsia="zh-CN"/>
                    </w:rPr>
                    <w:t>年产各类农业机械2500</w:t>
                  </w:r>
                  <w:r>
                    <w:rPr>
                      <w:rFonts w:hint="eastAsia" w:cs="Times New Roman"/>
                      <w:b w:val="0"/>
                      <w:bCs/>
                      <w:color w:val="0000FF"/>
                      <w:szCs w:val="21"/>
                      <w:lang w:val="en-US" w:eastAsia="zh-CN"/>
                    </w:rPr>
                    <w:t>台</w:t>
                  </w:r>
                </w:p>
              </w:tc>
              <w:tc>
                <w:tcPr>
                  <w:tcW w:w="1383"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0000FF"/>
                      <w:kern w:val="2"/>
                      <w:sz w:val="21"/>
                      <w:szCs w:val="21"/>
                      <w:lang w:val="en-US" w:eastAsia="zh-CN" w:bidi="ar-SA"/>
                    </w:rPr>
                  </w:pPr>
                  <w:r>
                    <w:rPr>
                      <w:rFonts w:hint="default" w:ascii="Times New Roman" w:hAnsi="Times New Roman" w:eastAsia="宋体" w:cs="Times New Roman"/>
                      <w:b w:val="0"/>
                      <w:bCs/>
                      <w:color w:val="0000FF"/>
                      <w:szCs w:val="21"/>
                      <w:lang w:val="en-US" w:eastAsia="zh-CN"/>
                    </w:rPr>
                    <w:t>350台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60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2</w:t>
                  </w:r>
                </w:p>
              </w:tc>
              <w:tc>
                <w:tcPr>
                  <w:tcW w:w="1119"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谷物播种机</w:t>
                  </w:r>
                </w:p>
              </w:tc>
              <w:tc>
                <w:tcPr>
                  <w:tcW w:w="189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szCs w:val="21"/>
                      <w:lang w:val="en-US" w:eastAsia="zh-CN"/>
                    </w:rPr>
                  </w:pPr>
                </w:p>
              </w:tc>
              <w:tc>
                <w:tcPr>
                  <w:tcW w:w="138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Cs w:val="21"/>
                      <w:lang w:val="en-US" w:eastAsia="zh-CN"/>
                    </w:rPr>
                    <w:t>300台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60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szCs w:val="21"/>
                    </w:rPr>
                  </w:pPr>
                  <w:r>
                    <w:rPr>
                      <w:rFonts w:hint="default" w:ascii="Times New Roman" w:hAnsi="Times New Roman" w:eastAsia="宋体" w:cs="Times New Roman"/>
                      <w:color w:val="0000FF"/>
                      <w:szCs w:val="21"/>
                    </w:rPr>
                    <w:t>3</w:t>
                  </w:r>
                </w:p>
              </w:tc>
              <w:tc>
                <w:tcPr>
                  <w:tcW w:w="1119"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联合整地机</w:t>
                  </w:r>
                </w:p>
              </w:tc>
              <w:tc>
                <w:tcPr>
                  <w:tcW w:w="189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szCs w:val="21"/>
                      <w:lang w:val="en-US" w:eastAsia="zh-CN"/>
                    </w:rPr>
                  </w:pPr>
                </w:p>
              </w:tc>
              <w:tc>
                <w:tcPr>
                  <w:tcW w:w="138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Cs w:val="21"/>
                      <w:lang w:val="en-US" w:eastAsia="zh-CN"/>
                    </w:rPr>
                    <w:t>300台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60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szCs w:val="21"/>
                      <w:lang w:val="en-US" w:eastAsia="zh-CN"/>
                    </w:rPr>
                  </w:pPr>
                  <w:r>
                    <w:rPr>
                      <w:rFonts w:hint="default" w:ascii="Times New Roman" w:hAnsi="Times New Roman" w:eastAsia="宋体" w:cs="Times New Roman"/>
                      <w:color w:val="0000FF"/>
                      <w:szCs w:val="21"/>
                      <w:lang w:val="en-US" w:eastAsia="zh-CN"/>
                    </w:rPr>
                    <w:t>4</w:t>
                  </w:r>
                </w:p>
              </w:tc>
              <w:tc>
                <w:tcPr>
                  <w:tcW w:w="1119"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耙播一体机</w:t>
                  </w:r>
                </w:p>
              </w:tc>
              <w:tc>
                <w:tcPr>
                  <w:tcW w:w="189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FF"/>
                      <w:szCs w:val="21"/>
                      <w:lang w:val="en-US" w:eastAsia="zh-CN"/>
                    </w:rPr>
                  </w:pPr>
                </w:p>
              </w:tc>
              <w:tc>
                <w:tcPr>
                  <w:tcW w:w="138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Cs w:val="21"/>
                      <w:lang w:val="en-US" w:eastAsia="zh-CN"/>
                    </w:rPr>
                    <w:t>20台</w:t>
                  </w:r>
                </w:p>
              </w:tc>
            </w:tr>
          </w:tbl>
          <w:p>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000000" w:themeColor="text1"/>
                <w:kern w:val="2"/>
                <w:sz w:val="24"/>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0"/>
                <w:lang w:val="en-US" w:eastAsia="zh-CN" w:bidi="ar-SA"/>
                <w14:textFill>
                  <w14:solidFill>
                    <w14:schemeClr w14:val="tx1"/>
                  </w14:solidFill>
                </w14:textFill>
              </w:rPr>
              <w:t>6.劳动定员及工作制度</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本项目全年生产300</w:t>
            </w:r>
            <w:r>
              <w:rPr>
                <w:rFonts w:hint="eastAsia" w:cs="Times New Roman"/>
                <w:color w:val="auto"/>
                <w:kern w:val="0"/>
                <w:sz w:val="24"/>
                <w:lang w:val="en-US" w:eastAsia="zh-CN" w:bidi="ar"/>
              </w:rPr>
              <w:t>d</w:t>
            </w:r>
            <w:r>
              <w:rPr>
                <w:rFonts w:hint="default" w:ascii="Times New Roman" w:hAnsi="Times New Roman" w:eastAsia="宋体" w:cs="Times New Roman"/>
                <w:color w:val="auto"/>
                <w:kern w:val="0"/>
                <w:sz w:val="24"/>
                <w:lang w:val="en-US" w:eastAsia="zh-CN" w:bidi="ar"/>
              </w:rPr>
              <w:t>，每天工作8</w:t>
            </w:r>
            <w:r>
              <w:rPr>
                <w:rFonts w:hint="eastAsia" w:cs="Times New Roman"/>
                <w:color w:val="auto"/>
                <w:kern w:val="0"/>
                <w:sz w:val="24"/>
                <w:lang w:val="en-US" w:eastAsia="zh-CN" w:bidi="ar"/>
              </w:rPr>
              <w:t>h</w:t>
            </w:r>
            <w:r>
              <w:rPr>
                <w:rFonts w:hint="default" w:ascii="Times New Roman" w:hAnsi="Times New Roman" w:eastAsia="宋体" w:cs="Times New Roman"/>
                <w:color w:val="auto"/>
                <w:kern w:val="0"/>
                <w:sz w:val="24"/>
                <w:lang w:val="en-US" w:eastAsia="zh-CN" w:bidi="ar"/>
              </w:rPr>
              <w:t>，共2400</w:t>
            </w:r>
            <w:r>
              <w:rPr>
                <w:rFonts w:hint="eastAsia" w:cs="Times New Roman"/>
                <w:color w:val="auto"/>
                <w:kern w:val="0"/>
                <w:sz w:val="24"/>
                <w:lang w:val="en-US" w:eastAsia="zh-CN" w:bidi="ar"/>
              </w:rPr>
              <w:t>h</w:t>
            </w:r>
            <w:r>
              <w:rPr>
                <w:rFonts w:hint="default" w:ascii="Times New Roman" w:hAnsi="Times New Roman" w:eastAsia="宋体" w:cs="Times New Roman"/>
                <w:color w:val="auto"/>
                <w:kern w:val="0"/>
                <w:sz w:val="24"/>
                <w:lang w:val="en-US" w:eastAsia="zh-CN" w:bidi="ar"/>
              </w:rPr>
              <w:t>。本次扩建项目</w:t>
            </w:r>
            <w:r>
              <w:rPr>
                <w:rFonts w:hint="eastAsia" w:cs="Times New Roman"/>
                <w:color w:val="auto"/>
                <w:kern w:val="0"/>
                <w:sz w:val="24"/>
                <w:lang w:val="en-US" w:eastAsia="zh-CN" w:bidi="ar"/>
              </w:rPr>
              <w:t>使用现有劳动定员，</w:t>
            </w:r>
            <w:r>
              <w:rPr>
                <w:rFonts w:hint="default" w:ascii="Times New Roman" w:hAnsi="Times New Roman" w:eastAsia="宋体" w:cs="Times New Roman"/>
                <w:color w:val="auto"/>
                <w:kern w:val="0"/>
                <w:sz w:val="24"/>
                <w:lang w:val="en-US" w:eastAsia="zh-CN" w:bidi="ar"/>
              </w:rPr>
              <w:t>不新增劳动定员</w:t>
            </w:r>
            <w:r>
              <w:rPr>
                <w:rFonts w:hint="eastAsia" w:ascii="Times New Roman" w:hAnsi="Times New Roman" w:eastAsia="宋体" w:cs="Times New Roman"/>
                <w:color w:val="auto"/>
                <w:kern w:val="0"/>
                <w:sz w:val="24"/>
                <w:lang w:val="en-US" w:eastAsia="zh-CN" w:bidi="ar"/>
              </w:rPr>
              <w:t>。</w:t>
            </w:r>
          </w:p>
          <w:p>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000000" w:themeColor="text1"/>
                <w:kern w:val="2"/>
                <w:sz w:val="24"/>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0"/>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0"/>
                <w:lang w:val="en-US" w:eastAsia="zh-CN" w:bidi="ar-SA"/>
                <w14:textFill>
                  <w14:solidFill>
                    <w14:schemeClr w14:val="tx1"/>
                  </w14:solidFill>
                </w14:textFill>
              </w:rPr>
              <w:t>平面布置</w:t>
            </w:r>
          </w:p>
          <w:p>
            <w:pPr>
              <w:pStyle w:val="11"/>
              <w:keepNext w:val="0"/>
              <w:keepLines w:val="0"/>
              <w:pageBreakBefore w:val="0"/>
              <w:widowControl w:val="0"/>
              <w:kinsoku/>
              <w:wordWrap/>
              <w:overflowPunct/>
              <w:topLinePunct w:val="0"/>
              <w:autoSpaceDE/>
              <w:autoSpaceDN/>
              <w:bidi w:val="0"/>
              <w:adjustRightInd/>
              <w:snapToGrid/>
              <w:spacing w:before="0" w:beforeAutospacing="0" w:after="0"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本项目位于</w:t>
            </w:r>
            <w:r>
              <w:rPr>
                <w:rFonts w:hint="default" w:ascii="Times New Roman" w:hAnsi="Times New Roman" w:eastAsia="宋体" w:cs="Times New Roman"/>
                <w:b w:val="0"/>
                <w:bCs w:val="0"/>
                <w:color w:val="auto"/>
                <w:kern w:val="0"/>
                <w:sz w:val="24"/>
                <w:szCs w:val="24"/>
                <w:highlight w:val="none"/>
                <w:lang w:val="en-US" w:eastAsia="zh-CN"/>
              </w:rPr>
              <w:t>新疆昌吉州昌吉市三工镇八钢工业聚集区</w:t>
            </w:r>
            <w:r>
              <w:rPr>
                <w:rFonts w:hint="default" w:ascii="Times New Roman" w:hAnsi="Times New Roman" w:eastAsia="宋体" w:cs="Times New Roman"/>
                <w:color w:val="auto"/>
                <w:highlight w:val="none"/>
                <w:lang w:val="en-US" w:eastAsia="zh-CN"/>
              </w:rPr>
              <w:t>，项目区东侧为员工宿舍及办公区域，西侧为生产区域，布置有2间焊接车间、2间装配车间，2间喷粉车间及2间半成品库房，项目总体布置比较整齐，功能分区明确，生产、办公、辅助设施较为齐全。</w:t>
            </w:r>
          </w:p>
          <w:p>
            <w:pPr>
              <w:pStyle w:val="11"/>
              <w:keepNext w:val="0"/>
              <w:keepLines w:val="0"/>
              <w:pageBreakBefore w:val="0"/>
              <w:widowControl w:val="0"/>
              <w:kinsoku/>
              <w:wordWrap/>
              <w:overflowPunct/>
              <w:topLinePunct w:val="0"/>
              <w:autoSpaceDE/>
              <w:autoSpaceDN/>
              <w:bidi w:val="0"/>
              <w:adjustRightInd/>
              <w:snapToGrid/>
              <w:spacing w:before="0" w:beforeAutospacing="0" w:after="0" w:line="360" w:lineRule="auto"/>
              <w:ind w:left="0" w:leftChars="0" w:firstLine="480" w:firstLineChars="200"/>
              <w:textAlignment w:val="auto"/>
              <w:rPr>
                <w:rFonts w:hint="default"/>
              </w:rPr>
            </w:pPr>
            <w:r>
              <w:rPr>
                <w:rFonts w:hint="default" w:ascii="Times New Roman" w:hAnsi="Times New Roman" w:eastAsia="宋体" w:cs="Times New Roman"/>
                <w:color w:val="auto"/>
                <w:highlight w:val="none"/>
                <w:lang w:val="en-US" w:eastAsia="zh-CN"/>
              </w:rPr>
              <w:t>项目区各建筑物之间具有道路相通，满足消防及货物运输的交通路线。设计主要以生产车间厂房为主，整个厂房内按照原料进厂到生产出产品为一条流水线，有序布置，总体功能布局清晰；车间内按照产品配置相应的机器设备，且设备按产品要求的工艺流程合理布置，使各阶段的半成品按顺次流转；项目的实施不会使厂区现有平面布置发生改变，项目与厂区平面布置关系见附图3</w:t>
            </w:r>
            <w:r>
              <w:rPr>
                <w:rFonts w:hint="eastAsia" w:ascii="Times New Roman" w:hAnsi="Times New Roman" w:eastAsia="宋体" w:cs="Times New Roman"/>
                <w:color w:val="auto"/>
                <w:highlight w:val="none"/>
                <w:lang w:val="en-US" w:eastAsia="zh-CN"/>
              </w:rPr>
              <w:t>。</w:t>
            </w:r>
          </w:p>
          <w:p>
            <w:pPr>
              <w:pStyle w:val="3"/>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8</w:t>
            </w:r>
            <w:r>
              <w:rPr>
                <w:rFonts w:hint="default" w:ascii="Times New Roman" w:hAnsi="Times New Roman" w:cs="Times New Roman"/>
                <w:b/>
                <w:bCs/>
                <w:color w:val="auto"/>
                <w:sz w:val="24"/>
              </w:rPr>
              <w:t>.公用工程</w:t>
            </w:r>
          </w:p>
          <w:p>
            <w:pPr>
              <w:pStyle w:val="4"/>
              <w:keepNext w:val="0"/>
              <w:keepLines w:val="0"/>
              <w:pageBreakBefore w:val="0"/>
              <w:kinsoku/>
              <w:wordWrap/>
              <w:overflowPunct/>
              <w:topLinePunct w:val="0"/>
              <w:autoSpaceDE/>
              <w:autoSpaceDN/>
              <w:bidi w:val="0"/>
              <w:adjustRightInd/>
              <w:snapToGrid/>
              <w:ind w:left="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8</w:t>
            </w:r>
            <w:r>
              <w:rPr>
                <w:rFonts w:hint="default" w:ascii="Times New Roman" w:hAnsi="Times New Roman" w:cs="Times New Roman"/>
                <w:b/>
                <w:bCs/>
                <w:color w:val="auto"/>
                <w:sz w:val="24"/>
              </w:rPr>
              <w:t>.1供电</w:t>
            </w:r>
          </w:p>
          <w:p>
            <w:pPr>
              <w:pStyle w:val="4"/>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lang w:val="en-US" w:eastAsia="zh-CN"/>
              </w:rPr>
              <w:t>项目用电由三工镇电网直接供电，可以满足项目区用电。</w:t>
            </w:r>
          </w:p>
          <w:p>
            <w:pPr>
              <w:pStyle w:val="4"/>
              <w:keepNext w:val="0"/>
              <w:keepLines w:val="0"/>
              <w:pageBreakBefore w:val="0"/>
              <w:kinsoku/>
              <w:wordWrap/>
              <w:overflowPunct/>
              <w:topLinePunct w:val="0"/>
              <w:autoSpaceDE/>
              <w:autoSpaceDN/>
              <w:bidi w:val="0"/>
              <w:adjustRightInd/>
              <w:snapToGrid/>
              <w:ind w:left="0"/>
              <w:textAlignment w:val="auto"/>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8</w:t>
            </w:r>
            <w:r>
              <w:rPr>
                <w:rFonts w:hint="default" w:ascii="Times New Roman" w:hAnsi="Times New Roman" w:cs="Times New Roman"/>
                <w:b/>
                <w:bCs/>
                <w:color w:val="auto"/>
                <w:sz w:val="24"/>
                <w:lang w:val="en-US" w:eastAsia="zh-CN"/>
              </w:rPr>
              <w:t>.2给水</w:t>
            </w:r>
          </w:p>
          <w:p>
            <w:pPr>
              <w:pStyle w:val="44"/>
              <w:ind w:left="0" w:leftChars="0"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本项目不新增劳动定员，故不新增生活用水，项目生产无需用水，因此</w:t>
            </w:r>
            <w:r>
              <w:rPr>
                <w:rFonts w:hint="default" w:ascii="Times New Roman" w:hAnsi="Times New Roman" w:eastAsia="宋体" w:cs="Times New Roman"/>
                <w:snapToGrid w:val="0"/>
                <w:color w:val="auto"/>
                <w:spacing w:val="4"/>
                <w:kern w:val="4"/>
                <w:sz w:val="24"/>
                <w:szCs w:val="24"/>
                <w:lang w:val="en-US" w:eastAsia="zh-CN" w:bidi="ar-SA"/>
              </w:rPr>
              <w:t>运营期间无新增用水。</w:t>
            </w:r>
          </w:p>
          <w:p>
            <w:pPr>
              <w:keepNext w:val="0"/>
              <w:keepLines w:val="0"/>
              <w:pageBreakBefore w:val="0"/>
              <w:widowControl/>
              <w:kinsoku/>
              <w:wordWrap/>
              <w:overflowPunct/>
              <w:topLinePunct w:val="0"/>
              <w:bidi w:val="0"/>
              <w:spacing w:line="360" w:lineRule="auto"/>
              <w:jc w:val="left"/>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kern w:val="0"/>
                <w:sz w:val="24"/>
                <w:lang w:val="en-US" w:eastAsia="zh-CN" w:bidi="ar"/>
                <w14:textFill>
                  <w14:solidFill>
                    <w14:schemeClr w14:val="tx1"/>
                  </w14:solidFill>
                </w14:textFill>
              </w:rPr>
              <w:t>8</w:t>
            </w:r>
            <w:r>
              <w:rPr>
                <w:rFonts w:hint="default" w:ascii="Times New Roman" w:hAnsi="Times New Roman" w:cs="Times New Roman"/>
                <w:b/>
                <w:bCs/>
                <w:color w:val="000000" w:themeColor="text1"/>
                <w:kern w:val="0"/>
                <w:sz w:val="24"/>
                <w:lang w:bidi="ar"/>
                <w14:textFill>
                  <w14:solidFill>
                    <w14:schemeClr w14:val="tx1"/>
                  </w14:solidFill>
                </w14:textFill>
              </w:rPr>
              <w:t>.3排水</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right="0" w:rightChars="0" w:firstLine="496" w:firstLineChars="200"/>
              <w:jc w:val="both"/>
              <w:textAlignment w:val="baseline"/>
              <w:rPr>
                <w:rFonts w:hint="default" w:ascii="Times New Roman" w:hAnsi="Times New Roman" w:eastAsia="宋体" w:cs="Times New Roman"/>
                <w:snapToGrid w:val="0"/>
                <w:color w:val="auto"/>
                <w:spacing w:val="4"/>
                <w:kern w:val="4"/>
                <w:sz w:val="24"/>
                <w:szCs w:val="24"/>
                <w:lang w:val="en-US" w:eastAsia="zh-CN" w:bidi="ar-SA"/>
              </w:rPr>
            </w:pPr>
            <w:r>
              <w:rPr>
                <w:rFonts w:hint="default" w:ascii="Times New Roman" w:hAnsi="Times New Roman" w:eastAsia="宋体" w:cs="Times New Roman"/>
                <w:snapToGrid w:val="0"/>
                <w:color w:val="auto"/>
                <w:spacing w:val="4"/>
                <w:kern w:val="4"/>
                <w:sz w:val="24"/>
                <w:szCs w:val="24"/>
                <w:lang w:val="en-US" w:eastAsia="zh-CN" w:bidi="ar-SA"/>
              </w:rPr>
              <w:t>本项目</w:t>
            </w:r>
            <w:r>
              <w:rPr>
                <w:rFonts w:hint="default" w:ascii="Times New Roman" w:hAnsi="Times New Roman" w:eastAsia="宋体" w:cs="Times New Roman"/>
                <w:color w:val="auto"/>
                <w:spacing w:val="4"/>
                <w:kern w:val="4"/>
                <w:sz w:val="24"/>
                <w:lang w:val="en-US" w:eastAsia="zh-CN"/>
              </w:rPr>
              <w:t>运营期</w:t>
            </w:r>
            <w:r>
              <w:rPr>
                <w:rFonts w:hint="eastAsia" w:ascii="Times New Roman" w:hAnsi="Times New Roman" w:eastAsia="宋体" w:cs="Times New Roman"/>
                <w:color w:val="auto"/>
                <w:spacing w:val="4"/>
                <w:kern w:val="4"/>
                <w:sz w:val="24"/>
                <w:lang w:val="en-US" w:eastAsia="zh-CN"/>
              </w:rPr>
              <w:t>不新增劳动定员</w:t>
            </w:r>
            <w:r>
              <w:rPr>
                <w:rFonts w:hint="default" w:ascii="Times New Roman" w:hAnsi="Times New Roman" w:eastAsia="宋体" w:cs="Times New Roman"/>
                <w:snapToGrid w:val="0"/>
                <w:color w:val="auto"/>
                <w:spacing w:val="4"/>
                <w:kern w:val="4"/>
                <w:sz w:val="24"/>
                <w:szCs w:val="24"/>
                <w:lang w:val="en-US" w:eastAsia="zh-CN" w:bidi="ar-SA"/>
              </w:rPr>
              <w:t>，</w:t>
            </w:r>
            <w:r>
              <w:rPr>
                <w:rFonts w:hint="eastAsia" w:ascii="Times New Roman" w:hAnsi="Times New Roman" w:eastAsia="宋体" w:cs="Times New Roman"/>
                <w:snapToGrid w:val="0"/>
                <w:color w:val="auto"/>
                <w:spacing w:val="4"/>
                <w:kern w:val="4"/>
                <w:sz w:val="24"/>
                <w:szCs w:val="24"/>
                <w:lang w:val="en-US" w:eastAsia="zh-CN" w:bidi="ar-SA"/>
              </w:rPr>
              <w:t>无新增排水</w:t>
            </w:r>
            <w:r>
              <w:rPr>
                <w:rFonts w:hint="default" w:ascii="Times New Roman" w:hAnsi="Times New Roman" w:eastAsia="宋体" w:cs="Times New Roman"/>
                <w:snapToGrid w:val="0"/>
                <w:color w:val="auto"/>
                <w:spacing w:val="4"/>
                <w:kern w:val="4"/>
                <w:sz w:val="24"/>
                <w:szCs w:val="24"/>
                <w:lang w:val="en-US" w:eastAsia="zh-CN" w:bidi="ar-SA"/>
              </w:rPr>
              <w:t>。</w:t>
            </w:r>
          </w:p>
          <w:p>
            <w:pPr>
              <w:pStyle w:val="4"/>
              <w:keepNext w:val="0"/>
              <w:keepLines w:val="0"/>
              <w:pageBreakBefore w:val="0"/>
              <w:kinsoku/>
              <w:wordWrap/>
              <w:overflowPunct/>
              <w:topLinePunct w:val="0"/>
              <w:bidi w:val="0"/>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8</w:t>
            </w:r>
            <w:r>
              <w:rPr>
                <w:rFonts w:hint="default" w:ascii="Times New Roman" w:hAnsi="Times New Roman" w:cs="Times New Roman"/>
                <w:b/>
                <w:bCs/>
                <w:color w:val="000000" w:themeColor="text1"/>
                <w:sz w:val="24"/>
                <w14:textFill>
                  <w14:solidFill>
                    <w14:schemeClr w14:val="tx1"/>
                  </w14:solidFill>
                </w14:textFill>
              </w:rPr>
              <w:t>.4供热</w:t>
            </w:r>
          </w:p>
          <w:p>
            <w:pPr>
              <w:pStyle w:val="4"/>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冬季供暖采用电采暖，采暖时间为160</w:t>
            </w:r>
            <w:r>
              <w:rPr>
                <w:rFonts w:hint="eastAsia"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，每天按24</w:t>
            </w:r>
            <w:r>
              <w:rPr>
                <w:rFonts w:hint="eastAsia"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lang w:val="en-US" w:eastAsia="zh-CN" w:bidi="ar"/>
              </w:rPr>
              <w:t>供暖。</w:t>
            </w:r>
          </w:p>
          <w:p>
            <w:pPr>
              <w:pStyle w:val="19"/>
              <w:keepNext w:val="0"/>
              <w:keepLines w:val="0"/>
              <w:pageBreakBefore w:val="0"/>
              <w:kinsoku/>
              <w:wordWrap/>
              <w:overflowPunct/>
              <w:topLinePunct w:val="0"/>
              <w:bidi w:val="0"/>
              <w:ind w:left="0" w:leftChars="0" w:firstLine="0" w:firstLineChars="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8.5</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消防</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本项目消防设计严格贯彻执行国家颁布的现行各种消防规范，以防止和减少火灾危害，贯彻“预防为主，消防结合”的方针，积极采用先进的防火技术，做到使用方便，经济合理的要求。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0" w:type="dxa"/>
            <w:vAlign w:val="center"/>
          </w:tcPr>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272" w:type="dxa"/>
            <w:vAlign w:val="center"/>
          </w:tcPr>
          <w:p>
            <w:pPr>
              <w:spacing w:line="360" w:lineRule="auto"/>
              <w:jc w:val="left"/>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驱动耙</w:t>
            </w:r>
            <w:r>
              <w:rPr>
                <w:rFonts w:hint="eastAsia" w:cs="Times New Roman"/>
                <w:b/>
                <w:bCs/>
                <w:color w:val="auto"/>
                <w:sz w:val="24"/>
                <w:szCs w:val="24"/>
                <w:lang w:val="en-US" w:eastAsia="zh-CN"/>
              </w:rPr>
              <w:t>抛丸、喷塑、固化</w:t>
            </w:r>
            <w:r>
              <w:rPr>
                <w:rFonts w:hint="default" w:ascii="Times New Roman" w:hAnsi="Times New Roman" w:eastAsia="宋体" w:cs="Times New Roman"/>
                <w:b/>
                <w:bCs/>
                <w:color w:val="auto"/>
                <w:sz w:val="24"/>
                <w:szCs w:val="24"/>
                <w:lang w:val="en-US" w:eastAsia="zh-CN"/>
              </w:rPr>
              <w:t>工艺</w:t>
            </w:r>
            <w:r>
              <w:rPr>
                <w:rFonts w:hint="eastAsia" w:ascii="Times New Roman" w:hAnsi="Times New Roman" w:eastAsia="宋体" w:cs="Times New Roman"/>
                <w:b/>
                <w:bCs/>
                <w:color w:val="auto"/>
                <w:sz w:val="24"/>
                <w:szCs w:val="24"/>
                <w:lang w:val="en-US" w:eastAsia="zh-CN"/>
              </w:rPr>
              <w:t>流程</w:t>
            </w:r>
          </w:p>
          <w:p>
            <w:pPr>
              <w:keepNext w:val="0"/>
              <w:keepLines w:val="0"/>
              <w:pageBreakBefore w:val="0"/>
              <w:widowControl/>
              <w:kinsoku/>
              <w:wordWrap/>
              <w:overflowPunct/>
              <w:topLinePunct w:val="0"/>
              <w:bidi w:val="0"/>
              <w:spacing w:line="360" w:lineRule="auto"/>
              <w:ind w:firstLine="422" w:firstLineChars="200"/>
              <w:jc w:val="both"/>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drawing>
                <wp:inline distT="0" distB="0" distL="114300" distR="114300">
                  <wp:extent cx="3875405" cy="3338830"/>
                  <wp:effectExtent l="0" t="0" r="10795" b="13970"/>
                  <wp:docPr id="30" name="图片 3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4"/>
                          <pic:cNvPicPr>
                            <a:picLocks noChangeAspect="1"/>
                          </pic:cNvPicPr>
                        </pic:nvPicPr>
                        <pic:blipFill>
                          <a:blip r:embed="rId19"/>
                          <a:srcRect l="8982" t="28002" r="14028"/>
                          <a:stretch>
                            <a:fillRect/>
                          </a:stretch>
                        </pic:blipFill>
                        <pic:spPr>
                          <a:xfrm>
                            <a:off x="0" y="0"/>
                            <a:ext cx="3875405" cy="3338830"/>
                          </a:xfrm>
                          <a:prstGeom prst="rect">
                            <a:avLst/>
                          </a:prstGeom>
                        </pic:spPr>
                      </pic:pic>
                    </a:graphicData>
                  </a:graphic>
                </wp:inline>
              </w:drawing>
            </w:r>
          </w:p>
          <w:p>
            <w:pPr>
              <w:keepNext w:val="0"/>
              <w:keepLines w:val="0"/>
              <w:pageBreakBefore w:val="0"/>
              <w:widowControl/>
              <w:kinsoku/>
              <w:wordWrap/>
              <w:overflowPunct/>
              <w:topLinePunct w:val="0"/>
              <w:bidi w:val="0"/>
              <w:spacing w:line="36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驱动耙</w:t>
            </w:r>
            <w:r>
              <w:rPr>
                <w:rFonts w:hint="default" w:ascii="Times New Roman" w:hAnsi="Times New Roman" w:eastAsia="宋体" w:cs="Times New Roman"/>
                <w:b/>
                <w:bCs/>
                <w:color w:val="auto"/>
                <w:sz w:val="21"/>
                <w:szCs w:val="21"/>
              </w:rPr>
              <w:t>加工工艺流程及</w:t>
            </w:r>
            <w:r>
              <w:rPr>
                <w:rFonts w:hint="default" w:ascii="Times New Roman" w:hAnsi="Times New Roman" w:eastAsia="宋体" w:cs="Times New Roman"/>
                <w:b/>
                <w:bCs/>
                <w:color w:val="auto"/>
                <w:sz w:val="21"/>
                <w:szCs w:val="21"/>
                <w:lang w:val="en-US" w:eastAsia="zh-CN"/>
              </w:rPr>
              <w:t>产排污节点图</w:t>
            </w:r>
          </w:p>
          <w:p>
            <w:pPr>
              <w:keepNext w:val="0"/>
              <w:keepLines w:val="0"/>
              <w:pageBreakBefore w:val="0"/>
              <w:widowControl w:val="0"/>
              <w:kinsoku/>
              <w:wordWrap/>
              <w:overflowPunct/>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工艺流程简述：</w:t>
            </w:r>
          </w:p>
          <w:p>
            <w:pPr>
              <w:pStyle w:val="3"/>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lang w:val="zh-CN"/>
              </w:rPr>
            </w:pPr>
            <w:r>
              <w:rPr>
                <w:rFonts w:hint="default" w:ascii="Times New Roman" w:hAnsi="Times New Roman" w:eastAsia="宋体" w:cs="Times New Roman"/>
                <w:b w:val="0"/>
                <w:bCs w:val="0"/>
                <w:color w:val="auto"/>
                <w:sz w:val="24"/>
                <w:szCs w:val="24"/>
                <w:lang w:val="zh-CN"/>
              </w:rPr>
              <w:t>（</w:t>
            </w: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zh-CN"/>
              </w:rPr>
              <w:t>）抛丸工序</w:t>
            </w:r>
          </w:p>
          <w:p>
            <w:pPr>
              <w:pStyle w:val="3"/>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lang w:val="zh-CN"/>
              </w:rPr>
            </w:pPr>
            <w:r>
              <w:rPr>
                <w:rFonts w:hint="eastAsia" w:cs="Times New Roman"/>
                <w:b w:val="0"/>
                <w:bCs w:val="0"/>
                <w:color w:val="auto"/>
                <w:sz w:val="24"/>
                <w:szCs w:val="24"/>
                <w:lang w:val="en-US" w:eastAsia="zh-CN"/>
              </w:rPr>
              <w:t>将原有生产工序的组件进行抛丸</w:t>
            </w:r>
            <w:r>
              <w:rPr>
                <w:rFonts w:hint="default" w:ascii="Times New Roman" w:hAnsi="Times New Roman" w:eastAsia="宋体" w:cs="Times New Roman"/>
                <w:b w:val="0"/>
                <w:bCs w:val="0"/>
                <w:color w:val="auto"/>
                <w:sz w:val="24"/>
                <w:szCs w:val="24"/>
                <w:lang w:val="zh-CN"/>
              </w:rPr>
              <w:t>。抛丸的目的为消除焊接内应力、清理焊接件表面焊渣、铁锈等。</w:t>
            </w:r>
          </w:p>
          <w:p>
            <w:pPr>
              <w:pStyle w:val="3"/>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）粉末喷涂</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喷塑是将塑料粉末喷涂在零件上的一种表面处理方法。其工作原理在于将塑粉通过高压静电设备充电，在电场的作用下，将涂料喷涂到工件的表面，粉末会被均匀地吸附在工件表面，形成粉状的涂层；而粉状涂层经过高温烘烤后流平固化，塑料颗粒会熔化成一层致密的效果各异的最终保护涂层；牢牢附着在工件表面。</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粉末喷涂的喷涂效果在机械强度、附着力、耐腐蚀、耐老化、不含重金属物质等方面优于喷漆工艺，成本也在同效果的喷漆之下。环氧粉末涂料的配制是由环氧树脂、固化剂、颜料、填料</w:t>
            </w:r>
            <w:r>
              <w:rPr>
                <w:rFonts w:hint="eastAsia" w:ascii="Times New Roman" w:hAnsi="Times New Roman" w:eastAsia="宋体" w:cs="Times New Roman"/>
                <w:color w:val="auto"/>
                <w:sz w:val="24"/>
                <w:szCs w:val="24"/>
                <w:lang w:val="en-US" w:eastAsia="zh-CN"/>
              </w:rPr>
              <w:t>和其他</w:t>
            </w:r>
            <w:r>
              <w:rPr>
                <w:rFonts w:hint="default" w:ascii="Times New Roman" w:hAnsi="Times New Roman" w:eastAsia="宋体" w:cs="Times New Roman"/>
                <w:color w:val="auto"/>
                <w:sz w:val="24"/>
                <w:szCs w:val="24"/>
                <w:lang w:val="en-US" w:eastAsia="zh-CN"/>
              </w:rPr>
              <w:t>助剂所组成。环氧粉末涂料具有优异的与金属粘合力、防腐蚀性、硬度、柔韧性和冲击强度。</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本项目利用涂料为环氧树脂，原理主要是高压静电电晕电场。静电喷涂在专用喷涂房内进行，静电喷涂是利用</w:t>
            </w:r>
            <w:r>
              <w:rPr>
                <w:rFonts w:hint="eastAsia" w:cs="Times New Roman"/>
                <w:color w:val="auto"/>
                <w:sz w:val="24"/>
                <w:szCs w:val="24"/>
                <w:lang w:val="en-US" w:eastAsia="zh-CN"/>
              </w:rPr>
              <w:t>电弧</w:t>
            </w:r>
            <w:r>
              <w:rPr>
                <w:rFonts w:hint="default" w:ascii="Times New Roman" w:hAnsi="Times New Roman" w:eastAsia="宋体" w:cs="Times New Roman"/>
                <w:color w:val="auto"/>
                <w:sz w:val="24"/>
                <w:szCs w:val="24"/>
                <w:lang w:val="en-US" w:eastAsia="zh-CN"/>
              </w:rPr>
              <w:t>放电现象使粉末涂料（聚酯环氧树脂混合型粉末涂料）吸附在工件上的。其过程是这样的：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继续吸附，从而使整个工件获得一定厚度的粉末涂层，然后经过热使粉末熔融、流平、固化，即在工件表面形成坚硬的涂膜。</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粉末喷涂过程是在喷塑间内进行的，通过风机将房体内没有喷上工件的粉末吸入回收系统，该回收系统是一套袋式除尘器，未喷上工件的粉末经回收系统处理后全部回用。</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）烘烤固化</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喷涂完成后即进入烘干炉对涂料进行烘烤，为使涂料牢固地</w:t>
            </w:r>
            <w:r>
              <w:rPr>
                <w:rFonts w:hint="eastAsia" w:cs="Times New Roman"/>
                <w:color w:val="auto"/>
                <w:sz w:val="24"/>
                <w:szCs w:val="24"/>
                <w:lang w:val="en-US" w:eastAsia="zh-CN"/>
              </w:rPr>
              <w:t>包覆</w:t>
            </w:r>
            <w:r>
              <w:rPr>
                <w:rFonts w:hint="default" w:ascii="Times New Roman" w:hAnsi="Times New Roman" w:eastAsia="宋体" w:cs="Times New Roman"/>
                <w:color w:val="auto"/>
                <w:sz w:val="24"/>
                <w:szCs w:val="24"/>
                <w:lang w:val="en-US" w:eastAsia="zh-CN"/>
              </w:rPr>
              <w:t>在表面，需进行烘烤固化处理。采用保温炉（电炉）进行烘干，使涂料加热温度为160℃，加热时间为15分钟，固化后工件在常温下自然冷却。所用塑粉主要成分为环氧</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聚酯型粉末涂料，使用烘干炉进行固化，其分解温度约为280℃，而本项目烘干炉控制最高温度为160℃，粉末固化过程有机物分解较少，其分解的挥发性有机废气主要为非甲烷总烃。固化过程产生的废气冷却后开炉前进行负压收集，此过程会产生有机废气。</w:t>
            </w:r>
          </w:p>
          <w:p>
            <w:pPr>
              <w:pStyle w:val="3"/>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lang w:val="zh-CN"/>
              </w:rPr>
            </w:pPr>
            <w:r>
              <w:rPr>
                <w:rFonts w:hint="default" w:ascii="Times New Roman" w:hAnsi="Times New Roman" w:eastAsia="宋体" w:cs="Times New Roman"/>
                <w:b w:val="0"/>
                <w:bCs w:val="0"/>
                <w:color w:val="auto"/>
                <w:sz w:val="24"/>
                <w:szCs w:val="24"/>
                <w:lang w:val="zh-CN"/>
              </w:rPr>
              <w:t>（</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zh-CN"/>
              </w:rPr>
              <w:t>）驱动把箱体粗、精孔</w:t>
            </w:r>
          </w:p>
          <w:p>
            <w:pPr>
              <w:pStyle w:val="3"/>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lang w:val="zh-CN"/>
              </w:rPr>
            </w:pPr>
            <w:r>
              <w:rPr>
                <w:rFonts w:hint="default" w:ascii="Times New Roman" w:hAnsi="Times New Roman" w:eastAsia="宋体" w:cs="Times New Roman"/>
                <w:b w:val="0"/>
                <w:bCs w:val="0"/>
                <w:color w:val="auto"/>
                <w:sz w:val="24"/>
                <w:szCs w:val="24"/>
                <w:lang w:val="zh-CN"/>
              </w:rPr>
              <w:t>本工序使用的工艺设备为数控龙门铣床</w:t>
            </w:r>
          </w:p>
          <w:p>
            <w:pPr>
              <w:pStyle w:val="3"/>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lang w:val="zh-CN"/>
              </w:rPr>
            </w:pPr>
            <w:r>
              <w:rPr>
                <w:rFonts w:hint="default" w:ascii="Times New Roman" w:hAnsi="Times New Roman" w:eastAsia="宋体" w:cs="Times New Roman"/>
                <w:b w:val="0"/>
                <w:bCs w:val="0"/>
                <w:color w:val="auto"/>
                <w:sz w:val="24"/>
                <w:szCs w:val="24"/>
                <w:lang w:val="zh-CN"/>
              </w:rPr>
              <w:t>（</w:t>
            </w:r>
            <w:r>
              <w:rPr>
                <w:rFonts w:hint="eastAsia"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zh-CN"/>
              </w:rPr>
              <w:t>）驱动箱体装配</w:t>
            </w:r>
          </w:p>
          <w:p>
            <w:pPr>
              <w:pStyle w:val="3"/>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lang w:val="zh-CN"/>
              </w:rPr>
            </w:pPr>
            <w:r>
              <w:rPr>
                <w:rFonts w:hint="default" w:ascii="Times New Roman" w:hAnsi="Times New Roman" w:eastAsia="宋体" w:cs="Times New Roman"/>
                <w:b w:val="0"/>
                <w:bCs w:val="0"/>
                <w:color w:val="auto"/>
                <w:sz w:val="24"/>
                <w:szCs w:val="24"/>
                <w:lang w:val="zh-CN"/>
              </w:rPr>
              <w:t>箱体装配工艺顺序为：底部轴承、卡簧、油封装配→内部齿轮、刀盘轴装配→顶部轴承装配→手动转动检查→加注柴油混合液、试机平台运转检测→驱动把总体装配→加注润滑脂</w:t>
            </w:r>
            <w:r>
              <w:rPr>
                <w:rFonts w:hint="eastAsia" w:cs="Times New Roman"/>
                <w:b w:val="0"/>
                <w:bCs w:val="0"/>
                <w:color w:val="auto"/>
                <w:sz w:val="24"/>
                <w:szCs w:val="24"/>
                <w:lang w:val="zh-CN"/>
              </w:rPr>
              <w:t>（</w:t>
            </w:r>
            <w:r>
              <w:rPr>
                <w:rFonts w:hint="default" w:ascii="Times New Roman" w:hAnsi="Times New Roman" w:eastAsia="宋体" w:cs="Times New Roman"/>
                <w:b w:val="0"/>
                <w:bCs w:val="0"/>
                <w:color w:val="auto"/>
                <w:sz w:val="24"/>
                <w:szCs w:val="24"/>
                <w:lang w:val="zh-CN"/>
              </w:rPr>
              <w:t>油</w:t>
            </w:r>
            <w:r>
              <w:rPr>
                <w:rFonts w:hint="eastAsia" w:cs="Times New Roman"/>
                <w:b w:val="0"/>
                <w:bCs w:val="0"/>
                <w:color w:val="auto"/>
                <w:sz w:val="24"/>
                <w:szCs w:val="24"/>
                <w:lang w:val="zh-CN"/>
              </w:rPr>
              <w:t>）</w:t>
            </w:r>
            <w:r>
              <w:rPr>
                <w:rFonts w:hint="default" w:ascii="Times New Roman" w:hAnsi="Times New Roman" w:eastAsia="宋体" w:cs="Times New Roman"/>
                <w:b w:val="0"/>
                <w:bCs w:val="0"/>
                <w:color w:val="auto"/>
                <w:sz w:val="24"/>
                <w:szCs w:val="24"/>
                <w:lang w:val="zh-CN"/>
              </w:rPr>
              <w:t>→整机检验→安装合格证→成品出库→出库、发货。</w:t>
            </w:r>
          </w:p>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2.谷物播种机、联合整地机、耙播一体机</w:t>
            </w:r>
            <w:r>
              <w:rPr>
                <w:rFonts w:hint="eastAsia" w:cs="Times New Roman"/>
                <w:b/>
                <w:bCs/>
                <w:color w:val="auto"/>
                <w:sz w:val="24"/>
                <w:szCs w:val="24"/>
                <w:lang w:val="en-US" w:eastAsia="zh-CN"/>
              </w:rPr>
              <w:t>抛丸、喷塑、固化</w:t>
            </w:r>
            <w:r>
              <w:rPr>
                <w:rFonts w:hint="default" w:ascii="Times New Roman" w:hAnsi="Times New Roman" w:eastAsia="宋体" w:cs="Times New Roman"/>
                <w:b/>
                <w:bCs/>
                <w:color w:val="auto"/>
                <w:sz w:val="24"/>
                <w:szCs w:val="24"/>
                <w:lang w:val="en-US" w:eastAsia="zh-CN"/>
              </w:rPr>
              <w:t>生产工艺流程</w:t>
            </w:r>
          </w:p>
          <w:p>
            <w:pPr>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034280" cy="2713355"/>
                  <wp:effectExtent l="0" t="0" r="13970" b="10795"/>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20"/>
                          <a:stretch>
                            <a:fillRect/>
                          </a:stretch>
                        </pic:blipFill>
                        <pic:spPr>
                          <a:xfrm>
                            <a:off x="0" y="0"/>
                            <a:ext cx="5034280" cy="2713355"/>
                          </a:xfrm>
                          <a:prstGeom prst="rect">
                            <a:avLst/>
                          </a:prstGeom>
                        </pic:spPr>
                      </pic:pic>
                    </a:graphicData>
                  </a:graphic>
                </wp:inline>
              </w:drawing>
            </w:r>
          </w:p>
          <w:p>
            <w:pPr>
              <w:pStyle w:val="5"/>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w:t>
            </w:r>
            <w:r>
              <w:rPr>
                <w:rFonts w:hint="eastAsia" w:ascii="Times New Roman" w:hAnsi="Times New Roman" w:eastAsia="宋体" w:cs="Times New Roman"/>
                <w:b/>
                <w:bCs/>
                <w:color w:val="auto"/>
                <w:kern w:val="2"/>
                <w:sz w:val="21"/>
                <w:szCs w:val="21"/>
                <w:lang w:val="en-US" w:eastAsia="zh-CN" w:bidi="ar-SA"/>
              </w:rPr>
              <w:t xml:space="preserve">2 </w:t>
            </w:r>
            <w:r>
              <w:rPr>
                <w:rFonts w:hint="default" w:ascii="Times New Roman" w:hAnsi="Times New Roman" w:eastAsia="宋体" w:cs="Times New Roman"/>
                <w:b/>
                <w:bCs/>
                <w:color w:val="auto"/>
                <w:kern w:val="2"/>
                <w:sz w:val="21"/>
                <w:szCs w:val="21"/>
                <w:lang w:val="en-US" w:eastAsia="zh-CN" w:bidi="ar-SA"/>
              </w:rPr>
              <w:t>工艺流程及产排污节点图</w:t>
            </w:r>
          </w:p>
          <w:p>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工艺流程简述：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）抛丸工序</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lang w:val="en-US" w:eastAsia="zh-CN"/>
              </w:rPr>
              <w:t>将原有生产工序的组件进行抛丸</w:t>
            </w:r>
            <w:r>
              <w:rPr>
                <w:rFonts w:hint="default" w:ascii="Times New Roman" w:hAnsi="Times New Roman" w:eastAsia="宋体" w:cs="Times New Roman"/>
                <w:color w:val="auto"/>
                <w:sz w:val="24"/>
                <w:szCs w:val="24"/>
                <w:lang w:val="en-US" w:eastAsia="zh-CN"/>
              </w:rPr>
              <w:t>。抛丸的目的为消除焊接内应力、清理焊接件表面焊渣、铁锈等。</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粉末喷涂</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喷塑是将塑料粉末喷涂在零件上的一种表面处理方法。其工作原理在于将塑粉通过高压静电设备充电，在电场的作用下，将涂料喷涂到工件的表面，粉末会被均匀地吸附在工件表面，形成粉状的涂层；而粉状涂层经过高温烘烤后流平固化，塑料颗粒会熔化成一层致密的效果各异的最终保护涂层；牢牢附着在工件表面。</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粉末喷涂的喷涂效果在机械强度、附着力、耐腐蚀、耐老化、不含重金属物质等方面优于喷漆工艺，成本也在同效果的喷漆之下。环氧粉末涂料的配制是由环氧树脂、固化剂、颜料、填料</w:t>
            </w:r>
            <w:r>
              <w:rPr>
                <w:rFonts w:hint="eastAsia" w:ascii="Times New Roman" w:hAnsi="Times New Roman" w:eastAsia="宋体" w:cs="Times New Roman"/>
                <w:color w:val="auto"/>
                <w:sz w:val="24"/>
                <w:szCs w:val="24"/>
                <w:lang w:val="en-US" w:eastAsia="zh-CN"/>
              </w:rPr>
              <w:t>和其他</w:t>
            </w:r>
            <w:r>
              <w:rPr>
                <w:rFonts w:hint="default" w:ascii="Times New Roman" w:hAnsi="Times New Roman" w:eastAsia="宋体" w:cs="Times New Roman"/>
                <w:color w:val="auto"/>
                <w:sz w:val="24"/>
                <w:szCs w:val="24"/>
                <w:lang w:val="en-US" w:eastAsia="zh-CN"/>
              </w:rPr>
              <w:t>助剂所组成。环氧粉末涂料具有优异的与金属粘合力、防腐蚀性、硬度、柔韧性和冲击强度。</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本项目利用涂料为环氧树脂，原理主要是高压静电电晕电场。静电喷涂在专用喷涂房内进行，静电喷涂是利用</w:t>
            </w:r>
            <w:r>
              <w:rPr>
                <w:rFonts w:hint="eastAsia" w:cs="Times New Roman"/>
                <w:color w:val="auto"/>
                <w:sz w:val="24"/>
                <w:szCs w:val="24"/>
                <w:lang w:val="en-US" w:eastAsia="zh-CN"/>
              </w:rPr>
              <w:t>电弧</w:t>
            </w:r>
            <w:r>
              <w:rPr>
                <w:rFonts w:hint="default" w:ascii="Times New Roman" w:hAnsi="Times New Roman" w:eastAsia="宋体" w:cs="Times New Roman"/>
                <w:color w:val="auto"/>
                <w:sz w:val="24"/>
                <w:szCs w:val="24"/>
                <w:lang w:val="en-US" w:eastAsia="zh-CN"/>
              </w:rPr>
              <w:t>放电现象使粉末涂料（聚酯环氧树脂混合型粉末涂料）吸附在工件上的。其过程是这样的：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继续吸附，从而使整个工件获得一定厚度的粉末涂层，然后经过热使粉末熔融、流平、固化，即在工件表面形成坚硬的涂膜。</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粉末喷涂过程是在喷塑间内进行的，通过风机将房体内没有喷上工件的粉末吸入回收系统，该回收系统是一套袋式除尘器，未喷上工件的粉末经回收系统处理后全部回用。</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烘烤固化</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喷涂完成后即进入烘干炉对涂料进行烘烤，为使涂料牢固地</w:t>
            </w:r>
            <w:r>
              <w:rPr>
                <w:rFonts w:hint="eastAsia" w:cs="Times New Roman"/>
                <w:color w:val="auto"/>
                <w:sz w:val="24"/>
                <w:szCs w:val="24"/>
                <w:lang w:val="en-US" w:eastAsia="zh-CN"/>
              </w:rPr>
              <w:t>包覆</w:t>
            </w:r>
            <w:r>
              <w:rPr>
                <w:rFonts w:hint="default" w:ascii="Times New Roman" w:hAnsi="Times New Roman" w:eastAsia="宋体" w:cs="Times New Roman"/>
                <w:color w:val="auto"/>
                <w:sz w:val="24"/>
                <w:szCs w:val="24"/>
                <w:lang w:val="en-US" w:eastAsia="zh-CN"/>
              </w:rPr>
              <w:t>在表面，需进行烘烤固化处理。采用保温炉（电炉）进行烘干，使涂料加热温度为160℃，加热时间为15分钟，固化后工件在常温下自然冷却。所用塑粉主要成分为环氧</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聚酯型粉末涂料，使用烘干炉进行固化，其分解温度约为280℃，而本项目烘干炉控制最高温度为160℃，粉末固化过程有机物分解较少，其分解的挥发性有机废气主要为非甲烷总烃。固化过程产生的废气冷却后开炉前进行负压收集，此过程会产生有机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）检验组装</w:t>
            </w:r>
          </w:p>
          <w:p>
            <w:pPr>
              <w:spacing w:line="360" w:lineRule="auto"/>
              <w:ind w:firstLine="480" w:firstLineChars="200"/>
              <w:rPr>
                <w:rFonts w:hint="default"/>
                <w:lang w:val="en-US"/>
              </w:rPr>
            </w:pPr>
            <w:r>
              <w:rPr>
                <w:rFonts w:hint="default" w:ascii="Times New Roman" w:hAnsi="Times New Roman" w:eastAsia="宋体" w:cs="Times New Roman"/>
                <w:color w:val="auto"/>
                <w:sz w:val="24"/>
                <w:szCs w:val="24"/>
                <w:lang w:val="en-US" w:eastAsia="zh-CN"/>
              </w:rPr>
              <w:t>检验零部件检验人员对各个部件检验抽查，检验不合格产品返工或直接报废处理。组装，入库对零部件进行组装，不需要组装的零部件检验合格后入库。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0" w:type="dxa"/>
            <w:vAlign w:val="center"/>
          </w:tcPr>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Cs w:val="24"/>
                <w:lang w:bidi="ar"/>
              </w:rPr>
              <w:t>与项目有关的原有环境污染问题</w:t>
            </w:r>
          </w:p>
        </w:tc>
        <w:tc>
          <w:tcPr>
            <w:tcW w:w="827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0000FF"/>
                <w:sz w:val="24"/>
                <w:szCs w:val="24"/>
                <w:highlight w:val="none"/>
                <w:lang w:val="en-US" w:eastAsia="zh-CN"/>
              </w:rPr>
            </w:pPr>
            <w:r>
              <w:rPr>
                <w:rFonts w:hint="eastAsia" w:cs="Times New Roman"/>
                <w:b/>
                <w:bCs/>
                <w:color w:val="0000FF"/>
                <w:sz w:val="24"/>
                <w:szCs w:val="24"/>
                <w:highlight w:val="none"/>
                <w:lang w:val="en-US" w:eastAsia="zh-CN"/>
              </w:rPr>
              <w:t>1.现有项目概况</w:t>
            </w:r>
          </w:p>
          <w:p>
            <w:pPr>
              <w:pStyle w:val="22"/>
              <w:keepNext w:val="0"/>
              <w:keepLines w:val="0"/>
              <w:pageBreakBefore w:val="0"/>
              <w:kinsoku/>
              <w:wordWrap/>
              <w:overflowPunct/>
              <w:topLinePunct w:val="0"/>
              <w:bidi w:val="0"/>
              <w:spacing w:after="0" w:line="360" w:lineRule="auto"/>
              <w:ind w:left="0" w:leftChars="0" w:firstLine="480"/>
              <w:jc w:val="both"/>
              <w:rPr>
                <w:rFonts w:hint="eastAsia" w:ascii="Times New Roman" w:hAnsi="Times New Roman" w:eastAsia="宋体" w:cs="Times New Roman"/>
                <w:b w:val="0"/>
                <w:bCs w:val="0"/>
                <w:color w:val="0000FF"/>
                <w:sz w:val="24"/>
                <w:szCs w:val="24"/>
                <w:highlight w:val="none"/>
                <w:lang w:val="en-US" w:eastAsia="zh-CN"/>
              </w:rPr>
            </w:pPr>
            <w:r>
              <w:rPr>
                <w:rFonts w:hint="default" w:ascii="Times New Roman" w:hAnsi="Times New Roman" w:eastAsia="宋体" w:cs="Times New Roman"/>
                <w:b w:val="0"/>
                <w:bCs w:val="0"/>
                <w:color w:val="0000FF"/>
                <w:kern w:val="0"/>
                <w:sz w:val="24"/>
                <w:szCs w:val="24"/>
                <w:highlight w:val="none"/>
                <w:lang w:val="en-US" w:eastAsia="zh-CN"/>
              </w:rPr>
              <w:t>2015年</w:t>
            </w:r>
            <w:r>
              <w:rPr>
                <w:rFonts w:hint="eastAsia" w:ascii="Times New Roman" w:hAnsi="Times New Roman" w:eastAsia="宋体" w:cs="Times New Roman"/>
                <w:b w:val="0"/>
                <w:bCs w:val="0"/>
                <w:color w:val="0000FF"/>
                <w:kern w:val="0"/>
                <w:sz w:val="24"/>
                <w:szCs w:val="24"/>
                <w:highlight w:val="none"/>
                <w:lang w:val="en-US" w:eastAsia="zh-CN"/>
              </w:rPr>
              <w:t>5月</w:t>
            </w:r>
            <w:r>
              <w:rPr>
                <w:rFonts w:hint="default" w:ascii="Times New Roman" w:hAnsi="Times New Roman" w:eastAsia="宋体" w:cs="Times New Roman"/>
                <w:b w:val="0"/>
                <w:bCs w:val="0"/>
                <w:color w:val="0000FF"/>
                <w:kern w:val="0"/>
                <w:sz w:val="24"/>
                <w:szCs w:val="24"/>
                <w:highlight w:val="none"/>
                <w:lang w:val="en-US" w:eastAsia="zh-CN"/>
              </w:rPr>
              <w:t>委托北京蓝颖洲环境科技咨询有限公司编制《昌吉天余双剑农机制造有限责任公司农机具加工项目》</w:t>
            </w:r>
            <w:r>
              <w:rPr>
                <w:rFonts w:hint="eastAsia" w:ascii="Times New Roman" w:hAnsi="Times New Roman" w:eastAsia="宋体" w:cs="Times New Roman"/>
                <w:b w:val="0"/>
                <w:bCs w:val="0"/>
                <w:color w:val="0000FF"/>
                <w:kern w:val="0"/>
                <w:sz w:val="24"/>
                <w:szCs w:val="24"/>
                <w:highlight w:val="none"/>
                <w:lang w:val="en-US" w:eastAsia="zh-CN"/>
              </w:rPr>
              <w:t>环境影响报告表</w:t>
            </w:r>
            <w:r>
              <w:rPr>
                <w:rFonts w:hint="default" w:ascii="Times New Roman" w:hAnsi="Times New Roman" w:eastAsia="宋体" w:cs="Times New Roman"/>
                <w:b w:val="0"/>
                <w:bCs w:val="0"/>
                <w:color w:val="0000FF"/>
                <w:kern w:val="0"/>
                <w:sz w:val="24"/>
                <w:szCs w:val="24"/>
                <w:highlight w:val="none"/>
                <w:lang w:val="en-US" w:eastAsia="zh-CN"/>
              </w:rPr>
              <w:t>，建设内容为年产各类农业机械2500套（喷漆外委）</w:t>
            </w:r>
            <w:r>
              <w:rPr>
                <w:rFonts w:hint="default" w:ascii="Times New Roman" w:hAnsi="Times New Roman" w:eastAsia="宋体" w:cs="Times New Roman"/>
                <w:b w:val="0"/>
                <w:bCs w:val="0"/>
                <w:color w:val="0000FF"/>
                <w:sz w:val="24"/>
                <w:szCs w:val="24"/>
                <w:highlight w:val="none"/>
                <w:lang w:val="en-US" w:eastAsia="zh-CN"/>
              </w:rPr>
              <w:t>，并于2015年5月11日取得新疆昌吉市环境保护局《关于</w:t>
            </w:r>
            <w:r>
              <w:rPr>
                <w:rFonts w:hint="default" w:ascii="Times New Roman" w:hAnsi="Times New Roman" w:eastAsia="宋体" w:cs="Times New Roman"/>
                <w:b w:val="0"/>
                <w:bCs w:val="0"/>
                <w:color w:val="0000FF"/>
                <w:kern w:val="0"/>
                <w:sz w:val="24"/>
                <w:szCs w:val="24"/>
                <w:highlight w:val="none"/>
                <w:lang w:val="en-US" w:eastAsia="zh-CN"/>
              </w:rPr>
              <w:t>昌吉天余双剑农机制造有限责任公司农机具加工项目环境影响报告表的审查意见</w:t>
            </w:r>
            <w:r>
              <w:rPr>
                <w:rFonts w:hint="default" w:ascii="Times New Roman" w:hAnsi="Times New Roman" w:eastAsia="宋体" w:cs="Times New Roman"/>
                <w:b w:val="0"/>
                <w:bCs w:val="0"/>
                <w:color w:val="0000FF"/>
                <w:sz w:val="24"/>
                <w:szCs w:val="24"/>
                <w:highlight w:val="none"/>
                <w:lang w:val="en-US" w:eastAsia="zh-CN"/>
              </w:rPr>
              <w:t>》昌市环管字</w:t>
            </w:r>
            <w:r>
              <w:rPr>
                <w:rFonts w:hint="eastAsia"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2015</w:t>
            </w:r>
            <w:r>
              <w:rPr>
                <w:rFonts w:hint="eastAsia"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119号，于2017年2月委托新疆力源信德环境监测技术服务有限公司进行建设项目竣工</w:t>
            </w:r>
            <w:r>
              <w:rPr>
                <w:rFonts w:hint="eastAsia" w:cs="Times New Roman"/>
                <w:b w:val="0"/>
                <w:bCs w:val="0"/>
                <w:color w:val="0000FF"/>
                <w:sz w:val="24"/>
                <w:szCs w:val="24"/>
                <w:highlight w:val="none"/>
                <w:lang w:val="en-US" w:eastAsia="zh-CN"/>
              </w:rPr>
              <w:t>环保</w:t>
            </w:r>
            <w:r>
              <w:rPr>
                <w:rFonts w:hint="default" w:ascii="Times New Roman" w:hAnsi="Times New Roman" w:eastAsia="宋体" w:cs="Times New Roman"/>
                <w:b w:val="0"/>
                <w:bCs w:val="0"/>
                <w:color w:val="0000FF"/>
                <w:sz w:val="24"/>
                <w:szCs w:val="24"/>
                <w:highlight w:val="none"/>
                <w:lang w:val="en-US" w:eastAsia="zh-CN"/>
              </w:rPr>
              <w:t>验收，2017年2月，取得昌吉市环境监测站关于本项目竣工环境保护验收监测报告审查意见表</w:t>
            </w:r>
            <w:r>
              <w:rPr>
                <w:rFonts w:hint="eastAsia" w:ascii="Times New Roman" w:hAnsi="Times New Roman" w:eastAsia="宋体" w:cs="Times New Roman"/>
                <w:b w:val="0"/>
                <w:bCs w:val="0"/>
                <w:color w:val="0000FF"/>
                <w:sz w:val="24"/>
                <w:szCs w:val="24"/>
                <w:highlight w:val="none"/>
                <w:lang w:val="en-US" w:eastAsia="zh-CN"/>
              </w:rPr>
              <w:t>。</w:t>
            </w:r>
          </w:p>
          <w:p>
            <w:pPr>
              <w:pStyle w:val="22"/>
              <w:keepNext w:val="0"/>
              <w:keepLines w:val="0"/>
              <w:pageBreakBefore w:val="0"/>
              <w:kinsoku/>
              <w:wordWrap/>
              <w:overflowPunct/>
              <w:topLinePunct w:val="0"/>
              <w:bidi w:val="0"/>
              <w:spacing w:after="0" w:line="360" w:lineRule="auto"/>
              <w:ind w:left="0" w:leftChars="0" w:firstLine="480"/>
              <w:jc w:val="both"/>
              <w:rPr>
                <w:rFonts w:hint="eastAsia" w:ascii="Times New Roman" w:hAnsi="Times New Roman" w:eastAsia="宋体" w:cs="Times New Roman"/>
                <w:b w:val="0"/>
                <w:bCs w:val="0"/>
                <w:color w:val="0000FF"/>
                <w:kern w:val="0"/>
                <w:sz w:val="24"/>
                <w:szCs w:val="24"/>
                <w:highlight w:val="none"/>
                <w:lang w:val="en-US" w:eastAsia="zh-CN"/>
              </w:rPr>
            </w:pPr>
            <w:r>
              <w:rPr>
                <w:rFonts w:hint="eastAsia" w:ascii="Times New Roman" w:hAnsi="Times New Roman" w:eastAsia="宋体" w:cs="Times New Roman"/>
                <w:b w:val="0"/>
                <w:bCs w:val="0"/>
                <w:color w:val="0000FF"/>
                <w:kern w:val="0"/>
                <w:sz w:val="24"/>
                <w:szCs w:val="24"/>
                <w:highlight w:val="none"/>
                <w:lang w:val="en-US" w:eastAsia="zh-CN"/>
              </w:rPr>
              <w:t>2020年7月4日</w:t>
            </w:r>
            <w:r>
              <w:rPr>
                <w:rFonts w:hint="default" w:ascii="Times New Roman" w:hAnsi="Times New Roman" w:eastAsia="宋体" w:cs="Times New Roman"/>
                <w:color w:val="0000FF"/>
                <w:kern w:val="0"/>
                <w:sz w:val="24"/>
                <w:szCs w:val="24"/>
                <w:lang w:val="en-US" w:eastAsia="zh-CN"/>
              </w:rPr>
              <w:t>新疆双剑农机制造有限</w:t>
            </w:r>
            <w:r>
              <w:rPr>
                <w:rFonts w:hint="default" w:ascii="Times New Roman" w:hAnsi="Times New Roman" w:eastAsia="宋体" w:cs="Times New Roman"/>
                <w:color w:val="0000FF"/>
                <w:kern w:val="0"/>
                <w:sz w:val="24"/>
                <w:szCs w:val="24"/>
                <w:highlight w:val="none"/>
                <w:lang w:val="en-US" w:eastAsia="zh-CN"/>
              </w:rPr>
              <w:t>公司</w:t>
            </w:r>
            <w:r>
              <w:rPr>
                <w:rFonts w:hint="eastAsia" w:ascii="Times New Roman" w:hAnsi="Times New Roman" w:eastAsia="宋体" w:cs="Times New Roman"/>
                <w:b w:val="0"/>
                <w:bCs w:val="0"/>
                <w:color w:val="0000FF"/>
                <w:kern w:val="0"/>
                <w:sz w:val="24"/>
                <w:szCs w:val="24"/>
                <w:highlight w:val="none"/>
                <w:lang w:val="en-US" w:eastAsia="zh-CN"/>
              </w:rPr>
              <w:t>进行了排污许可登记申请，2020年10月24日进行了排污许可登记变更，变更后的登记编号为91652301580206258A001W。</w:t>
            </w:r>
          </w:p>
          <w:p>
            <w:pPr>
              <w:pStyle w:val="22"/>
              <w:keepNext w:val="0"/>
              <w:keepLines w:val="0"/>
              <w:pageBreakBefore w:val="0"/>
              <w:kinsoku/>
              <w:wordWrap/>
              <w:overflowPunct/>
              <w:topLinePunct w:val="0"/>
              <w:bidi w:val="0"/>
              <w:spacing w:after="0" w:line="360" w:lineRule="auto"/>
              <w:ind w:left="0" w:leftChars="0" w:firstLine="0" w:firstLineChars="0"/>
              <w:jc w:val="both"/>
              <w:rPr>
                <w:rFonts w:hint="default" w:ascii="Times New Roman" w:hAnsi="Times New Roman" w:eastAsia="宋体" w:cs="Times New Roman"/>
                <w:b/>
                <w:bCs w:val="0"/>
                <w:color w:val="0000FF"/>
                <w:sz w:val="24"/>
                <w:szCs w:val="24"/>
                <w:highlight w:val="none"/>
                <w:lang w:val="en-US" w:eastAsia="zh-CN"/>
              </w:rPr>
            </w:pPr>
            <w:r>
              <w:rPr>
                <w:rFonts w:hint="default" w:ascii="Times New Roman" w:hAnsi="Times New Roman" w:eastAsia="宋体" w:cs="Times New Roman"/>
                <w:b/>
                <w:bCs w:val="0"/>
                <w:color w:val="0000FF"/>
                <w:kern w:val="2"/>
                <w:sz w:val="24"/>
                <w:szCs w:val="24"/>
                <w:lang w:val="en-US" w:eastAsia="zh-CN" w:bidi="ar-SA"/>
              </w:rPr>
              <w:t>2</w:t>
            </w:r>
            <w:r>
              <w:rPr>
                <w:rFonts w:hint="eastAsia" w:ascii="Times New Roman" w:hAnsi="Times New Roman" w:eastAsia="宋体" w:cs="Times New Roman"/>
                <w:b/>
                <w:bCs w:val="0"/>
                <w:color w:val="0000FF"/>
                <w:kern w:val="2"/>
                <w:sz w:val="24"/>
                <w:szCs w:val="24"/>
                <w:lang w:val="en-US" w:eastAsia="zh-CN" w:bidi="ar-SA"/>
              </w:rPr>
              <w:t>.</w:t>
            </w:r>
            <w:r>
              <w:rPr>
                <w:rFonts w:hint="default" w:ascii="Times New Roman" w:hAnsi="Times New Roman" w:eastAsia="宋体" w:cs="Times New Roman"/>
                <w:b/>
                <w:bCs w:val="0"/>
                <w:color w:val="0000FF"/>
                <w:sz w:val="24"/>
                <w:szCs w:val="24"/>
                <w:highlight w:val="none"/>
                <w:lang w:val="en-US" w:eastAsia="zh-CN"/>
              </w:rPr>
              <w:t>现有工程污染物排放情况</w:t>
            </w:r>
          </w:p>
          <w:p>
            <w:pPr>
              <w:pStyle w:val="22"/>
              <w:keepNext w:val="0"/>
              <w:keepLines w:val="0"/>
              <w:pageBreakBefore w:val="0"/>
              <w:kinsoku/>
              <w:wordWrap/>
              <w:overflowPunct/>
              <w:topLinePunct w:val="0"/>
              <w:bidi w:val="0"/>
              <w:spacing w:after="0" w:line="360" w:lineRule="auto"/>
              <w:ind w:left="0" w:leftChars="0" w:firstLine="480" w:firstLineChars="200"/>
              <w:jc w:val="both"/>
              <w:rPr>
                <w:rFonts w:hint="default" w:ascii="Times New Roman" w:hAnsi="Times New Roman" w:eastAsia="宋体" w:cs="Times New Roman"/>
                <w:b w:val="0"/>
                <w:bCs/>
                <w:color w:val="0000FF"/>
                <w:kern w:val="2"/>
                <w:sz w:val="24"/>
                <w:szCs w:val="24"/>
                <w:highlight w:val="none"/>
                <w:lang w:val="en-US" w:eastAsia="zh-CN" w:bidi="ar-SA"/>
              </w:rPr>
            </w:pPr>
            <w:r>
              <w:rPr>
                <w:rFonts w:hint="eastAsia" w:ascii="Times New Roman" w:hAnsi="Times New Roman" w:eastAsia="宋体" w:cs="Times New Roman"/>
                <w:b w:val="0"/>
                <w:bCs/>
                <w:color w:val="0000FF"/>
                <w:kern w:val="2"/>
                <w:sz w:val="24"/>
                <w:szCs w:val="24"/>
                <w:highlight w:val="none"/>
                <w:lang w:val="en-US" w:eastAsia="zh-CN" w:bidi="ar-SA"/>
              </w:rPr>
              <w:t>现有工程工艺流程见图3。</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kern w:val="0"/>
                <w:sz w:val="24"/>
                <w:szCs w:val="24"/>
                <w:highlight w:val="none"/>
                <w:lang w:val="en-US" w:eastAsia="zh-CN"/>
              </w:rPr>
            </w:pPr>
            <w:r>
              <w:rPr>
                <w:rFonts w:hint="default" w:ascii="Times New Roman" w:hAnsi="Times New Roman" w:eastAsia="宋体" w:cs="Times New Roman"/>
                <w:b w:val="0"/>
                <w:bCs w:val="0"/>
                <w:color w:val="0000FF"/>
                <w:kern w:val="0"/>
                <w:sz w:val="24"/>
                <w:szCs w:val="24"/>
                <w:highlight w:val="none"/>
                <w:lang w:val="en-US" w:eastAsia="zh-CN"/>
              </w:rPr>
              <w:drawing>
                <wp:inline distT="0" distB="0" distL="114300" distR="114300">
                  <wp:extent cx="4086860" cy="4580255"/>
                  <wp:effectExtent l="0" t="0" r="8890" b="10795"/>
                  <wp:docPr id="18" name="图片 18" descr="9fc7c2cb8dd4ab7073e0e2db576f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fc7c2cb8dd4ab7073e0e2db576f6cb"/>
                          <pic:cNvPicPr>
                            <a:picLocks noChangeAspect="1"/>
                          </pic:cNvPicPr>
                        </pic:nvPicPr>
                        <pic:blipFill>
                          <a:blip r:embed="rId21"/>
                          <a:srcRect l="9609" t="13905" r="9231" b="14236"/>
                          <a:stretch>
                            <a:fillRect/>
                          </a:stretch>
                        </pic:blipFill>
                        <pic:spPr>
                          <a:xfrm>
                            <a:off x="0" y="0"/>
                            <a:ext cx="4086860" cy="4580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0000FF"/>
                <w:kern w:val="2"/>
                <w:sz w:val="21"/>
                <w:szCs w:val="21"/>
                <w:lang w:val="en-US" w:eastAsia="zh-CN" w:bidi="ar-SA"/>
              </w:rPr>
            </w:pPr>
            <w:r>
              <w:rPr>
                <w:rFonts w:hint="eastAsia" w:ascii="Times New Roman" w:hAnsi="Times New Roman" w:eastAsia="宋体" w:cs="Times New Roman"/>
                <w:b/>
                <w:bCs/>
                <w:color w:val="0000FF"/>
                <w:kern w:val="2"/>
                <w:sz w:val="21"/>
                <w:szCs w:val="21"/>
                <w:lang w:val="en-US" w:eastAsia="zh-CN" w:bidi="ar-SA"/>
              </w:rPr>
              <w:t>图3    现有项目生产工艺流程图</w:t>
            </w:r>
          </w:p>
          <w:p>
            <w:pPr>
              <w:spacing w:line="360" w:lineRule="auto"/>
              <w:ind w:firstLine="482" w:firstLineChars="200"/>
              <w:rPr>
                <w:rFonts w:hint="default" w:ascii="Times New Roman" w:hAnsi="Times New Roman" w:eastAsia="宋体" w:cs="Times New Roman"/>
                <w:b/>
                <w:bCs/>
                <w:color w:val="0000FF"/>
                <w:sz w:val="24"/>
                <w:szCs w:val="24"/>
                <w:highlight w:val="none"/>
                <w:lang w:val="en-US" w:eastAsia="zh-CN"/>
              </w:rPr>
            </w:pPr>
            <w:r>
              <w:rPr>
                <w:rFonts w:hint="default" w:ascii="Times New Roman" w:hAnsi="Times New Roman" w:eastAsia="宋体" w:cs="Times New Roman"/>
                <w:b/>
                <w:bCs/>
                <w:color w:val="0000FF"/>
                <w:sz w:val="24"/>
                <w:szCs w:val="24"/>
                <w:highlight w:val="none"/>
                <w:lang w:val="en-US" w:eastAsia="zh-CN"/>
              </w:rPr>
              <w:t>工艺流程简述：</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（1）</w:t>
            </w:r>
            <w:r>
              <w:rPr>
                <w:rFonts w:hint="default" w:ascii="Times New Roman" w:hAnsi="Times New Roman" w:eastAsia="宋体" w:cs="Times New Roman"/>
                <w:b w:val="0"/>
                <w:bCs w:val="0"/>
                <w:color w:val="0000FF"/>
                <w:sz w:val="24"/>
                <w:szCs w:val="24"/>
                <w:highlight w:val="none"/>
                <w:lang w:val="en-US" w:eastAsia="zh-CN"/>
              </w:rPr>
              <w:t>裁划</w:t>
            </w:r>
            <w:r>
              <w:rPr>
                <w:rFonts w:hint="eastAsia"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确定钢材切割的尺寸大小。</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（2）</w:t>
            </w:r>
            <w:r>
              <w:rPr>
                <w:rFonts w:hint="default" w:ascii="Times New Roman" w:hAnsi="Times New Roman" w:eastAsia="宋体" w:cs="Times New Roman"/>
                <w:b w:val="0"/>
                <w:bCs w:val="0"/>
                <w:color w:val="0000FF"/>
                <w:sz w:val="24"/>
                <w:szCs w:val="24"/>
                <w:highlight w:val="none"/>
                <w:lang w:val="en-US" w:eastAsia="zh-CN"/>
              </w:rPr>
              <w:t>切割</w:t>
            </w:r>
            <w:r>
              <w:rPr>
                <w:rFonts w:hint="eastAsia"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将外购的钢材，按照尺寸大小，经过数控切割机、剪板机等剪切成符合尺寸的钢板、钢片。这一过程有切割烟尘产生、钢边角料产生，同时加工机器在运行时有噪声产生。</w:t>
            </w:r>
          </w:p>
          <w:p>
            <w:pPr>
              <w:pStyle w:val="22"/>
              <w:keepNext w:val="0"/>
              <w:keepLines w:val="0"/>
              <w:pageBreakBefore w:val="0"/>
              <w:kinsoku/>
              <w:wordWrap/>
              <w:overflowPunct/>
              <w:topLinePunct w:val="0"/>
              <w:bidi w:val="0"/>
              <w:spacing w:after="0" w:line="360" w:lineRule="auto"/>
              <w:ind w:left="0" w:leftChars="0" w:firstLine="480"/>
              <w:jc w:val="both"/>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（3）组装：通过组立机将剪切好的钢板拼在一起，组装机器在运行时有噪声产生。</w:t>
            </w:r>
          </w:p>
          <w:p>
            <w:pPr>
              <w:pStyle w:val="22"/>
              <w:keepNext w:val="0"/>
              <w:keepLines w:val="0"/>
              <w:pageBreakBefore w:val="0"/>
              <w:kinsoku/>
              <w:wordWrap/>
              <w:overflowPunct/>
              <w:topLinePunct w:val="0"/>
              <w:bidi w:val="0"/>
              <w:spacing w:after="0" w:line="360" w:lineRule="auto"/>
              <w:ind w:left="0" w:leftChars="0" w:firstLine="480"/>
              <w:jc w:val="both"/>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（4）焊接打磨：组装完成后用电焊机进行焊接，焊接过程中产生少量的焊接烟气和焊渣，打磨清除涂层表面的粗颗粒及杂质，打磨过程中会产生噪声和极少量</w:t>
            </w:r>
            <w:r>
              <w:rPr>
                <w:rFonts w:hint="eastAsia" w:cs="Times New Roman"/>
                <w:b w:val="0"/>
                <w:bCs w:val="0"/>
                <w:color w:val="0000FF"/>
                <w:sz w:val="24"/>
                <w:szCs w:val="24"/>
                <w:highlight w:val="none"/>
                <w:lang w:val="en-US" w:eastAsia="zh-CN"/>
              </w:rPr>
              <w:t>粉尘</w:t>
            </w:r>
            <w:r>
              <w:rPr>
                <w:rFonts w:hint="eastAsia" w:ascii="Times New Roman" w:hAnsi="Times New Roman" w:eastAsia="宋体" w:cs="Times New Roman"/>
                <w:b w:val="0"/>
                <w:bCs w:val="0"/>
                <w:color w:val="0000FF"/>
                <w:sz w:val="24"/>
                <w:szCs w:val="24"/>
                <w:highlight w:val="none"/>
                <w:lang w:val="en-US" w:eastAsia="zh-CN"/>
              </w:rPr>
              <w:t>。</w:t>
            </w:r>
          </w:p>
          <w:p>
            <w:pPr>
              <w:pStyle w:val="22"/>
              <w:keepNext w:val="0"/>
              <w:keepLines w:val="0"/>
              <w:pageBreakBefore w:val="0"/>
              <w:kinsoku/>
              <w:wordWrap/>
              <w:overflowPunct/>
              <w:topLinePunct w:val="0"/>
              <w:bidi w:val="0"/>
              <w:spacing w:after="0" w:line="360" w:lineRule="auto"/>
              <w:ind w:left="0" w:leftChars="0" w:firstLine="480"/>
              <w:jc w:val="both"/>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（5）喷漆：成品焊接完成后，需要喷漆进行防腐处理，本工艺委托外包专业单位进行处理，处理后的部件运回后再进行下</w:t>
            </w:r>
            <w:r>
              <w:rPr>
                <w:rFonts w:hint="eastAsia" w:cs="Times New Roman"/>
                <w:b w:val="0"/>
                <w:bCs w:val="0"/>
                <w:color w:val="0000FF"/>
                <w:sz w:val="24"/>
                <w:szCs w:val="24"/>
                <w:highlight w:val="none"/>
                <w:lang w:val="en-US" w:eastAsia="zh-CN"/>
              </w:rPr>
              <w:t>一道</w:t>
            </w:r>
            <w:r>
              <w:rPr>
                <w:rFonts w:hint="eastAsia" w:ascii="Times New Roman" w:hAnsi="Times New Roman" w:eastAsia="宋体" w:cs="Times New Roman"/>
                <w:b w:val="0"/>
                <w:bCs w:val="0"/>
                <w:color w:val="0000FF"/>
                <w:sz w:val="24"/>
                <w:szCs w:val="24"/>
                <w:highlight w:val="none"/>
                <w:lang w:val="en-US" w:eastAsia="zh-CN"/>
              </w:rPr>
              <w:t>工序。</w:t>
            </w:r>
          </w:p>
          <w:p>
            <w:pPr>
              <w:pStyle w:val="22"/>
              <w:keepNext w:val="0"/>
              <w:keepLines w:val="0"/>
              <w:pageBreakBefore w:val="0"/>
              <w:kinsoku/>
              <w:wordWrap/>
              <w:overflowPunct/>
              <w:topLinePunct w:val="0"/>
              <w:bidi w:val="0"/>
              <w:spacing w:after="0" w:line="360" w:lineRule="auto"/>
              <w:ind w:left="0" w:leftChars="0" w:firstLine="480"/>
              <w:jc w:val="both"/>
              <w:rPr>
                <w:rFonts w:hint="eastAsia"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（6）成品</w:t>
            </w:r>
            <w:r>
              <w:rPr>
                <w:rFonts w:hint="eastAsia" w:cs="Times New Roman"/>
                <w:b w:val="0"/>
                <w:bCs w:val="0"/>
                <w:color w:val="0000FF"/>
                <w:sz w:val="24"/>
                <w:szCs w:val="24"/>
                <w:highlight w:val="none"/>
                <w:lang w:val="en-US" w:eastAsia="zh-CN"/>
              </w:rPr>
              <w:t>：</w:t>
            </w:r>
            <w:r>
              <w:rPr>
                <w:rFonts w:hint="eastAsia" w:ascii="Times New Roman" w:hAnsi="Times New Roman" w:eastAsia="宋体" w:cs="Times New Roman"/>
                <w:b w:val="0"/>
                <w:bCs w:val="0"/>
                <w:color w:val="0000FF"/>
                <w:sz w:val="24"/>
                <w:szCs w:val="24"/>
                <w:highlight w:val="none"/>
                <w:lang w:val="en-US" w:eastAsia="zh-CN"/>
              </w:rPr>
              <w:t>经喷漆后的部件进行组装，检验合格后，即为最终的产品。</w:t>
            </w:r>
          </w:p>
          <w:p>
            <w:pPr>
              <w:pStyle w:val="22"/>
              <w:keepNext w:val="0"/>
              <w:keepLines w:val="0"/>
              <w:pageBreakBefore w:val="0"/>
              <w:kinsoku/>
              <w:wordWrap/>
              <w:overflowPunct/>
              <w:topLinePunct w:val="0"/>
              <w:bidi w:val="0"/>
              <w:spacing w:after="0" w:line="360" w:lineRule="auto"/>
              <w:ind w:left="0" w:leftChars="0" w:firstLine="0" w:firstLineChars="0"/>
              <w:jc w:val="both"/>
              <w:rPr>
                <w:rFonts w:hint="default" w:ascii="Times New Roman" w:hAnsi="Times New Roman" w:eastAsia="宋体" w:cs="Times New Roman"/>
                <w:b/>
                <w:bCs w:val="0"/>
                <w:color w:val="0000FF"/>
                <w:kern w:val="2"/>
                <w:sz w:val="24"/>
                <w:szCs w:val="24"/>
                <w:highlight w:val="none"/>
                <w:lang w:val="en-US" w:eastAsia="zh-CN" w:bidi="ar-SA"/>
              </w:rPr>
            </w:pPr>
            <w:r>
              <w:rPr>
                <w:rFonts w:hint="eastAsia" w:ascii="Times New Roman" w:hAnsi="Times New Roman" w:eastAsia="宋体" w:cs="Times New Roman"/>
                <w:b/>
                <w:bCs w:val="0"/>
                <w:color w:val="0000FF"/>
                <w:kern w:val="2"/>
                <w:sz w:val="24"/>
                <w:szCs w:val="24"/>
                <w:highlight w:val="none"/>
                <w:lang w:val="en-US" w:eastAsia="zh-CN" w:bidi="ar-SA"/>
              </w:rPr>
              <w:t>2.1</w:t>
            </w:r>
            <w:r>
              <w:rPr>
                <w:rFonts w:hint="default" w:ascii="Times New Roman" w:hAnsi="Times New Roman" w:eastAsia="宋体" w:cs="Times New Roman"/>
                <w:b/>
                <w:bCs w:val="0"/>
                <w:color w:val="0000FF"/>
                <w:kern w:val="2"/>
                <w:sz w:val="24"/>
                <w:szCs w:val="24"/>
                <w:highlight w:val="none"/>
                <w:lang w:val="en-US" w:eastAsia="zh-CN" w:bidi="ar-SA"/>
              </w:rPr>
              <w:t>废气</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default" w:ascii="Times New Roman" w:hAnsi="Times New Roman" w:eastAsia="宋体" w:cs="Times New Roman"/>
                <w:b w:val="0"/>
                <w:bCs w:val="0"/>
                <w:color w:val="0000FF"/>
                <w:sz w:val="24"/>
                <w:szCs w:val="24"/>
                <w:highlight w:val="none"/>
                <w:lang w:val="en-US" w:eastAsia="zh-CN"/>
              </w:rPr>
              <w:t>本项目大气污染源主要是钢结构部件焊接过程中产生的烟气。</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（1）</w:t>
            </w:r>
            <w:r>
              <w:rPr>
                <w:rFonts w:hint="default" w:ascii="Times New Roman" w:hAnsi="Times New Roman" w:eastAsia="宋体" w:cs="Times New Roman"/>
                <w:b w:val="0"/>
                <w:bCs w:val="0"/>
                <w:color w:val="0000FF"/>
                <w:sz w:val="24"/>
                <w:szCs w:val="24"/>
                <w:highlight w:val="none"/>
                <w:lang w:val="en-US" w:eastAsia="zh-CN"/>
              </w:rPr>
              <w:t>电焊烟气</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default" w:ascii="Times New Roman" w:hAnsi="Times New Roman" w:eastAsia="宋体" w:cs="Times New Roman"/>
                <w:b w:val="0"/>
                <w:bCs w:val="0"/>
                <w:color w:val="0000FF"/>
                <w:sz w:val="24"/>
                <w:szCs w:val="24"/>
                <w:highlight w:val="none"/>
                <w:lang w:val="en-US" w:eastAsia="zh-CN"/>
              </w:rPr>
              <w:t>本项目采用门型自动焊接机和CO</w:t>
            </w:r>
            <w:r>
              <w:rPr>
                <w:rFonts w:hint="eastAsia" w:ascii="Times New Roman" w:hAnsi="Times New Roman" w:eastAsia="宋体" w:cs="Times New Roman"/>
                <w:b w:val="0"/>
                <w:bCs w:val="0"/>
                <w:color w:val="0000FF"/>
                <w:sz w:val="24"/>
                <w:szCs w:val="24"/>
                <w:highlight w:val="none"/>
                <w:vertAlign w:val="subscript"/>
                <w:lang w:val="en-US" w:eastAsia="zh-CN"/>
              </w:rPr>
              <w:t>2</w:t>
            </w:r>
            <w:r>
              <w:rPr>
                <w:rFonts w:hint="default" w:ascii="Times New Roman" w:hAnsi="Times New Roman" w:eastAsia="宋体" w:cs="Times New Roman"/>
                <w:b w:val="0"/>
                <w:bCs w:val="0"/>
                <w:color w:val="0000FF"/>
                <w:sz w:val="24"/>
                <w:szCs w:val="24"/>
                <w:highlight w:val="none"/>
                <w:lang w:val="en-US" w:eastAsia="zh-CN"/>
              </w:rPr>
              <w:t>保护焊机，年耗焊丝约2t。本项目焊接工序会产生焊接烟尘</w:t>
            </w:r>
            <w:r>
              <w:rPr>
                <w:rFonts w:hint="eastAsia"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电焊作业点配备移动式静电电焊烟气净化设备</w:t>
            </w:r>
            <w:r>
              <w:rPr>
                <w:rFonts w:hint="eastAsia" w:ascii="Times New Roman" w:hAnsi="Times New Roman" w:eastAsia="宋体" w:cs="Times New Roman"/>
                <w:b w:val="0"/>
                <w:bCs w:val="0"/>
                <w:color w:val="0000FF"/>
                <w:sz w:val="24"/>
                <w:szCs w:val="24"/>
                <w:highlight w:val="none"/>
                <w:lang w:val="en-US" w:eastAsia="zh-CN"/>
              </w:rPr>
              <w:t>（</w:t>
            </w:r>
            <w:r>
              <w:rPr>
                <w:rFonts w:hint="eastAsia" w:cs="Times New Roman"/>
                <w:b w:val="0"/>
                <w:bCs w:val="0"/>
                <w:color w:val="0000FF"/>
                <w:sz w:val="24"/>
                <w:szCs w:val="24"/>
                <w:highlight w:val="none"/>
                <w:lang w:val="en-US" w:eastAsia="zh-CN"/>
              </w:rPr>
              <w:t>处理</w:t>
            </w:r>
            <w:r>
              <w:rPr>
                <w:rFonts w:hint="default" w:ascii="Times New Roman" w:hAnsi="Times New Roman" w:eastAsia="宋体" w:cs="Times New Roman"/>
                <w:b w:val="0"/>
                <w:bCs w:val="0"/>
                <w:color w:val="0000FF"/>
                <w:sz w:val="24"/>
                <w:szCs w:val="24"/>
                <w:highlight w:val="none"/>
                <w:lang w:val="en-US" w:eastAsia="zh-CN"/>
              </w:rPr>
              <w:t>效率大于85%</w:t>
            </w:r>
            <w:r>
              <w:rPr>
                <w:rFonts w:hint="eastAsia" w:ascii="Times New Roman" w:hAnsi="Times New Roman" w:eastAsia="宋体" w:cs="Times New Roman"/>
                <w:b w:val="0"/>
                <w:bCs w:val="0"/>
                <w:color w:val="0000FF"/>
                <w:sz w:val="24"/>
                <w:szCs w:val="24"/>
                <w:highlight w:val="none"/>
                <w:lang w:val="en-US" w:eastAsia="zh-CN"/>
              </w:rPr>
              <w:t>）</w:t>
            </w:r>
            <w:r>
              <w:rPr>
                <w:rFonts w:hint="eastAsia"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通过车间</w:t>
            </w:r>
            <w:r>
              <w:rPr>
                <w:rFonts w:hint="eastAsia" w:cs="Times New Roman"/>
                <w:b w:val="0"/>
                <w:bCs w:val="0"/>
                <w:color w:val="0000FF"/>
                <w:sz w:val="24"/>
                <w:szCs w:val="24"/>
                <w:highlight w:val="none"/>
                <w:lang w:val="en-US" w:eastAsia="zh-CN"/>
              </w:rPr>
              <w:t>排气扇换气后直接排出</w:t>
            </w:r>
            <w:r>
              <w:rPr>
                <w:rFonts w:hint="default" w:ascii="Times New Roman" w:hAnsi="Times New Roman" w:eastAsia="宋体" w:cs="Times New Roman"/>
                <w:b w:val="0"/>
                <w:bCs w:val="0"/>
                <w:color w:val="0000FF"/>
                <w:sz w:val="24"/>
                <w:szCs w:val="24"/>
                <w:highlight w:val="none"/>
                <w:lang w:val="en-US" w:eastAsia="zh-CN"/>
              </w:rPr>
              <w:t>。</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（2）</w:t>
            </w:r>
            <w:r>
              <w:rPr>
                <w:rFonts w:hint="default" w:ascii="Times New Roman" w:hAnsi="Times New Roman" w:eastAsia="宋体" w:cs="Times New Roman"/>
                <w:b w:val="0"/>
                <w:bCs w:val="0"/>
                <w:color w:val="0000FF"/>
                <w:sz w:val="24"/>
                <w:szCs w:val="24"/>
                <w:highlight w:val="none"/>
                <w:lang w:val="en-US" w:eastAsia="zh-CN"/>
              </w:rPr>
              <w:t>喷漆废气</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eastAsia" w:cs="Times New Roman"/>
                <w:b w:val="0"/>
                <w:bCs w:val="0"/>
                <w:color w:val="0000FF"/>
                <w:sz w:val="24"/>
                <w:szCs w:val="24"/>
                <w:highlight w:val="none"/>
                <w:lang w:val="en-US" w:eastAsia="zh-CN"/>
              </w:rPr>
              <w:t>本</w:t>
            </w:r>
            <w:r>
              <w:rPr>
                <w:rFonts w:hint="default" w:ascii="Times New Roman" w:hAnsi="Times New Roman" w:eastAsia="宋体" w:cs="Times New Roman"/>
                <w:b w:val="0"/>
                <w:bCs w:val="0"/>
                <w:color w:val="0000FF"/>
                <w:sz w:val="24"/>
                <w:szCs w:val="24"/>
                <w:highlight w:val="none"/>
                <w:lang w:val="en-US" w:eastAsia="zh-CN"/>
              </w:rPr>
              <w:t>项目喷漆工序外包委托其他单位进行，因此</w:t>
            </w:r>
            <w:r>
              <w:rPr>
                <w:rFonts w:hint="eastAsia" w:ascii="Times New Roman" w:hAnsi="Times New Roman" w:eastAsia="宋体" w:cs="Times New Roman"/>
                <w:b w:val="0"/>
                <w:bCs w:val="0"/>
                <w:color w:val="0000FF"/>
                <w:sz w:val="24"/>
                <w:szCs w:val="24"/>
                <w:highlight w:val="none"/>
                <w:lang w:val="en-US" w:eastAsia="zh-CN"/>
              </w:rPr>
              <w:t>本</w:t>
            </w:r>
            <w:r>
              <w:rPr>
                <w:rFonts w:hint="default" w:ascii="Times New Roman" w:hAnsi="Times New Roman" w:eastAsia="宋体" w:cs="Times New Roman"/>
                <w:b w:val="0"/>
                <w:bCs w:val="0"/>
                <w:color w:val="0000FF"/>
                <w:sz w:val="24"/>
                <w:szCs w:val="24"/>
                <w:highlight w:val="none"/>
                <w:lang w:val="en-US" w:eastAsia="zh-CN"/>
              </w:rPr>
              <w:t>项目中无喷漆废气产生。</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（3）</w:t>
            </w:r>
            <w:r>
              <w:rPr>
                <w:rFonts w:hint="default" w:ascii="Times New Roman" w:hAnsi="Times New Roman" w:eastAsia="宋体" w:cs="Times New Roman"/>
                <w:b w:val="0"/>
                <w:bCs w:val="0"/>
                <w:color w:val="0000FF"/>
                <w:sz w:val="24"/>
                <w:szCs w:val="24"/>
                <w:highlight w:val="none"/>
                <w:lang w:val="en-US" w:eastAsia="zh-CN"/>
              </w:rPr>
              <w:t>金属粉尘</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default" w:ascii="Times New Roman" w:hAnsi="Times New Roman" w:eastAsia="宋体" w:cs="Times New Roman"/>
                <w:b w:val="0"/>
                <w:bCs w:val="0"/>
                <w:color w:val="0000FF"/>
                <w:sz w:val="24"/>
                <w:szCs w:val="24"/>
                <w:highlight w:val="none"/>
                <w:lang w:val="en-US" w:eastAsia="zh-CN"/>
              </w:rPr>
              <w:t>本项目采用空气等离子切割机，割机产生粉尘采用烟气集成罩捕积切割粉尘，粉尘捕集率达90%以上</w:t>
            </w:r>
            <w:r>
              <w:rPr>
                <w:rFonts w:hint="eastAsia"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属于无组织排放。</w:t>
            </w:r>
          </w:p>
          <w:p>
            <w:pPr>
              <w:pStyle w:val="22"/>
              <w:keepNext w:val="0"/>
              <w:keepLines w:val="0"/>
              <w:pageBreakBefore w:val="0"/>
              <w:kinsoku/>
              <w:wordWrap/>
              <w:overflowPunct/>
              <w:topLinePunct w:val="0"/>
              <w:bidi w:val="0"/>
              <w:spacing w:after="0" w:line="360" w:lineRule="auto"/>
              <w:ind w:left="0" w:leftChars="0" w:firstLine="480"/>
              <w:jc w:val="both"/>
              <w:rPr>
                <w:rFonts w:hint="default" w:ascii="Times New Roman" w:hAnsi="Times New Roman" w:eastAsia="宋体" w:cs="Times New Roman"/>
                <w:b w:val="0"/>
                <w:bCs w:val="0"/>
                <w:color w:val="0000FF"/>
                <w:sz w:val="24"/>
                <w:szCs w:val="24"/>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（4）</w:t>
            </w:r>
            <w:r>
              <w:rPr>
                <w:rFonts w:hint="default" w:ascii="Times New Roman" w:hAnsi="Times New Roman" w:eastAsia="宋体" w:cs="Times New Roman"/>
                <w:b w:val="0"/>
                <w:bCs w:val="0"/>
                <w:color w:val="0000FF"/>
                <w:sz w:val="24"/>
                <w:szCs w:val="24"/>
                <w:highlight w:val="none"/>
                <w:lang w:val="en-US" w:eastAsia="zh-CN"/>
              </w:rPr>
              <w:t>食堂油烟废气</w:t>
            </w:r>
          </w:p>
          <w:p>
            <w:pPr>
              <w:pStyle w:val="22"/>
              <w:keepNext w:val="0"/>
              <w:keepLines w:val="0"/>
              <w:pageBreakBefore w:val="0"/>
              <w:kinsoku/>
              <w:wordWrap/>
              <w:overflowPunct/>
              <w:topLinePunct w:val="0"/>
              <w:bidi w:val="0"/>
              <w:spacing w:after="0" w:line="360" w:lineRule="auto"/>
              <w:ind w:left="0" w:leftChars="0" w:firstLine="480"/>
              <w:jc w:val="both"/>
              <w:rPr>
                <w:rFonts w:hint="eastAsia" w:ascii="Times New Roman" w:hAnsi="Times New Roman" w:eastAsia="宋体" w:cs="Times New Roman"/>
                <w:b w:val="0"/>
                <w:bCs w:val="0"/>
                <w:color w:val="0000FF"/>
                <w:sz w:val="24"/>
                <w:szCs w:val="24"/>
                <w:highlight w:val="none"/>
                <w:lang w:val="en-US" w:eastAsia="zh-CN"/>
              </w:rPr>
            </w:pPr>
            <w:r>
              <w:rPr>
                <w:rFonts w:hint="default" w:ascii="Times New Roman" w:hAnsi="Times New Roman" w:eastAsia="宋体" w:cs="Times New Roman"/>
                <w:b w:val="0"/>
                <w:bCs w:val="0"/>
                <w:color w:val="0000FF"/>
                <w:sz w:val="24"/>
                <w:szCs w:val="24"/>
                <w:highlight w:val="none"/>
                <w:lang w:val="en-US" w:eastAsia="zh-CN"/>
              </w:rPr>
              <w:t>食堂炒作采用液化气作为燃料，燃烧产物基本为CO</w:t>
            </w:r>
            <w:r>
              <w:rPr>
                <w:rFonts w:hint="eastAsia" w:ascii="Times New Roman" w:hAnsi="Times New Roman" w:eastAsia="宋体" w:cs="Times New Roman"/>
                <w:b w:val="0"/>
                <w:bCs w:val="0"/>
                <w:color w:val="0000FF"/>
                <w:sz w:val="24"/>
                <w:szCs w:val="24"/>
                <w:highlight w:val="none"/>
                <w:vertAlign w:val="subscript"/>
                <w:lang w:val="en-US" w:eastAsia="zh-CN"/>
              </w:rPr>
              <w:t>2</w:t>
            </w:r>
            <w:r>
              <w:rPr>
                <w:rFonts w:hint="default" w:ascii="Times New Roman" w:hAnsi="Times New Roman" w:eastAsia="宋体" w:cs="Times New Roman"/>
                <w:b w:val="0"/>
                <w:bCs w:val="0"/>
                <w:color w:val="0000FF"/>
                <w:sz w:val="24"/>
                <w:szCs w:val="24"/>
                <w:highlight w:val="none"/>
                <w:lang w:val="en-US" w:eastAsia="zh-CN"/>
              </w:rPr>
              <w:t>和H</w:t>
            </w:r>
            <w:r>
              <w:rPr>
                <w:rFonts w:hint="eastAsia" w:ascii="Times New Roman" w:hAnsi="Times New Roman" w:eastAsia="宋体" w:cs="Times New Roman"/>
                <w:b w:val="0"/>
                <w:bCs w:val="0"/>
                <w:color w:val="0000FF"/>
                <w:sz w:val="24"/>
                <w:szCs w:val="24"/>
                <w:highlight w:val="none"/>
                <w:vertAlign w:val="subscript"/>
                <w:lang w:val="en-US" w:eastAsia="zh-CN"/>
              </w:rPr>
              <w:t>2</w:t>
            </w:r>
            <w:r>
              <w:rPr>
                <w:rFonts w:hint="eastAsia" w:ascii="Times New Roman" w:hAnsi="Times New Roman" w:eastAsia="宋体" w:cs="Times New Roman"/>
                <w:b w:val="0"/>
                <w:bCs w:val="0"/>
                <w:color w:val="0000FF"/>
                <w:sz w:val="24"/>
                <w:szCs w:val="24"/>
                <w:highlight w:val="none"/>
                <w:lang w:val="en-US" w:eastAsia="zh-CN"/>
              </w:rPr>
              <w:t>O</w:t>
            </w:r>
            <w:r>
              <w:rPr>
                <w:rFonts w:hint="default" w:ascii="Times New Roman" w:hAnsi="Times New Roman" w:eastAsia="宋体" w:cs="Times New Roman"/>
                <w:b w:val="0"/>
                <w:bCs w:val="0"/>
                <w:color w:val="0000FF"/>
                <w:sz w:val="24"/>
                <w:szCs w:val="24"/>
                <w:highlight w:val="none"/>
                <w:lang w:val="en-US" w:eastAsia="zh-CN"/>
              </w:rPr>
              <w:t>，对大气环境影响较小。灶头产生的油烟通过厂区的专用烟道集中收集后经净化装置处理，净化效率75%</w:t>
            </w:r>
            <w:r>
              <w:rPr>
                <w:rFonts w:hint="eastAsia" w:cs="Times New Roman"/>
                <w:b w:val="0"/>
                <w:bCs w:val="0"/>
                <w:color w:val="0000FF"/>
                <w:sz w:val="24"/>
                <w:szCs w:val="24"/>
                <w:highlight w:val="none"/>
                <w:lang w:val="en-US" w:eastAsia="zh-CN"/>
              </w:rPr>
              <w:t>，</w:t>
            </w:r>
            <w:r>
              <w:rPr>
                <w:rFonts w:hint="default" w:ascii="Times New Roman" w:hAnsi="Times New Roman" w:eastAsia="宋体" w:cs="Times New Roman"/>
                <w:b w:val="0"/>
                <w:bCs w:val="0"/>
                <w:color w:val="0000FF"/>
                <w:sz w:val="24"/>
                <w:szCs w:val="24"/>
                <w:highlight w:val="none"/>
                <w:lang w:val="en-US" w:eastAsia="zh-CN"/>
              </w:rPr>
              <w:t>通过高于屋顶1m的排气简达标排放</w:t>
            </w:r>
            <w:r>
              <w:rPr>
                <w:rFonts w:hint="eastAsia" w:ascii="Times New Roman" w:hAnsi="Times New Roman" w:eastAsia="宋体" w:cs="Times New Roman"/>
                <w:b w:val="0"/>
                <w:bCs w:val="0"/>
                <w:color w:val="0000FF"/>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FF"/>
                <w:sz w:val="24"/>
                <w:szCs w:val="24"/>
                <w:highlight w:val="none"/>
                <w:lang w:val="en-US" w:eastAsia="zh-CN"/>
              </w:rPr>
            </w:pPr>
            <w:r>
              <w:rPr>
                <w:rFonts w:hint="eastAsia" w:ascii="Times New Roman" w:hAnsi="Times New Roman" w:eastAsia="宋体" w:cs="Times New Roman"/>
                <w:b/>
                <w:bCs w:val="0"/>
                <w:color w:val="0000FF"/>
                <w:sz w:val="24"/>
                <w:szCs w:val="24"/>
                <w:highlight w:val="none"/>
                <w:lang w:val="en-US" w:eastAsia="zh-CN"/>
              </w:rPr>
              <w:t>2.</w:t>
            </w:r>
            <w:r>
              <w:rPr>
                <w:rFonts w:hint="default" w:ascii="Times New Roman" w:hAnsi="Times New Roman" w:eastAsia="宋体" w:cs="Times New Roman"/>
                <w:b/>
                <w:bCs w:val="0"/>
                <w:color w:val="0000FF"/>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sz w:val="24"/>
                <w:szCs w:val="24"/>
                <w:highlight w:val="none"/>
                <w:lang w:val="en-US" w:eastAsia="zh-CN"/>
              </w:rPr>
            </w:pPr>
            <w:r>
              <w:rPr>
                <w:rFonts w:hint="default" w:ascii="Times New Roman" w:hAnsi="Times New Roman" w:eastAsia="宋体" w:cs="Times New Roman"/>
                <w:b w:val="0"/>
                <w:bCs w:val="0"/>
                <w:color w:val="0000FF"/>
                <w:sz w:val="24"/>
                <w:szCs w:val="24"/>
                <w:highlight w:val="none"/>
                <w:lang w:val="en-US" w:eastAsia="zh-CN"/>
              </w:rPr>
              <w:t>本项目</w:t>
            </w:r>
            <w:r>
              <w:rPr>
                <w:rFonts w:hint="eastAsia" w:ascii="Times New Roman" w:hAnsi="Times New Roman" w:eastAsia="宋体" w:cs="Times New Roman"/>
                <w:b w:val="0"/>
                <w:bCs w:val="0"/>
                <w:color w:val="0000FF"/>
                <w:sz w:val="24"/>
                <w:szCs w:val="24"/>
                <w:highlight w:val="none"/>
                <w:lang w:val="en-US" w:eastAsia="zh-CN"/>
              </w:rPr>
              <w:t>现有工程</w:t>
            </w:r>
            <w:r>
              <w:rPr>
                <w:rFonts w:hint="default" w:ascii="Times New Roman" w:hAnsi="Times New Roman" w:eastAsia="宋体" w:cs="Times New Roman"/>
                <w:bCs/>
                <w:color w:val="0000FF"/>
                <w:sz w:val="24"/>
                <w:szCs w:val="24"/>
                <w:highlight w:val="none"/>
                <w:lang w:val="en-US" w:eastAsia="zh-CN"/>
              </w:rPr>
              <w:t>产生的废水主要为生活污水</w:t>
            </w:r>
            <w:r>
              <w:rPr>
                <w:rFonts w:hint="eastAsia" w:ascii="Times New Roman" w:hAnsi="Times New Roman" w:eastAsia="宋体" w:cs="Times New Roman"/>
                <w:bCs/>
                <w:color w:val="0000FF"/>
                <w:sz w:val="24"/>
                <w:szCs w:val="24"/>
                <w:highlight w:val="none"/>
                <w:lang w:val="en-US" w:eastAsia="zh-CN"/>
              </w:rPr>
              <w:t>，</w:t>
            </w:r>
            <w:r>
              <w:rPr>
                <w:rFonts w:hint="eastAsia" w:cs="Times New Roman"/>
                <w:bCs/>
                <w:color w:val="0000FF"/>
                <w:sz w:val="24"/>
                <w:szCs w:val="24"/>
                <w:highlight w:val="none"/>
                <w:lang w:val="en-US" w:eastAsia="zh-CN"/>
              </w:rPr>
              <w:t>生活污水排放量为2550t/a，</w:t>
            </w:r>
            <w:r>
              <w:rPr>
                <w:rFonts w:hint="eastAsia" w:ascii="Times New Roman" w:hAnsi="Times New Roman" w:eastAsia="宋体" w:cs="Times New Roman"/>
                <w:b w:val="0"/>
                <w:bCs w:val="0"/>
                <w:color w:val="0000FF"/>
                <w:sz w:val="24"/>
                <w:szCs w:val="24"/>
                <w:highlight w:val="none"/>
                <w:lang w:val="en-US" w:eastAsia="zh-CN"/>
              </w:rPr>
              <w:t>生活污水最终排入</w:t>
            </w:r>
            <w:r>
              <w:rPr>
                <w:rFonts w:hint="eastAsia" w:cs="Times New Roman"/>
                <w:b w:val="0"/>
                <w:bCs w:val="0"/>
                <w:color w:val="0000FF"/>
                <w:sz w:val="24"/>
                <w:szCs w:val="24"/>
                <w:highlight w:val="none"/>
                <w:lang w:val="en-US" w:eastAsia="zh-CN"/>
              </w:rPr>
              <w:t>城镇</w:t>
            </w:r>
            <w:r>
              <w:rPr>
                <w:rFonts w:hint="eastAsia" w:ascii="Times New Roman" w:hAnsi="Times New Roman" w:eastAsia="宋体" w:cs="Times New Roman"/>
                <w:b w:val="0"/>
                <w:bCs w:val="0"/>
                <w:color w:val="0000FF"/>
                <w:sz w:val="24"/>
                <w:szCs w:val="24"/>
                <w:highlight w:val="none"/>
                <w:lang w:val="en-US" w:eastAsia="zh-CN"/>
              </w:rPr>
              <w:t>下水管网。</w:t>
            </w:r>
          </w:p>
          <w:p>
            <w:pPr>
              <w:pStyle w:val="40"/>
              <w:keepNext w:val="0"/>
              <w:keepLines w:val="0"/>
              <w:pageBreakBefore w:val="0"/>
              <w:kinsoku/>
              <w:wordWrap/>
              <w:overflowPunct/>
              <w:topLinePunct w:val="0"/>
              <w:bidi w:val="0"/>
              <w:spacing w:line="240" w:lineRule="auto"/>
              <w:rPr>
                <w:rFonts w:hint="eastAsia" w:cs="Times New Roman"/>
                <w:b/>
                <w:bCs/>
                <w:snapToGrid w:val="0"/>
                <w:color w:val="0000FF"/>
                <w:spacing w:val="0"/>
                <w:w w:val="100"/>
                <w:kern w:val="2"/>
                <w:position w:val="0"/>
                <w:sz w:val="21"/>
                <w:szCs w:val="21"/>
                <w:highlight w:val="none"/>
                <w:lang w:val="en-US" w:eastAsia="zh-CN" w:bidi="ar-SA"/>
              </w:rPr>
            </w:pPr>
            <w:r>
              <w:rPr>
                <w:rFonts w:hint="default" w:ascii="Times New Roman" w:hAnsi="Times New Roman" w:eastAsia="宋体" w:cs="Times New Roman"/>
                <w:b/>
                <w:bCs/>
                <w:snapToGrid w:val="0"/>
                <w:color w:val="0000FF"/>
                <w:spacing w:val="0"/>
                <w:w w:val="100"/>
                <w:kern w:val="2"/>
                <w:position w:val="0"/>
                <w:sz w:val="21"/>
                <w:szCs w:val="21"/>
                <w:highlight w:val="none"/>
                <w:lang w:val="en-US" w:eastAsia="zh-CN" w:bidi="ar-SA"/>
              </w:rPr>
              <w:t>表2-</w:t>
            </w:r>
            <w:r>
              <w:rPr>
                <w:rFonts w:hint="eastAsia" w:cs="Times New Roman"/>
                <w:b/>
                <w:bCs/>
                <w:snapToGrid w:val="0"/>
                <w:color w:val="0000FF"/>
                <w:spacing w:val="0"/>
                <w:w w:val="100"/>
                <w:kern w:val="2"/>
                <w:position w:val="0"/>
                <w:sz w:val="21"/>
                <w:szCs w:val="21"/>
                <w:highlight w:val="none"/>
                <w:lang w:val="en-US" w:eastAsia="zh-CN" w:bidi="ar-SA"/>
              </w:rPr>
              <w:t>5</w:t>
            </w:r>
            <w:r>
              <w:rPr>
                <w:rFonts w:hint="eastAsia" w:ascii="Times New Roman" w:hAnsi="Times New Roman" w:eastAsia="宋体" w:cs="Times New Roman"/>
                <w:b/>
                <w:bCs/>
                <w:snapToGrid w:val="0"/>
                <w:color w:val="0000FF"/>
                <w:spacing w:val="0"/>
                <w:w w:val="100"/>
                <w:kern w:val="2"/>
                <w:position w:val="0"/>
                <w:sz w:val="21"/>
                <w:szCs w:val="21"/>
                <w:highlight w:val="none"/>
                <w:lang w:val="en-US" w:eastAsia="zh-CN" w:bidi="ar-SA"/>
              </w:rPr>
              <w:t xml:space="preserve">  </w:t>
            </w:r>
            <w:r>
              <w:rPr>
                <w:rFonts w:hint="eastAsia" w:cs="Times New Roman"/>
                <w:b/>
                <w:bCs/>
                <w:snapToGrid w:val="0"/>
                <w:color w:val="0000FF"/>
                <w:spacing w:val="0"/>
                <w:w w:val="100"/>
                <w:kern w:val="2"/>
                <w:position w:val="0"/>
                <w:sz w:val="21"/>
                <w:szCs w:val="21"/>
                <w:highlight w:val="none"/>
                <w:lang w:val="en-US" w:eastAsia="zh-CN" w:bidi="ar-SA"/>
              </w:rPr>
              <w:t>生活污水排放量一览表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587"/>
              <w:gridCol w:w="1587"/>
              <w:gridCol w:w="1587"/>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6" w:type="dxa"/>
                  <w:tcBorders>
                    <w:bottom w:val="single" w:color="auto" w:sz="12" w:space="0"/>
                  </w:tcBorders>
                </w:tcPr>
                <w:p>
                  <w:pPr>
                    <w:pStyle w:val="40"/>
                    <w:keepNext w:val="0"/>
                    <w:keepLines w:val="0"/>
                    <w:pageBreakBefore w:val="0"/>
                    <w:kinsoku/>
                    <w:wordWrap/>
                    <w:overflowPunct/>
                    <w:topLinePunct w:val="0"/>
                    <w:bidi w:val="0"/>
                    <w:spacing w:line="240" w:lineRule="auto"/>
                    <w:rPr>
                      <w:rFonts w:hint="default" w:cs="Times New Roman"/>
                      <w:b/>
                      <w:bCs/>
                      <w:snapToGrid w:val="0"/>
                      <w:color w:val="0000FF"/>
                      <w:spacing w:val="0"/>
                      <w:w w:val="100"/>
                      <w:kern w:val="2"/>
                      <w:position w:val="0"/>
                      <w:sz w:val="21"/>
                      <w:szCs w:val="21"/>
                      <w:highlight w:val="none"/>
                      <w:vertAlign w:val="baseline"/>
                      <w:lang w:val="en-US" w:eastAsia="zh-CN" w:bidi="ar-SA"/>
                    </w:rPr>
                  </w:pPr>
                  <w:r>
                    <w:rPr>
                      <w:rFonts w:hint="eastAsia" w:cs="Times New Roman"/>
                      <w:b/>
                      <w:bCs/>
                      <w:snapToGrid w:val="0"/>
                      <w:color w:val="0000FF"/>
                      <w:spacing w:val="0"/>
                      <w:w w:val="100"/>
                      <w:kern w:val="2"/>
                      <w:position w:val="0"/>
                      <w:sz w:val="21"/>
                      <w:szCs w:val="21"/>
                      <w:highlight w:val="none"/>
                      <w:vertAlign w:val="baseline"/>
                      <w:lang w:val="en-US" w:eastAsia="zh-CN" w:bidi="ar-SA"/>
                    </w:rPr>
                    <w:t>污染物</w:t>
                  </w:r>
                </w:p>
              </w:tc>
              <w:tc>
                <w:tcPr>
                  <w:tcW w:w="1587" w:type="dxa"/>
                  <w:tcBorders>
                    <w:bottom w:val="single" w:color="auto" w:sz="12" w:space="0"/>
                  </w:tcBorders>
                </w:tcPr>
                <w:p>
                  <w:pPr>
                    <w:pStyle w:val="40"/>
                    <w:keepNext w:val="0"/>
                    <w:keepLines w:val="0"/>
                    <w:pageBreakBefore w:val="0"/>
                    <w:kinsoku/>
                    <w:wordWrap/>
                    <w:overflowPunct/>
                    <w:topLinePunct w:val="0"/>
                    <w:bidi w:val="0"/>
                    <w:spacing w:line="240" w:lineRule="auto"/>
                    <w:rPr>
                      <w:rFonts w:hint="default" w:cs="Times New Roman"/>
                      <w:b/>
                      <w:bCs/>
                      <w:snapToGrid w:val="0"/>
                      <w:color w:val="0000FF"/>
                      <w:spacing w:val="0"/>
                      <w:w w:val="100"/>
                      <w:kern w:val="2"/>
                      <w:position w:val="0"/>
                      <w:sz w:val="21"/>
                      <w:szCs w:val="21"/>
                      <w:highlight w:val="none"/>
                      <w:vertAlign w:val="baseline"/>
                      <w:lang w:val="en-US" w:eastAsia="zh-CN" w:bidi="ar-SA"/>
                    </w:rPr>
                  </w:pPr>
                  <w:r>
                    <w:rPr>
                      <w:rFonts w:hint="eastAsia" w:cs="Times New Roman"/>
                      <w:b/>
                      <w:bCs/>
                      <w:snapToGrid w:val="0"/>
                      <w:color w:val="0000FF"/>
                      <w:spacing w:val="0"/>
                      <w:w w:val="100"/>
                      <w:kern w:val="2"/>
                      <w:position w:val="0"/>
                      <w:sz w:val="21"/>
                      <w:szCs w:val="21"/>
                      <w:highlight w:val="none"/>
                      <w:vertAlign w:val="baseline"/>
                      <w:lang w:val="en-US" w:eastAsia="zh-CN" w:bidi="ar-SA"/>
                    </w:rPr>
                    <w:t>初始浓度mg/L</w:t>
                  </w:r>
                </w:p>
              </w:tc>
              <w:tc>
                <w:tcPr>
                  <w:tcW w:w="1587" w:type="dxa"/>
                  <w:tcBorders>
                    <w:bottom w:val="single" w:color="auto" w:sz="12" w:space="0"/>
                  </w:tcBorders>
                </w:tcPr>
                <w:p>
                  <w:pPr>
                    <w:pStyle w:val="40"/>
                    <w:keepNext w:val="0"/>
                    <w:keepLines w:val="0"/>
                    <w:pageBreakBefore w:val="0"/>
                    <w:kinsoku/>
                    <w:wordWrap/>
                    <w:overflowPunct/>
                    <w:topLinePunct w:val="0"/>
                    <w:bidi w:val="0"/>
                    <w:spacing w:line="240" w:lineRule="auto"/>
                    <w:rPr>
                      <w:rFonts w:hint="default" w:cs="Times New Roman"/>
                      <w:b/>
                      <w:bCs/>
                      <w:snapToGrid w:val="0"/>
                      <w:color w:val="0000FF"/>
                      <w:spacing w:val="0"/>
                      <w:w w:val="100"/>
                      <w:kern w:val="2"/>
                      <w:position w:val="0"/>
                      <w:sz w:val="21"/>
                      <w:szCs w:val="21"/>
                      <w:highlight w:val="none"/>
                      <w:vertAlign w:val="baseline"/>
                      <w:lang w:val="en-US" w:eastAsia="zh-CN" w:bidi="ar-SA"/>
                    </w:rPr>
                  </w:pPr>
                  <w:r>
                    <w:rPr>
                      <w:rFonts w:hint="eastAsia" w:cs="Times New Roman"/>
                      <w:b/>
                      <w:bCs/>
                      <w:snapToGrid w:val="0"/>
                      <w:color w:val="0000FF"/>
                      <w:spacing w:val="0"/>
                      <w:w w:val="100"/>
                      <w:kern w:val="2"/>
                      <w:position w:val="0"/>
                      <w:sz w:val="21"/>
                      <w:szCs w:val="21"/>
                      <w:highlight w:val="none"/>
                      <w:vertAlign w:val="baseline"/>
                      <w:lang w:val="en-US" w:eastAsia="zh-CN" w:bidi="ar-SA"/>
                    </w:rPr>
                    <w:t>产生量t/a</w:t>
                  </w:r>
                </w:p>
              </w:tc>
              <w:tc>
                <w:tcPr>
                  <w:tcW w:w="1587" w:type="dxa"/>
                  <w:tcBorders>
                    <w:bottom w:val="single" w:color="auto" w:sz="12" w:space="0"/>
                  </w:tcBorders>
                </w:tcPr>
                <w:p>
                  <w:pPr>
                    <w:pStyle w:val="40"/>
                    <w:keepNext w:val="0"/>
                    <w:keepLines w:val="0"/>
                    <w:pageBreakBefore w:val="0"/>
                    <w:kinsoku/>
                    <w:wordWrap/>
                    <w:overflowPunct/>
                    <w:topLinePunct w:val="0"/>
                    <w:bidi w:val="0"/>
                    <w:spacing w:line="240" w:lineRule="auto"/>
                    <w:rPr>
                      <w:rFonts w:hint="default" w:cs="Times New Roman"/>
                      <w:b/>
                      <w:bCs/>
                      <w:snapToGrid w:val="0"/>
                      <w:color w:val="0000FF"/>
                      <w:spacing w:val="0"/>
                      <w:w w:val="100"/>
                      <w:kern w:val="2"/>
                      <w:position w:val="0"/>
                      <w:sz w:val="21"/>
                      <w:szCs w:val="21"/>
                      <w:highlight w:val="none"/>
                      <w:vertAlign w:val="baseline"/>
                      <w:lang w:val="en-US" w:eastAsia="zh-CN" w:bidi="ar-SA"/>
                    </w:rPr>
                  </w:pPr>
                  <w:r>
                    <w:rPr>
                      <w:rFonts w:hint="eastAsia" w:cs="Times New Roman"/>
                      <w:b/>
                      <w:bCs/>
                      <w:snapToGrid w:val="0"/>
                      <w:color w:val="0000FF"/>
                      <w:spacing w:val="0"/>
                      <w:w w:val="100"/>
                      <w:kern w:val="2"/>
                      <w:position w:val="0"/>
                      <w:sz w:val="21"/>
                      <w:szCs w:val="21"/>
                      <w:highlight w:val="none"/>
                      <w:vertAlign w:val="baseline"/>
                      <w:lang w:val="en-US" w:eastAsia="zh-CN" w:bidi="ar-SA"/>
                    </w:rPr>
                    <w:t>排放浓度mg/L</w:t>
                  </w:r>
                </w:p>
              </w:tc>
              <w:tc>
                <w:tcPr>
                  <w:tcW w:w="1587" w:type="dxa"/>
                  <w:tcBorders>
                    <w:bottom w:val="single" w:color="auto" w:sz="12" w:space="0"/>
                  </w:tcBorders>
                </w:tcPr>
                <w:p>
                  <w:pPr>
                    <w:pStyle w:val="40"/>
                    <w:keepNext w:val="0"/>
                    <w:keepLines w:val="0"/>
                    <w:pageBreakBefore w:val="0"/>
                    <w:kinsoku/>
                    <w:wordWrap/>
                    <w:overflowPunct/>
                    <w:topLinePunct w:val="0"/>
                    <w:bidi w:val="0"/>
                    <w:spacing w:line="240" w:lineRule="auto"/>
                    <w:rPr>
                      <w:rFonts w:hint="default" w:cs="Times New Roman"/>
                      <w:b/>
                      <w:bCs/>
                      <w:snapToGrid w:val="0"/>
                      <w:color w:val="0000FF"/>
                      <w:spacing w:val="0"/>
                      <w:w w:val="100"/>
                      <w:kern w:val="2"/>
                      <w:position w:val="0"/>
                      <w:sz w:val="21"/>
                      <w:szCs w:val="21"/>
                      <w:highlight w:val="none"/>
                      <w:vertAlign w:val="baseline"/>
                      <w:lang w:val="en-US" w:eastAsia="zh-CN" w:bidi="ar-SA"/>
                    </w:rPr>
                  </w:pPr>
                  <w:r>
                    <w:rPr>
                      <w:rFonts w:hint="eastAsia" w:cs="Times New Roman"/>
                      <w:b/>
                      <w:bCs/>
                      <w:snapToGrid w:val="0"/>
                      <w:color w:val="0000FF"/>
                      <w:spacing w:val="0"/>
                      <w:w w:val="100"/>
                      <w:kern w:val="2"/>
                      <w:position w:val="0"/>
                      <w:sz w:val="21"/>
                      <w:szCs w:val="21"/>
                      <w:highlight w:val="none"/>
                      <w:vertAlign w:val="baseline"/>
                      <w:lang w:val="en-US" w:eastAsia="zh-CN" w:bidi="ar-SA"/>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6" w:type="dxa"/>
                  <w:tcBorders>
                    <w:top w:val="single" w:color="auto" w:sz="12" w:space="0"/>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CODcr</w:t>
                  </w:r>
                </w:p>
              </w:tc>
              <w:tc>
                <w:tcPr>
                  <w:tcW w:w="1587" w:type="dxa"/>
                  <w:tcBorders>
                    <w:top w:val="single" w:color="auto" w:sz="12" w:space="0"/>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400</w:t>
                  </w:r>
                </w:p>
              </w:tc>
              <w:tc>
                <w:tcPr>
                  <w:tcW w:w="1587" w:type="dxa"/>
                  <w:tcBorders>
                    <w:top w:val="single" w:color="auto" w:sz="12" w:space="0"/>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1.02</w:t>
                  </w:r>
                </w:p>
              </w:tc>
              <w:tc>
                <w:tcPr>
                  <w:tcW w:w="1587" w:type="dxa"/>
                  <w:tcBorders>
                    <w:top w:val="single" w:color="auto" w:sz="12" w:space="0"/>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150</w:t>
                  </w:r>
                </w:p>
              </w:tc>
              <w:tc>
                <w:tcPr>
                  <w:tcW w:w="1587" w:type="dxa"/>
                  <w:tcBorders>
                    <w:top w:val="single" w:color="auto" w:sz="12" w:space="0"/>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6"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BOD</w:t>
                  </w:r>
                  <w:r>
                    <w:rPr>
                      <w:rFonts w:hint="eastAsia" w:cs="Times New Roman"/>
                      <w:b w:val="0"/>
                      <w:bCs w:val="0"/>
                      <w:snapToGrid w:val="0"/>
                      <w:color w:val="0000FF"/>
                      <w:spacing w:val="0"/>
                      <w:w w:val="100"/>
                      <w:kern w:val="2"/>
                      <w:position w:val="0"/>
                      <w:sz w:val="21"/>
                      <w:szCs w:val="21"/>
                      <w:highlight w:val="none"/>
                      <w:vertAlign w:val="subscript"/>
                      <w:lang w:val="en-US" w:eastAsia="zh-CN" w:bidi="ar-SA"/>
                    </w:rPr>
                    <w:t>5</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250</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0.64</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30</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6"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SS</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300</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0.77</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150</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6"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NH</w:t>
                  </w:r>
                  <w:r>
                    <w:rPr>
                      <w:rFonts w:hint="eastAsia" w:cs="Times New Roman"/>
                      <w:b w:val="0"/>
                      <w:bCs w:val="0"/>
                      <w:snapToGrid w:val="0"/>
                      <w:color w:val="0000FF"/>
                      <w:spacing w:val="0"/>
                      <w:w w:val="100"/>
                      <w:kern w:val="2"/>
                      <w:position w:val="0"/>
                      <w:sz w:val="21"/>
                      <w:szCs w:val="21"/>
                      <w:highlight w:val="none"/>
                      <w:vertAlign w:val="subscript"/>
                      <w:lang w:val="en-US" w:eastAsia="zh-CN" w:bidi="ar-SA"/>
                    </w:rPr>
                    <w:t>3</w:t>
                  </w:r>
                  <w:r>
                    <w:rPr>
                      <w:rFonts w:hint="eastAsia" w:cs="Times New Roman"/>
                      <w:b w:val="0"/>
                      <w:bCs w:val="0"/>
                      <w:snapToGrid w:val="0"/>
                      <w:color w:val="0000FF"/>
                      <w:spacing w:val="0"/>
                      <w:w w:val="100"/>
                      <w:kern w:val="2"/>
                      <w:position w:val="0"/>
                      <w:sz w:val="21"/>
                      <w:szCs w:val="21"/>
                      <w:highlight w:val="none"/>
                      <w:vertAlign w:val="baseline"/>
                      <w:lang w:val="en-US" w:eastAsia="zh-CN" w:bidi="ar-SA"/>
                    </w:rPr>
                    <w:t>-N</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35</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0.09</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25</w:t>
                  </w:r>
                </w:p>
              </w:tc>
              <w:tc>
                <w:tcPr>
                  <w:tcW w:w="1587" w:type="dxa"/>
                  <w:tcBorders>
                    <w:tl2br w:val="nil"/>
                    <w:tr2bl w:val="nil"/>
                  </w:tcBorders>
                </w:tcPr>
                <w:p>
                  <w:pPr>
                    <w:pStyle w:val="40"/>
                    <w:keepNext w:val="0"/>
                    <w:keepLines w:val="0"/>
                    <w:pageBreakBefore w:val="0"/>
                    <w:kinsoku/>
                    <w:wordWrap/>
                    <w:overflowPunct/>
                    <w:topLinePunct w:val="0"/>
                    <w:bidi w:val="0"/>
                    <w:spacing w:line="240" w:lineRule="auto"/>
                    <w:rPr>
                      <w:rFonts w:hint="default" w:cs="Times New Roman"/>
                      <w:b w:val="0"/>
                      <w:bCs w:val="0"/>
                      <w:snapToGrid w:val="0"/>
                      <w:color w:val="0000FF"/>
                      <w:spacing w:val="0"/>
                      <w:w w:val="100"/>
                      <w:kern w:val="2"/>
                      <w:position w:val="0"/>
                      <w:sz w:val="21"/>
                      <w:szCs w:val="21"/>
                      <w:highlight w:val="none"/>
                      <w:vertAlign w:val="baseline"/>
                      <w:lang w:val="en-US" w:eastAsia="zh-CN" w:bidi="ar-SA"/>
                    </w:rPr>
                  </w:pPr>
                  <w:r>
                    <w:rPr>
                      <w:rFonts w:hint="eastAsia" w:cs="Times New Roman"/>
                      <w:b w:val="0"/>
                      <w:bCs w:val="0"/>
                      <w:snapToGrid w:val="0"/>
                      <w:color w:val="0000FF"/>
                      <w:spacing w:val="0"/>
                      <w:w w:val="100"/>
                      <w:kern w:val="2"/>
                      <w:position w:val="0"/>
                      <w:sz w:val="21"/>
                      <w:szCs w:val="21"/>
                      <w:highlight w:val="none"/>
                      <w:vertAlign w:val="baseline"/>
                      <w:lang w:val="en-US" w:eastAsia="zh-CN" w:bidi="ar-SA"/>
                    </w:rPr>
                    <w:t>0.06</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FF"/>
                <w:sz w:val="24"/>
                <w:szCs w:val="24"/>
                <w:highlight w:val="none"/>
                <w:lang w:val="en-US" w:eastAsia="zh-CN"/>
              </w:rPr>
            </w:pPr>
            <w:r>
              <w:rPr>
                <w:rFonts w:hint="eastAsia" w:ascii="Times New Roman" w:hAnsi="Times New Roman" w:eastAsia="宋体" w:cs="Times New Roman"/>
                <w:b/>
                <w:bCs w:val="0"/>
                <w:color w:val="0000FF"/>
                <w:sz w:val="24"/>
                <w:szCs w:val="24"/>
                <w:highlight w:val="none"/>
                <w:lang w:val="en-US" w:eastAsia="zh-CN"/>
              </w:rPr>
              <w:t>2.3</w:t>
            </w:r>
            <w:r>
              <w:rPr>
                <w:rFonts w:hint="default" w:ascii="Times New Roman" w:hAnsi="Times New Roman" w:eastAsia="宋体" w:cs="Times New Roman"/>
                <w:b/>
                <w:bCs w:val="0"/>
                <w:color w:val="0000FF"/>
                <w:sz w:val="24"/>
                <w:szCs w:val="24"/>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0000FF"/>
                <w:kern w:val="2"/>
                <w:sz w:val="24"/>
                <w:szCs w:val="24"/>
                <w:highlight w:val="none"/>
                <w:lang w:val="en-US" w:eastAsia="zh-CN" w:bidi="ar-SA"/>
              </w:rPr>
            </w:pPr>
            <w:r>
              <w:rPr>
                <w:rFonts w:hint="eastAsia" w:ascii="Times New Roman" w:hAnsi="Times New Roman" w:eastAsia="宋体" w:cs="Times New Roman"/>
                <w:bCs/>
                <w:color w:val="0000FF"/>
                <w:kern w:val="2"/>
                <w:sz w:val="24"/>
                <w:szCs w:val="24"/>
                <w:highlight w:val="none"/>
                <w:lang w:val="en-US" w:eastAsia="zh-CN" w:bidi="ar-SA"/>
              </w:rPr>
              <w:t>本项目现有工程</w:t>
            </w:r>
            <w:r>
              <w:rPr>
                <w:rFonts w:hint="default" w:ascii="Times New Roman" w:hAnsi="Times New Roman" w:eastAsia="宋体" w:cs="Times New Roman"/>
                <w:bCs/>
                <w:color w:val="0000FF"/>
                <w:kern w:val="2"/>
                <w:sz w:val="24"/>
                <w:szCs w:val="24"/>
                <w:highlight w:val="none"/>
                <w:lang w:val="en-US" w:eastAsia="zh-CN" w:bidi="ar-SA"/>
              </w:rPr>
              <w:t>噪声主要为切割机、冲压机、磨床、焊机、风机等设备产生的机械噪声</w:t>
            </w:r>
            <w:r>
              <w:rPr>
                <w:rFonts w:hint="eastAsia" w:ascii="Times New Roman" w:hAnsi="Times New Roman" w:eastAsia="宋体" w:cs="Times New Roman"/>
                <w:bCs/>
                <w:color w:val="0000FF"/>
                <w:kern w:val="2"/>
                <w:sz w:val="24"/>
                <w:szCs w:val="24"/>
                <w:highlight w:val="none"/>
                <w:lang w:val="en-US" w:eastAsia="zh-CN" w:bidi="ar-SA"/>
              </w:rPr>
              <w:t>，设备选购低噪声设备，厂房墙壁、门窗具有隔音效果。</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FF"/>
                <w:sz w:val="24"/>
                <w:szCs w:val="24"/>
                <w:highlight w:val="none"/>
                <w:lang w:val="en-US" w:eastAsia="zh-CN"/>
              </w:rPr>
            </w:pPr>
            <w:r>
              <w:rPr>
                <w:rFonts w:hint="eastAsia" w:ascii="Times New Roman" w:hAnsi="Times New Roman" w:eastAsia="宋体" w:cs="Times New Roman"/>
                <w:b/>
                <w:bCs w:val="0"/>
                <w:color w:val="0000FF"/>
                <w:sz w:val="24"/>
                <w:szCs w:val="24"/>
                <w:highlight w:val="none"/>
                <w:lang w:val="en-US" w:eastAsia="zh-CN"/>
              </w:rPr>
              <w:t>2.4</w:t>
            </w:r>
            <w:r>
              <w:rPr>
                <w:rFonts w:hint="default" w:ascii="Times New Roman" w:hAnsi="Times New Roman" w:eastAsia="宋体" w:cs="Times New Roman"/>
                <w:b/>
                <w:bCs w:val="0"/>
                <w:color w:val="0000FF"/>
                <w:sz w:val="24"/>
                <w:szCs w:val="24"/>
                <w:highlight w:val="none"/>
                <w:lang w:val="en-US" w:eastAsia="zh-CN"/>
              </w:rPr>
              <w:t>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FF"/>
                <w:kern w:val="2"/>
                <w:sz w:val="24"/>
                <w:szCs w:val="24"/>
                <w:highlight w:val="none"/>
                <w:lang w:val="en-US" w:eastAsia="zh-CN" w:bidi="ar-SA"/>
              </w:rPr>
            </w:pPr>
            <w:r>
              <w:rPr>
                <w:rFonts w:hint="default" w:ascii="Times New Roman" w:hAnsi="Times New Roman" w:eastAsia="宋体" w:cs="Times New Roman"/>
                <w:bCs/>
                <w:color w:val="0000FF"/>
                <w:kern w:val="2"/>
                <w:sz w:val="24"/>
                <w:szCs w:val="24"/>
                <w:highlight w:val="none"/>
                <w:lang w:val="en-US" w:eastAsia="zh-CN" w:bidi="ar-SA"/>
              </w:rPr>
              <w:t>本项目</w:t>
            </w:r>
            <w:r>
              <w:rPr>
                <w:rFonts w:hint="eastAsia" w:ascii="Times New Roman" w:hAnsi="Times New Roman" w:eastAsia="宋体" w:cs="Times New Roman"/>
                <w:bCs/>
                <w:color w:val="0000FF"/>
                <w:kern w:val="2"/>
                <w:sz w:val="24"/>
                <w:szCs w:val="24"/>
                <w:highlight w:val="none"/>
                <w:lang w:val="en-US" w:eastAsia="zh-CN" w:bidi="ar-SA"/>
              </w:rPr>
              <w:t>现有工程</w:t>
            </w:r>
            <w:r>
              <w:rPr>
                <w:rFonts w:hint="default" w:ascii="Times New Roman" w:hAnsi="Times New Roman" w:eastAsia="宋体" w:cs="Times New Roman"/>
                <w:bCs/>
                <w:color w:val="0000FF"/>
                <w:kern w:val="2"/>
                <w:sz w:val="24"/>
                <w:szCs w:val="24"/>
                <w:highlight w:val="none"/>
                <w:lang w:val="en-US" w:eastAsia="zh-CN" w:bidi="ar-SA"/>
              </w:rPr>
              <w:t>固体废物主要来源于切割边角料、废金属屑、焊渣、包装材料以及工作人员产生的生活垃圾。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FF"/>
                <w:kern w:val="2"/>
                <w:sz w:val="24"/>
                <w:szCs w:val="24"/>
                <w:highlight w:val="none"/>
                <w:lang w:val="en-US" w:eastAsia="zh-CN" w:bidi="ar-SA"/>
              </w:rPr>
            </w:pPr>
            <w:r>
              <w:rPr>
                <w:rFonts w:hint="eastAsia" w:ascii="Times New Roman" w:hAnsi="Times New Roman" w:eastAsia="宋体" w:cs="Times New Roman"/>
                <w:bCs/>
                <w:color w:val="0000FF"/>
                <w:kern w:val="2"/>
                <w:sz w:val="24"/>
                <w:szCs w:val="24"/>
                <w:highlight w:val="none"/>
                <w:lang w:val="en-US" w:eastAsia="zh-CN" w:bidi="ar-SA"/>
              </w:rPr>
              <w:t>一般固废：</w:t>
            </w:r>
            <w:r>
              <w:rPr>
                <w:rFonts w:hint="default" w:ascii="Times New Roman" w:hAnsi="Times New Roman" w:eastAsia="宋体" w:cs="Times New Roman"/>
                <w:bCs/>
                <w:color w:val="0000FF"/>
                <w:kern w:val="2"/>
                <w:sz w:val="24"/>
                <w:szCs w:val="24"/>
                <w:highlight w:val="none"/>
                <w:lang w:val="en-US" w:eastAsia="zh-CN" w:bidi="ar-SA"/>
              </w:rPr>
              <w:t>切割边角料、废金属屑产生量为15t</w:t>
            </w:r>
            <w:r>
              <w:rPr>
                <w:rFonts w:hint="eastAsia" w:ascii="Times New Roman" w:hAnsi="Times New Roman" w:eastAsia="宋体"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a</w:t>
            </w:r>
            <w:r>
              <w:rPr>
                <w:rFonts w:hint="eastAsia" w:ascii="Times New Roman" w:hAnsi="Times New Roman" w:eastAsia="宋体"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各类废弃包装材料产生约2t</w:t>
            </w:r>
            <w:r>
              <w:rPr>
                <w:rFonts w:hint="eastAsia" w:ascii="Times New Roman" w:hAnsi="Times New Roman" w:eastAsia="宋体"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a</w:t>
            </w:r>
            <w:r>
              <w:rPr>
                <w:rFonts w:hint="eastAsia" w:ascii="Times New Roman" w:hAnsi="Times New Roman" w:eastAsia="宋体"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焊接车间产生的焊渣产生量为0.2t</w:t>
            </w:r>
            <w:r>
              <w:rPr>
                <w:rFonts w:hint="eastAsia" w:ascii="Times New Roman" w:hAnsi="Times New Roman" w:eastAsia="宋体"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a</w:t>
            </w:r>
            <w:r>
              <w:rPr>
                <w:rFonts w:hint="eastAsia" w:ascii="Times New Roman" w:hAnsi="Times New Roman" w:eastAsia="宋体"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全部作为废品出售，综合利用不外排。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FF"/>
                <w:lang w:val="en-US" w:eastAsia="zh-CN"/>
              </w:rPr>
            </w:pPr>
            <w:r>
              <w:rPr>
                <w:rFonts w:hint="eastAsia" w:ascii="Times New Roman" w:hAnsi="Times New Roman" w:eastAsia="宋体" w:cs="Times New Roman"/>
                <w:bCs/>
                <w:color w:val="0000FF"/>
                <w:kern w:val="2"/>
                <w:sz w:val="24"/>
                <w:szCs w:val="24"/>
                <w:highlight w:val="none"/>
                <w:lang w:val="en-US" w:eastAsia="zh-CN" w:bidi="ar-SA"/>
              </w:rPr>
              <w:t>生活垃圾：产生量为30t/a，</w:t>
            </w:r>
            <w:r>
              <w:rPr>
                <w:rFonts w:hint="default" w:ascii="Times New Roman" w:hAnsi="Times New Roman" w:eastAsia="宋体" w:cs="Times New Roman"/>
                <w:bCs/>
                <w:color w:val="0000FF"/>
                <w:kern w:val="2"/>
                <w:sz w:val="24"/>
                <w:szCs w:val="24"/>
                <w:highlight w:val="none"/>
                <w:lang w:val="en-US" w:eastAsia="zh-CN" w:bidi="ar-SA"/>
              </w:rPr>
              <w:t>在厂区内定点统一收集后</w:t>
            </w:r>
            <w:r>
              <w:rPr>
                <w:rFonts w:hint="eastAsia" w:cs="Times New Roman"/>
                <w:bCs/>
                <w:color w:val="0000FF"/>
                <w:kern w:val="2"/>
                <w:sz w:val="24"/>
                <w:szCs w:val="24"/>
                <w:highlight w:val="none"/>
                <w:lang w:val="en-US" w:eastAsia="zh-CN" w:bidi="ar-SA"/>
              </w:rPr>
              <w:t>交给</w:t>
            </w:r>
            <w:r>
              <w:rPr>
                <w:rFonts w:hint="default" w:ascii="Times New Roman" w:hAnsi="Times New Roman" w:eastAsia="宋体" w:cs="Times New Roman"/>
                <w:bCs/>
                <w:color w:val="0000FF"/>
                <w:kern w:val="2"/>
                <w:sz w:val="24"/>
                <w:szCs w:val="24"/>
                <w:highlight w:val="none"/>
                <w:lang w:val="en-US" w:eastAsia="zh-CN" w:bidi="ar-SA"/>
              </w:rPr>
              <w:t>园区垃圾处理站，最终运往昌吉市生活垃圾填埋场处置</w:t>
            </w:r>
            <w:r>
              <w:rPr>
                <w:rFonts w:hint="eastAsia" w:ascii="Times New Roman" w:hAnsi="Times New Roman" w:eastAsia="宋体" w:cs="Times New Roman"/>
                <w:bCs/>
                <w:color w:val="0000FF"/>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0000FF"/>
                <w:sz w:val="24"/>
                <w:szCs w:val="24"/>
                <w:highlight w:val="none"/>
                <w:lang w:val="en-US" w:eastAsia="zh-CN"/>
              </w:rPr>
            </w:pPr>
            <w:r>
              <w:rPr>
                <w:rFonts w:hint="eastAsia" w:ascii="Times New Roman" w:hAnsi="Times New Roman" w:eastAsia="宋体" w:cs="Times New Roman"/>
                <w:b/>
                <w:bCs w:val="0"/>
                <w:color w:val="0000FF"/>
                <w:sz w:val="24"/>
                <w:szCs w:val="24"/>
                <w:highlight w:val="none"/>
                <w:lang w:val="en-US" w:eastAsia="zh-CN"/>
              </w:rPr>
              <w:t>3.现有工程污染物实际排放总量</w:t>
            </w:r>
          </w:p>
          <w:p>
            <w:pPr>
              <w:pStyle w:val="71"/>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Cs/>
                <w:color w:val="0000FF"/>
                <w:kern w:val="2"/>
                <w:sz w:val="24"/>
                <w:szCs w:val="24"/>
                <w:highlight w:val="none"/>
                <w:lang w:val="en-US" w:eastAsia="zh-CN" w:bidi="ar-SA"/>
              </w:rPr>
            </w:pPr>
            <w:r>
              <w:rPr>
                <w:rFonts w:hint="eastAsia" w:ascii="Times New Roman" w:hAnsi="Times New Roman" w:eastAsia="宋体" w:cs="Times New Roman"/>
                <w:bCs/>
                <w:color w:val="0000FF"/>
                <w:kern w:val="2"/>
                <w:sz w:val="24"/>
                <w:szCs w:val="24"/>
                <w:highlight w:val="none"/>
                <w:lang w:val="en-US" w:eastAsia="zh-CN" w:bidi="ar-SA"/>
              </w:rPr>
              <w:t>现有工程污染物实际排放总量详见表2-6。</w:t>
            </w:r>
          </w:p>
          <w:p>
            <w:pPr>
              <w:pStyle w:val="34"/>
              <w:spacing w:line="240" w:lineRule="auto"/>
              <w:ind w:left="0" w:leftChars="0" w:firstLine="0" w:firstLineChars="0"/>
              <w:jc w:val="center"/>
              <w:rPr>
                <w:rFonts w:hint="default" w:ascii="Times New Roman" w:hAnsi="Times New Roman" w:eastAsia="宋体" w:cs="Times New Roman"/>
                <w:b/>
                <w:bCs/>
                <w:snapToGrid w:val="0"/>
                <w:color w:val="0000FF"/>
                <w:spacing w:val="0"/>
                <w:w w:val="100"/>
                <w:kern w:val="2"/>
                <w:position w:val="0"/>
                <w:sz w:val="21"/>
                <w:szCs w:val="21"/>
                <w:highlight w:val="none"/>
                <w:lang w:val="en-US" w:eastAsia="zh-CN" w:bidi="ar-SA"/>
              </w:rPr>
            </w:pPr>
            <w:r>
              <w:rPr>
                <w:rFonts w:hint="eastAsia" w:ascii="Times New Roman" w:hAnsi="Times New Roman" w:eastAsia="宋体" w:cs="Times New Roman"/>
                <w:b/>
                <w:bCs/>
                <w:snapToGrid w:val="0"/>
                <w:color w:val="0000FF"/>
                <w:spacing w:val="0"/>
                <w:w w:val="100"/>
                <w:kern w:val="2"/>
                <w:position w:val="0"/>
                <w:sz w:val="21"/>
                <w:szCs w:val="21"/>
                <w:highlight w:val="none"/>
                <w:lang w:val="en-US" w:eastAsia="zh-CN" w:bidi="ar-SA"/>
              </w:rPr>
              <w:t>表2-</w:t>
            </w:r>
            <w:r>
              <w:rPr>
                <w:rFonts w:hint="eastAsia" w:ascii="Times New Roman" w:hAnsi="Times New Roman" w:cs="Times New Roman"/>
                <w:b/>
                <w:bCs/>
                <w:snapToGrid w:val="0"/>
                <w:color w:val="0000FF"/>
                <w:spacing w:val="0"/>
                <w:w w:val="100"/>
                <w:kern w:val="2"/>
                <w:position w:val="0"/>
                <w:sz w:val="21"/>
                <w:szCs w:val="21"/>
                <w:highlight w:val="none"/>
                <w:lang w:val="en-US" w:eastAsia="zh-CN" w:bidi="ar-SA"/>
              </w:rPr>
              <w:t>6</w:t>
            </w:r>
            <w:r>
              <w:rPr>
                <w:rFonts w:hint="eastAsia" w:ascii="Times New Roman" w:hAnsi="Times New Roman" w:eastAsia="宋体" w:cs="Times New Roman"/>
                <w:b/>
                <w:bCs/>
                <w:snapToGrid w:val="0"/>
                <w:color w:val="0000FF"/>
                <w:spacing w:val="0"/>
                <w:w w:val="100"/>
                <w:kern w:val="2"/>
                <w:position w:val="0"/>
                <w:sz w:val="21"/>
                <w:szCs w:val="21"/>
                <w:highlight w:val="none"/>
                <w:lang w:val="en-US" w:eastAsia="zh-CN" w:bidi="ar-SA"/>
              </w:rPr>
              <w:t xml:space="preserve">        现有工程污染物排放总量一览表</w:t>
            </w:r>
          </w:p>
          <w:tbl>
            <w:tblPr>
              <w:tblStyle w:val="24"/>
              <w:tblW w:w="799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31"/>
              <w:gridCol w:w="1132"/>
              <w:gridCol w:w="1265"/>
              <w:gridCol w:w="36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 w:type="dxa"/>
                  <w:tcBorders>
                    <w:top w:val="single" w:color="auto" w:sz="12" w:space="0"/>
                  </w:tcBorders>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类别</w:t>
                  </w:r>
                </w:p>
              </w:tc>
              <w:tc>
                <w:tcPr>
                  <w:tcW w:w="2263" w:type="dxa"/>
                  <w:gridSpan w:val="2"/>
                  <w:tcBorders>
                    <w:top w:val="single" w:color="auto" w:sz="12" w:space="0"/>
                  </w:tcBorders>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污染物</w:t>
                  </w:r>
                </w:p>
              </w:tc>
              <w:tc>
                <w:tcPr>
                  <w:tcW w:w="1265" w:type="dxa"/>
                  <w:tcBorders>
                    <w:top w:val="single" w:color="auto" w:sz="12" w:space="0"/>
                  </w:tcBorders>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排放量t/a</w:t>
                  </w:r>
                </w:p>
              </w:tc>
              <w:tc>
                <w:tcPr>
                  <w:tcW w:w="3650" w:type="dxa"/>
                  <w:tcBorders>
                    <w:top w:val="single" w:color="auto" w:sz="12" w:space="0"/>
                  </w:tcBorders>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处置方法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19" w:type="dxa"/>
                  <w:vMerge w:val="restart"/>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废气</w:t>
                  </w:r>
                </w:p>
              </w:tc>
              <w:tc>
                <w:tcPr>
                  <w:tcW w:w="2263" w:type="dxa"/>
                  <w:gridSpan w:val="2"/>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电焊烟气</w:t>
                  </w:r>
                </w:p>
              </w:tc>
              <w:tc>
                <w:tcPr>
                  <w:tcW w:w="1265" w:type="dxa"/>
                  <w:noWrap w:val="0"/>
                  <w:vAlign w:val="center"/>
                </w:tcPr>
                <w:p>
                  <w:pPr>
                    <w:pStyle w:val="40"/>
                    <w:keepNext w:val="0"/>
                    <w:keepLines w:val="0"/>
                    <w:pageBreakBefore w:val="0"/>
                    <w:kinsoku/>
                    <w:wordWrap/>
                    <w:overflowPunct/>
                    <w:topLinePunct w:val="0"/>
                    <w:bidi w:val="0"/>
                    <w:spacing w:line="240" w:lineRule="auto"/>
                    <w:rPr>
                      <w:rFonts w:hint="default"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0.032</w:t>
                  </w:r>
                </w:p>
              </w:tc>
              <w:tc>
                <w:tcPr>
                  <w:tcW w:w="3650"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移动式静电电焊烟气净化设备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19" w:type="dxa"/>
                  <w:vMerge w:val="continue"/>
                  <w:noWrap w:val="0"/>
                  <w:vAlign w:val="center"/>
                </w:tcPr>
                <w:p>
                  <w:pPr>
                    <w:pStyle w:val="40"/>
                    <w:keepNext w:val="0"/>
                    <w:keepLines w:val="0"/>
                    <w:pageBreakBefore w:val="0"/>
                    <w:kinsoku/>
                    <w:wordWrap/>
                    <w:overflowPunct/>
                    <w:topLinePunct w:val="0"/>
                    <w:bidi w:val="0"/>
                    <w:spacing w:line="240" w:lineRule="auto"/>
                    <w:rPr>
                      <w:color w:val="0000FF"/>
                    </w:rPr>
                  </w:pPr>
                </w:p>
              </w:tc>
              <w:tc>
                <w:tcPr>
                  <w:tcW w:w="2263" w:type="dxa"/>
                  <w:gridSpan w:val="2"/>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喷漆废气</w:t>
                  </w:r>
                </w:p>
              </w:tc>
              <w:tc>
                <w:tcPr>
                  <w:tcW w:w="1265"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w:t>
                  </w:r>
                </w:p>
              </w:tc>
              <w:tc>
                <w:tcPr>
                  <w:tcW w:w="3650"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外包委托其他单位进行，因此本项目中无喷漆废气产生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19" w:type="dxa"/>
                  <w:vMerge w:val="continue"/>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p>
              </w:tc>
              <w:tc>
                <w:tcPr>
                  <w:tcW w:w="2263" w:type="dxa"/>
                  <w:gridSpan w:val="2"/>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default"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金属粉尘</w:t>
                  </w:r>
                </w:p>
              </w:tc>
              <w:tc>
                <w:tcPr>
                  <w:tcW w:w="1265" w:type="dxa"/>
                  <w:noWrap w:val="0"/>
                  <w:vAlign w:val="center"/>
                </w:tcPr>
                <w:p>
                  <w:pPr>
                    <w:pStyle w:val="40"/>
                    <w:keepNext w:val="0"/>
                    <w:keepLines w:val="0"/>
                    <w:pageBreakBefore w:val="0"/>
                    <w:kinsoku/>
                    <w:wordWrap/>
                    <w:overflowPunct/>
                    <w:topLinePunct w:val="0"/>
                    <w:bidi w:val="0"/>
                    <w:spacing w:line="240" w:lineRule="auto"/>
                    <w:rPr>
                      <w:rFonts w:hint="default"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0.017</w:t>
                  </w:r>
                </w:p>
              </w:tc>
              <w:tc>
                <w:tcPr>
                  <w:tcW w:w="3650"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烟气集成罩收集切割粉尘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19" w:type="dxa"/>
                  <w:vMerge w:val="continue"/>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p>
              </w:tc>
              <w:tc>
                <w:tcPr>
                  <w:tcW w:w="2263" w:type="dxa"/>
                  <w:gridSpan w:val="2"/>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食堂油烟废气</w:t>
                  </w:r>
                </w:p>
              </w:tc>
              <w:tc>
                <w:tcPr>
                  <w:tcW w:w="1265" w:type="dxa"/>
                  <w:noWrap w:val="0"/>
                  <w:vAlign w:val="center"/>
                </w:tcPr>
                <w:p>
                  <w:pPr>
                    <w:pStyle w:val="40"/>
                    <w:keepNext w:val="0"/>
                    <w:keepLines w:val="0"/>
                    <w:pageBreakBefore w:val="0"/>
                    <w:kinsoku/>
                    <w:wordWrap/>
                    <w:overflowPunct/>
                    <w:topLinePunct w:val="0"/>
                    <w:bidi w:val="0"/>
                    <w:spacing w:line="240" w:lineRule="auto"/>
                    <w:rPr>
                      <w:rFonts w:hint="default"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0.0024</w:t>
                  </w:r>
                </w:p>
              </w:tc>
              <w:tc>
                <w:tcPr>
                  <w:tcW w:w="3650" w:type="dxa"/>
                  <w:noWrap w:val="0"/>
                  <w:vAlign w:val="center"/>
                </w:tcPr>
                <w:p>
                  <w:pPr>
                    <w:pStyle w:val="40"/>
                    <w:keepNext w:val="0"/>
                    <w:keepLines w:val="0"/>
                    <w:pageBreakBefore w:val="0"/>
                    <w:kinsoku/>
                    <w:wordWrap/>
                    <w:overflowPunct/>
                    <w:topLinePunct w:val="0"/>
                    <w:bidi w:val="0"/>
                    <w:spacing w:line="240" w:lineRule="auto"/>
                    <w:jc w:val="cente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经净化装置处理，通过高于屋顶1m的排气简达标排放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废水</w:t>
                  </w:r>
                </w:p>
              </w:tc>
              <w:tc>
                <w:tcPr>
                  <w:tcW w:w="2263" w:type="dxa"/>
                  <w:gridSpan w:val="2"/>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生活污水</w:t>
                  </w:r>
                </w:p>
              </w:tc>
              <w:tc>
                <w:tcPr>
                  <w:tcW w:w="1265" w:type="dxa"/>
                  <w:noWrap w:val="0"/>
                  <w:vAlign w:val="center"/>
                </w:tcPr>
                <w:p>
                  <w:pPr>
                    <w:pStyle w:val="40"/>
                    <w:keepNext w:val="0"/>
                    <w:keepLines w:val="0"/>
                    <w:pageBreakBefore w:val="0"/>
                    <w:kinsoku/>
                    <w:wordWrap/>
                    <w:overflowPunct/>
                    <w:topLinePunct w:val="0"/>
                    <w:bidi w:val="0"/>
                    <w:spacing w:line="240" w:lineRule="auto"/>
                    <w:rPr>
                      <w:rFonts w:hint="default"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default"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2550</w:t>
                  </w:r>
                </w:p>
              </w:tc>
              <w:tc>
                <w:tcPr>
                  <w:tcW w:w="3650"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生活污水排入城市污水管网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噪声</w:t>
                  </w:r>
                </w:p>
              </w:tc>
              <w:tc>
                <w:tcPr>
                  <w:tcW w:w="2263" w:type="dxa"/>
                  <w:gridSpan w:val="2"/>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设备噪声</w:t>
                  </w:r>
                </w:p>
              </w:tc>
              <w:tc>
                <w:tcPr>
                  <w:tcW w:w="1265"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w:t>
                  </w:r>
                </w:p>
              </w:tc>
              <w:tc>
                <w:tcPr>
                  <w:tcW w:w="3650"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选用低噪声设备，设备基础减振，将设备均布置在室内，采取厂房隔音等措施降噪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819" w:type="dxa"/>
                  <w:vMerge w:val="restart"/>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固体废物</w:t>
                  </w:r>
                </w:p>
              </w:tc>
              <w:tc>
                <w:tcPr>
                  <w:tcW w:w="1131" w:type="dxa"/>
                  <w:vMerge w:val="restart"/>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一般固废</w:t>
                  </w:r>
                </w:p>
              </w:tc>
              <w:tc>
                <w:tcPr>
                  <w:tcW w:w="1132"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切割边角料、废金属屑</w:t>
                  </w:r>
                </w:p>
              </w:tc>
              <w:tc>
                <w:tcPr>
                  <w:tcW w:w="1265"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15</w:t>
                  </w:r>
                </w:p>
              </w:tc>
              <w:tc>
                <w:tcPr>
                  <w:tcW w:w="3650" w:type="dxa"/>
                  <w:vMerge w:val="restart"/>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全部作为废品出售，综合利用不外排。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819" w:type="dxa"/>
                  <w:vMerge w:val="continue"/>
                  <w:noWrap w:val="0"/>
                  <w:vAlign w:val="center"/>
                </w:tcPr>
                <w:p>
                  <w:pPr>
                    <w:pStyle w:val="40"/>
                    <w:keepNext w:val="0"/>
                    <w:keepLines w:val="0"/>
                    <w:pageBreakBefore w:val="0"/>
                    <w:kinsoku/>
                    <w:wordWrap/>
                    <w:overflowPunct/>
                    <w:topLinePunct w:val="0"/>
                    <w:bidi w:val="0"/>
                    <w:spacing w:line="240" w:lineRule="auto"/>
                    <w:rPr>
                      <w:color w:val="0000FF"/>
                    </w:rPr>
                  </w:pPr>
                </w:p>
              </w:tc>
              <w:tc>
                <w:tcPr>
                  <w:tcW w:w="1131" w:type="dxa"/>
                  <w:vMerge w:val="continue"/>
                  <w:noWrap w:val="0"/>
                  <w:vAlign w:val="center"/>
                </w:tcPr>
                <w:p>
                  <w:pPr>
                    <w:pStyle w:val="40"/>
                    <w:keepNext w:val="0"/>
                    <w:keepLines w:val="0"/>
                    <w:pageBreakBefore w:val="0"/>
                    <w:kinsoku/>
                    <w:wordWrap/>
                    <w:overflowPunct/>
                    <w:topLinePunct w:val="0"/>
                    <w:bidi w:val="0"/>
                    <w:spacing w:line="240" w:lineRule="auto"/>
                    <w:rPr>
                      <w:color w:val="0000FF"/>
                    </w:rPr>
                  </w:pPr>
                </w:p>
              </w:tc>
              <w:tc>
                <w:tcPr>
                  <w:tcW w:w="1132"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各类废弃包装材料</w:t>
                  </w:r>
                </w:p>
              </w:tc>
              <w:tc>
                <w:tcPr>
                  <w:tcW w:w="1265"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2</w:t>
                  </w:r>
                </w:p>
              </w:tc>
              <w:tc>
                <w:tcPr>
                  <w:tcW w:w="3650" w:type="dxa"/>
                  <w:vMerge w:val="continue"/>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819" w:type="dxa"/>
                  <w:vMerge w:val="continue"/>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p>
              </w:tc>
              <w:tc>
                <w:tcPr>
                  <w:tcW w:w="1131" w:type="dxa"/>
                  <w:vMerge w:val="continue"/>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p>
              </w:tc>
              <w:tc>
                <w:tcPr>
                  <w:tcW w:w="1132"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焊渣</w:t>
                  </w:r>
                </w:p>
              </w:tc>
              <w:tc>
                <w:tcPr>
                  <w:tcW w:w="1265"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0.2</w:t>
                  </w:r>
                </w:p>
              </w:tc>
              <w:tc>
                <w:tcPr>
                  <w:tcW w:w="3650" w:type="dxa"/>
                  <w:vMerge w:val="continue"/>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p>
              </w:tc>
              <w:tc>
                <w:tcPr>
                  <w:tcW w:w="1131"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生活垃圾</w:t>
                  </w:r>
                </w:p>
              </w:tc>
              <w:tc>
                <w:tcPr>
                  <w:tcW w:w="1132"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生活垃圾</w:t>
                  </w:r>
                </w:p>
              </w:tc>
              <w:tc>
                <w:tcPr>
                  <w:tcW w:w="1265"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30</w:t>
                  </w:r>
                </w:p>
              </w:tc>
              <w:tc>
                <w:tcPr>
                  <w:tcW w:w="3650" w:type="dxa"/>
                  <w:noWrap w:val="0"/>
                  <w:vAlign w:val="center"/>
                </w:tcPr>
                <w:p>
                  <w:pPr>
                    <w:pStyle w:val="40"/>
                    <w:keepNext w:val="0"/>
                    <w:keepLines w:val="0"/>
                    <w:pageBreakBefore w:val="0"/>
                    <w:kinsoku/>
                    <w:wordWrap/>
                    <w:overflowPunct/>
                    <w:topLinePunct w:val="0"/>
                    <w:bidi w:val="0"/>
                    <w:spacing w:line="240" w:lineRule="auto"/>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pPr>
                  <w:r>
                    <w:rPr>
                      <w:rFonts w:hint="eastAsia" w:ascii="Times New Roman" w:hAnsi="Times New Roman" w:cs="Times New Roman"/>
                      <w:b w:val="0"/>
                      <w:bCs w:val="0"/>
                      <w:snapToGrid w:val="0"/>
                      <w:color w:val="0000FF"/>
                      <w:spacing w:val="0"/>
                      <w:w w:val="100"/>
                      <w:kern w:val="2"/>
                      <w:position w:val="0"/>
                      <w:sz w:val="21"/>
                      <w:szCs w:val="21"/>
                      <w:highlight w:val="none"/>
                      <w:vertAlign w:val="baseline"/>
                      <w:lang w:val="en-US" w:eastAsia="zh-CN" w:bidi="ar-SA"/>
                    </w:rPr>
                    <w:t>统一收集后交给园区垃圾处理站，最终运往昌吉市生活垃圾填埋场处置。</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FF"/>
                <w:sz w:val="24"/>
                <w:szCs w:val="24"/>
                <w:highlight w:val="none"/>
                <w:lang w:val="en-US" w:eastAsia="zh-CN"/>
              </w:rPr>
            </w:pPr>
            <w:r>
              <w:rPr>
                <w:rFonts w:hint="eastAsia" w:cs="Times New Roman"/>
                <w:b/>
                <w:bCs w:val="0"/>
                <w:color w:val="0000FF"/>
                <w:sz w:val="24"/>
                <w:szCs w:val="24"/>
                <w:highlight w:val="none"/>
                <w:lang w:val="en-US" w:eastAsia="zh-CN"/>
              </w:rPr>
              <w:t>4.</w:t>
            </w:r>
            <w:r>
              <w:rPr>
                <w:rFonts w:hint="eastAsia" w:ascii="Times New Roman" w:hAnsi="Times New Roman" w:eastAsia="宋体" w:cs="Times New Roman"/>
                <w:b/>
                <w:bCs w:val="0"/>
                <w:color w:val="0000FF"/>
                <w:sz w:val="24"/>
                <w:szCs w:val="24"/>
                <w:highlight w:val="none"/>
                <w:lang w:val="en-US" w:eastAsia="zh-CN"/>
              </w:rPr>
              <w:t>现存的环境问题</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480" w:firstLineChars="200"/>
              <w:textAlignment w:val="auto"/>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已自查环保手续履行情况，原有项目</w:t>
            </w:r>
            <w:r>
              <w:rPr>
                <w:rFonts w:hint="eastAsia" w:ascii="Times New Roman" w:hAnsi="Times New Roman" w:cs="Times New Roman"/>
                <w:color w:val="0000FF"/>
                <w:sz w:val="24"/>
                <w:lang w:val="en-US" w:eastAsia="zh-CN"/>
              </w:rPr>
              <w:t>2017</w:t>
            </w:r>
            <w:r>
              <w:rPr>
                <w:rFonts w:hint="default" w:ascii="Times New Roman" w:hAnsi="Times New Roman" w:eastAsia="宋体" w:cs="Times New Roman"/>
                <w:color w:val="0000FF"/>
                <w:sz w:val="24"/>
                <w:lang w:val="en-US" w:eastAsia="zh-CN"/>
              </w:rPr>
              <w:t>年</w:t>
            </w:r>
            <w:r>
              <w:rPr>
                <w:rFonts w:hint="eastAsia" w:ascii="Times New Roman" w:hAnsi="Times New Roman" w:cs="Times New Roman"/>
                <w:color w:val="0000FF"/>
                <w:sz w:val="24"/>
                <w:lang w:val="en-US" w:eastAsia="zh-CN"/>
              </w:rPr>
              <w:t>2月</w:t>
            </w:r>
            <w:r>
              <w:rPr>
                <w:rFonts w:hint="default" w:ascii="Times New Roman" w:hAnsi="Times New Roman" w:eastAsia="宋体" w:cs="Times New Roman"/>
                <w:color w:val="0000FF"/>
                <w:sz w:val="24"/>
                <w:lang w:val="en-US" w:eastAsia="zh-CN"/>
              </w:rPr>
              <w:t>完成竣工环保验收，已办理排污许可证，按要求开展自行监测和台账填报，根据现场踏勘，项目主要存在问题如下：</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480" w:firstLineChars="200"/>
              <w:textAlignment w:val="auto"/>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（1）</w:t>
            </w:r>
            <w:r>
              <w:rPr>
                <w:rFonts w:hint="default" w:ascii="Times New Roman" w:hAnsi="Times New Roman" w:eastAsia="宋体" w:cs="Times New Roman"/>
                <w:color w:val="0000FF"/>
                <w:sz w:val="24"/>
                <w:lang w:val="en-US" w:eastAsia="zh-CN"/>
              </w:rPr>
              <w:t>设备维修产生的废机油暂存于现有杂物间，杂物间未按要求处置，不符合《危险废物贮存污染控制标准》（GB18597-2023）。</w:t>
            </w:r>
          </w:p>
          <w:p>
            <w:pPr>
              <w:pStyle w:val="5"/>
              <w:ind w:firstLine="480" w:firstLineChars="200"/>
              <w:rPr>
                <w:rFonts w:hint="default"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（2）突发环境事件应急预案备案已过期，应重新修编。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0000FF"/>
                <w:sz w:val="24"/>
                <w:szCs w:val="24"/>
                <w:highlight w:val="none"/>
                <w:lang w:val="en-US" w:eastAsia="zh-CN"/>
              </w:rPr>
            </w:pPr>
            <w:r>
              <w:rPr>
                <w:rFonts w:hint="eastAsia" w:cs="Times New Roman"/>
                <w:b/>
                <w:bCs w:val="0"/>
                <w:color w:val="0000FF"/>
                <w:sz w:val="24"/>
                <w:szCs w:val="24"/>
                <w:highlight w:val="none"/>
                <w:lang w:val="en-US" w:eastAsia="zh-CN"/>
              </w:rPr>
              <w:t>5</w:t>
            </w:r>
            <w:r>
              <w:rPr>
                <w:rFonts w:hint="eastAsia" w:ascii="Times New Roman" w:hAnsi="Times New Roman" w:eastAsia="宋体" w:cs="Times New Roman"/>
                <w:b/>
                <w:bCs w:val="0"/>
                <w:color w:val="0000FF"/>
                <w:sz w:val="24"/>
                <w:szCs w:val="24"/>
                <w:highlight w:val="none"/>
                <w:lang w:val="en-US" w:eastAsia="zh-CN"/>
              </w:rPr>
              <w:t>.整改措施</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eastAsia" w:ascii="Times New Roman" w:hAnsi="Times New Roman" w:eastAsia="宋体" w:cs="Times New Roman"/>
                <w:color w:val="0000FF"/>
                <w:sz w:val="24"/>
                <w:szCs w:val="24"/>
                <w:lang w:eastAsia="zh-CN"/>
              </w:rPr>
              <w:t>（</w:t>
            </w:r>
            <w:r>
              <w:rPr>
                <w:rFonts w:hint="eastAsia" w:ascii="Times New Roman" w:hAnsi="Times New Roman" w:eastAsia="宋体" w:cs="Times New Roman"/>
                <w:color w:val="0000FF"/>
                <w:sz w:val="24"/>
                <w:szCs w:val="24"/>
                <w:lang w:val="en-US" w:eastAsia="zh-CN"/>
              </w:rPr>
              <w:t>1</w:t>
            </w:r>
            <w:r>
              <w:rPr>
                <w:rFonts w:hint="eastAsia"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rPr>
              <w:t>本项目</w:t>
            </w:r>
            <w:r>
              <w:rPr>
                <w:rFonts w:hint="default" w:ascii="Times New Roman" w:hAnsi="Times New Roman" w:eastAsia="宋体" w:cs="Times New Roman"/>
                <w:color w:val="0000FF"/>
                <w:sz w:val="24"/>
                <w:szCs w:val="24"/>
                <w:lang w:eastAsia="zh-CN"/>
              </w:rPr>
              <w:t>建成</w:t>
            </w:r>
            <w:r>
              <w:rPr>
                <w:rFonts w:hint="default" w:ascii="Times New Roman" w:hAnsi="Times New Roman" w:eastAsia="宋体" w:cs="Times New Roman"/>
                <w:color w:val="0000FF"/>
                <w:sz w:val="24"/>
                <w:szCs w:val="24"/>
              </w:rPr>
              <w:t>后，危险废物暂存于危废暂存间，最后交由</w:t>
            </w:r>
            <w:r>
              <w:rPr>
                <w:rFonts w:hint="default" w:ascii="Times New Roman" w:hAnsi="Times New Roman" w:eastAsia="宋体" w:cs="Times New Roman"/>
                <w:color w:val="0000FF"/>
                <w:sz w:val="24"/>
                <w:szCs w:val="24"/>
                <w:lang w:val="en-US" w:eastAsia="zh-CN"/>
              </w:rPr>
              <w:t>有资质单位统一</w:t>
            </w:r>
            <w:r>
              <w:rPr>
                <w:rFonts w:hint="default" w:ascii="Times New Roman" w:hAnsi="Times New Roman" w:eastAsia="宋体" w:cs="Times New Roman"/>
                <w:color w:val="0000FF"/>
                <w:sz w:val="24"/>
                <w:szCs w:val="24"/>
              </w:rPr>
              <w:t>处置</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rPr>
              <w:t>根据</w:t>
            </w:r>
            <w:r>
              <w:rPr>
                <w:rFonts w:hint="default" w:ascii="Times New Roman" w:hAnsi="Times New Roman" w:eastAsia="宋体" w:cs="Times New Roman"/>
                <w:color w:val="0000FF"/>
                <w:sz w:val="24"/>
                <w:lang w:val="en-US" w:eastAsia="zh-CN"/>
              </w:rPr>
              <w:t>《危险废物贮存污染控制标准》（GB18597-2023）</w:t>
            </w:r>
            <w:r>
              <w:rPr>
                <w:rFonts w:hint="default" w:ascii="Times New Roman" w:hAnsi="Times New Roman" w:eastAsia="宋体" w:cs="Times New Roman"/>
                <w:color w:val="0000FF"/>
                <w:sz w:val="24"/>
                <w:szCs w:val="24"/>
              </w:rPr>
              <w:t>中相关建设要</w:t>
            </w:r>
            <w:r>
              <w:rPr>
                <w:rFonts w:hint="default" w:ascii="Times New Roman" w:hAnsi="Times New Roman" w:eastAsia="宋体" w:cs="Times New Roman"/>
                <w:color w:val="0000FF"/>
                <w:kern w:val="1"/>
                <w:sz w:val="24"/>
                <w:szCs w:val="24"/>
                <w:lang w:val="en-US" w:eastAsia="zh-CN" w:bidi="ar-SA"/>
              </w:rPr>
              <w:t>求，改建危废间，具体如下：</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default" w:ascii="Times New Roman" w:hAnsi="Times New Roman" w:eastAsia="宋体" w:cs="Times New Roman"/>
                <w:color w:val="0000FF"/>
                <w:kern w:val="1"/>
                <w:sz w:val="24"/>
                <w:szCs w:val="24"/>
                <w:lang w:val="en-US" w:eastAsia="zh-CN" w:bidi="ar-SA"/>
              </w:rPr>
              <w:t>①</w:t>
            </w:r>
            <w:r>
              <w:rPr>
                <w:rFonts w:hint="eastAsia" w:cs="Times New Roman"/>
                <w:color w:val="0000FF"/>
                <w:kern w:val="1"/>
                <w:sz w:val="24"/>
                <w:szCs w:val="24"/>
                <w:lang w:val="en-US" w:eastAsia="zh-CN" w:bidi="ar-SA"/>
              </w:rPr>
              <w:t>将原有的20m</w:t>
            </w:r>
            <w:r>
              <w:rPr>
                <w:rFonts w:hint="eastAsia" w:cs="Times New Roman"/>
                <w:color w:val="0000FF"/>
                <w:kern w:val="1"/>
                <w:sz w:val="24"/>
                <w:szCs w:val="24"/>
                <w:vertAlign w:val="superscript"/>
                <w:lang w:val="en-US" w:eastAsia="zh-CN" w:bidi="ar-SA"/>
              </w:rPr>
              <w:t>3</w:t>
            </w:r>
            <w:r>
              <w:rPr>
                <w:rFonts w:hint="eastAsia" w:cs="Times New Roman"/>
                <w:color w:val="0000FF"/>
                <w:kern w:val="1"/>
                <w:sz w:val="24"/>
                <w:szCs w:val="24"/>
                <w:lang w:val="en-US" w:eastAsia="zh-CN" w:bidi="ar-SA"/>
              </w:rPr>
              <w:t>废料间改建为危废暂存间，位置见附图3；</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default" w:ascii="Times New Roman" w:hAnsi="Times New Roman" w:eastAsia="宋体" w:cs="Times New Roman"/>
                <w:color w:val="0000FF"/>
                <w:kern w:val="1"/>
                <w:sz w:val="24"/>
                <w:szCs w:val="24"/>
                <w:lang w:val="en-US" w:eastAsia="zh-CN" w:bidi="ar-SA"/>
              </w:rPr>
              <w:t>②地面与裙角要用坚固、防渗的材料建造，建造材料必须与危险废物相容；危废储存间内要有安全照明设施和观察窗口；</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default" w:ascii="Times New Roman" w:hAnsi="Times New Roman" w:eastAsia="宋体" w:cs="Times New Roman"/>
                <w:color w:val="0000FF"/>
                <w:kern w:val="1"/>
                <w:sz w:val="24"/>
                <w:szCs w:val="24"/>
                <w:lang w:val="en-US" w:eastAsia="zh-CN" w:bidi="ar-SA"/>
              </w:rPr>
              <w:t>③用以存放装载液体危险废物容器的地方，必须有耐腐蚀的硬化地面，且表面无裂痕；</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eastAsia" w:ascii="Times New Roman" w:hAnsi="Times New Roman" w:eastAsia="宋体" w:cs="Times New Roman"/>
                <w:color w:val="0000FF"/>
                <w:kern w:val="1"/>
                <w:sz w:val="24"/>
                <w:szCs w:val="24"/>
                <w:lang w:val="en-US" w:eastAsia="zh-CN" w:bidi="ar-SA"/>
              </w:rPr>
              <w:t>④</w:t>
            </w:r>
            <w:r>
              <w:rPr>
                <w:rFonts w:hint="default" w:ascii="Times New Roman" w:hAnsi="Times New Roman" w:eastAsia="宋体" w:cs="Times New Roman"/>
                <w:color w:val="0000FF"/>
                <w:kern w:val="1"/>
                <w:sz w:val="24"/>
                <w:szCs w:val="24"/>
                <w:lang w:val="en-US" w:eastAsia="zh-CN" w:bidi="ar-SA"/>
              </w:rPr>
              <w:t>危险废物暂存间防渗采取在现有水泥防渗基础上+2毫米厚高密度聚乙烯膜+防渗水泥，渗透系数≤10</w:t>
            </w:r>
            <w:r>
              <w:rPr>
                <w:rFonts w:hint="eastAsia" w:cs="Times New Roman"/>
                <w:color w:val="0000FF"/>
                <w:kern w:val="1"/>
                <w:sz w:val="24"/>
                <w:szCs w:val="24"/>
                <w:lang w:val="en-US" w:eastAsia="zh-CN" w:bidi="ar-SA"/>
              </w:rPr>
              <w:t>—</w:t>
            </w:r>
            <w:r>
              <w:rPr>
                <w:rFonts w:hint="default" w:ascii="Times New Roman" w:hAnsi="Times New Roman" w:eastAsia="宋体" w:cs="Times New Roman"/>
                <w:color w:val="0000FF"/>
                <w:kern w:val="1"/>
                <w:sz w:val="24"/>
                <w:szCs w:val="24"/>
                <w:lang w:val="en-US" w:eastAsia="zh-CN" w:bidi="ar-SA"/>
              </w:rPr>
              <w:t>10厘米/秒；</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eastAsia" w:ascii="Times New Roman" w:hAnsi="Times New Roman" w:eastAsia="宋体" w:cs="Times New Roman"/>
                <w:color w:val="0000FF"/>
                <w:kern w:val="1"/>
                <w:sz w:val="24"/>
                <w:szCs w:val="24"/>
                <w:lang w:val="en-US" w:eastAsia="zh-CN" w:bidi="ar-SA"/>
              </w:rPr>
              <w:t>⑤</w:t>
            </w:r>
            <w:r>
              <w:rPr>
                <w:rFonts w:hint="default" w:ascii="Times New Roman" w:hAnsi="Times New Roman" w:eastAsia="宋体" w:cs="Times New Roman"/>
                <w:color w:val="0000FF"/>
                <w:kern w:val="1"/>
                <w:sz w:val="24"/>
                <w:szCs w:val="24"/>
                <w:lang w:val="en-US" w:eastAsia="zh-CN" w:bidi="ar-SA"/>
              </w:rPr>
              <w:t>设置导流沟及围堰。</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eastAsia" w:ascii="Times New Roman" w:hAnsi="Times New Roman" w:eastAsia="宋体" w:cs="Times New Roman"/>
                <w:color w:val="0000FF"/>
                <w:kern w:val="1"/>
                <w:sz w:val="24"/>
                <w:szCs w:val="24"/>
                <w:lang w:val="en-US" w:eastAsia="zh-CN" w:bidi="ar-SA"/>
              </w:rPr>
              <w:t>⑥</w:t>
            </w:r>
            <w:r>
              <w:rPr>
                <w:rFonts w:hint="default" w:ascii="Times New Roman" w:hAnsi="Times New Roman" w:eastAsia="宋体" w:cs="Times New Roman"/>
                <w:color w:val="0000FF"/>
                <w:kern w:val="1"/>
                <w:sz w:val="24"/>
                <w:szCs w:val="24"/>
                <w:lang w:val="en-US" w:eastAsia="zh-CN" w:bidi="ar-SA"/>
              </w:rPr>
              <w:t>不相容的危险废物分开存放，并设有隔离间隔断。</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color w:val="0000FF"/>
                <w:kern w:val="1"/>
                <w:sz w:val="24"/>
                <w:szCs w:val="24"/>
                <w:lang w:val="en-US" w:eastAsia="zh-CN" w:bidi="ar-SA"/>
              </w:rPr>
            </w:pPr>
            <w:r>
              <w:rPr>
                <w:rFonts w:hint="eastAsia" w:ascii="Times New Roman" w:hAnsi="Times New Roman" w:eastAsia="宋体" w:cs="Times New Roman"/>
                <w:color w:val="0000FF"/>
                <w:kern w:val="1"/>
                <w:sz w:val="24"/>
                <w:szCs w:val="24"/>
                <w:lang w:val="en-US" w:eastAsia="zh-CN" w:bidi="ar-SA"/>
              </w:rPr>
              <w:t>⑦</w:t>
            </w:r>
            <w:r>
              <w:rPr>
                <w:rFonts w:hint="default" w:ascii="Times New Roman" w:hAnsi="Times New Roman" w:eastAsia="宋体" w:cs="Times New Roman"/>
                <w:color w:val="0000FF"/>
                <w:kern w:val="1"/>
                <w:sz w:val="24"/>
                <w:szCs w:val="24"/>
                <w:lang w:val="en-US" w:eastAsia="zh-CN" w:bidi="ar-SA"/>
              </w:rPr>
              <w:t>有泄漏液体收集装置、气体导出口。</w:t>
            </w:r>
          </w:p>
          <w:p>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auto"/>
              <w:ind w:left="0" w:leftChars="0" w:firstLine="480"/>
              <w:textAlignment w:val="auto"/>
              <w:rPr>
                <w:rFonts w:hint="default" w:ascii="Times New Roman" w:hAnsi="Times New Roman" w:eastAsia="宋体" w:cs="Times New Roman"/>
                <w:color w:val="0000FF"/>
                <w:kern w:val="1"/>
                <w:sz w:val="24"/>
                <w:szCs w:val="24"/>
                <w:lang w:val="en-US" w:eastAsia="zh-CN" w:bidi="ar-SA"/>
              </w:rPr>
            </w:pPr>
            <w:r>
              <w:rPr>
                <w:rFonts w:hint="eastAsia" w:ascii="Times New Roman" w:hAnsi="Times New Roman" w:eastAsia="宋体" w:cs="Times New Roman"/>
                <w:color w:val="0000FF"/>
                <w:kern w:val="1"/>
                <w:sz w:val="24"/>
                <w:szCs w:val="24"/>
                <w:lang w:val="en-US" w:eastAsia="zh-CN" w:bidi="ar-SA"/>
              </w:rPr>
              <w:t>⑧</w:t>
            </w:r>
            <w:r>
              <w:rPr>
                <w:rFonts w:hint="default" w:ascii="Times New Roman" w:hAnsi="Times New Roman" w:eastAsia="宋体" w:cs="Times New Roman"/>
                <w:color w:val="0000FF"/>
                <w:kern w:val="1"/>
                <w:sz w:val="24"/>
                <w:szCs w:val="24"/>
                <w:lang w:val="en-US" w:eastAsia="zh-CN" w:bidi="ar-SA"/>
              </w:rPr>
              <w:t>张贴危废标识，建立危废管理制度，按要求填写台账。</w:t>
            </w:r>
          </w:p>
          <w:p>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auto"/>
              <w:ind w:left="0" w:leftChars="0" w:firstLine="480"/>
              <w:textAlignment w:val="auto"/>
              <w:rPr>
                <w:rFonts w:hint="eastAsia" w:ascii="Times New Roman" w:hAnsi="Times New Roman" w:eastAsia="宋体" w:cs="Times New Roman"/>
                <w:color w:val="0000FF"/>
                <w:kern w:val="1"/>
                <w:sz w:val="24"/>
                <w:szCs w:val="24"/>
                <w:lang w:val="en-US" w:eastAsia="zh-CN" w:bidi="ar-SA"/>
              </w:rPr>
            </w:pPr>
            <w:r>
              <w:rPr>
                <w:rFonts w:hint="eastAsia" w:ascii="Times New Roman" w:hAnsi="Times New Roman" w:eastAsia="宋体" w:cs="Times New Roman"/>
                <w:color w:val="0000FF"/>
                <w:kern w:val="1"/>
                <w:sz w:val="24"/>
                <w:szCs w:val="24"/>
                <w:lang w:val="en-US" w:eastAsia="zh-CN" w:bidi="ar-SA"/>
              </w:rPr>
              <w:t>⑨</w:t>
            </w:r>
            <w:r>
              <w:rPr>
                <w:rFonts w:hint="default" w:ascii="Times New Roman" w:hAnsi="Times New Roman" w:eastAsia="宋体" w:cs="Times New Roman"/>
                <w:color w:val="0000FF"/>
                <w:kern w:val="1"/>
                <w:sz w:val="24"/>
                <w:szCs w:val="24"/>
                <w:lang w:val="en-US" w:eastAsia="zh-CN" w:bidi="ar-SA"/>
              </w:rPr>
              <w:t>与有资质单位签署相关协议，按要求妥善处置危险废物，按照《危险废物转移管理办法》（生态环境部公安部交通运输部（部令第23号））及时转移处置危险废物</w:t>
            </w:r>
            <w:r>
              <w:rPr>
                <w:rFonts w:hint="eastAsia" w:ascii="Times New Roman" w:hAnsi="Times New Roman" w:eastAsia="宋体" w:cs="Times New Roman"/>
                <w:color w:val="0000FF"/>
                <w:kern w:val="1"/>
                <w:sz w:val="24"/>
                <w:szCs w:val="24"/>
                <w:lang w:val="en-US" w:eastAsia="zh-CN" w:bidi="ar-SA"/>
              </w:rPr>
              <w:t>。</w:t>
            </w:r>
          </w:p>
          <w:p>
            <w:pPr>
              <w:pStyle w:val="4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360" w:lineRule="auto"/>
              <w:ind w:left="0" w:leftChars="0" w:firstLine="480" w:firstLineChars="200"/>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（2）</w:t>
            </w:r>
            <w:r>
              <w:rPr>
                <w:rFonts w:hint="eastAsia" w:ascii="Times New Roman" w:hAnsi="Times New Roman" w:eastAsia="宋体" w:cs="Times New Roman"/>
                <w:color w:val="0000FF"/>
                <w:kern w:val="1"/>
                <w:sz w:val="24"/>
                <w:szCs w:val="24"/>
                <w:lang w:val="en-US" w:eastAsia="zh-CN" w:bidi="ar-SA"/>
              </w:rPr>
              <w:t>根据扩建后的实际情况对现有</w:t>
            </w:r>
            <w:r>
              <w:rPr>
                <w:rFonts w:hint="eastAsia" w:ascii="Times New Roman" w:hAnsi="Times New Roman" w:eastAsia="宋体" w:cs="Times New Roman"/>
                <w:b w:val="0"/>
                <w:bCs w:val="0"/>
                <w:color w:val="0000FF"/>
                <w:kern w:val="2"/>
                <w:sz w:val="24"/>
                <w:szCs w:val="24"/>
                <w:lang w:val="en-US" w:eastAsia="zh-CN" w:bidi="ar-SA"/>
              </w:rPr>
              <w:t>突发环境事件应急预案进行修编，并报昌吉州生态环境局昌吉市分局备案。</w:t>
            </w:r>
          </w:p>
          <w:p>
            <w:pPr>
              <w:pStyle w:val="16"/>
              <w:rPr>
                <w:rFonts w:hint="default"/>
                <w:lang w:val="en-US" w:eastAsia="zh-CN"/>
              </w:rPr>
            </w:pPr>
          </w:p>
          <w:p>
            <w:pPr>
              <w:pStyle w:val="16"/>
              <w:rPr>
                <w:rFonts w:hint="default"/>
                <w:lang w:val="en-US" w:eastAsia="zh-CN"/>
              </w:rPr>
            </w:pPr>
          </w:p>
          <w:p>
            <w:pPr>
              <w:pStyle w:val="16"/>
              <w:rPr>
                <w:rFonts w:hint="default"/>
                <w:lang w:val="en-US" w:eastAsia="zh-CN"/>
              </w:rPr>
            </w:pPr>
          </w:p>
        </w:tc>
      </w:tr>
    </w:tbl>
    <w:p>
      <w:r>
        <w:br w:type="page"/>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3"/>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2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796"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194" w:type="dxa"/>
          </w:tcPr>
          <w:p>
            <w:pPr>
              <w:pStyle w:val="3"/>
              <w:spacing w:line="360" w:lineRule="auto"/>
              <w:jc w:val="both"/>
              <w:rPr>
                <w:b/>
                <w:bCs/>
                <w:color w:val="FF0000"/>
                <w:sz w:val="24"/>
              </w:rPr>
            </w:pPr>
            <w:r>
              <w:rPr>
                <w:b/>
                <w:bCs/>
                <w:color w:val="auto"/>
                <w:sz w:val="24"/>
              </w:rPr>
              <w:t>1.大</w:t>
            </w:r>
            <w:r>
              <w:rPr>
                <w:b/>
                <w:bCs/>
                <w:color w:val="000000" w:themeColor="text1"/>
                <w:sz w:val="24"/>
                <w14:textFill>
                  <w14:solidFill>
                    <w14:schemeClr w14:val="tx1"/>
                  </w14:solidFill>
                </w14:textFill>
              </w:rPr>
              <w:t>气环境质量现状</w:t>
            </w:r>
          </w:p>
          <w:p>
            <w:pPr>
              <w:keepNext w:val="0"/>
              <w:keepLines w:val="0"/>
              <w:widowControl/>
              <w:suppressLineNumbers w:val="0"/>
              <w:jc w:val="left"/>
            </w:pPr>
            <w:r>
              <w:rPr>
                <w:rFonts w:hint="default" w:ascii="Times New Roman" w:hAnsi="Times New Roman" w:eastAsia="宋体" w:cs="Times New Roman"/>
                <w:b/>
                <w:bCs/>
                <w:color w:val="auto"/>
                <w:spacing w:val="0"/>
                <w:w w:val="100"/>
                <w:position w:val="0"/>
                <w:sz w:val="24"/>
                <w:szCs w:val="24"/>
                <w:highlight w:val="none"/>
                <w:lang w:val="en-US" w:eastAsia="zh-CN"/>
              </w:rPr>
              <w:t>1.1</w:t>
            </w:r>
            <w:r>
              <w:rPr>
                <w:rFonts w:hint="eastAsia" w:ascii="宋体" w:hAnsi="宋体" w:eastAsia="宋体" w:cs="宋体"/>
                <w:b/>
                <w:bCs/>
                <w:color w:val="000000"/>
                <w:kern w:val="0"/>
                <w:sz w:val="24"/>
                <w:szCs w:val="24"/>
                <w:lang w:val="en-US" w:eastAsia="zh-CN" w:bidi="ar"/>
              </w:rPr>
              <w:t xml:space="preserve">基本污染物环境质量现状 </w:t>
            </w:r>
          </w:p>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1</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xml:space="preserve">）数据来源 </w:t>
            </w:r>
          </w:p>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本次评价选取昌吉市空气监测站点</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2022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的监测数据，作为本项目环境空 气现状评价基本污染物</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SO</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NO</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PM</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10</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PM</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2.5</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CO</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和</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O</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3</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的数据来源，监测站点为昌吉</w:t>
            </w:r>
            <w:r>
              <w:rPr>
                <w:rFonts w:hint="eastAsia" w:cs="Times New Roman"/>
                <w:smallCaps w:val="0"/>
                <w:snapToGrid w:val="0"/>
                <w:color w:val="auto"/>
                <w:spacing w:val="0"/>
                <w:w w:val="100"/>
                <w:kern w:val="0"/>
                <w:position w:val="0"/>
                <w:sz w:val="24"/>
                <w:szCs w:val="24"/>
                <w:highlight w:val="none"/>
                <w:lang w:val="en-US" w:eastAsia="zh-CN"/>
              </w:rPr>
              <w:t>市</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xml:space="preserve">新区政务中心站点国控点。 </w:t>
            </w:r>
          </w:p>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xml:space="preserve">）评价标准 </w:t>
            </w:r>
          </w:p>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基本污染物</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SO</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NO</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PM</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10</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PM</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2.5</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CO</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和</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O</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3</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执行《环境空气质量标准》（</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GB3095-2012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xml:space="preserve">）及修改单中的二级标准。 </w:t>
            </w:r>
          </w:p>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3</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xml:space="preserve">）评价方法 </w:t>
            </w:r>
          </w:p>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基本污染物按照《环境空气质量评价技术规范（试行）》（</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HJ663-2013</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中各评价项目的年评价指标进行判定。年评价指标中的年均浓度和相应百分 位数</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24h</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平均或</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8h</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平均质量浓度满足</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GB3095-2012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xml:space="preserve">中浓度限值要求的即为达标。对于超标的污染物，计算其超标倍数。 </w:t>
            </w:r>
          </w:p>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监测结果与评价结果见下表。</w:t>
            </w:r>
          </w:p>
          <w:p>
            <w:pPr>
              <w:pageBreakBefore w:val="0"/>
              <w:shd w:val="clear"/>
              <w:bidi w:val="0"/>
              <w:spacing w:beforeAutospacing="0" w:afterAutospacing="0" w:line="360" w:lineRule="auto"/>
              <w:ind w:right="0" w:rightChars="0"/>
              <w:jc w:val="center"/>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表3-1</w:t>
            </w:r>
            <w:r>
              <w:rPr>
                <w:rFonts w:hint="eastAsia" w:ascii="Times New Roman" w:hAnsi="Times New Roman" w:cs="Times New Roman"/>
                <w:b/>
                <w:bCs/>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olor w:val="auto"/>
                <w:spacing w:val="0"/>
                <w:w w:val="100"/>
                <w:position w:val="0"/>
                <w:sz w:val="21"/>
                <w:szCs w:val="21"/>
                <w:highlight w:val="none"/>
              </w:rPr>
              <w:t>区域空气质量现状评价表</w:t>
            </w:r>
            <w:r>
              <w:rPr>
                <w:rFonts w:hint="eastAsia" w:ascii="Times New Roman" w:hAnsi="Times New Roman" w:eastAsia="宋体" w:cs="Times New Roman"/>
                <w:b/>
                <w:bCs/>
                <w:color w:val="auto"/>
                <w:spacing w:val="0"/>
                <w:w w:val="100"/>
                <w:position w:val="0"/>
                <w:sz w:val="21"/>
                <w:szCs w:val="21"/>
                <w:highlight w:val="none"/>
                <w:lang w:val="en-US" w:eastAsia="zh-CN"/>
              </w:rPr>
              <w:t xml:space="preserve">     </w:t>
            </w:r>
            <w:r>
              <w:rPr>
                <w:rFonts w:hint="default" w:ascii="Times New Roman" w:hAnsi="Times New Roman" w:cs="Times New Roman"/>
                <w:b/>
                <w:bCs/>
                <w:color w:val="auto"/>
                <w:spacing w:val="0"/>
                <w:w w:val="100"/>
                <w:position w:val="0"/>
                <w:sz w:val="21"/>
                <w:szCs w:val="21"/>
                <w:highlight w:val="none"/>
              </w:rPr>
              <w:t>单位：</w:t>
            </w:r>
            <w:r>
              <w:rPr>
                <w:rFonts w:hint="eastAsia" w:cs="Times New Roman"/>
                <w:b/>
                <w:bCs/>
                <w:color w:val="auto"/>
                <w:spacing w:val="0"/>
                <w:w w:val="100"/>
                <w:position w:val="0"/>
                <w:sz w:val="21"/>
                <w:szCs w:val="21"/>
                <w:highlight w:val="none"/>
                <w:lang w:eastAsia="zh-CN"/>
              </w:rPr>
              <w:t>μg/m</w:t>
            </w:r>
            <w:r>
              <w:rPr>
                <w:rFonts w:hint="eastAsia" w:cs="Times New Roman"/>
                <w:b/>
                <w:bCs/>
                <w:color w:val="auto"/>
                <w:spacing w:val="0"/>
                <w:w w:val="100"/>
                <w:position w:val="0"/>
                <w:sz w:val="21"/>
                <w:szCs w:val="21"/>
                <w:highlight w:val="none"/>
                <w:vertAlign w:val="superscript"/>
                <w:lang w:eastAsia="zh-CN"/>
              </w:rPr>
              <w:t>3</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1"/>
              <w:gridCol w:w="2446"/>
              <w:gridCol w:w="1200"/>
              <w:gridCol w:w="1217"/>
              <w:gridCol w:w="1068"/>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1" w:type="dxa"/>
                  <w:tcBorders>
                    <w:bottom w:val="single" w:color="auto" w:sz="12"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污染物</w:t>
                  </w:r>
                </w:p>
              </w:tc>
              <w:tc>
                <w:tcPr>
                  <w:tcW w:w="2446" w:type="dxa"/>
                  <w:tcBorders>
                    <w:bottom w:val="single" w:color="auto" w:sz="12"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年评价指标</w:t>
                  </w:r>
                </w:p>
              </w:tc>
              <w:tc>
                <w:tcPr>
                  <w:tcW w:w="1200" w:type="dxa"/>
                  <w:tcBorders>
                    <w:bottom w:val="single" w:color="auto" w:sz="12"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现状浓度</w:t>
                  </w:r>
                </w:p>
              </w:tc>
              <w:tc>
                <w:tcPr>
                  <w:tcW w:w="1217" w:type="dxa"/>
                  <w:tcBorders>
                    <w:bottom w:val="single" w:color="auto" w:sz="12"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标准值</w:t>
                  </w:r>
                </w:p>
              </w:tc>
              <w:tc>
                <w:tcPr>
                  <w:tcW w:w="1068" w:type="dxa"/>
                  <w:tcBorders>
                    <w:bottom w:val="single" w:color="auto" w:sz="12"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占标率%</w:t>
                  </w:r>
                </w:p>
              </w:tc>
              <w:tc>
                <w:tcPr>
                  <w:tcW w:w="1202" w:type="dxa"/>
                  <w:tcBorders>
                    <w:bottom w:val="single" w:color="auto" w:sz="12"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1" w:type="dxa"/>
                  <w:tcBorders>
                    <w:top w:val="single" w:color="auto" w:sz="12" w:space="0"/>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SO</w:t>
                  </w:r>
                  <w:r>
                    <w:rPr>
                      <w:rFonts w:hint="default" w:ascii="Times New Roman" w:hAnsi="Times New Roman" w:cs="Times New Roman"/>
                      <w:color w:val="auto"/>
                      <w:spacing w:val="0"/>
                      <w:w w:val="100"/>
                      <w:position w:val="0"/>
                      <w:sz w:val="21"/>
                      <w:szCs w:val="21"/>
                      <w:highlight w:val="none"/>
                      <w:vertAlign w:val="subscript"/>
                    </w:rPr>
                    <w:t>2</w:t>
                  </w:r>
                </w:p>
              </w:tc>
              <w:tc>
                <w:tcPr>
                  <w:tcW w:w="2446" w:type="dxa"/>
                  <w:tcBorders>
                    <w:top w:val="single" w:color="auto" w:sz="12" w:space="0"/>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年平均质量浓度</w:t>
                  </w:r>
                </w:p>
              </w:tc>
              <w:tc>
                <w:tcPr>
                  <w:tcW w:w="1200" w:type="dxa"/>
                  <w:tcBorders>
                    <w:top w:val="single" w:color="auto" w:sz="12" w:space="0"/>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pacing w:val="0"/>
                      <w:w w:val="100"/>
                      <w:position w:val="0"/>
                      <w:sz w:val="21"/>
                      <w:szCs w:val="21"/>
                      <w:highlight w:val="none"/>
                      <w:lang w:eastAsia="zh-CN"/>
                    </w:rPr>
                  </w:pPr>
                  <w:r>
                    <w:rPr>
                      <w:rFonts w:hint="eastAsia" w:ascii="Times New Roman" w:hAnsi="Times New Roman" w:eastAsia="宋体" w:cs="Times New Roman"/>
                      <w:color w:val="auto"/>
                      <w:spacing w:val="0"/>
                      <w:w w:val="100"/>
                      <w:position w:val="0"/>
                      <w:sz w:val="21"/>
                      <w:szCs w:val="21"/>
                      <w:highlight w:val="none"/>
                      <w:lang w:val="en-US" w:eastAsia="zh-CN"/>
                    </w:rPr>
                    <w:t>7</w:t>
                  </w:r>
                </w:p>
              </w:tc>
              <w:tc>
                <w:tcPr>
                  <w:tcW w:w="1217" w:type="dxa"/>
                  <w:tcBorders>
                    <w:top w:val="single" w:color="auto" w:sz="12" w:space="0"/>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60</w:t>
                  </w:r>
                </w:p>
              </w:tc>
              <w:tc>
                <w:tcPr>
                  <w:tcW w:w="1068" w:type="dxa"/>
                  <w:tcBorders>
                    <w:top w:val="single" w:color="auto" w:sz="12" w:space="0"/>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11.6</w:t>
                  </w:r>
                </w:p>
              </w:tc>
              <w:tc>
                <w:tcPr>
                  <w:tcW w:w="1202" w:type="dxa"/>
                  <w:tcBorders>
                    <w:top w:val="single" w:color="auto" w:sz="12" w:space="0"/>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NO</w:t>
                  </w:r>
                  <w:r>
                    <w:rPr>
                      <w:rFonts w:hint="default" w:ascii="Times New Roman" w:hAnsi="Times New Roman" w:cs="Times New Roman"/>
                      <w:color w:val="auto"/>
                      <w:spacing w:val="0"/>
                      <w:w w:val="100"/>
                      <w:position w:val="0"/>
                      <w:sz w:val="21"/>
                      <w:szCs w:val="21"/>
                      <w:highlight w:val="none"/>
                      <w:vertAlign w:val="subscript"/>
                    </w:rPr>
                    <w:t>2</w:t>
                  </w:r>
                </w:p>
              </w:tc>
              <w:tc>
                <w:tcPr>
                  <w:tcW w:w="244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年平均质量浓度</w:t>
                  </w:r>
                </w:p>
              </w:tc>
              <w:tc>
                <w:tcPr>
                  <w:tcW w:w="1200"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pacing w:val="0"/>
                      <w:w w:val="100"/>
                      <w:position w:val="0"/>
                      <w:sz w:val="21"/>
                      <w:szCs w:val="21"/>
                      <w:highlight w:val="none"/>
                      <w:lang w:eastAsia="zh-CN"/>
                    </w:rPr>
                  </w:pPr>
                  <w:r>
                    <w:rPr>
                      <w:rFonts w:hint="default" w:ascii="Times New Roman" w:hAnsi="Times New Roman" w:eastAsia="Times New Roman" w:cs="Times New Roman"/>
                      <w:color w:val="auto"/>
                      <w:spacing w:val="0"/>
                      <w:w w:val="100"/>
                      <w:position w:val="0"/>
                      <w:sz w:val="21"/>
                      <w:szCs w:val="21"/>
                      <w:highlight w:val="none"/>
                    </w:rPr>
                    <w:t>3</w:t>
                  </w:r>
                  <w:r>
                    <w:rPr>
                      <w:rFonts w:hint="eastAsia" w:ascii="Times New Roman" w:hAnsi="Times New Roman" w:eastAsia="宋体" w:cs="Times New Roman"/>
                      <w:color w:val="auto"/>
                      <w:spacing w:val="0"/>
                      <w:w w:val="100"/>
                      <w:position w:val="0"/>
                      <w:sz w:val="21"/>
                      <w:szCs w:val="21"/>
                      <w:highlight w:val="none"/>
                      <w:lang w:val="en-US" w:eastAsia="zh-CN"/>
                    </w:rPr>
                    <w:t>2</w:t>
                  </w:r>
                </w:p>
              </w:tc>
              <w:tc>
                <w:tcPr>
                  <w:tcW w:w="121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40</w:t>
                  </w:r>
                </w:p>
              </w:tc>
              <w:tc>
                <w:tcPr>
                  <w:tcW w:w="1068"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80</w:t>
                  </w:r>
                </w:p>
              </w:tc>
              <w:tc>
                <w:tcPr>
                  <w:tcW w:w="12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PM</w:t>
                  </w:r>
                  <w:r>
                    <w:rPr>
                      <w:rFonts w:hint="default" w:ascii="Times New Roman" w:hAnsi="Times New Roman" w:cs="Times New Roman"/>
                      <w:color w:val="auto"/>
                      <w:spacing w:val="0"/>
                      <w:w w:val="100"/>
                      <w:position w:val="0"/>
                      <w:sz w:val="21"/>
                      <w:szCs w:val="21"/>
                      <w:highlight w:val="none"/>
                      <w:vertAlign w:val="subscript"/>
                    </w:rPr>
                    <w:t>10</w:t>
                  </w:r>
                </w:p>
              </w:tc>
              <w:tc>
                <w:tcPr>
                  <w:tcW w:w="244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年平均质量浓度</w:t>
                  </w:r>
                </w:p>
              </w:tc>
              <w:tc>
                <w:tcPr>
                  <w:tcW w:w="1200"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81</w:t>
                  </w:r>
                </w:p>
              </w:tc>
              <w:tc>
                <w:tcPr>
                  <w:tcW w:w="121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70</w:t>
                  </w:r>
                </w:p>
              </w:tc>
              <w:tc>
                <w:tcPr>
                  <w:tcW w:w="1068"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pacing w:val="0"/>
                      <w:w w:val="100"/>
                      <w:position w:val="0"/>
                      <w:sz w:val="21"/>
                      <w:szCs w:val="21"/>
                      <w:highlight w:val="none"/>
                      <w:lang w:eastAsia="zh-CN"/>
                    </w:rPr>
                  </w:pPr>
                  <w:r>
                    <w:rPr>
                      <w:rFonts w:hint="default" w:ascii="Times New Roman" w:hAnsi="Times New Roman" w:eastAsia="Times New Roman" w:cs="Times New Roman"/>
                      <w:color w:val="auto"/>
                      <w:spacing w:val="0"/>
                      <w:w w:val="100"/>
                      <w:position w:val="0"/>
                      <w:sz w:val="21"/>
                      <w:szCs w:val="21"/>
                      <w:highlight w:val="none"/>
                    </w:rPr>
                    <w:t>11</w:t>
                  </w:r>
                  <w:r>
                    <w:rPr>
                      <w:rFonts w:hint="eastAsia" w:ascii="Times New Roman" w:hAnsi="Times New Roman" w:eastAsia="宋体" w:cs="Times New Roman"/>
                      <w:color w:val="auto"/>
                      <w:spacing w:val="0"/>
                      <w:w w:val="100"/>
                      <w:position w:val="0"/>
                      <w:sz w:val="21"/>
                      <w:szCs w:val="21"/>
                      <w:highlight w:val="none"/>
                      <w:lang w:val="en-US" w:eastAsia="zh-CN"/>
                    </w:rPr>
                    <w:t>4</w:t>
                  </w:r>
                </w:p>
              </w:tc>
              <w:tc>
                <w:tcPr>
                  <w:tcW w:w="12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eastAsia" w:ascii="Times New Roman" w:hAnsi="Times New Roman" w:cs="Times New Roman"/>
                      <w:color w:val="auto"/>
                      <w:spacing w:val="0"/>
                      <w:w w:val="100"/>
                      <w:position w:val="0"/>
                      <w:sz w:val="21"/>
                      <w:szCs w:val="21"/>
                      <w:highlight w:val="none"/>
                      <w:lang w:eastAsia="zh-CN"/>
                    </w:rPr>
                    <w:t>超</w:t>
                  </w:r>
                  <w:r>
                    <w:rPr>
                      <w:rFonts w:hint="default" w:ascii="Times New Roman" w:hAnsi="Times New Roman" w:cs="Times New Roman"/>
                      <w:color w:val="auto"/>
                      <w:spacing w:val="0"/>
                      <w:w w:val="100"/>
                      <w:position w:val="0"/>
                      <w:sz w:val="21"/>
                      <w:szCs w:val="21"/>
                      <w:highlight w:val="none"/>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PM</w:t>
                  </w:r>
                  <w:r>
                    <w:rPr>
                      <w:rFonts w:hint="default" w:ascii="Times New Roman" w:hAnsi="Times New Roman" w:cs="Times New Roman"/>
                      <w:color w:val="auto"/>
                      <w:spacing w:val="0"/>
                      <w:w w:val="100"/>
                      <w:position w:val="0"/>
                      <w:sz w:val="21"/>
                      <w:szCs w:val="21"/>
                      <w:highlight w:val="none"/>
                      <w:vertAlign w:val="subscript"/>
                    </w:rPr>
                    <w:t>2.5</w:t>
                  </w:r>
                </w:p>
              </w:tc>
              <w:tc>
                <w:tcPr>
                  <w:tcW w:w="244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年平均质量浓度</w:t>
                  </w:r>
                </w:p>
              </w:tc>
              <w:tc>
                <w:tcPr>
                  <w:tcW w:w="1200"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50</w:t>
                  </w:r>
                </w:p>
              </w:tc>
              <w:tc>
                <w:tcPr>
                  <w:tcW w:w="121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35</w:t>
                  </w:r>
                </w:p>
              </w:tc>
              <w:tc>
                <w:tcPr>
                  <w:tcW w:w="1068"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142.00</w:t>
                  </w:r>
                </w:p>
              </w:tc>
              <w:tc>
                <w:tcPr>
                  <w:tcW w:w="12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eastAsia" w:ascii="Times New Roman" w:hAnsi="Times New Roman" w:cs="Times New Roman"/>
                      <w:color w:val="auto"/>
                      <w:spacing w:val="0"/>
                      <w:w w:val="100"/>
                      <w:position w:val="0"/>
                      <w:sz w:val="21"/>
                      <w:szCs w:val="21"/>
                      <w:highlight w:val="none"/>
                      <w:lang w:eastAsia="zh-CN"/>
                    </w:rPr>
                    <w:t>超</w:t>
                  </w:r>
                  <w:r>
                    <w:rPr>
                      <w:rFonts w:hint="default" w:ascii="Times New Roman" w:hAnsi="Times New Roman" w:cs="Times New Roman"/>
                      <w:color w:val="auto"/>
                      <w:spacing w:val="0"/>
                      <w:w w:val="100"/>
                      <w:position w:val="0"/>
                      <w:sz w:val="21"/>
                      <w:szCs w:val="21"/>
                      <w:highlight w:val="none"/>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CO</w:t>
                  </w:r>
                </w:p>
              </w:tc>
              <w:tc>
                <w:tcPr>
                  <w:tcW w:w="244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eastAsia" w:ascii="Times New Roman" w:hAnsi="Times New Roman" w:cs="Times New Roman"/>
                      <w:color w:val="auto"/>
                      <w:spacing w:val="0"/>
                      <w:w w:val="100"/>
                      <w:position w:val="0"/>
                      <w:sz w:val="21"/>
                      <w:szCs w:val="21"/>
                      <w:highlight w:val="none"/>
                      <w:lang w:eastAsia="zh-CN"/>
                    </w:rPr>
                    <w:t>日</w:t>
                  </w:r>
                  <w:r>
                    <w:rPr>
                      <w:rFonts w:hint="default" w:ascii="Times New Roman" w:hAnsi="Times New Roman" w:cs="Times New Roman"/>
                      <w:color w:val="auto"/>
                      <w:spacing w:val="0"/>
                      <w:w w:val="100"/>
                      <w:position w:val="0"/>
                      <w:sz w:val="21"/>
                      <w:szCs w:val="21"/>
                      <w:highlight w:val="none"/>
                    </w:rPr>
                    <w:t>平均95百分位数</w:t>
                  </w:r>
                </w:p>
              </w:tc>
              <w:tc>
                <w:tcPr>
                  <w:tcW w:w="1200"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2800</w:t>
                  </w:r>
                </w:p>
              </w:tc>
              <w:tc>
                <w:tcPr>
                  <w:tcW w:w="121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4000</w:t>
                  </w:r>
                </w:p>
              </w:tc>
              <w:tc>
                <w:tcPr>
                  <w:tcW w:w="1068"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70.00</w:t>
                  </w:r>
                </w:p>
              </w:tc>
              <w:tc>
                <w:tcPr>
                  <w:tcW w:w="12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O</w:t>
                  </w:r>
                  <w:r>
                    <w:rPr>
                      <w:rFonts w:hint="default" w:ascii="Times New Roman" w:hAnsi="Times New Roman" w:cs="Times New Roman"/>
                      <w:color w:val="auto"/>
                      <w:spacing w:val="0"/>
                      <w:w w:val="100"/>
                      <w:position w:val="0"/>
                      <w:sz w:val="21"/>
                      <w:szCs w:val="21"/>
                      <w:highlight w:val="none"/>
                      <w:vertAlign w:val="subscript"/>
                    </w:rPr>
                    <w:t>3</w:t>
                  </w:r>
                </w:p>
              </w:tc>
              <w:tc>
                <w:tcPr>
                  <w:tcW w:w="244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8h最大</w:t>
                  </w:r>
                  <w:r>
                    <w:rPr>
                      <w:rFonts w:hint="eastAsia" w:ascii="Times New Roman" w:hAnsi="Times New Roman" w:cs="Times New Roman"/>
                      <w:color w:val="auto"/>
                      <w:spacing w:val="0"/>
                      <w:w w:val="100"/>
                      <w:position w:val="0"/>
                      <w:sz w:val="21"/>
                      <w:szCs w:val="21"/>
                      <w:highlight w:val="none"/>
                      <w:lang w:eastAsia="zh-CN"/>
                    </w:rPr>
                    <w:t>平均</w:t>
                  </w:r>
                  <w:r>
                    <w:rPr>
                      <w:rFonts w:hint="default" w:ascii="Times New Roman" w:hAnsi="Times New Roman" w:cs="Times New Roman"/>
                      <w:color w:val="auto"/>
                      <w:spacing w:val="0"/>
                      <w:w w:val="100"/>
                      <w:position w:val="0"/>
                      <w:sz w:val="21"/>
                      <w:szCs w:val="21"/>
                      <w:highlight w:val="none"/>
                    </w:rPr>
                    <w:t>第90百分位数</w:t>
                  </w:r>
                </w:p>
              </w:tc>
              <w:tc>
                <w:tcPr>
                  <w:tcW w:w="1200"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pacing w:val="0"/>
                      <w:w w:val="100"/>
                      <w:position w:val="0"/>
                      <w:sz w:val="21"/>
                      <w:szCs w:val="21"/>
                      <w:highlight w:val="none"/>
                      <w:lang w:eastAsia="zh-CN"/>
                    </w:rPr>
                  </w:pPr>
                  <w:r>
                    <w:rPr>
                      <w:rFonts w:hint="default" w:ascii="Times New Roman" w:hAnsi="Times New Roman" w:eastAsia="Times New Roman" w:cs="Times New Roman"/>
                      <w:color w:val="auto"/>
                      <w:spacing w:val="0"/>
                      <w:w w:val="100"/>
                      <w:position w:val="0"/>
                      <w:sz w:val="21"/>
                      <w:szCs w:val="21"/>
                      <w:highlight w:val="none"/>
                    </w:rPr>
                    <w:t>9</w:t>
                  </w:r>
                  <w:r>
                    <w:rPr>
                      <w:rFonts w:hint="eastAsia" w:ascii="Times New Roman" w:hAnsi="Times New Roman" w:eastAsia="宋体" w:cs="Times New Roman"/>
                      <w:color w:val="auto"/>
                      <w:spacing w:val="0"/>
                      <w:w w:val="100"/>
                      <w:position w:val="0"/>
                      <w:sz w:val="21"/>
                      <w:szCs w:val="21"/>
                      <w:highlight w:val="none"/>
                      <w:lang w:val="en-US" w:eastAsia="zh-CN"/>
                    </w:rPr>
                    <w:t>2</w:t>
                  </w:r>
                </w:p>
              </w:tc>
              <w:tc>
                <w:tcPr>
                  <w:tcW w:w="121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160</w:t>
                  </w:r>
                </w:p>
              </w:tc>
              <w:tc>
                <w:tcPr>
                  <w:tcW w:w="1068"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Times New Roman" w:cs="Times New Roman"/>
                      <w:color w:val="auto"/>
                      <w:spacing w:val="0"/>
                      <w:w w:val="100"/>
                      <w:position w:val="0"/>
                      <w:sz w:val="21"/>
                      <w:szCs w:val="21"/>
                      <w:highlight w:val="none"/>
                    </w:rPr>
                    <w:t>57</w:t>
                  </w:r>
                  <w:r>
                    <w:rPr>
                      <w:rFonts w:hint="eastAsia" w:ascii="Times New Roman" w:hAnsi="Times New Roman" w:eastAsia="宋体" w:cs="Times New Roman"/>
                      <w:color w:val="auto"/>
                      <w:spacing w:val="0"/>
                      <w:w w:val="100"/>
                      <w:position w:val="0"/>
                      <w:sz w:val="21"/>
                      <w:szCs w:val="21"/>
                      <w:highlight w:val="none"/>
                      <w:lang w:val="en-US" w:eastAsia="zh-CN"/>
                    </w:rPr>
                    <w:t>.5</w:t>
                  </w:r>
                </w:p>
              </w:tc>
              <w:tc>
                <w:tcPr>
                  <w:tcW w:w="12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达标</w:t>
                  </w:r>
                </w:p>
              </w:tc>
            </w:tr>
          </w:tbl>
          <w:p>
            <w:pPr>
              <w:pageBreakBefore w:val="0"/>
              <w:shd w:val="clear"/>
              <w:bidi w:val="0"/>
              <w:spacing w:beforeAutospacing="0" w:afterAutospacing="0" w:line="360" w:lineRule="auto"/>
              <w:ind w:left="0" w:leftChars="0" w:right="0" w:rightChars="0" w:firstLine="480" w:firstLineChars="200"/>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pP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 xml:space="preserve">由上表可知，各项评价因子中除 </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PM</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10</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PM</w:t>
            </w:r>
            <w:r>
              <w:rPr>
                <w:rFonts w:hint="default" w:ascii="Times New Roman" w:hAnsi="Times New Roman" w:eastAsia="宋体" w:cs="Times New Roman"/>
                <w:smallCaps w:val="0"/>
                <w:snapToGrid w:val="0"/>
                <w:color w:val="auto"/>
                <w:spacing w:val="0"/>
                <w:w w:val="100"/>
                <w:kern w:val="0"/>
                <w:position w:val="0"/>
                <w:sz w:val="24"/>
                <w:szCs w:val="24"/>
                <w:highlight w:val="none"/>
                <w:vertAlign w:val="subscript"/>
                <w:lang w:val="en-US" w:eastAsia="zh-CN"/>
              </w:rPr>
              <w:t>2.5</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有不同程度超标外，其他常规因子均满足《环境空气质量标准》（</w:t>
            </w:r>
            <w:r>
              <w:rPr>
                <w:rFonts w:hint="default" w:ascii="Times New Roman" w:hAnsi="Times New Roman" w:eastAsia="宋体" w:cs="Times New Roman"/>
                <w:smallCaps w:val="0"/>
                <w:snapToGrid w:val="0"/>
                <w:color w:val="auto"/>
                <w:spacing w:val="0"/>
                <w:w w:val="100"/>
                <w:kern w:val="0"/>
                <w:position w:val="0"/>
                <w:sz w:val="24"/>
                <w:szCs w:val="24"/>
                <w:highlight w:val="none"/>
                <w:lang w:val="en-US" w:eastAsia="zh-CN"/>
              </w:rPr>
              <w:t>GB3095-2012</w:t>
            </w:r>
            <w:r>
              <w:rPr>
                <w:rFonts w:hint="eastAsia" w:ascii="Times New Roman" w:hAnsi="Times New Roman" w:eastAsia="宋体" w:cs="Times New Roman"/>
                <w:smallCaps w:val="0"/>
                <w:snapToGrid w:val="0"/>
                <w:color w:val="auto"/>
                <w:spacing w:val="0"/>
                <w:w w:val="100"/>
                <w:kern w:val="0"/>
                <w:position w:val="0"/>
                <w:sz w:val="24"/>
                <w:szCs w:val="24"/>
                <w:highlight w:val="none"/>
                <w:lang w:val="en-US" w:eastAsia="zh-CN"/>
              </w:rPr>
              <w:t>）及修改单二级标准。因此，项目区环境空气为不达标区。</w:t>
            </w:r>
          </w:p>
          <w:p>
            <w:pPr>
              <w:pageBreakBefore w:val="0"/>
              <w:shd w:val="clear"/>
              <w:bidi w:val="0"/>
              <w:spacing w:beforeAutospacing="0" w:afterAutospacing="0" w:line="360" w:lineRule="auto"/>
              <w:ind w:left="0" w:leftChars="0" w:right="0" w:rightChars="0"/>
              <w:jc w:val="left"/>
              <w:rPr>
                <w:rFonts w:hint="default" w:ascii="Times New Roman" w:hAnsi="Times New Roman" w:cs="Times New Roman"/>
                <w:b/>
                <w:bCs/>
                <w:color w:val="0000FF"/>
                <w:spacing w:val="0"/>
                <w:w w:val="100"/>
                <w:position w:val="0"/>
                <w:sz w:val="24"/>
                <w:szCs w:val="24"/>
                <w:highlight w:val="none"/>
              </w:rPr>
            </w:pPr>
            <w:r>
              <w:rPr>
                <w:b/>
                <w:bCs/>
                <w:color w:val="0000FF"/>
                <w:sz w:val="24"/>
              </w:rPr>
              <w:t>1.2</w:t>
            </w:r>
            <w:r>
              <w:rPr>
                <w:rFonts w:hint="eastAsia"/>
                <w:b/>
                <w:bCs/>
                <w:color w:val="0000FF"/>
                <w:sz w:val="24"/>
              </w:rPr>
              <w:t>特征污染物环境质量现状</w:t>
            </w:r>
          </w:p>
          <w:p>
            <w:pPr>
              <w:pageBreakBefore w:val="0"/>
              <w:shd w:val="clear"/>
              <w:bidi w:val="0"/>
              <w:spacing w:beforeAutospacing="0" w:afterAutospacing="0" w:line="360" w:lineRule="auto"/>
              <w:ind w:left="0" w:leftChars="0" w:right="0" w:rightChars="0" w:firstLine="480" w:firstLineChars="200"/>
              <w:rPr>
                <w:rFonts w:hint="default" w:ascii="Times New Roman" w:hAnsi="Times New Roman" w:cs="Times New Roman"/>
                <w:smallCaps w:val="0"/>
                <w:color w:val="0000FF"/>
                <w:spacing w:val="0"/>
                <w:w w:val="100"/>
                <w:position w:val="0"/>
                <w:sz w:val="24"/>
                <w:szCs w:val="24"/>
                <w:highlight w:val="none"/>
                <w:lang w:val="en-US" w:eastAsia="zh-CN"/>
              </w:rPr>
            </w:pPr>
            <w:r>
              <w:rPr>
                <w:rFonts w:hint="default" w:ascii="Times New Roman" w:hAnsi="Times New Roman" w:eastAsia="宋体" w:cs="Times New Roman"/>
                <w:smallCaps w:val="0"/>
                <w:snapToGrid w:val="0"/>
                <w:color w:val="0000FF"/>
                <w:spacing w:val="0"/>
                <w:w w:val="100"/>
                <w:kern w:val="0"/>
                <w:position w:val="0"/>
                <w:sz w:val="24"/>
                <w:szCs w:val="24"/>
                <w:highlight w:val="none"/>
              </w:rPr>
              <w:t>本项目涉及的大气</w:t>
            </w:r>
            <w:r>
              <w:rPr>
                <w:rFonts w:hint="eastAsia" w:cs="Times New Roman"/>
                <w:smallCaps w:val="0"/>
                <w:snapToGrid w:val="0"/>
                <w:color w:val="0000FF"/>
                <w:spacing w:val="0"/>
                <w:w w:val="100"/>
                <w:kern w:val="0"/>
                <w:position w:val="0"/>
                <w:sz w:val="24"/>
                <w:szCs w:val="24"/>
                <w:highlight w:val="none"/>
                <w:lang w:eastAsia="zh-CN"/>
              </w:rPr>
              <w:t>特征</w:t>
            </w:r>
            <w:r>
              <w:rPr>
                <w:rFonts w:hint="default" w:ascii="Times New Roman" w:hAnsi="Times New Roman" w:eastAsia="宋体" w:cs="Times New Roman"/>
                <w:smallCaps w:val="0"/>
                <w:snapToGrid w:val="0"/>
                <w:color w:val="0000FF"/>
                <w:spacing w:val="0"/>
                <w:w w:val="100"/>
                <w:kern w:val="0"/>
                <w:position w:val="0"/>
                <w:sz w:val="24"/>
                <w:szCs w:val="24"/>
                <w:highlight w:val="none"/>
              </w:rPr>
              <w:t>污染物评价因子为</w:t>
            </w:r>
            <w:r>
              <w:rPr>
                <w:rFonts w:hint="default" w:ascii="Times New Roman" w:hAnsi="Times New Roman" w:cs="Times New Roman"/>
                <w:color w:val="0000FF"/>
                <w:spacing w:val="0"/>
                <w:w w:val="100"/>
                <w:position w:val="0"/>
                <w:sz w:val="24"/>
                <w:szCs w:val="24"/>
                <w:highlight w:val="none"/>
              </w:rPr>
              <w:t>TSP</w:t>
            </w:r>
            <w:r>
              <w:rPr>
                <w:rFonts w:hint="eastAsia" w:cs="Times New Roman"/>
                <w:color w:val="0000FF"/>
                <w:spacing w:val="0"/>
                <w:w w:val="100"/>
                <w:position w:val="0"/>
                <w:sz w:val="24"/>
                <w:szCs w:val="24"/>
                <w:highlight w:val="none"/>
                <w:lang w:eastAsia="zh-CN"/>
              </w:rPr>
              <w:t>、非甲烷总烃</w:t>
            </w:r>
            <w:r>
              <w:rPr>
                <w:rFonts w:hint="default" w:ascii="Times New Roman" w:hAnsi="Times New Roman" w:eastAsia="宋体" w:cs="Times New Roman"/>
                <w:smallCaps w:val="0"/>
                <w:color w:val="0000FF"/>
                <w:spacing w:val="0"/>
                <w:w w:val="100"/>
                <w:position w:val="0"/>
                <w:sz w:val="24"/>
                <w:szCs w:val="24"/>
                <w:highlight w:val="none"/>
              </w:rPr>
              <w:t>，根据《建设项目环境影响报告表编制技术指南（污染影响类）》（试行）中相关规定及本项目厂址周围情况，本次评价大气现状监</w:t>
            </w:r>
            <w:r>
              <w:rPr>
                <w:rFonts w:hint="default" w:ascii="Times New Roman" w:hAnsi="Times New Roman" w:eastAsia="宋体" w:cs="Times New Roman"/>
                <w:smallCaps w:val="0"/>
                <w:color w:val="0000FF"/>
                <w:spacing w:val="0"/>
                <w:w w:val="100"/>
                <w:position w:val="0"/>
                <w:sz w:val="24"/>
                <w:szCs w:val="24"/>
                <w:highlight w:val="none"/>
                <w:lang w:val="en-US" w:eastAsia="zh-CN"/>
              </w:rPr>
              <w:t>测数据颗粒物数据来源于《新疆瀚元塑料制品有限公司包装容器生产项目》于202</w:t>
            </w:r>
            <w:r>
              <w:rPr>
                <w:rFonts w:hint="eastAsia" w:cs="Times New Roman"/>
                <w:smallCaps w:val="0"/>
                <w:color w:val="0000FF"/>
                <w:spacing w:val="0"/>
                <w:w w:val="100"/>
                <w:position w:val="0"/>
                <w:sz w:val="24"/>
                <w:szCs w:val="24"/>
                <w:highlight w:val="none"/>
                <w:lang w:val="en-US" w:eastAsia="zh-CN"/>
              </w:rPr>
              <w:t>3</w:t>
            </w:r>
            <w:r>
              <w:rPr>
                <w:rFonts w:hint="default" w:ascii="Times New Roman" w:hAnsi="Times New Roman" w:eastAsia="宋体" w:cs="Times New Roman"/>
                <w:smallCaps w:val="0"/>
                <w:color w:val="0000FF"/>
                <w:spacing w:val="0"/>
                <w:w w:val="100"/>
                <w:position w:val="0"/>
                <w:sz w:val="24"/>
                <w:szCs w:val="24"/>
                <w:highlight w:val="none"/>
                <w:lang w:val="en-US" w:eastAsia="zh-CN"/>
              </w:rPr>
              <w:t>年</w:t>
            </w:r>
            <w:r>
              <w:rPr>
                <w:rFonts w:hint="eastAsia" w:cs="Times New Roman"/>
                <w:smallCaps w:val="0"/>
                <w:color w:val="0000FF"/>
                <w:spacing w:val="0"/>
                <w:w w:val="100"/>
                <w:position w:val="0"/>
                <w:sz w:val="24"/>
                <w:szCs w:val="24"/>
                <w:highlight w:val="none"/>
                <w:lang w:val="en-US" w:eastAsia="zh-CN"/>
              </w:rPr>
              <w:t>12</w:t>
            </w:r>
            <w:r>
              <w:rPr>
                <w:rFonts w:hint="default" w:ascii="Times New Roman" w:hAnsi="Times New Roman" w:eastAsia="宋体" w:cs="Times New Roman"/>
                <w:smallCaps w:val="0"/>
                <w:color w:val="0000FF"/>
                <w:spacing w:val="0"/>
                <w:w w:val="100"/>
                <w:position w:val="0"/>
                <w:sz w:val="24"/>
                <w:szCs w:val="24"/>
                <w:highlight w:val="none"/>
                <w:lang w:val="en-US" w:eastAsia="zh-CN"/>
              </w:rPr>
              <w:t>月</w:t>
            </w:r>
            <w:r>
              <w:rPr>
                <w:rFonts w:hint="eastAsia" w:cs="Times New Roman"/>
                <w:smallCaps w:val="0"/>
                <w:color w:val="0000FF"/>
                <w:spacing w:val="0"/>
                <w:w w:val="100"/>
                <w:position w:val="0"/>
                <w:sz w:val="24"/>
                <w:szCs w:val="24"/>
                <w:highlight w:val="none"/>
                <w:lang w:val="en-US" w:eastAsia="zh-CN"/>
              </w:rPr>
              <w:t>14</w:t>
            </w:r>
            <w:r>
              <w:rPr>
                <w:rFonts w:hint="default" w:ascii="Times New Roman" w:hAnsi="Times New Roman" w:eastAsia="宋体" w:cs="Times New Roman"/>
                <w:smallCaps w:val="0"/>
                <w:color w:val="0000FF"/>
                <w:spacing w:val="0"/>
                <w:w w:val="100"/>
                <w:position w:val="0"/>
                <w:sz w:val="24"/>
                <w:szCs w:val="24"/>
                <w:highlight w:val="none"/>
                <w:lang w:val="en-US" w:eastAsia="zh-CN"/>
              </w:rPr>
              <w:t>日至</w:t>
            </w:r>
            <w:r>
              <w:rPr>
                <w:rFonts w:hint="eastAsia" w:cs="Times New Roman"/>
                <w:smallCaps w:val="0"/>
                <w:color w:val="0000FF"/>
                <w:spacing w:val="0"/>
                <w:w w:val="100"/>
                <w:position w:val="0"/>
                <w:sz w:val="24"/>
                <w:szCs w:val="24"/>
                <w:highlight w:val="none"/>
                <w:lang w:val="en-US" w:eastAsia="zh-CN"/>
              </w:rPr>
              <w:t>12</w:t>
            </w:r>
            <w:r>
              <w:rPr>
                <w:rFonts w:hint="default" w:ascii="Times New Roman" w:hAnsi="Times New Roman" w:eastAsia="宋体" w:cs="Times New Roman"/>
                <w:smallCaps w:val="0"/>
                <w:color w:val="0000FF"/>
                <w:spacing w:val="0"/>
                <w:w w:val="100"/>
                <w:position w:val="0"/>
                <w:sz w:val="24"/>
                <w:szCs w:val="24"/>
                <w:highlight w:val="none"/>
                <w:lang w:val="en-US" w:eastAsia="zh-CN"/>
              </w:rPr>
              <w:t>月</w:t>
            </w:r>
            <w:r>
              <w:rPr>
                <w:rFonts w:hint="eastAsia" w:cs="Times New Roman"/>
                <w:smallCaps w:val="0"/>
                <w:color w:val="0000FF"/>
                <w:spacing w:val="0"/>
                <w:w w:val="100"/>
                <w:position w:val="0"/>
                <w:sz w:val="24"/>
                <w:szCs w:val="24"/>
                <w:highlight w:val="none"/>
                <w:lang w:val="en-US" w:eastAsia="zh-CN"/>
              </w:rPr>
              <w:t>17</w:t>
            </w:r>
            <w:r>
              <w:rPr>
                <w:rFonts w:hint="default" w:ascii="Times New Roman" w:hAnsi="Times New Roman" w:eastAsia="宋体" w:cs="Times New Roman"/>
                <w:smallCaps w:val="0"/>
                <w:color w:val="0000FF"/>
                <w:spacing w:val="0"/>
                <w:w w:val="100"/>
                <w:position w:val="0"/>
                <w:sz w:val="24"/>
                <w:szCs w:val="24"/>
                <w:highlight w:val="none"/>
                <w:lang w:val="en-US" w:eastAsia="zh-CN"/>
              </w:rPr>
              <w:t>日的监测数据，位于本项目区</w:t>
            </w:r>
            <w:r>
              <w:rPr>
                <w:rFonts w:hint="eastAsia" w:cs="Times New Roman"/>
                <w:smallCaps w:val="0"/>
                <w:color w:val="0000FF"/>
                <w:spacing w:val="0"/>
                <w:w w:val="100"/>
                <w:position w:val="0"/>
                <w:sz w:val="24"/>
                <w:szCs w:val="24"/>
                <w:highlight w:val="none"/>
                <w:lang w:val="en-US" w:eastAsia="zh-CN"/>
              </w:rPr>
              <w:t>东南侧3.86k</w:t>
            </w:r>
            <w:r>
              <w:rPr>
                <w:rFonts w:hint="default" w:ascii="Times New Roman" w:hAnsi="Times New Roman" w:eastAsia="宋体" w:cs="Times New Roman"/>
                <w:smallCaps w:val="0"/>
                <w:color w:val="0000FF"/>
                <w:spacing w:val="0"/>
                <w:w w:val="100"/>
                <w:position w:val="0"/>
                <w:sz w:val="24"/>
                <w:szCs w:val="24"/>
                <w:highlight w:val="none"/>
              </w:rPr>
              <w:t>m处</w:t>
            </w:r>
            <w:r>
              <w:rPr>
                <w:rFonts w:hint="default" w:ascii="Times New Roman" w:hAnsi="Times New Roman" w:cs="Times New Roman"/>
                <w:smallCaps w:val="0"/>
                <w:color w:val="0000FF"/>
                <w:spacing w:val="0"/>
                <w:w w:val="100"/>
                <w:position w:val="0"/>
                <w:sz w:val="24"/>
                <w:szCs w:val="24"/>
                <w:highlight w:val="none"/>
                <w:lang w:eastAsia="zh-CN"/>
              </w:rPr>
              <w:t>。</w:t>
            </w:r>
            <w:r>
              <w:rPr>
                <w:rFonts w:hint="default" w:ascii="Times New Roman" w:hAnsi="Times New Roman" w:eastAsia="宋体" w:cs="Times New Roman"/>
                <w:smallCaps w:val="0"/>
                <w:color w:val="0000FF"/>
                <w:spacing w:val="0"/>
                <w:w w:val="100"/>
                <w:position w:val="0"/>
                <w:sz w:val="24"/>
                <w:szCs w:val="24"/>
                <w:highlight w:val="none"/>
              </w:rPr>
              <w:t>本次评价大气现状监</w:t>
            </w:r>
            <w:r>
              <w:rPr>
                <w:rFonts w:hint="default" w:ascii="Times New Roman" w:hAnsi="Times New Roman" w:eastAsia="宋体" w:cs="Times New Roman"/>
                <w:smallCaps w:val="0"/>
                <w:color w:val="0000FF"/>
                <w:spacing w:val="0"/>
                <w:w w:val="100"/>
                <w:position w:val="0"/>
                <w:sz w:val="24"/>
                <w:szCs w:val="24"/>
                <w:highlight w:val="none"/>
                <w:lang w:val="en-US" w:eastAsia="zh-CN"/>
              </w:rPr>
              <w:t>测数据</w:t>
            </w:r>
            <w:r>
              <w:rPr>
                <w:rFonts w:hint="eastAsia" w:ascii="宋体" w:hAnsi="宋体" w:cs="宋体"/>
                <w:b w:val="0"/>
                <w:bCs w:val="0"/>
                <w:color w:val="0000FF"/>
                <w:sz w:val="24"/>
                <w:szCs w:val="24"/>
                <w:lang w:val="en-US" w:eastAsia="zh-CN"/>
              </w:rPr>
              <w:t>非甲烷总烃</w:t>
            </w:r>
            <w:r>
              <w:rPr>
                <w:rFonts w:hint="default" w:ascii="Times New Roman" w:hAnsi="Times New Roman" w:eastAsia="宋体" w:cs="Times New Roman"/>
                <w:smallCaps w:val="0"/>
                <w:color w:val="0000FF"/>
                <w:spacing w:val="0"/>
                <w:w w:val="100"/>
                <w:position w:val="0"/>
                <w:sz w:val="24"/>
                <w:szCs w:val="24"/>
                <w:highlight w:val="none"/>
                <w:lang w:val="en-US" w:eastAsia="zh-CN"/>
              </w:rPr>
              <w:t>数据来源于</w:t>
            </w:r>
            <w:r>
              <w:rPr>
                <w:rFonts w:hint="eastAsia" w:cs="Times New Roman"/>
                <w:smallCaps w:val="0"/>
                <w:color w:val="0000FF"/>
                <w:spacing w:val="0"/>
                <w:w w:val="100"/>
                <w:position w:val="0"/>
                <w:sz w:val="24"/>
                <w:szCs w:val="24"/>
                <w:highlight w:val="none"/>
                <w:lang w:val="en-US" w:eastAsia="zh-CN"/>
              </w:rPr>
              <w:t>《新疆如意交联电缆制造有限公司高低压电线电缆生产项目》于2024年1月12日至1月14日的监测数据，位于本项目区西南侧261m处。</w:t>
            </w:r>
            <w:r>
              <w:rPr>
                <w:rFonts w:hint="default" w:ascii="Times New Roman" w:hAnsi="Times New Roman" w:cs="Times New Roman"/>
                <w:smallCaps w:val="0"/>
                <w:color w:val="0000FF"/>
                <w:spacing w:val="0"/>
                <w:w w:val="100"/>
                <w:position w:val="0"/>
                <w:sz w:val="24"/>
                <w:szCs w:val="24"/>
                <w:highlight w:val="none"/>
                <w:lang w:val="en-US" w:eastAsia="zh-CN"/>
              </w:rPr>
              <w:t>监测报告见附件5。</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b w:val="0"/>
                <w:bCs w:val="0"/>
                <w:color w:val="0000FF"/>
                <w:spacing w:val="0"/>
                <w:w w:val="100"/>
                <w:position w:val="0"/>
                <w:sz w:val="24"/>
                <w:szCs w:val="24"/>
                <w:highlight w:val="none"/>
              </w:rPr>
            </w:pPr>
            <w:r>
              <w:rPr>
                <w:rFonts w:hint="default" w:ascii="Times New Roman" w:hAnsi="Times New Roman" w:cs="Times New Roman"/>
                <w:b w:val="0"/>
                <w:bCs w:val="0"/>
                <w:color w:val="0000FF"/>
                <w:spacing w:val="0"/>
                <w:w w:val="100"/>
                <w:position w:val="0"/>
                <w:sz w:val="24"/>
                <w:szCs w:val="24"/>
                <w:highlight w:val="none"/>
              </w:rPr>
              <w:t>（1）监测项目</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24"/>
                <w:highlight w:val="none"/>
              </w:rPr>
            </w:pPr>
            <w:r>
              <w:rPr>
                <w:rFonts w:hint="default" w:ascii="Times New Roman" w:hAnsi="Times New Roman" w:cs="Times New Roman"/>
                <w:color w:val="0000FF"/>
                <w:spacing w:val="0"/>
                <w:w w:val="100"/>
                <w:position w:val="0"/>
                <w:sz w:val="24"/>
                <w:szCs w:val="24"/>
                <w:highlight w:val="none"/>
              </w:rPr>
              <w:t>本次评价环境空气质量现状监测项目为：TSP</w:t>
            </w:r>
            <w:r>
              <w:rPr>
                <w:rFonts w:hint="eastAsia" w:cs="Times New Roman"/>
                <w:color w:val="0000FF"/>
                <w:spacing w:val="0"/>
                <w:w w:val="100"/>
                <w:position w:val="0"/>
                <w:sz w:val="24"/>
                <w:szCs w:val="24"/>
                <w:highlight w:val="none"/>
                <w:lang w:eastAsia="zh-CN"/>
              </w:rPr>
              <w:t>、</w:t>
            </w:r>
            <w:r>
              <w:rPr>
                <w:rFonts w:hint="eastAsia" w:ascii="宋体" w:hAnsi="宋体" w:cs="宋体"/>
                <w:b w:val="0"/>
                <w:bCs w:val="0"/>
                <w:color w:val="0000FF"/>
                <w:sz w:val="24"/>
                <w:szCs w:val="24"/>
                <w:lang w:val="en-US" w:eastAsia="zh-CN"/>
              </w:rPr>
              <w:t>非甲烷总烃</w:t>
            </w:r>
            <w:r>
              <w:rPr>
                <w:rFonts w:hint="default" w:ascii="Times New Roman" w:hAnsi="Times New Roman" w:cs="Times New Roman"/>
                <w:color w:val="0000FF"/>
                <w:spacing w:val="0"/>
                <w:w w:val="100"/>
                <w:position w:val="0"/>
                <w:sz w:val="24"/>
                <w:szCs w:val="24"/>
                <w:highlight w:val="none"/>
              </w:rPr>
              <w:t>。</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0000FF"/>
                <w:spacing w:val="0"/>
                <w:w w:val="100"/>
                <w:position w:val="0"/>
                <w:sz w:val="24"/>
                <w:szCs w:val="24"/>
                <w:highlight w:val="none"/>
                <w:lang w:val="en-US" w:eastAsia="zh-CN"/>
              </w:rPr>
            </w:pPr>
            <w:r>
              <w:rPr>
                <w:rFonts w:hint="default" w:ascii="Times New Roman" w:hAnsi="Times New Roman" w:cs="Times New Roman"/>
                <w:color w:val="0000FF"/>
                <w:spacing w:val="0"/>
                <w:w w:val="100"/>
                <w:position w:val="0"/>
                <w:sz w:val="24"/>
                <w:szCs w:val="24"/>
                <w:highlight w:val="none"/>
              </w:rPr>
              <w:t>（2）监测点位</w:t>
            </w:r>
            <w:r>
              <w:rPr>
                <w:rFonts w:hint="default" w:ascii="Times New Roman" w:hAnsi="Times New Roman" w:cs="Times New Roman"/>
                <w:color w:val="0000FF"/>
                <w:spacing w:val="0"/>
                <w:w w:val="100"/>
                <w:position w:val="0"/>
                <w:sz w:val="24"/>
                <w:szCs w:val="24"/>
                <w:highlight w:val="none"/>
                <w:lang w:eastAsia="zh-CN"/>
              </w:rPr>
              <w:t>、</w:t>
            </w:r>
            <w:r>
              <w:rPr>
                <w:rFonts w:hint="default" w:ascii="Times New Roman" w:hAnsi="Times New Roman" w:cs="Times New Roman"/>
                <w:color w:val="0000FF"/>
                <w:spacing w:val="0"/>
                <w:w w:val="100"/>
                <w:position w:val="0"/>
                <w:sz w:val="24"/>
                <w:szCs w:val="24"/>
                <w:highlight w:val="none"/>
                <w:lang w:val="en-US" w:eastAsia="zh-CN"/>
              </w:rPr>
              <w:t>采样</w:t>
            </w:r>
            <w:r>
              <w:rPr>
                <w:rFonts w:hint="default" w:ascii="Times New Roman" w:hAnsi="Times New Roman" w:cs="Times New Roman"/>
                <w:color w:val="0000FF"/>
                <w:spacing w:val="0"/>
                <w:w w:val="100"/>
                <w:position w:val="0"/>
                <w:sz w:val="24"/>
                <w:szCs w:val="24"/>
                <w:highlight w:val="none"/>
              </w:rPr>
              <w:t>时段</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24"/>
                <w:highlight w:val="none"/>
              </w:rPr>
            </w:pPr>
            <w:r>
              <w:rPr>
                <w:rFonts w:hint="default" w:ascii="Times New Roman" w:hAnsi="Times New Roman" w:cs="Times New Roman"/>
                <w:color w:val="0000FF"/>
                <w:spacing w:val="0"/>
                <w:w w:val="100"/>
                <w:position w:val="0"/>
                <w:sz w:val="24"/>
                <w:szCs w:val="24"/>
                <w:highlight w:val="none"/>
              </w:rPr>
              <w:t>项目TSP进行监测，监测点位于项目区</w:t>
            </w:r>
            <w:r>
              <w:rPr>
                <w:rFonts w:hint="eastAsia" w:cs="Times New Roman"/>
                <w:color w:val="0000FF"/>
                <w:spacing w:val="0"/>
                <w:w w:val="100"/>
                <w:position w:val="0"/>
                <w:sz w:val="24"/>
                <w:szCs w:val="24"/>
                <w:highlight w:val="none"/>
                <w:lang w:eastAsia="zh-CN"/>
              </w:rPr>
              <w:t>东北</w:t>
            </w:r>
            <w:r>
              <w:rPr>
                <w:rFonts w:hint="default" w:ascii="Times New Roman" w:hAnsi="Times New Roman" w:cs="Times New Roman"/>
                <w:color w:val="0000FF"/>
                <w:spacing w:val="0"/>
                <w:w w:val="100"/>
                <w:position w:val="0"/>
                <w:sz w:val="24"/>
                <w:szCs w:val="24"/>
                <w:highlight w:val="none"/>
              </w:rPr>
              <w:t>风向下风向</w:t>
            </w:r>
            <w:r>
              <w:rPr>
                <w:rFonts w:hint="default" w:ascii="Times New Roman" w:hAnsi="Times New Roman" w:cs="Times New Roman"/>
                <w:color w:val="0000FF"/>
                <w:spacing w:val="0"/>
                <w:w w:val="100"/>
                <w:position w:val="0"/>
                <w:sz w:val="24"/>
                <w:szCs w:val="24"/>
                <w:highlight w:val="none"/>
                <w:lang w:eastAsia="zh-CN"/>
              </w:rPr>
              <w:t>，</w:t>
            </w:r>
            <w:r>
              <w:rPr>
                <w:rFonts w:hint="default" w:ascii="Times New Roman" w:hAnsi="Times New Roman" w:cs="Times New Roman"/>
                <w:color w:val="0000FF"/>
                <w:spacing w:val="0"/>
                <w:w w:val="100"/>
                <w:position w:val="0"/>
                <w:sz w:val="24"/>
                <w:szCs w:val="24"/>
                <w:highlight w:val="none"/>
              </w:rPr>
              <w:t>监测时间为202</w:t>
            </w:r>
            <w:r>
              <w:rPr>
                <w:rFonts w:hint="eastAsia" w:cs="Times New Roman"/>
                <w:color w:val="0000FF"/>
                <w:spacing w:val="0"/>
                <w:w w:val="100"/>
                <w:position w:val="0"/>
                <w:sz w:val="24"/>
                <w:szCs w:val="24"/>
                <w:highlight w:val="none"/>
                <w:lang w:val="en-US" w:eastAsia="zh-CN"/>
              </w:rPr>
              <w:t>3</w:t>
            </w:r>
            <w:r>
              <w:rPr>
                <w:rFonts w:hint="default" w:ascii="Times New Roman" w:hAnsi="Times New Roman" w:cs="Times New Roman"/>
                <w:color w:val="0000FF"/>
                <w:spacing w:val="0"/>
                <w:w w:val="100"/>
                <w:position w:val="0"/>
                <w:sz w:val="24"/>
                <w:szCs w:val="24"/>
                <w:highlight w:val="none"/>
              </w:rPr>
              <w:t>年</w:t>
            </w:r>
            <w:r>
              <w:rPr>
                <w:rFonts w:hint="eastAsia" w:cs="Times New Roman"/>
                <w:color w:val="0000FF"/>
                <w:spacing w:val="0"/>
                <w:w w:val="100"/>
                <w:position w:val="0"/>
                <w:sz w:val="24"/>
                <w:szCs w:val="24"/>
                <w:highlight w:val="none"/>
                <w:lang w:val="en-US" w:eastAsia="zh-CN"/>
              </w:rPr>
              <w:t>1</w:t>
            </w:r>
            <w:r>
              <w:rPr>
                <w:rFonts w:hint="default" w:ascii="Times New Roman" w:hAnsi="Times New Roman" w:cs="Times New Roman"/>
                <w:color w:val="0000FF"/>
                <w:spacing w:val="0"/>
                <w:w w:val="100"/>
                <w:position w:val="0"/>
                <w:sz w:val="24"/>
                <w:szCs w:val="24"/>
                <w:highlight w:val="none"/>
              </w:rPr>
              <w:t>月</w:t>
            </w:r>
            <w:r>
              <w:rPr>
                <w:rFonts w:hint="eastAsia" w:cs="Times New Roman"/>
                <w:color w:val="0000FF"/>
                <w:spacing w:val="0"/>
                <w:w w:val="100"/>
                <w:position w:val="0"/>
                <w:sz w:val="24"/>
                <w:szCs w:val="24"/>
                <w:highlight w:val="none"/>
                <w:lang w:val="en-US" w:eastAsia="zh-CN"/>
              </w:rPr>
              <w:t>11</w:t>
            </w:r>
            <w:r>
              <w:rPr>
                <w:rFonts w:hint="default" w:ascii="Times New Roman" w:hAnsi="Times New Roman" w:cs="Times New Roman"/>
                <w:color w:val="0000FF"/>
                <w:spacing w:val="0"/>
                <w:w w:val="100"/>
                <w:position w:val="0"/>
                <w:sz w:val="24"/>
                <w:szCs w:val="24"/>
                <w:highlight w:val="none"/>
              </w:rPr>
              <w:t>日至</w:t>
            </w:r>
            <w:r>
              <w:rPr>
                <w:rFonts w:hint="eastAsia" w:cs="Times New Roman"/>
                <w:color w:val="0000FF"/>
                <w:spacing w:val="0"/>
                <w:w w:val="100"/>
                <w:position w:val="0"/>
                <w:sz w:val="24"/>
                <w:szCs w:val="24"/>
                <w:highlight w:val="none"/>
                <w:lang w:val="en-US" w:eastAsia="zh-CN"/>
              </w:rPr>
              <w:t>1</w:t>
            </w:r>
            <w:r>
              <w:rPr>
                <w:rFonts w:hint="default" w:ascii="Times New Roman" w:hAnsi="Times New Roman" w:cs="Times New Roman"/>
                <w:color w:val="0000FF"/>
                <w:spacing w:val="0"/>
                <w:w w:val="100"/>
                <w:position w:val="0"/>
                <w:sz w:val="24"/>
                <w:szCs w:val="24"/>
                <w:highlight w:val="none"/>
              </w:rPr>
              <w:t>月</w:t>
            </w:r>
            <w:r>
              <w:rPr>
                <w:rFonts w:hint="eastAsia" w:cs="Times New Roman"/>
                <w:color w:val="0000FF"/>
                <w:spacing w:val="0"/>
                <w:w w:val="100"/>
                <w:position w:val="0"/>
                <w:sz w:val="24"/>
                <w:szCs w:val="24"/>
                <w:highlight w:val="none"/>
                <w:lang w:val="en-US" w:eastAsia="zh-CN"/>
              </w:rPr>
              <w:t>13</w:t>
            </w:r>
            <w:r>
              <w:rPr>
                <w:rFonts w:hint="default" w:ascii="Times New Roman" w:hAnsi="Times New Roman" w:cs="Times New Roman"/>
                <w:color w:val="0000FF"/>
                <w:spacing w:val="0"/>
                <w:w w:val="100"/>
                <w:position w:val="0"/>
                <w:sz w:val="24"/>
                <w:szCs w:val="24"/>
                <w:highlight w:val="none"/>
              </w:rPr>
              <w:t>日，TSP</w:t>
            </w:r>
            <w:r>
              <w:rPr>
                <w:rFonts w:hint="default" w:ascii="Times New Roman" w:hAnsi="Times New Roman" w:cs="Times New Roman"/>
                <w:color w:val="0000FF"/>
                <w:spacing w:val="0"/>
                <w:w w:val="100"/>
                <w:position w:val="0"/>
                <w:sz w:val="24"/>
                <w:szCs w:val="24"/>
                <w:highlight w:val="none"/>
                <w:lang w:bidi="zh-CN"/>
              </w:rPr>
              <w:t>为</w:t>
            </w:r>
            <w:r>
              <w:rPr>
                <w:rFonts w:hint="default" w:ascii="Times New Roman" w:hAnsi="Times New Roman" w:cs="Times New Roman"/>
                <w:color w:val="0000FF"/>
                <w:spacing w:val="0"/>
                <w:w w:val="100"/>
                <w:position w:val="0"/>
                <w:sz w:val="24"/>
                <w:szCs w:val="24"/>
                <w:highlight w:val="none"/>
              </w:rPr>
              <w:t>日均值。</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24"/>
                <w:highlight w:val="none"/>
              </w:rPr>
            </w:pPr>
            <w:r>
              <w:rPr>
                <w:rFonts w:hint="eastAsia" w:cs="Times New Roman"/>
                <w:color w:val="0000FF"/>
                <w:spacing w:val="0"/>
                <w:w w:val="100"/>
                <w:position w:val="0"/>
                <w:sz w:val="24"/>
                <w:szCs w:val="24"/>
                <w:highlight w:val="none"/>
                <w:lang w:eastAsia="zh-CN"/>
              </w:rPr>
              <w:t>项目</w:t>
            </w:r>
            <w:r>
              <w:rPr>
                <w:rFonts w:hint="eastAsia" w:ascii="宋体" w:hAnsi="宋体" w:cs="宋体"/>
                <w:b w:val="0"/>
                <w:bCs w:val="0"/>
                <w:color w:val="0000FF"/>
                <w:sz w:val="24"/>
                <w:szCs w:val="24"/>
                <w:lang w:val="en-US" w:eastAsia="zh-CN"/>
              </w:rPr>
              <w:t>非甲烷总烃</w:t>
            </w:r>
            <w:r>
              <w:rPr>
                <w:rFonts w:hint="eastAsia" w:ascii="Times New Roman" w:hAnsi="Times New Roman" w:eastAsia="宋体" w:cs="Times New Roman"/>
                <w:color w:val="0000FF"/>
                <w:sz w:val="24"/>
                <w:szCs w:val="24"/>
                <w:lang w:val="en-US" w:eastAsia="zh-CN"/>
              </w:rPr>
              <w:t>进行监测，监测点位于</w:t>
            </w:r>
            <w:r>
              <w:rPr>
                <w:rFonts w:hint="default" w:ascii="Times New Roman" w:hAnsi="Times New Roman" w:cs="Times New Roman"/>
                <w:color w:val="0000FF"/>
                <w:spacing w:val="0"/>
                <w:w w:val="100"/>
                <w:position w:val="0"/>
                <w:sz w:val="24"/>
                <w:szCs w:val="24"/>
                <w:highlight w:val="none"/>
              </w:rPr>
              <w:t>项目区</w:t>
            </w:r>
            <w:r>
              <w:rPr>
                <w:rFonts w:hint="eastAsia" w:ascii="Times New Roman" w:hAnsi="Times New Roman" w:cs="Times New Roman"/>
                <w:color w:val="0000FF"/>
                <w:spacing w:val="0"/>
                <w:w w:val="100"/>
                <w:position w:val="0"/>
                <w:sz w:val="24"/>
                <w:szCs w:val="24"/>
                <w:highlight w:val="none"/>
                <w:lang w:eastAsia="zh-CN"/>
              </w:rPr>
              <w:t>西北</w:t>
            </w:r>
            <w:r>
              <w:rPr>
                <w:rFonts w:hint="default" w:ascii="Times New Roman" w:hAnsi="Times New Roman" w:cs="Times New Roman"/>
                <w:color w:val="0000FF"/>
                <w:spacing w:val="0"/>
                <w:w w:val="100"/>
                <w:position w:val="0"/>
                <w:sz w:val="24"/>
                <w:szCs w:val="24"/>
                <w:highlight w:val="none"/>
              </w:rPr>
              <w:t>风向下风向</w:t>
            </w:r>
            <w:r>
              <w:rPr>
                <w:rFonts w:hint="default" w:ascii="Times New Roman" w:hAnsi="Times New Roman" w:cs="Times New Roman"/>
                <w:color w:val="0000FF"/>
                <w:spacing w:val="0"/>
                <w:w w:val="100"/>
                <w:position w:val="0"/>
                <w:sz w:val="24"/>
                <w:szCs w:val="24"/>
                <w:highlight w:val="none"/>
                <w:lang w:eastAsia="zh-CN"/>
              </w:rPr>
              <w:t>，</w:t>
            </w:r>
            <w:r>
              <w:rPr>
                <w:rFonts w:hint="default" w:ascii="Times New Roman" w:hAnsi="Times New Roman" w:cs="Times New Roman"/>
                <w:color w:val="0000FF"/>
                <w:spacing w:val="0"/>
                <w:w w:val="100"/>
                <w:position w:val="0"/>
                <w:sz w:val="24"/>
                <w:szCs w:val="24"/>
                <w:highlight w:val="none"/>
              </w:rPr>
              <w:t>监测时间为202</w:t>
            </w:r>
            <w:r>
              <w:rPr>
                <w:rFonts w:hint="eastAsia" w:cs="Times New Roman"/>
                <w:color w:val="0000FF"/>
                <w:spacing w:val="0"/>
                <w:w w:val="100"/>
                <w:position w:val="0"/>
                <w:sz w:val="24"/>
                <w:szCs w:val="24"/>
                <w:highlight w:val="none"/>
                <w:lang w:val="en-US" w:eastAsia="zh-CN"/>
              </w:rPr>
              <w:t>4</w:t>
            </w:r>
            <w:r>
              <w:rPr>
                <w:rFonts w:hint="default" w:ascii="Times New Roman" w:hAnsi="Times New Roman" w:cs="Times New Roman"/>
                <w:color w:val="0000FF"/>
                <w:spacing w:val="0"/>
                <w:w w:val="100"/>
                <w:position w:val="0"/>
                <w:sz w:val="24"/>
                <w:szCs w:val="24"/>
                <w:highlight w:val="none"/>
              </w:rPr>
              <w:t>年</w:t>
            </w:r>
            <w:r>
              <w:rPr>
                <w:rFonts w:hint="eastAsia" w:cs="Times New Roman"/>
                <w:color w:val="0000FF"/>
                <w:spacing w:val="0"/>
                <w:w w:val="100"/>
                <w:position w:val="0"/>
                <w:sz w:val="24"/>
                <w:szCs w:val="24"/>
                <w:highlight w:val="none"/>
                <w:lang w:val="en-US" w:eastAsia="zh-CN"/>
              </w:rPr>
              <w:t>1</w:t>
            </w:r>
            <w:r>
              <w:rPr>
                <w:rFonts w:hint="default" w:ascii="Times New Roman" w:hAnsi="Times New Roman" w:cs="Times New Roman"/>
                <w:color w:val="0000FF"/>
                <w:spacing w:val="0"/>
                <w:w w:val="100"/>
                <w:position w:val="0"/>
                <w:sz w:val="24"/>
                <w:szCs w:val="24"/>
                <w:highlight w:val="none"/>
              </w:rPr>
              <w:t>月</w:t>
            </w:r>
            <w:r>
              <w:rPr>
                <w:rFonts w:hint="eastAsia" w:cs="Times New Roman"/>
                <w:color w:val="0000FF"/>
                <w:spacing w:val="0"/>
                <w:w w:val="100"/>
                <w:position w:val="0"/>
                <w:sz w:val="24"/>
                <w:szCs w:val="24"/>
                <w:highlight w:val="none"/>
                <w:lang w:val="en-US" w:eastAsia="zh-CN"/>
              </w:rPr>
              <w:t>12</w:t>
            </w:r>
            <w:r>
              <w:rPr>
                <w:rFonts w:hint="default" w:ascii="Times New Roman" w:hAnsi="Times New Roman" w:cs="Times New Roman"/>
                <w:color w:val="0000FF"/>
                <w:spacing w:val="0"/>
                <w:w w:val="100"/>
                <w:position w:val="0"/>
                <w:sz w:val="24"/>
                <w:szCs w:val="24"/>
                <w:highlight w:val="none"/>
              </w:rPr>
              <w:t>日至</w:t>
            </w:r>
            <w:r>
              <w:rPr>
                <w:rFonts w:hint="eastAsia" w:cs="Times New Roman"/>
                <w:color w:val="0000FF"/>
                <w:spacing w:val="0"/>
                <w:w w:val="100"/>
                <w:position w:val="0"/>
                <w:sz w:val="24"/>
                <w:szCs w:val="24"/>
                <w:highlight w:val="none"/>
                <w:lang w:val="en-US" w:eastAsia="zh-CN"/>
              </w:rPr>
              <w:t>1</w:t>
            </w:r>
            <w:r>
              <w:rPr>
                <w:rFonts w:hint="default" w:ascii="Times New Roman" w:hAnsi="Times New Roman" w:cs="Times New Roman"/>
                <w:color w:val="0000FF"/>
                <w:spacing w:val="0"/>
                <w:w w:val="100"/>
                <w:position w:val="0"/>
                <w:sz w:val="24"/>
                <w:szCs w:val="24"/>
                <w:highlight w:val="none"/>
              </w:rPr>
              <w:t>月</w:t>
            </w:r>
            <w:r>
              <w:rPr>
                <w:rFonts w:hint="eastAsia" w:cs="Times New Roman"/>
                <w:color w:val="0000FF"/>
                <w:spacing w:val="0"/>
                <w:w w:val="100"/>
                <w:position w:val="0"/>
                <w:sz w:val="24"/>
                <w:szCs w:val="24"/>
                <w:highlight w:val="none"/>
                <w:lang w:val="en-US" w:eastAsia="zh-CN"/>
              </w:rPr>
              <w:t>14</w:t>
            </w:r>
            <w:r>
              <w:rPr>
                <w:rFonts w:hint="default" w:ascii="Times New Roman" w:hAnsi="Times New Roman" w:cs="Times New Roman"/>
                <w:color w:val="0000FF"/>
                <w:spacing w:val="0"/>
                <w:w w:val="100"/>
                <w:position w:val="0"/>
                <w:sz w:val="24"/>
                <w:szCs w:val="24"/>
                <w:highlight w:val="none"/>
              </w:rPr>
              <w:t>日，</w:t>
            </w:r>
            <w:r>
              <w:rPr>
                <w:rFonts w:hint="eastAsia" w:ascii="宋体" w:hAnsi="宋体" w:cs="宋体"/>
                <w:b w:val="0"/>
                <w:bCs w:val="0"/>
                <w:color w:val="0000FF"/>
                <w:sz w:val="24"/>
                <w:szCs w:val="24"/>
                <w:lang w:val="en-US" w:eastAsia="zh-CN"/>
              </w:rPr>
              <w:t>非甲烷总烃</w:t>
            </w:r>
            <w:r>
              <w:rPr>
                <w:rFonts w:hint="default" w:ascii="Times New Roman" w:hAnsi="Times New Roman" w:cs="Times New Roman"/>
                <w:color w:val="0000FF"/>
                <w:spacing w:val="0"/>
                <w:w w:val="100"/>
                <w:position w:val="0"/>
                <w:sz w:val="24"/>
                <w:szCs w:val="24"/>
                <w:highlight w:val="none"/>
                <w:lang w:bidi="zh-CN"/>
              </w:rPr>
              <w:t>为</w:t>
            </w:r>
            <w:r>
              <w:rPr>
                <w:rFonts w:hint="default" w:ascii="Times New Roman" w:hAnsi="Times New Roman" w:cs="Times New Roman"/>
                <w:color w:val="0000FF"/>
                <w:spacing w:val="0"/>
                <w:w w:val="100"/>
                <w:position w:val="0"/>
                <w:sz w:val="24"/>
                <w:szCs w:val="24"/>
                <w:highlight w:val="none"/>
              </w:rPr>
              <w:t>日均值。</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24"/>
                <w:highlight w:val="none"/>
              </w:rPr>
            </w:pPr>
            <w:r>
              <w:rPr>
                <w:rFonts w:hint="default" w:ascii="Times New Roman" w:hAnsi="Times New Roman" w:cs="Times New Roman"/>
                <w:color w:val="0000FF"/>
                <w:spacing w:val="0"/>
                <w:w w:val="100"/>
                <w:position w:val="0"/>
                <w:sz w:val="24"/>
                <w:szCs w:val="24"/>
                <w:highlight w:val="none"/>
              </w:rPr>
              <w:t>（</w:t>
            </w:r>
            <w:r>
              <w:rPr>
                <w:rFonts w:hint="default" w:ascii="Times New Roman" w:hAnsi="Times New Roman" w:cs="Times New Roman"/>
                <w:color w:val="0000FF"/>
                <w:spacing w:val="0"/>
                <w:w w:val="100"/>
                <w:position w:val="0"/>
                <w:sz w:val="24"/>
                <w:szCs w:val="24"/>
                <w:highlight w:val="none"/>
                <w:lang w:val="en-US" w:eastAsia="zh-CN"/>
              </w:rPr>
              <w:t>3</w:t>
            </w:r>
            <w:r>
              <w:rPr>
                <w:rFonts w:hint="default" w:ascii="Times New Roman" w:hAnsi="Times New Roman" w:cs="Times New Roman"/>
                <w:color w:val="0000FF"/>
                <w:spacing w:val="0"/>
                <w:w w:val="100"/>
                <w:position w:val="0"/>
                <w:sz w:val="24"/>
                <w:szCs w:val="24"/>
                <w:highlight w:val="none"/>
              </w:rPr>
              <w:t>）监测结果统计</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FF"/>
                <w:spacing w:val="0"/>
                <w:w w:val="100"/>
                <w:position w:val="0"/>
                <w:sz w:val="21"/>
                <w:szCs w:val="21"/>
                <w:highlight w:val="none"/>
                <w:lang w:eastAsia="zh-CN"/>
              </w:rPr>
            </w:pPr>
            <w:r>
              <w:rPr>
                <w:rFonts w:hint="default" w:ascii="Times New Roman" w:hAnsi="Times New Roman" w:eastAsia="宋体" w:cs="Times New Roman"/>
                <w:b/>
                <w:bCs/>
                <w:color w:val="0000FF"/>
                <w:spacing w:val="0"/>
                <w:w w:val="100"/>
                <w:position w:val="0"/>
                <w:sz w:val="21"/>
                <w:szCs w:val="21"/>
                <w:highlight w:val="none"/>
              </w:rPr>
              <w:t>表3-2</w:t>
            </w:r>
            <w:r>
              <w:rPr>
                <w:rFonts w:hint="eastAsia" w:cs="Times New Roman"/>
                <w:b/>
                <w:bCs/>
                <w:color w:val="0000FF"/>
                <w:spacing w:val="0"/>
                <w:w w:val="100"/>
                <w:position w:val="0"/>
                <w:sz w:val="21"/>
                <w:szCs w:val="21"/>
                <w:highlight w:val="none"/>
                <w:lang w:val="en-US" w:eastAsia="zh-CN"/>
              </w:rPr>
              <w:t xml:space="preserve"> </w:t>
            </w:r>
            <w:r>
              <w:rPr>
                <w:rFonts w:hint="default" w:ascii="Times New Roman" w:hAnsi="Times New Roman" w:eastAsia="宋体" w:cs="Times New Roman"/>
                <w:b/>
                <w:bCs/>
                <w:color w:val="0000FF"/>
                <w:spacing w:val="0"/>
                <w:w w:val="100"/>
                <w:position w:val="0"/>
                <w:sz w:val="21"/>
                <w:szCs w:val="21"/>
                <w:highlight w:val="none"/>
              </w:rPr>
              <w:t>空气质量监测结果</w:t>
            </w:r>
            <w:r>
              <w:rPr>
                <w:rFonts w:hint="eastAsia" w:cs="Times New Roman"/>
                <w:b/>
                <w:bCs/>
                <w:color w:val="0000FF"/>
                <w:spacing w:val="0"/>
                <w:w w:val="100"/>
                <w:position w:val="0"/>
                <w:sz w:val="21"/>
                <w:szCs w:val="21"/>
                <w:highlight w:val="none"/>
                <w:lang w:eastAsia="zh-CN"/>
              </w:rPr>
              <w:t>（TSP）</w:t>
            </w:r>
          </w:p>
          <w:tbl>
            <w:tblPr>
              <w:tblStyle w:val="23"/>
              <w:tblW w:w="469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18"/>
              <w:gridCol w:w="2700"/>
              <w:gridCol w:w="28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exact"/>
                <w:jc w:val="center"/>
              </w:trPr>
              <w:tc>
                <w:tcPr>
                  <w:tcW w:w="1335" w:type="pct"/>
                  <w:vMerge w:val="restart"/>
                  <w:tcBorders>
                    <w:bottom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采样点</w:t>
                  </w:r>
                </w:p>
              </w:tc>
              <w:tc>
                <w:tcPr>
                  <w:tcW w:w="1786" w:type="pct"/>
                  <w:vMerge w:val="restart"/>
                  <w:tcBorders>
                    <w:bottom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采样日期</w:t>
                  </w:r>
                </w:p>
              </w:tc>
              <w:tc>
                <w:tcPr>
                  <w:tcW w:w="1877" w:type="pct"/>
                  <w:tcBorders>
                    <w:bottom w:val="single" w:color="auto" w:sz="12" w:space="0"/>
                    <w:right w:val="nil"/>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检测结果（mg/m</w:t>
                  </w:r>
                  <w:r>
                    <w:rPr>
                      <w:rFonts w:hint="default" w:ascii="Times New Roman" w:hAnsi="Times New Roman" w:cs="Times New Roman"/>
                      <w:b/>
                      <w:bCs/>
                      <w:color w:val="0000FF"/>
                      <w:spacing w:val="0"/>
                      <w:w w:val="100"/>
                      <w:position w:val="0"/>
                      <w:sz w:val="21"/>
                      <w:szCs w:val="21"/>
                      <w:highlight w:val="none"/>
                      <w:vertAlign w:val="superscript"/>
                    </w:rPr>
                    <w:t>3</w:t>
                  </w:r>
                  <w:r>
                    <w:rPr>
                      <w:rFonts w:hint="default" w:ascii="Times New Roman" w:hAnsi="Times New Roman" w:cs="Times New Roman"/>
                      <w:b/>
                      <w:bCs/>
                      <w:color w:val="0000FF"/>
                      <w:spacing w:val="0"/>
                      <w:w w:val="100"/>
                      <w:positio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2" w:hRule="exact"/>
                <w:jc w:val="center"/>
              </w:trPr>
              <w:tc>
                <w:tcPr>
                  <w:tcW w:w="1335" w:type="pct"/>
                  <w:vMerge w:val="continue"/>
                  <w:tcBorders>
                    <w:top w:val="single" w:color="auto" w:sz="12" w:space="0"/>
                    <w:bottom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p>
              </w:tc>
              <w:tc>
                <w:tcPr>
                  <w:tcW w:w="1786" w:type="pct"/>
                  <w:vMerge w:val="continue"/>
                  <w:tcBorders>
                    <w:top w:val="single" w:color="auto" w:sz="12" w:space="0"/>
                    <w:bottom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p>
              </w:tc>
              <w:tc>
                <w:tcPr>
                  <w:tcW w:w="1877" w:type="pct"/>
                  <w:tcBorders>
                    <w:top w:val="single" w:color="auto" w:sz="12" w:space="0"/>
                    <w:bottom w:val="single" w:color="auto" w:sz="12" w:space="0"/>
                    <w:right w:val="nil"/>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eastAsia="宋体" w:cs="Times New Roman"/>
                      <w:b/>
                      <w:bCs/>
                      <w:color w:val="0000FF"/>
                      <w:spacing w:val="0"/>
                      <w:w w:val="100"/>
                      <w:position w:val="0"/>
                      <w:sz w:val="21"/>
                      <w:szCs w:val="21"/>
                      <w:highlight w:val="none"/>
                      <w:lang w:val="en-US" w:eastAsia="zh-CN"/>
                    </w:rPr>
                  </w:pPr>
                  <w:r>
                    <w:rPr>
                      <w:rFonts w:hint="default" w:ascii="Times New Roman" w:hAnsi="Times New Roman" w:cs="Times New Roman"/>
                      <w:b/>
                      <w:bCs/>
                      <w:color w:val="0000FF"/>
                      <w:spacing w:val="0"/>
                      <w:w w:val="100"/>
                      <w:position w:val="0"/>
                      <w:sz w:val="21"/>
                      <w:szCs w:val="21"/>
                      <w:highlight w:val="none"/>
                      <w:lang w:val="en-US"/>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1335" w:type="pct"/>
                  <w:vMerge w:val="restart"/>
                  <w:tcBorders>
                    <w:top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r>
                    <w:rPr>
                      <w:rFonts w:hint="eastAsia" w:ascii="Times New Roman" w:hAnsi="Times New Roman" w:cs="Times New Roman"/>
                      <w:color w:val="0000FF"/>
                      <w:spacing w:val="0"/>
                      <w:w w:val="100"/>
                      <w:position w:val="0"/>
                      <w:sz w:val="21"/>
                      <w:szCs w:val="21"/>
                      <w:highlight w:val="none"/>
                      <w:lang w:eastAsia="zh-CN"/>
                    </w:rPr>
                    <w:t>厂界</w:t>
                  </w:r>
                  <w:r>
                    <w:rPr>
                      <w:rFonts w:hint="default" w:ascii="Times New Roman" w:hAnsi="Times New Roman" w:cs="Times New Roman"/>
                      <w:color w:val="0000FF"/>
                      <w:spacing w:val="0"/>
                      <w:w w:val="100"/>
                      <w:position w:val="0"/>
                      <w:sz w:val="21"/>
                      <w:szCs w:val="21"/>
                      <w:highlight w:val="none"/>
                    </w:rPr>
                    <w:t>下</w:t>
                  </w:r>
                </w:p>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rPr>
                    <w:t>风向</w:t>
                  </w:r>
                </w:p>
              </w:tc>
              <w:tc>
                <w:tcPr>
                  <w:tcW w:w="1786"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2023年12</w:t>
                  </w:r>
                  <w:r>
                    <w:rPr>
                      <w:rFonts w:hint="default" w:ascii="Times New Roman" w:hAnsi="Times New Roman" w:eastAsia="宋体" w:cs="Times New Roman"/>
                      <w:i w:val="0"/>
                      <w:iCs w:val="0"/>
                      <w:color w:val="0000FF"/>
                      <w:kern w:val="0"/>
                      <w:sz w:val="21"/>
                      <w:szCs w:val="21"/>
                      <w:u w:val="none"/>
                      <w:lang w:val="en-US" w:eastAsia="zh-CN" w:bidi="ar"/>
                    </w:rPr>
                    <w:t>月</w:t>
                  </w:r>
                  <w:r>
                    <w:rPr>
                      <w:rFonts w:hint="eastAsia" w:ascii="Times New Roman" w:hAnsi="Times New Roman" w:eastAsia="宋体" w:cs="Times New Roman"/>
                      <w:i w:val="0"/>
                      <w:iCs w:val="0"/>
                      <w:color w:val="0000FF"/>
                      <w:kern w:val="0"/>
                      <w:sz w:val="21"/>
                      <w:szCs w:val="21"/>
                      <w:u w:val="none"/>
                      <w:lang w:val="en-US" w:eastAsia="zh-CN" w:bidi="ar"/>
                    </w:rPr>
                    <w:t>14</w:t>
                  </w:r>
                  <w:r>
                    <w:rPr>
                      <w:rFonts w:hint="default" w:ascii="Times New Roman" w:hAnsi="Times New Roman" w:eastAsia="宋体" w:cs="Times New Roman"/>
                      <w:i w:val="0"/>
                      <w:iCs w:val="0"/>
                      <w:color w:val="0000FF"/>
                      <w:kern w:val="0"/>
                      <w:sz w:val="21"/>
                      <w:szCs w:val="21"/>
                      <w:u w:val="none"/>
                      <w:lang w:val="en-US" w:eastAsia="zh-CN" w:bidi="ar"/>
                    </w:rPr>
                    <w:t>日</w:t>
                  </w:r>
                </w:p>
              </w:tc>
              <w:tc>
                <w:tcPr>
                  <w:tcW w:w="1877" w:type="pct"/>
                  <w:tcBorders>
                    <w:top w:val="single" w:color="auto" w:sz="12" w:space="0"/>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0.164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335" w:type="pct"/>
                  <w:vMerge w:val="continue"/>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p>
              </w:tc>
              <w:tc>
                <w:tcPr>
                  <w:tcW w:w="1786"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2023年12</w:t>
                  </w:r>
                  <w:r>
                    <w:rPr>
                      <w:rFonts w:hint="default" w:ascii="Times New Roman" w:hAnsi="Times New Roman" w:eastAsia="宋体" w:cs="Times New Roman"/>
                      <w:i w:val="0"/>
                      <w:iCs w:val="0"/>
                      <w:color w:val="0000FF"/>
                      <w:kern w:val="0"/>
                      <w:sz w:val="21"/>
                      <w:szCs w:val="21"/>
                      <w:u w:val="none"/>
                      <w:lang w:val="en-US" w:eastAsia="zh-CN" w:bidi="ar"/>
                    </w:rPr>
                    <w:t>月</w:t>
                  </w:r>
                  <w:r>
                    <w:rPr>
                      <w:rFonts w:hint="eastAsia" w:ascii="Times New Roman" w:hAnsi="Times New Roman" w:eastAsia="宋体" w:cs="Times New Roman"/>
                      <w:i w:val="0"/>
                      <w:iCs w:val="0"/>
                      <w:color w:val="0000FF"/>
                      <w:kern w:val="0"/>
                      <w:sz w:val="21"/>
                      <w:szCs w:val="21"/>
                      <w:u w:val="none"/>
                      <w:lang w:val="en-US" w:eastAsia="zh-CN" w:bidi="ar"/>
                    </w:rPr>
                    <w:t>15</w:t>
                  </w:r>
                  <w:r>
                    <w:rPr>
                      <w:rFonts w:hint="default" w:ascii="Times New Roman" w:hAnsi="Times New Roman" w:eastAsia="宋体" w:cs="Times New Roman"/>
                      <w:i w:val="0"/>
                      <w:iCs w:val="0"/>
                      <w:color w:val="0000FF"/>
                      <w:kern w:val="0"/>
                      <w:sz w:val="21"/>
                      <w:szCs w:val="21"/>
                      <w:u w:val="none"/>
                      <w:lang w:val="en-US" w:eastAsia="zh-CN" w:bidi="ar"/>
                    </w:rPr>
                    <w:t>日</w:t>
                  </w:r>
                </w:p>
              </w:tc>
              <w:tc>
                <w:tcPr>
                  <w:tcW w:w="1877" w:type="pct"/>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0.172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335" w:type="pct"/>
                  <w:vMerge w:val="continue"/>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p>
              </w:tc>
              <w:tc>
                <w:tcPr>
                  <w:tcW w:w="1786" w:type="pct"/>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2023年12</w:t>
                  </w:r>
                  <w:r>
                    <w:rPr>
                      <w:rFonts w:hint="default" w:ascii="Times New Roman" w:hAnsi="Times New Roman" w:eastAsia="宋体" w:cs="Times New Roman"/>
                      <w:i w:val="0"/>
                      <w:iCs w:val="0"/>
                      <w:color w:val="0000FF"/>
                      <w:kern w:val="0"/>
                      <w:sz w:val="21"/>
                      <w:szCs w:val="21"/>
                      <w:u w:val="none"/>
                      <w:lang w:val="en-US" w:eastAsia="zh-CN" w:bidi="ar"/>
                    </w:rPr>
                    <w:t>月</w:t>
                  </w:r>
                  <w:r>
                    <w:rPr>
                      <w:rFonts w:hint="eastAsia" w:ascii="Times New Roman" w:hAnsi="Times New Roman" w:eastAsia="宋体" w:cs="Times New Roman"/>
                      <w:i w:val="0"/>
                      <w:iCs w:val="0"/>
                      <w:color w:val="0000FF"/>
                      <w:kern w:val="0"/>
                      <w:sz w:val="21"/>
                      <w:szCs w:val="21"/>
                      <w:u w:val="none"/>
                      <w:lang w:val="en-US" w:eastAsia="zh-CN" w:bidi="ar"/>
                    </w:rPr>
                    <w:t>16</w:t>
                  </w:r>
                  <w:r>
                    <w:rPr>
                      <w:rFonts w:hint="default" w:ascii="Times New Roman" w:hAnsi="Times New Roman" w:eastAsia="宋体" w:cs="Times New Roman"/>
                      <w:i w:val="0"/>
                      <w:iCs w:val="0"/>
                      <w:color w:val="0000FF"/>
                      <w:kern w:val="0"/>
                      <w:sz w:val="21"/>
                      <w:szCs w:val="21"/>
                      <w:u w:val="none"/>
                      <w:lang w:val="en-US" w:eastAsia="zh-CN" w:bidi="ar"/>
                    </w:rPr>
                    <w:t>日</w:t>
                  </w:r>
                </w:p>
              </w:tc>
              <w:tc>
                <w:tcPr>
                  <w:tcW w:w="1877" w:type="pct"/>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0.151</w:t>
                  </w:r>
                </w:p>
              </w:tc>
            </w:tr>
          </w:tbl>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eastAsia="宋体" w:cs="Times New Roman"/>
                <w:b/>
                <w:bCs/>
                <w:color w:val="0000FF"/>
                <w:spacing w:val="0"/>
                <w:w w:val="100"/>
                <w:position w:val="0"/>
                <w:sz w:val="21"/>
                <w:szCs w:val="21"/>
                <w:highlight w:val="none"/>
              </w:rPr>
              <w:t>表3-</w:t>
            </w:r>
            <w:r>
              <w:rPr>
                <w:rFonts w:hint="eastAsia" w:ascii="Times New Roman" w:hAnsi="Times New Roman" w:eastAsia="宋体" w:cs="Times New Roman"/>
                <w:b/>
                <w:bCs/>
                <w:color w:val="0000FF"/>
                <w:spacing w:val="0"/>
                <w:w w:val="100"/>
                <w:position w:val="0"/>
                <w:sz w:val="21"/>
                <w:szCs w:val="21"/>
                <w:highlight w:val="none"/>
                <w:lang w:val="en-US" w:eastAsia="zh-CN"/>
              </w:rPr>
              <w:t xml:space="preserve">3 </w:t>
            </w:r>
            <w:r>
              <w:rPr>
                <w:rFonts w:hint="default" w:ascii="Times New Roman" w:hAnsi="Times New Roman" w:eastAsia="宋体" w:cs="Times New Roman"/>
                <w:b/>
                <w:bCs/>
                <w:color w:val="0000FF"/>
                <w:spacing w:val="0"/>
                <w:w w:val="100"/>
                <w:position w:val="0"/>
                <w:sz w:val="21"/>
                <w:szCs w:val="21"/>
                <w:highlight w:val="none"/>
              </w:rPr>
              <w:t>空气质量监测结果</w:t>
            </w:r>
            <w:r>
              <w:rPr>
                <w:rFonts w:hint="eastAsia" w:cs="Times New Roman"/>
                <w:b/>
                <w:bCs/>
                <w:color w:val="0000FF"/>
                <w:spacing w:val="0"/>
                <w:w w:val="100"/>
                <w:position w:val="0"/>
                <w:sz w:val="21"/>
                <w:szCs w:val="21"/>
                <w:highlight w:val="none"/>
                <w:lang w:eastAsia="zh-CN"/>
              </w:rPr>
              <w:t>（非甲烷总烃）</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2483"/>
              <w:gridCol w:w="1891"/>
              <w:gridCol w:w="24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779" w:type="pct"/>
                  <w:vMerge w:val="restart"/>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采样点</w:t>
                  </w:r>
                </w:p>
              </w:tc>
              <w:tc>
                <w:tcPr>
                  <w:tcW w:w="1542" w:type="pct"/>
                  <w:vMerge w:val="restart"/>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采样日期</w:t>
                  </w:r>
                </w:p>
              </w:tc>
              <w:tc>
                <w:tcPr>
                  <w:tcW w:w="1174" w:type="pct"/>
                  <w:vMerge w:val="restart"/>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样品编号</w:t>
                  </w:r>
                </w:p>
              </w:tc>
              <w:tc>
                <w:tcPr>
                  <w:tcW w:w="1502" w:type="pct"/>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检测结果（mg/m</w:t>
                  </w:r>
                  <w:r>
                    <w:rPr>
                      <w:rFonts w:hint="default" w:ascii="Times New Roman" w:hAnsi="Times New Roman" w:cs="Times New Roman"/>
                      <w:b/>
                      <w:bCs/>
                      <w:color w:val="0000FF"/>
                      <w:spacing w:val="0"/>
                      <w:w w:val="100"/>
                      <w:position w:val="0"/>
                      <w:sz w:val="21"/>
                      <w:szCs w:val="21"/>
                      <w:highlight w:val="none"/>
                      <w:vertAlign w:val="superscript"/>
                    </w:rPr>
                    <w:t>3</w:t>
                  </w:r>
                  <w:r>
                    <w:rPr>
                      <w:rFonts w:hint="default" w:ascii="Times New Roman" w:hAnsi="Times New Roman" w:cs="Times New Roman"/>
                      <w:b/>
                      <w:bCs/>
                      <w:color w:val="0000FF"/>
                      <w:spacing w:val="0"/>
                      <w:w w:val="100"/>
                      <w:positio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exact"/>
              </w:trPr>
              <w:tc>
                <w:tcPr>
                  <w:tcW w:w="779" w:type="pct"/>
                  <w:vMerge w:val="continue"/>
                  <w:tcBorders>
                    <w:bottom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p>
              </w:tc>
              <w:tc>
                <w:tcPr>
                  <w:tcW w:w="1542" w:type="pct"/>
                  <w:vMerge w:val="continue"/>
                  <w:tcBorders>
                    <w:bottom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p>
              </w:tc>
              <w:tc>
                <w:tcPr>
                  <w:tcW w:w="1174" w:type="pct"/>
                  <w:vMerge w:val="continue"/>
                  <w:tcBorders>
                    <w:bottom w:val="single" w:color="auto" w:sz="12" w:space="0"/>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b/>
                      <w:bCs/>
                      <w:color w:val="0000FF"/>
                      <w:spacing w:val="0"/>
                      <w:w w:val="100"/>
                      <w:position w:val="0"/>
                      <w:sz w:val="21"/>
                      <w:szCs w:val="21"/>
                      <w:highlight w:val="none"/>
                    </w:rPr>
                  </w:pPr>
                </w:p>
              </w:tc>
              <w:tc>
                <w:tcPr>
                  <w:tcW w:w="1502" w:type="pct"/>
                  <w:tcBorders>
                    <w:bottom w:val="single" w:color="auto"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eastAsia="宋体" w:cs="Times New Roman"/>
                      <w:b/>
                      <w:bCs/>
                      <w:color w:val="0000FF"/>
                      <w:spacing w:val="0"/>
                      <w:w w:val="100"/>
                      <w:position w:val="0"/>
                      <w:sz w:val="21"/>
                      <w:szCs w:val="21"/>
                      <w:highlight w:val="none"/>
                      <w:lang w:val="en-US" w:eastAsia="zh-CN"/>
                    </w:rPr>
                  </w:pPr>
                  <w:r>
                    <w:rPr>
                      <w:rFonts w:hint="default" w:ascii="Times New Roman" w:hAnsi="Times New Roman" w:eastAsia="宋体" w:cs="Times New Roman"/>
                      <w:b/>
                      <w:bCs/>
                      <w:color w:val="0000FF"/>
                      <w:spacing w:val="0"/>
                      <w:w w:val="100"/>
                      <w:position w:val="0"/>
                      <w:sz w:val="21"/>
                      <w:szCs w:val="21"/>
                      <w:highlight w:val="none"/>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79" w:type="pct"/>
                  <w:vMerge w:val="restart"/>
                  <w:tcBorders>
                    <w:top w:val="single" w:color="auto" w:sz="12" w:space="0"/>
                    <w:tl2br w:val="nil"/>
                    <w:tr2bl w:val="nil"/>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r>
                    <w:rPr>
                      <w:rFonts w:hint="eastAsia" w:ascii="Times New Roman" w:hAnsi="Times New Roman" w:cs="Times New Roman"/>
                      <w:color w:val="0000FF"/>
                      <w:spacing w:val="0"/>
                      <w:w w:val="100"/>
                      <w:position w:val="0"/>
                      <w:sz w:val="21"/>
                      <w:szCs w:val="21"/>
                      <w:highlight w:val="none"/>
                      <w:lang w:eastAsia="zh-CN"/>
                    </w:rPr>
                    <w:t>厂界</w:t>
                  </w:r>
                  <w:r>
                    <w:rPr>
                      <w:rFonts w:hint="default" w:ascii="Times New Roman" w:hAnsi="Times New Roman" w:cs="Times New Roman"/>
                      <w:color w:val="0000FF"/>
                      <w:spacing w:val="0"/>
                      <w:w w:val="100"/>
                      <w:position w:val="0"/>
                      <w:sz w:val="21"/>
                      <w:szCs w:val="21"/>
                      <w:highlight w:val="none"/>
                    </w:rPr>
                    <w:t>下</w:t>
                  </w:r>
                </w:p>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rPr>
                    <w:t>风向</w:t>
                  </w:r>
                </w:p>
              </w:tc>
              <w:tc>
                <w:tcPr>
                  <w:tcW w:w="1542" w:type="pct"/>
                  <w:vMerge w:val="restart"/>
                  <w:tcBorders>
                    <w:top w:val="single" w:color="auto" w:sz="12" w:space="0"/>
                    <w:tl2br w:val="nil"/>
                    <w:tr2bl w:val="nil"/>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lang w:val="en-US"/>
                    </w:rPr>
                    <w:t>202</w:t>
                  </w:r>
                  <w:r>
                    <w:rPr>
                      <w:rFonts w:hint="eastAsia" w:ascii="Times New Roman" w:hAnsi="Times New Roman" w:cs="Times New Roman"/>
                      <w:color w:val="0000FF"/>
                      <w:spacing w:val="0"/>
                      <w:w w:val="100"/>
                      <w:position w:val="0"/>
                      <w:sz w:val="21"/>
                      <w:szCs w:val="21"/>
                      <w:highlight w:val="none"/>
                      <w:lang w:val="en-US" w:eastAsia="zh-CN"/>
                    </w:rPr>
                    <w:t>3</w:t>
                  </w:r>
                  <w:r>
                    <w:rPr>
                      <w:rFonts w:hint="default" w:ascii="Times New Roman" w:hAnsi="Times New Roman" w:cs="Times New Roman"/>
                      <w:color w:val="0000FF"/>
                      <w:spacing w:val="0"/>
                      <w:w w:val="100"/>
                      <w:position w:val="0"/>
                      <w:sz w:val="21"/>
                      <w:szCs w:val="21"/>
                      <w:highlight w:val="none"/>
                      <w:lang w:val="en-US"/>
                    </w:rPr>
                    <w:t>年</w:t>
                  </w:r>
                  <w:r>
                    <w:rPr>
                      <w:rFonts w:hint="eastAsia" w:ascii="Times New Roman" w:hAnsi="Times New Roman" w:cs="Times New Roman"/>
                      <w:color w:val="0000FF"/>
                      <w:spacing w:val="0"/>
                      <w:w w:val="100"/>
                      <w:position w:val="0"/>
                      <w:sz w:val="21"/>
                      <w:szCs w:val="21"/>
                      <w:highlight w:val="none"/>
                      <w:lang w:val="en-US" w:eastAsia="zh-CN"/>
                    </w:rPr>
                    <w:t>1</w:t>
                  </w:r>
                  <w:r>
                    <w:rPr>
                      <w:rFonts w:hint="default" w:ascii="Times New Roman" w:hAnsi="Times New Roman" w:cs="Times New Roman"/>
                      <w:color w:val="0000FF"/>
                      <w:spacing w:val="0"/>
                      <w:w w:val="100"/>
                      <w:position w:val="0"/>
                      <w:sz w:val="21"/>
                      <w:szCs w:val="21"/>
                      <w:highlight w:val="none"/>
                      <w:lang w:val="en-US"/>
                    </w:rPr>
                    <w:t>月</w:t>
                  </w:r>
                  <w:r>
                    <w:rPr>
                      <w:rFonts w:hint="eastAsia" w:ascii="Times New Roman" w:hAnsi="Times New Roman" w:cs="Times New Roman"/>
                      <w:color w:val="0000FF"/>
                      <w:spacing w:val="0"/>
                      <w:w w:val="100"/>
                      <w:position w:val="0"/>
                      <w:sz w:val="21"/>
                      <w:szCs w:val="21"/>
                      <w:highlight w:val="none"/>
                      <w:lang w:val="en-US" w:eastAsia="zh-CN"/>
                    </w:rPr>
                    <w:t>12</w:t>
                  </w:r>
                  <w:r>
                    <w:rPr>
                      <w:rFonts w:hint="default" w:ascii="Times New Roman" w:hAnsi="Times New Roman" w:cs="Times New Roman"/>
                      <w:color w:val="0000FF"/>
                      <w:spacing w:val="0"/>
                      <w:w w:val="100"/>
                      <w:position w:val="0"/>
                      <w:sz w:val="21"/>
                      <w:szCs w:val="21"/>
                      <w:highlight w:val="none"/>
                      <w:lang w:val="en-US"/>
                    </w:rPr>
                    <w:t>日</w:t>
                  </w:r>
                </w:p>
              </w:tc>
              <w:tc>
                <w:tcPr>
                  <w:tcW w:w="1174" w:type="pct"/>
                  <w:tcBorders>
                    <w:top w:val="single" w:color="auto" w:sz="12" w:space="0"/>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-1-1-1</w:t>
                  </w:r>
                </w:p>
              </w:tc>
              <w:tc>
                <w:tcPr>
                  <w:tcW w:w="1502" w:type="pct"/>
                  <w:tcBorders>
                    <w:top w:val="single" w:color="auto" w:sz="12" w:space="0"/>
                    <w:tl2br w:val="nil"/>
                    <w:tr2bl w:val="nil"/>
                  </w:tcBorders>
                  <w:noWrap w:val="0"/>
                  <w:vAlign w:val="center"/>
                </w:tcPr>
                <w:p>
                  <w:pPr>
                    <w:pageBreakBefore w:val="0"/>
                    <w:widowControl/>
                    <w:shd w:val="clear"/>
                    <w:bidi w:val="0"/>
                    <w:spacing w:beforeAutospacing="0" w:afterAutospacing="0"/>
                    <w:ind w:left="0" w:leftChars="0" w:right="0" w:rightChars="0"/>
                    <w:jc w:val="center"/>
                    <w:textAlignment w:val="center"/>
                    <w:rPr>
                      <w:rFonts w:hint="default" w:ascii="Times New Roman" w:hAnsi="Times New Roman" w:eastAsia="宋体" w:cs="Times New Roman"/>
                      <w:color w:val="0000FF"/>
                      <w:spacing w:val="0"/>
                      <w:w w:val="100"/>
                      <w:kern w:val="0"/>
                      <w:position w:val="0"/>
                      <w:sz w:val="21"/>
                      <w:szCs w:val="21"/>
                      <w:highlight w:val="none"/>
                      <w:lang w:val="en-US" w:eastAsia="zh-CN" w:bidi="ar"/>
                    </w:rPr>
                  </w:pPr>
                  <w:r>
                    <w:rPr>
                      <w:rFonts w:hint="eastAsia" w:ascii="Times New Roman" w:hAnsi="Times New Roman" w:eastAsia="宋体" w:cs="Times New Roman"/>
                      <w:color w:val="0000FF"/>
                      <w:spacing w:val="0"/>
                      <w:w w:val="100"/>
                      <w:kern w:val="0"/>
                      <w:position w:val="0"/>
                      <w:sz w:val="21"/>
                      <w:szCs w:val="21"/>
                      <w:highlight w:val="none"/>
                      <w:lang w:val="en-US" w:eastAsia="zh-CN" w:bidi="ar"/>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color w:val="0000FF"/>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color w:val="0000FF"/>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-1-1-</w:t>
                  </w:r>
                  <w:r>
                    <w:rPr>
                      <w:rFonts w:hint="eastAsia" w:eastAsia="宋体" w:cs="Times New Roman"/>
                      <w:i w:val="0"/>
                      <w:color w:val="0000FF"/>
                      <w:kern w:val="0"/>
                      <w:sz w:val="21"/>
                      <w:szCs w:val="21"/>
                      <w:highlight w:val="none"/>
                      <w:u w:val="none"/>
                      <w:lang w:val="en-US" w:eastAsia="zh-CN" w:bidi="ar"/>
                    </w:rPr>
                    <w:t>2</w:t>
                  </w:r>
                </w:p>
              </w:tc>
              <w:tc>
                <w:tcPr>
                  <w:tcW w:w="1502"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-1-1-</w:t>
                  </w:r>
                  <w:r>
                    <w:rPr>
                      <w:rFonts w:hint="eastAsia" w:eastAsia="宋体" w:cs="Times New Roman"/>
                      <w:i w:val="0"/>
                      <w:color w:val="0000FF"/>
                      <w:kern w:val="0"/>
                      <w:sz w:val="21"/>
                      <w:szCs w:val="21"/>
                      <w:highlight w:val="none"/>
                      <w:u w:val="none"/>
                      <w:lang w:val="en-US" w:eastAsia="zh-CN" w:bidi="ar"/>
                    </w:rPr>
                    <w:t>3</w:t>
                  </w:r>
                </w:p>
              </w:tc>
              <w:tc>
                <w:tcPr>
                  <w:tcW w:w="1502"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-1-1-</w:t>
                  </w:r>
                  <w:r>
                    <w:rPr>
                      <w:rFonts w:hint="eastAsia" w:eastAsia="宋体" w:cs="Times New Roman"/>
                      <w:i w:val="0"/>
                      <w:color w:val="0000FF"/>
                      <w:kern w:val="0"/>
                      <w:sz w:val="21"/>
                      <w:szCs w:val="21"/>
                      <w:highlight w:val="none"/>
                      <w:u w:val="none"/>
                      <w:lang w:val="en-US" w:eastAsia="zh-CN" w:bidi="ar"/>
                    </w:rPr>
                    <w:t>4</w:t>
                  </w:r>
                </w:p>
              </w:tc>
              <w:tc>
                <w:tcPr>
                  <w:tcW w:w="1502"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79" w:type="pct"/>
                  <w:vMerge w:val="continue"/>
                  <w:tcBorders>
                    <w:tl2br w:val="nil"/>
                    <w:tr2bl w:val="nil"/>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p>
              </w:tc>
              <w:tc>
                <w:tcPr>
                  <w:tcW w:w="1542" w:type="pct"/>
                  <w:vMerge w:val="restar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rPr>
                    <w:t>202</w:t>
                  </w:r>
                  <w:r>
                    <w:rPr>
                      <w:rFonts w:hint="eastAsia" w:cs="Times New Roman"/>
                      <w:color w:val="0000FF"/>
                      <w:spacing w:val="0"/>
                      <w:w w:val="100"/>
                      <w:position w:val="0"/>
                      <w:sz w:val="21"/>
                      <w:szCs w:val="21"/>
                      <w:highlight w:val="none"/>
                      <w:lang w:val="en-US" w:eastAsia="zh-CN"/>
                    </w:rPr>
                    <w:t>3</w:t>
                  </w:r>
                  <w:r>
                    <w:rPr>
                      <w:rFonts w:hint="default" w:ascii="Times New Roman" w:hAnsi="Times New Roman" w:cs="Times New Roman"/>
                      <w:color w:val="0000FF"/>
                      <w:spacing w:val="0"/>
                      <w:w w:val="100"/>
                      <w:position w:val="0"/>
                      <w:sz w:val="21"/>
                      <w:szCs w:val="21"/>
                      <w:highlight w:val="none"/>
                    </w:rPr>
                    <w:t>年</w:t>
                  </w:r>
                  <w:r>
                    <w:rPr>
                      <w:rFonts w:hint="eastAsia" w:cs="Times New Roman"/>
                      <w:color w:val="0000FF"/>
                      <w:spacing w:val="0"/>
                      <w:w w:val="100"/>
                      <w:position w:val="0"/>
                      <w:sz w:val="21"/>
                      <w:szCs w:val="21"/>
                      <w:highlight w:val="none"/>
                      <w:lang w:val="en-US" w:eastAsia="zh-CN"/>
                    </w:rPr>
                    <w:t>1</w:t>
                  </w:r>
                  <w:r>
                    <w:rPr>
                      <w:rFonts w:hint="default" w:ascii="Times New Roman" w:hAnsi="Times New Roman" w:cs="Times New Roman"/>
                      <w:color w:val="0000FF"/>
                      <w:spacing w:val="0"/>
                      <w:w w:val="100"/>
                      <w:position w:val="0"/>
                      <w:sz w:val="21"/>
                      <w:szCs w:val="21"/>
                      <w:highlight w:val="none"/>
                    </w:rPr>
                    <w:t>月</w:t>
                  </w:r>
                  <w:r>
                    <w:rPr>
                      <w:rFonts w:hint="eastAsia" w:cs="Times New Roman"/>
                      <w:color w:val="0000FF"/>
                      <w:spacing w:val="0"/>
                      <w:w w:val="100"/>
                      <w:position w:val="0"/>
                      <w:sz w:val="21"/>
                      <w:szCs w:val="21"/>
                      <w:highlight w:val="none"/>
                      <w:lang w:val="en-US" w:eastAsia="zh-CN"/>
                    </w:rPr>
                    <w:t>13</w:t>
                  </w:r>
                  <w:r>
                    <w:rPr>
                      <w:rFonts w:hint="default" w:ascii="Times New Roman" w:hAnsi="Times New Roman" w:cs="Times New Roman"/>
                      <w:color w:val="0000FF"/>
                      <w:spacing w:val="0"/>
                      <w:w w:val="100"/>
                      <w:position w:val="0"/>
                      <w:sz w:val="21"/>
                      <w:szCs w:val="21"/>
                      <w:highlight w:val="none"/>
                    </w:rPr>
                    <w:t>日</w:t>
                  </w: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-1-2-1</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color w:val="0000FF"/>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color w:val="0000FF"/>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-1-2-</w:t>
                  </w:r>
                  <w:r>
                    <w:rPr>
                      <w:rFonts w:hint="eastAsia" w:eastAsia="宋体" w:cs="Times New Roman"/>
                      <w:i w:val="0"/>
                      <w:color w:val="0000FF"/>
                      <w:kern w:val="0"/>
                      <w:sz w:val="21"/>
                      <w:szCs w:val="21"/>
                      <w:highlight w:val="none"/>
                      <w:u w:val="none"/>
                      <w:lang w:val="en-US" w:eastAsia="zh-CN" w:bidi="ar"/>
                    </w:rPr>
                    <w:t>2</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-1-2-</w:t>
                  </w:r>
                  <w:r>
                    <w:rPr>
                      <w:rFonts w:hint="eastAsia" w:eastAsia="宋体" w:cs="Times New Roman"/>
                      <w:i w:val="0"/>
                      <w:color w:val="0000FF"/>
                      <w:kern w:val="0"/>
                      <w:sz w:val="21"/>
                      <w:szCs w:val="21"/>
                      <w:highlight w:val="none"/>
                      <w:u w:val="none"/>
                      <w:lang w:val="en-US" w:eastAsia="zh-CN" w:bidi="ar"/>
                    </w:rPr>
                    <w:t>3</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-1-2-</w:t>
                  </w:r>
                  <w:r>
                    <w:rPr>
                      <w:rFonts w:hint="eastAsia" w:eastAsia="宋体" w:cs="Times New Roman"/>
                      <w:i w:val="0"/>
                      <w:color w:val="0000FF"/>
                      <w:kern w:val="0"/>
                      <w:sz w:val="21"/>
                      <w:szCs w:val="21"/>
                      <w:highlight w:val="none"/>
                      <w:u w:val="none"/>
                      <w:lang w:val="en-US" w:eastAsia="zh-CN" w:bidi="ar"/>
                    </w:rPr>
                    <w:t>4</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79" w:type="pct"/>
                  <w:vMerge w:val="continue"/>
                  <w:tcBorders>
                    <w:tl2br w:val="nil"/>
                    <w:tr2bl w:val="nil"/>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p>
              </w:tc>
              <w:tc>
                <w:tcPr>
                  <w:tcW w:w="1542" w:type="pct"/>
                  <w:vMerge w:val="restar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rPr>
                    <w:t>202</w:t>
                  </w:r>
                  <w:r>
                    <w:rPr>
                      <w:rFonts w:hint="eastAsia" w:cs="Times New Roman"/>
                      <w:color w:val="0000FF"/>
                      <w:spacing w:val="0"/>
                      <w:w w:val="100"/>
                      <w:position w:val="0"/>
                      <w:sz w:val="21"/>
                      <w:szCs w:val="21"/>
                      <w:highlight w:val="none"/>
                      <w:lang w:val="en-US" w:eastAsia="zh-CN"/>
                    </w:rPr>
                    <w:t>3</w:t>
                  </w:r>
                  <w:r>
                    <w:rPr>
                      <w:rFonts w:hint="default" w:ascii="Times New Roman" w:hAnsi="Times New Roman" w:cs="Times New Roman"/>
                      <w:color w:val="0000FF"/>
                      <w:spacing w:val="0"/>
                      <w:w w:val="100"/>
                      <w:position w:val="0"/>
                      <w:sz w:val="21"/>
                      <w:szCs w:val="21"/>
                      <w:highlight w:val="none"/>
                    </w:rPr>
                    <w:t>年</w:t>
                  </w:r>
                  <w:r>
                    <w:rPr>
                      <w:rFonts w:hint="eastAsia" w:cs="Times New Roman"/>
                      <w:color w:val="0000FF"/>
                      <w:spacing w:val="0"/>
                      <w:w w:val="100"/>
                      <w:position w:val="0"/>
                      <w:sz w:val="21"/>
                      <w:szCs w:val="21"/>
                      <w:highlight w:val="none"/>
                      <w:lang w:val="en-US" w:eastAsia="zh-CN"/>
                    </w:rPr>
                    <w:t>1</w:t>
                  </w:r>
                  <w:r>
                    <w:rPr>
                      <w:rFonts w:hint="default" w:ascii="Times New Roman" w:hAnsi="Times New Roman" w:cs="Times New Roman"/>
                      <w:color w:val="0000FF"/>
                      <w:spacing w:val="0"/>
                      <w:w w:val="100"/>
                      <w:position w:val="0"/>
                      <w:sz w:val="21"/>
                      <w:szCs w:val="21"/>
                      <w:highlight w:val="none"/>
                    </w:rPr>
                    <w:t>月</w:t>
                  </w:r>
                  <w:r>
                    <w:rPr>
                      <w:rFonts w:hint="eastAsia" w:cs="Times New Roman"/>
                      <w:color w:val="0000FF"/>
                      <w:spacing w:val="0"/>
                      <w:w w:val="100"/>
                      <w:position w:val="0"/>
                      <w:sz w:val="21"/>
                      <w:szCs w:val="21"/>
                      <w:highlight w:val="none"/>
                      <w:lang w:val="en-US" w:eastAsia="zh-CN"/>
                    </w:rPr>
                    <w:t>14</w:t>
                  </w:r>
                  <w:r>
                    <w:rPr>
                      <w:rFonts w:hint="default" w:ascii="Times New Roman" w:hAnsi="Times New Roman" w:cs="Times New Roman"/>
                      <w:color w:val="0000FF"/>
                      <w:spacing w:val="0"/>
                      <w:w w:val="100"/>
                      <w:position w:val="0"/>
                      <w:sz w:val="21"/>
                      <w:szCs w:val="21"/>
                      <w:highlight w:val="none"/>
                    </w:rPr>
                    <w:t>日</w:t>
                  </w: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-1-3-1</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color w:val="0000FF"/>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color w:val="0000FF"/>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-1-3-</w:t>
                  </w:r>
                  <w:r>
                    <w:rPr>
                      <w:rFonts w:hint="eastAsia" w:eastAsia="宋体" w:cs="Times New Roman"/>
                      <w:i w:val="0"/>
                      <w:color w:val="0000FF"/>
                      <w:kern w:val="0"/>
                      <w:sz w:val="21"/>
                      <w:szCs w:val="21"/>
                      <w:highlight w:val="none"/>
                      <w:u w:val="none"/>
                      <w:lang w:val="en-US" w:eastAsia="zh-CN" w:bidi="ar"/>
                    </w:rPr>
                    <w:t>2</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-1-3-</w:t>
                  </w:r>
                  <w:r>
                    <w:rPr>
                      <w:rFonts w:hint="eastAsia" w:eastAsia="宋体" w:cs="Times New Roman"/>
                      <w:i w:val="0"/>
                      <w:color w:val="0000FF"/>
                      <w:kern w:val="0"/>
                      <w:sz w:val="21"/>
                      <w:szCs w:val="21"/>
                      <w:highlight w:val="none"/>
                      <w:u w:val="none"/>
                      <w:lang w:val="en-US" w:eastAsia="zh-CN" w:bidi="ar"/>
                    </w:rPr>
                    <w:t>3</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79"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542" w:type="pct"/>
                  <w:vMerge w:val="continue"/>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p>
              </w:tc>
              <w:tc>
                <w:tcPr>
                  <w:tcW w:w="1174" w:type="pct"/>
                  <w:tcBorders>
                    <w:tl2br w:val="nil"/>
                    <w:tr2bl w:val="nil"/>
                  </w:tcBorders>
                  <w:noWrap w:val="0"/>
                  <w:vAlign w:val="center"/>
                </w:tcPr>
                <w:p>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eastAsia="宋体" w:cs="Times New Roman"/>
                      <w:i w:val="0"/>
                      <w:color w:val="0000FF"/>
                      <w:kern w:val="0"/>
                      <w:sz w:val="21"/>
                      <w:szCs w:val="21"/>
                      <w:highlight w:val="none"/>
                      <w:u w:val="none"/>
                      <w:lang w:val="en-US" w:eastAsia="zh-CN" w:bidi="ar"/>
                    </w:rPr>
                    <w:t>0055</w:t>
                  </w:r>
                  <w:r>
                    <w:rPr>
                      <w:rFonts w:hint="eastAsia" w:ascii="Times New Roman" w:hAnsi="Times New Roman" w:eastAsia="宋体" w:cs="Times New Roman"/>
                      <w:i w:val="0"/>
                      <w:color w:val="0000FF"/>
                      <w:kern w:val="0"/>
                      <w:sz w:val="21"/>
                      <w:szCs w:val="21"/>
                      <w:highlight w:val="none"/>
                      <w:u w:val="none"/>
                      <w:lang w:val="en-US" w:eastAsia="zh-CN" w:bidi="ar"/>
                    </w:rPr>
                    <w:t>-1-3-</w:t>
                  </w:r>
                  <w:r>
                    <w:rPr>
                      <w:rFonts w:hint="eastAsia" w:eastAsia="宋体" w:cs="Times New Roman"/>
                      <w:i w:val="0"/>
                      <w:color w:val="0000FF"/>
                      <w:kern w:val="0"/>
                      <w:sz w:val="21"/>
                      <w:szCs w:val="21"/>
                      <w:highlight w:val="none"/>
                      <w:u w:val="none"/>
                      <w:lang w:val="en-US" w:eastAsia="zh-CN" w:bidi="ar"/>
                    </w:rPr>
                    <w:t>4</w:t>
                  </w:r>
                </w:p>
              </w:tc>
              <w:tc>
                <w:tcPr>
                  <w:tcW w:w="150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1.09</w:t>
                  </w:r>
                </w:p>
              </w:tc>
            </w:tr>
          </w:tbl>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32"/>
                <w:highlight w:val="none"/>
              </w:rPr>
            </w:pPr>
            <w:r>
              <w:rPr>
                <w:rFonts w:hint="default" w:ascii="Times New Roman" w:hAnsi="Times New Roman" w:cs="Times New Roman"/>
                <w:color w:val="0000FF"/>
                <w:spacing w:val="0"/>
                <w:w w:val="100"/>
                <w:position w:val="0"/>
                <w:sz w:val="24"/>
                <w:szCs w:val="32"/>
                <w:highlight w:val="none"/>
              </w:rPr>
              <w:t>（</w:t>
            </w:r>
            <w:r>
              <w:rPr>
                <w:rFonts w:hint="default" w:ascii="Times New Roman" w:hAnsi="Times New Roman" w:cs="Times New Roman"/>
                <w:color w:val="0000FF"/>
                <w:spacing w:val="0"/>
                <w:w w:val="100"/>
                <w:position w:val="0"/>
                <w:sz w:val="24"/>
                <w:szCs w:val="32"/>
                <w:highlight w:val="none"/>
                <w:lang w:val="en-US" w:eastAsia="zh-CN"/>
              </w:rPr>
              <w:t>4</w:t>
            </w:r>
            <w:r>
              <w:rPr>
                <w:rFonts w:hint="default" w:ascii="Times New Roman" w:hAnsi="Times New Roman" w:cs="Times New Roman"/>
                <w:color w:val="0000FF"/>
                <w:spacing w:val="0"/>
                <w:w w:val="100"/>
                <w:position w:val="0"/>
                <w:sz w:val="24"/>
                <w:szCs w:val="32"/>
                <w:highlight w:val="none"/>
              </w:rPr>
              <w:t>）评价标准</w:t>
            </w:r>
          </w:p>
          <w:p>
            <w:pPr>
              <w:adjustRightInd w:val="0"/>
              <w:snapToGrid w:val="0"/>
              <w:spacing w:line="460" w:lineRule="exact"/>
              <w:ind w:firstLine="480" w:firstLineChars="200"/>
              <w:rPr>
                <w:bCs/>
                <w:color w:val="0000FF"/>
                <w:sz w:val="24"/>
              </w:rPr>
            </w:pPr>
            <w:r>
              <w:rPr>
                <w:rFonts w:hint="default" w:ascii="Times New Roman" w:hAnsi="Times New Roman" w:cs="Times New Roman"/>
                <w:color w:val="0000FF"/>
                <w:spacing w:val="0"/>
                <w:w w:val="100"/>
                <w:position w:val="0"/>
                <w:sz w:val="24"/>
                <w:szCs w:val="32"/>
                <w:highlight w:val="none"/>
              </w:rPr>
              <w:t>评价区域为二类环境空气质量功能区，</w:t>
            </w:r>
            <w:r>
              <w:rPr>
                <w:rFonts w:hint="default" w:ascii="Times New Roman" w:hAnsi="Times New Roman" w:cs="Times New Roman"/>
                <w:color w:val="0000FF"/>
                <w:spacing w:val="0"/>
                <w:w w:val="100"/>
                <w:position w:val="0"/>
                <w:sz w:val="24"/>
                <w:szCs w:val="24"/>
                <w:highlight w:val="none"/>
              </w:rPr>
              <w:t>TSP</w:t>
            </w:r>
            <w:r>
              <w:rPr>
                <w:rFonts w:hint="default" w:ascii="Times New Roman" w:hAnsi="Times New Roman" w:cs="Times New Roman"/>
                <w:color w:val="0000FF"/>
                <w:spacing w:val="0"/>
                <w:w w:val="100"/>
                <w:position w:val="0"/>
                <w:sz w:val="24"/>
                <w:szCs w:val="32"/>
                <w:highlight w:val="none"/>
              </w:rPr>
              <w:t>执行《环境空气质量标准》（GB3095-2012）表2中的二级标准。</w:t>
            </w:r>
            <w:r>
              <w:rPr>
                <w:rFonts w:hint="eastAsia"/>
                <w:bCs/>
                <w:color w:val="0000FF"/>
                <w:sz w:val="24"/>
              </w:rPr>
              <w:t>非甲烷总烃浓度</w:t>
            </w:r>
            <w:r>
              <w:rPr>
                <w:rFonts w:hint="eastAsia"/>
                <w:bCs/>
                <w:color w:val="0000FF"/>
                <w:sz w:val="24"/>
                <w:lang w:eastAsia="zh-CN"/>
              </w:rPr>
              <w:t>执行</w:t>
            </w:r>
            <w:r>
              <w:rPr>
                <w:rFonts w:hint="eastAsia"/>
                <w:bCs/>
                <w:color w:val="0000FF"/>
                <w:sz w:val="24"/>
              </w:rPr>
              <w:t>《大气污染物综合排放标准详解》中环境质量标准浓度限值要求。</w:t>
            </w:r>
          </w:p>
          <w:p>
            <w:pPr>
              <w:pageBreakBefore w:val="0"/>
              <w:shd w:val="clear"/>
              <w:bidi w:val="0"/>
              <w:spacing w:beforeAutospacing="0" w:afterAutospacing="0" w:line="240" w:lineRule="auto"/>
              <w:ind w:left="0" w:leftChars="0" w:right="0" w:rightChars="0" w:firstLine="422" w:firstLineChars="200"/>
              <w:jc w:val="center"/>
              <w:rPr>
                <w:rFonts w:hint="default" w:ascii="Times New Roman" w:hAnsi="Times New Roman" w:eastAsia="宋体" w:cs="Times New Roman"/>
                <w:b/>
                <w:bCs/>
                <w:color w:val="0000FF"/>
                <w:spacing w:val="0"/>
                <w:w w:val="100"/>
                <w:position w:val="0"/>
                <w:sz w:val="21"/>
                <w:szCs w:val="21"/>
                <w:highlight w:val="none"/>
              </w:rPr>
            </w:pPr>
            <w:r>
              <w:rPr>
                <w:rFonts w:hint="default" w:ascii="Times New Roman" w:hAnsi="Times New Roman" w:eastAsia="宋体" w:cs="Times New Roman"/>
                <w:b/>
                <w:bCs/>
                <w:color w:val="0000FF"/>
                <w:spacing w:val="0"/>
                <w:w w:val="100"/>
                <w:position w:val="0"/>
                <w:sz w:val="21"/>
                <w:szCs w:val="21"/>
                <w:highlight w:val="none"/>
              </w:rPr>
              <w:t>表3-</w:t>
            </w:r>
            <w:r>
              <w:rPr>
                <w:rFonts w:hint="eastAsia" w:cs="Times New Roman"/>
                <w:b/>
                <w:bCs/>
                <w:color w:val="0000FF"/>
                <w:spacing w:val="0"/>
                <w:w w:val="100"/>
                <w:position w:val="0"/>
                <w:sz w:val="21"/>
                <w:szCs w:val="21"/>
                <w:highlight w:val="none"/>
                <w:lang w:val="en-US" w:eastAsia="zh-CN"/>
              </w:rPr>
              <w:t>4</w:t>
            </w:r>
            <w:r>
              <w:rPr>
                <w:rFonts w:hint="default" w:ascii="Times New Roman" w:hAnsi="Times New Roman" w:eastAsia="宋体" w:cs="Times New Roman"/>
                <w:b/>
                <w:bCs/>
                <w:color w:val="0000FF"/>
                <w:spacing w:val="0"/>
                <w:w w:val="100"/>
                <w:position w:val="0"/>
                <w:sz w:val="21"/>
                <w:szCs w:val="21"/>
                <w:highlight w:val="none"/>
              </w:rPr>
              <w:t>《环境空气质量标准》（GB3095-2012）</w:t>
            </w:r>
          </w:p>
          <w:tbl>
            <w:tblPr>
              <w:tblStyle w:val="23"/>
              <w:tblW w:w="478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3085"/>
              <w:gridCol w:w="2312"/>
              <w:gridCol w:w="231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56" w:hRule="atLeast"/>
                <w:jc w:val="center"/>
              </w:trPr>
              <w:tc>
                <w:tcPr>
                  <w:tcW w:w="2000" w:type="pct"/>
                  <w:tcBorders>
                    <w:bottom w:val="single" w:color="000000"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污染物</w:t>
                  </w:r>
                </w:p>
              </w:tc>
              <w:tc>
                <w:tcPr>
                  <w:tcW w:w="1499" w:type="pct"/>
                  <w:tcBorders>
                    <w:bottom w:val="single" w:color="000000"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lang w:val="en-US"/>
                    </w:rPr>
                  </w:pPr>
                  <w:r>
                    <w:rPr>
                      <w:rFonts w:hint="default" w:ascii="Times New Roman" w:hAnsi="Times New Roman" w:cs="Times New Roman"/>
                      <w:b/>
                      <w:bCs/>
                      <w:color w:val="0000FF"/>
                      <w:spacing w:val="0"/>
                      <w:w w:val="100"/>
                      <w:position w:val="0"/>
                      <w:sz w:val="21"/>
                      <w:szCs w:val="21"/>
                      <w:highlight w:val="none"/>
                      <w:lang w:val="en-US"/>
                    </w:rPr>
                    <w:t>TSP</w:t>
                  </w:r>
                </w:p>
              </w:tc>
              <w:tc>
                <w:tcPr>
                  <w:tcW w:w="1499" w:type="pct"/>
                  <w:tcBorders>
                    <w:bottom w:val="single" w:color="000000"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b/>
                      <w:bCs/>
                      <w:color w:val="0000FF"/>
                      <w:spacing w:val="0"/>
                      <w:w w:val="100"/>
                      <w:position w:val="0"/>
                      <w:sz w:val="21"/>
                      <w:szCs w:val="21"/>
                      <w:highlight w:val="none"/>
                      <w:lang w:val="en-US"/>
                    </w:rPr>
                  </w:pPr>
                  <w:r>
                    <w:rPr>
                      <w:rFonts w:hint="default" w:ascii="Times New Roman" w:hAnsi="Times New Roman" w:cs="Times New Roman"/>
                      <w:b/>
                      <w:bCs/>
                      <w:color w:val="0000FF"/>
                      <w:spacing w:val="0"/>
                      <w:w w:val="100"/>
                      <w:position w:val="0"/>
                      <w:sz w:val="21"/>
                      <w:szCs w:val="21"/>
                      <w:highlight w:val="none"/>
                      <w:lang w:val="en-US"/>
                    </w:rPr>
                    <w:t>非甲烷总烃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000" w:type="pct"/>
                  <w:tcBorders>
                    <w:top w:val="single" w:color="000000"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rPr>
                    <w:t>平均时间</w:t>
                  </w:r>
                </w:p>
              </w:tc>
              <w:tc>
                <w:tcPr>
                  <w:tcW w:w="1499" w:type="pct"/>
                  <w:tcBorders>
                    <w:top w:val="single" w:color="000000"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lang w:val="en-US"/>
                    </w:rPr>
                    <w:t>24小时平均</w:t>
                  </w:r>
                </w:p>
              </w:tc>
              <w:tc>
                <w:tcPr>
                  <w:tcW w:w="1499" w:type="pct"/>
                  <w:tcBorders>
                    <w:top w:val="single" w:color="000000" w:sz="12" w:space="0"/>
                  </w:tcBorders>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lang w:val="en-US"/>
                    </w:rPr>
                    <w:t>24小时平均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3" w:hRule="atLeast"/>
                <w:jc w:val="center"/>
              </w:trPr>
              <w:tc>
                <w:tcPr>
                  <w:tcW w:w="2000" w:type="pct"/>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rPr>
                    <w:t>浓度限值</w:t>
                  </w:r>
                </w:p>
              </w:tc>
              <w:tc>
                <w:tcPr>
                  <w:tcW w:w="1499" w:type="pct"/>
                  <w:noWrap w:val="0"/>
                  <w:vAlign w:val="center"/>
                </w:tcPr>
                <w:p>
                  <w:pPr>
                    <w:pStyle w:val="46"/>
                    <w:pageBreakBefore w:val="0"/>
                    <w:shd w:val="clear"/>
                    <w:bidi w:val="0"/>
                    <w:spacing w:beforeAutospacing="0" w:afterAutospacing="0"/>
                    <w:ind w:left="0" w:leftChars="0" w:right="0" w:rightChars="0"/>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lang w:val="en-US"/>
                    </w:rPr>
                    <w:t>0.3</w:t>
                  </w:r>
                  <w:r>
                    <w:rPr>
                      <w:rFonts w:hint="default" w:ascii="Times New Roman" w:hAnsi="Times New Roman" w:cs="Times New Roman"/>
                      <w:color w:val="0000FF"/>
                      <w:spacing w:val="0"/>
                      <w:w w:val="100"/>
                      <w:position w:val="0"/>
                      <w:sz w:val="21"/>
                      <w:szCs w:val="21"/>
                      <w:highlight w:val="none"/>
                    </w:rPr>
                    <w:t>mg/m</w:t>
                  </w:r>
                  <w:r>
                    <w:rPr>
                      <w:rFonts w:hint="default" w:ascii="Times New Roman" w:hAnsi="Times New Roman" w:cs="Times New Roman"/>
                      <w:color w:val="0000FF"/>
                      <w:spacing w:val="0"/>
                      <w:w w:val="100"/>
                      <w:position w:val="0"/>
                      <w:sz w:val="21"/>
                      <w:szCs w:val="21"/>
                      <w:highlight w:val="none"/>
                      <w:vertAlign w:val="superscript"/>
                    </w:rPr>
                    <w:t>3</w:t>
                  </w:r>
                </w:p>
              </w:tc>
              <w:tc>
                <w:tcPr>
                  <w:tcW w:w="1499" w:type="pct"/>
                  <w:noWrap w:val="0"/>
                  <w:vAlign w:val="center"/>
                </w:tcPr>
                <w:p>
                  <w:pPr>
                    <w:pStyle w:val="46"/>
                    <w:pageBreakBefore w:val="0"/>
                    <w:shd w:val="clear"/>
                    <w:bidi w:val="0"/>
                    <w:spacing w:beforeAutospacing="0" w:afterAutospacing="0"/>
                    <w:ind w:left="0" w:leftChars="0" w:right="0" w:rightChars="0"/>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2.0</w:t>
                  </w:r>
                  <w:r>
                    <w:rPr>
                      <w:rFonts w:hint="default" w:ascii="Times New Roman" w:hAnsi="Times New Roman" w:cs="Times New Roman"/>
                      <w:color w:val="0000FF"/>
                      <w:spacing w:val="0"/>
                      <w:w w:val="100"/>
                      <w:position w:val="0"/>
                      <w:sz w:val="21"/>
                      <w:szCs w:val="21"/>
                      <w:highlight w:val="none"/>
                    </w:rPr>
                    <w:t>mg/m</w:t>
                  </w:r>
                  <w:r>
                    <w:rPr>
                      <w:rFonts w:hint="default" w:ascii="Times New Roman" w:hAnsi="Times New Roman" w:cs="Times New Roman"/>
                      <w:color w:val="0000FF"/>
                      <w:spacing w:val="0"/>
                      <w:w w:val="100"/>
                      <w:position w:val="0"/>
                      <w:sz w:val="21"/>
                      <w:szCs w:val="21"/>
                      <w:highlight w:val="none"/>
                      <w:vertAlign w:val="superscript"/>
                    </w:rPr>
                    <w:t>3</w:t>
                  </w:r>
                </w:p>
              </w:tc>
            </w:tr>
          </w:tbl>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32"/>
                <w:highlight w:val="none"/>
              </w:rPr>
            </w:pPr>
            <w:r>
              <w:rPr>
                <w:rFonts w:hint="default" w:ascii="Times New Roman" w:hAnsi="Times New Roman" w:cs="Times New Roman"/>
                <w:color w:val="0000FF"/>
                <w:spacing w:val="0"/>
                <w:w w:val="100"/>
                <w:position w:val="0"/>
                <w:sz w:val="24"/>
                <w:szCs w:val="32"/>
                <w:highlight w:val="none"/>
              </w:rPr>
              <w:t>（</w:t>
            </w:r>
            <w:r>
              <w:rPr>
                <w:rFonts w:hint="default" w:ascii="Times New Roman" w:hAnsi="Times New Roman" w:cs="Times New Roman"/>
                <w:color w:val="0000FF"/>
                <w:spacing w:val="0"/>
                <w:w w:val="100"/>
                <w:position w:val="0"/>
                <w:sz w:val="24"/>
                <w:szCs w:val="32"/>
                <w:highlight w:val="none"/>
                <w:lang w:val="en-US" w:eastAsia="zh-CN"/>
              </w:rPr>
              <w:t>5</w:t>
            </w:r>
            <w:r>
              <w:rPr>
                <w:rFonts w:hint="default" w:ascii="Times New Roman" w:hAnsi="Times New Roman" w:cs="Times New Roman"/>
                <w:color w:val="0000FF"/>
                <w:spacing w:val="0"/>
                <w:w w:val="100"/>
                <w:position w:val="0"/>
                <w:sz w:val="24"/>
                <w:szCs w:val="32"/>
                <w:highlight w:val="none"/>
              </w:rPr>
              <w:t>）评价方法</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32"/>
                <w:highlight w:val="none"/>
              </w:rPr>
            </w:pPr>
            <w:r>
              <w:rPr>
                <w:rFonts w:hint="default" w:ascii="Times New Roman" w:hAnsi="Times New Roman" w:cs="Times New Roman"/>
                <w:color w:val="0000FF"/>
                <w:spacing w:val="0"/>
                <w:w w:val="100"/>
                <w:position w:val="0"/>
                <w:sz w:val="24"/>
                <w:szCs w:val="32"/>
                <w:highlight w:val="none"/>
              </w:rPr>
              <w:t>根据环境空气质量现状调查和监测数据，空气环境质量现状评价方法采用占标率法：</w:t>
            </w:r>
          </w:p>
          <w:p>
            <w:pPr>
              <w:pageBreakBefore w:val="0"/>
              <w:shd w:val="clear"/>
              <w:bidi w:val="0"/>
              <w:spacing w:beforeAutospacing="0" w:afterAutospacing="0" w:line="360" w:lineRule="auto"/>
              <w:ind w:left="0" w:leftChars="0" w:right="0" w:rightChars="0" w:firstLine="480" w:firstLineChars="200"/>
              <w:jc w:val="center"/>
              <w:rPr>
                <w:rFonts w:hint="default" w:ascii="Times New Roman" w:hAnsi="Times New Roman" w:eastAsia="宋体" w:cs="Times New Roman"/>
                <w:smallCaps w:val="0"/>
                <w:color w:val="0000FF"/>
                <w:spacing w:val="0"/>
                <w:w w:val="100"/>
                <w:kern w:val="0"/>
                <w:position w:val="0"/>
                <w:sz w:val="24"/>
                <w:szCs w:val="24"/>
                <w:highlight w:val="none"/>
              </w:rPr>
            </w:pPr>
            <w:r>
              <w:rPr>
                <w:rFonts w:hint="default" w:ascii="Times New Roman" w:hAnsi="Times New Roman" w:eastAsia="宋体" w:cs="Times New Roman"/>
                <w:smallCaps w:val="0"/>
                <w:color w:val="0000FF"/>
                <w:spacing w:val="0"/>
                <w:w w:val="100"/>
                <w:kern w:val="0"/>
                <w:position w:val="0"/>
                <w:sz w:val="24"/>
                <w:szCs w:val="24"/>
                <w:highlight w:val="none"/>
              </w:rPr>
              <w:object>
                <v:shape id="_x0000_i1025" o:spt="75" type="#_x0000_t75" style="height:45.3pt;width:120.9pt;" o:ole="t" filled="f" o:preferrelative="t" stroked="f" coordsize="21600,21600">
                  <v:path/>
                  <v:fill on="f" focussize="0,0"/>
                  <v:stroke on="f"/>
                  <v:imagedata r:id="rId23" o:title=""/>
                  <o:lock v:ext="edit" aspectratio="t"/>
                  <w10:wrap type="none"/>
                  <w10:anchorlock/>
                </v:shape>
                <o:OLEObject Type="Embed" ProgID="Equation.AxMath" ShapeID="_x0000_i1025" DrawAspect="Content" ObjectID="_1468075725" r:id="rId22">
                  <o:LockedField>false</o:LockedField>
                </o:OLEObject>
              </w:object>
            </w:r>
          </w:p>
          <w:p>
            <w:pPr>
              <w:pageBreakBefore w:val="0"/>
              <w:shd w:val="clear"/>
              <w:bidi w:val="0"/>
              <w:spacing w:beforeAutospacing="0" w:afterAutospacing="0" w:line="360" w:lineRule="auto"/>
              <w:ind w:left="0" w:leftChars="0" w:right="0" w:rightChars="0" w:firstLine="480" w:firstLineChars="200"/>
              <w:rPr>
                <w:rFonts w:hint="default" w:ascii="Times New Roman" w:hAnsi="Times New Roman" w:eastAsia="宋体" w:cs="Times New Roman"/>
                <w:smallCaps w:val="0"/>
                <w:color w:val="0000FF"/>
                <w:spacing w:val="0"/>
                <w:w w:val="100"/>
                <w:position w:val="0"/>
                <w:sz w:val="24"/>
                <w:highlight w:val="none"/>
              </w:rPr>
            </w:pPr>
            <w:r>
              <w:rPr>
                <w:rFonts w:hint="default" w:ascii="Times New Roman" w:hAnsi="Times New Roman" w:eastAsia="宋体" w:cs="Times New Roman"/>
                <w:smallCaps w:val="0"/>
                <w:color w:val="0000FF"/>
                <w:spacing w:val="0"/>
                <w:w w:val="100"/>
                <w:position w:val="0"/>
                <w:sz w:val="24"/>
                <w:highlight w:val="none"/>
              </w:rPr>
              <w:t>式中：P</w:t>
            </w:r>
            <w:r>
              <w:rPr>
                <w:rFonts w:hint="default" w:ascii="Times New Roman" w:hAnsi="Times New Roman" w:eastAsia="宋体" w:cs="Times New Roman"/>
                <w:smallCaps w:val="0"/>
                <w:color w:val="0000FF"/>
                <w:spacing w:val="0"/>
                <w:w w:val="100"/>
                <w:position w:val="0"/>
                <w:sz w:val="24"/>
                <w:highlight w:val="none"/>
                <w:vertAlign w:val="subscript"/>
              </w:rPr>
              <w:t>i</w:t>
            </w:r>
            <w:r>
              <w:rPr>
                <w:rFonts w:hint="default" w:ascii="Times New Roman" w:hAnsi="Times New Roman" w:eastAsia="宋体" w:cs="Times New Roman"/>
                <w:smallCaps w:val="0"/>
                <w:color w:val="0000FF"/>
                <w:spacing w:val="0"/>
                <w:w w:val="100"/>
                <w:position w:val="0"/>
                <w:sz w:val="24"/>
                <w:highlight w:val="none"/>
              </w:rPr>
              <w:t>—污染物i的单项污染指数；</w:t>
            </w:r>
          </w:p>
          <w:p>
            <w:pPr>
              <w:pageBreakBefore w:val="0"/>
              <w:shd w:val="clear"/>
              <w:bidi w:val="0"/>
              <w:spacing w:beforeAutospacing="0" w:afterAutospacing="0" w:line="360" w:lineRule="auto"/>
              <w:ind w:left="0" w:leftChars="0" w:right="0" w:rightChars="0" w:firstLine="1200" w:firstLineChars="500"/>
              <w:rPr>
                <w:rFonts w:hint="default" w:ascii="Times New Roman" w:hAnsi="Times New Roman" w:eastAsia="宋体" w:cs="Times New Roman"/>
                <w:smallCaps w:val="0"/>
                <w:color w:val="0000FF"/>
                <w:spacing w:val="0"/>
                <w:w w:val="100"/>
                <w:position w:val="0"/>
                <w:sz w:val="24"/>
                <w:highlight w:val="none"/>
              </w:rPr>
            </w:pPr>
            <w:r>
              <w:rPr>
                <w:rFonts w:hint="default" w:ascii="Times New Roman" w:hAnsi="Times New Roman" w:eastAsia="宋体" w:cs="Times New Roman"/>
                <w:smallCaps w:val="0"/>
                <w:color w:val="0000FF"/>
                <w:spacing w:val="0"/>
                <w:w w:val="100"/>
                <w:position w:val="0"/>
                <w:sz w:val="24"/>
                <w:highlight w:val="none"/>
              </w:rPr>
              <w:t>C</w:t>
            </w:r>
            <w:r>
              <w:rPr>
                <w:rFonts w:hint="default" w:ascii="Times New Roman" w:hAnsi="Times New Roman" w:eastAsia="宋体" w:cs="Times New Roman"/>
                <w:smallCaps w:val="0"/>
                <w:color w:val="0000FF"/>
                <w:spacing w:val="0"/>
                <w:w w:val="100"/>
                <w:position w:val="0"/>
                <w:sz w:val="24"/>
                <w:highlight w:val="none"/>
                <w:vertAlign w:val="subscript"/>
              </w:rPr>
              <w:t>i</w:t>
            </w:r>
            <w:r>
              <w:rPr>
                <w:rFonts w:hint="default" w:ascii="Times New Roman" w:hAnsi="Times New Roman" w:eastAsia="宋体" w:cs="Times New Roman"/>
                <w:smallCaps w:val="0"/>
                <w:color w:val="0000FF"/>
                <w:spacing w:val="0"/>
                <w:w w:val="100"/>
                <w:position w:val="0"/>
                <w:sz w:val="24"/>
                <w:highlight w:val="none"/>
              </w:rPr>
              <w:t>—污染物i的实测浓度值（mg/</w:t>
            </w:r>
            <w:r>
              <w:rPr>
                <w:rFonts w:hint="default" w:ascii="Times New Roman" w:hAnsi="Times New Roman" w:eastAsia="宋体" w:cs="Times New Roman"/>
                <w:smallCaps w:val="0"/>
                <w:color w:val="0000FF"/>
                <w:spacing w:val="0"/>
                <w:w w:val="100"/>
                <w:position w:val="0"/>
                <w:sz w:val="24"/>
                <w:szCs w:val="24"/>
                <w:highlight w:val="none"/>
              </w:rPr>
              <w:t>m</w:t>
            </w:r>
            <w:r>
              <w:rPr>
                <w:rFonts w:hint="default" w:ascii="Times New Roman" w:hAnsi="Times New Roman" w:eastAsia="宋体" w:cs="Times New Roman"/>
                <w:smallCaps w:val="0"/>
                <w:color w:val="0000FF"/>
                <w:spacing w:val="0"/>
                <w:w w:val="100"/>
                <w:position w:val="0"/>
                <w:sz w:val="24"/>
                <w:szCs w:val="24"/>
                <w:highlight w:val="none"/>
                <w:vertAlign w:val="superscript"/>
              </w:rPr>
              <w:t>3</w:t>
            </w:r>
            <w:r>
              <w:rPr>
                <w:rFonts w:hint="default" w:ascii="Times New Roman" w:hAnsi="Times New Roman" w:eastAsia="宋体" w:cs="Times New Roman"/>
                <w:smallCaps w:val="0"/>
                <w:color w:val="0000FF"/>
                <w:spacing w:val="0"/>
                <w:w w:val="100"/>
                <w:position w:val="0"/>
                <w:sz w:val="24"/>
                <w:highlight w:val="none"/>
              </w:rPr>
              <w:t>）；</w:t>
            </w:r>
          </w:p>
          <w:p>
            <w:pPr>
              <w:pageBreakBefore w:val="0"/>
              <w:shd w:val="clear"/>
              <w:bidi w:val="0"/>
              <w:spacing w:beforeAutospacing="0" w:afterAutospacing="0" w:line="360" w:lineRule="auto"/>
              <w:ind w:left="0" w:leftChars="0" w:right="0" w:rightChars="0" w:firstLine="1200" w:firstLineChars="500"/>
              <w:rPr>
                <w:rFonts w:hint="default" w:ascii="Times New Roman" w:hAnsi="Times New Roman" w:eastAsia="宋体" w:cs="Times New Roman"/>
                <w:smallCaps w:val="0"/>
                <w:color w:val="0000FF"/>
                <w:spacing w:val="0"/>
                <w:w w:val="100"/>
                <w:position w:val="0"/>
                <w:sz w:val="24"/>
                <w:highlight w:val="none"/>
              </w:rPr>
            </w:pPr>
            <w:r>
              <w:rPr>
                <w:rFonts w:hint="default" w:ascii="Times New Roman" w:hAnsi="Times New Roman" w:eastAsia="宋体" w:cs="Times New Roman"/>
                <w:smallCaps w:val="0"/>
                <w:color w:val="0000FF"/>
                <w:spacing w:val="0"/>
                <w:w w:val="100"/>
                <w:position w:val="0"/>
                <w:sz w:val="24"/>
                <w:highlight w:val="none"/>
              </w:rPr>
              <w:t>C</w:t>
            </w:r>
            <w:r>
              <w:rPr>
                <w:rFonts w:hint="default" w:ascii="Times New Roman" w:hAnsi="Times New Roman" w:eastAsia="宋体" w:cs="Times New Roman"/>
                <w:smallCaps w:val="0"/>
                <w:color w:val="0000FF"/>
                <w:spacing w:val="0"/>
                <w:w w:val="100"/>
                <w:position w:val="0"/>
                <w:sz w:val="24"/>
                <w:highlight w:val="none"/>
                <w:vertAlign w:val="subscript"/>
              </w:rPr>
              <w:t>oi</w:t>
            </w:r>
            <w:r>
              <w:rPr>
                <w:rFonts w:hint="default" w:ascii="Times New Roman" w:hAnsi="Times New Roman" w:eastAsia="宋体" w:cs="Times New Roman"/>
                <w:smallCaps w:val="0"/>
                <w:color w:val="0000FF"/>
                <w:spacing w:val="0"/>
                <w:w w:val="100"/>
                <w:position w:val="0"/>
                <w:sz w:val="24"/>
                <w:highlight w:val="none"/>
              </w:rPr>
              <w:t>—污染物i的评价标准（mg/</w:t>
            </w:r>
            <w:r>
              <w:rPr>
                <w:rFonts w:hint="default" w:ascii="Times New Roman" w:hAnsi="Times New Roman" w:eastAsia="宋体" w:cs="Times New Roman"/>
                <w:smallCaps w:val="0"/>
                <w:color w:val="0000FF"/>
                <w:spacing w:val="0"/>
                <w:w w:val="100"/>
                <w:position w:val="0"/>
                <w:sz w:val="24"/>
                <w:szCs w:val="24"/>
                <w:highlight w:val="none"/>
              </w:rPr>
              <w:t>m</w:t>
            </w:r>
            <w:r>
              <w:rPr>
                <w:rFonts w:hint="default" w:ascii="Times New Roman" w:hAnsi="Times New Roman" w:eastAsia="宋体" w:cs="Times New Roman"/>
                <w:smallCaps w:val="0"/>
                <w:color w:val="0000FF"/>
                <w:spacing w:val="0"/>
                <w:w w:val="100"/>
                <w:position w:val="0"/>
                <w:sz w:val="24"/>
                <w:szCs w:val="24"/>
                <w:highlight w:val="none"/>
                <w:vertAlign w:val="superscript"/>
              </w:rPr>
              <w:t>3</w:t>
            </w:r>
            <w:r>
              <w:rPr>
                <w:rFonts w:hint="default" w:ascii="Times New Roman" w:hAnsi="Times New Roman" w:eastAsia="宋体" w:cs="Times New Roman"/>
                <w:smallCaps w:val="0"/>
                <w:color w:val="0000FF"/>
                <w:spacing w:val="0"/>
                <w:w w:val="100"/>
                <w:position w:val="0"/>
                <w:sz w:val="24"/>
                <w:highlight w:val="none"/>
              </w:rPr>
              <w:t>）。</w:t>
            </w:r>
          </w:p>
          <w:p>
            <w:pPr>
              <w:pageBreakBefore w:val="0"/>
              <w:shd w:val="clear"/>
              <w:bidi w:val="0"/>
              <w:spacing w:beforeAutospacing="0" w:afterAutospacing="0" w:line="360" w:lineRule="auto"/>
              <w:ind w:left="0" w:leftChars="0" w:right="0" w:rightChars="0" w:firstLine="480" w:firstLineChars="200"/>
              <w:rPr>
                <w:rFonts w:hint="default" w:ascii="Times New Roman" w:hAnsi="Times New Roman" w:eastAsia="宋体" w:cs="Times New Roman"/>
                <w:smallCaps w:val="0"/>
                <w:color w:val="0000FF"/>
                <w:spacing w:val="0"/>
                <w:w w:val="100"/>
                <w:position w:val="0"/>
                <w:sz w:val="24"/>
                <w:highlight w:val="none"/>
              </w:rPr>
            </w:pPr>
            <w:r>
              <w:rPr>
                <w:rFonts w:hint="default" w:ascii="Times New Roman" w:hAnsi="Times New Roman" w:eastAsia="宋体" w:cs="Times New Roman"/>
                <w:smallCaps w:val="0"/>
                <w:color w:val="0000FF"/>
                <w:spacing w:val="0"/>
                <w:w w:val="100"/>
                <w:position w:val="0"/>
                <w:sz w:val="24"/>
                <w:highlight w:val="none"/>
              </w:rPr>
              <w:t>根据评价计算，可以得出浓度占标率（P</w:t>
            </w:r>
            <w:r>
              <w:rPr>
                <w:rFonts w:hint="default" w:ascii="Times New Roman" w:hAnsi="Times New Roman" w:eastAsia="宋体" w:cs="Times New Roman"/>
                <w:smallCaps w:val="0"/>
                <w:color w:val="0000FF"/>
                <w:spacing w:val="0"/>
                <w:w w:val="100"/>
                <w:position w:val="0"/>
                <w:sz w:val="24"/>
                <w:highlight w:val="none"/>
                <w:vertAlign w:val="subscript"/>
              </w:rPr>
              <w:t>i</w:t>
            </w:r>
            <w:r>
              <w:rPr>
                <w:rFonts w:hint="default" w:ascii="Times New Roman" w:hAnsi="Times New Roman" w:eastAsia="宋体" w:cs="Times New Roman"/>
                <w:smallCaps w:val="0"/>
                <w:color w:val="0000FF"/>
                <w:spacing w:val="0"/>
                <w:w w:val="100"/>
                <w:position w:val="0"/>
                <w:sz w:val="24"/>
                <w:highlight w:val="none"/>
              </w:rPr>
              <w:t>），依照P</w:t>
            </w:r>
            <w:r>
              <w:rPr>
                <w:rFonts w:hint="default" w:ascii="Times New Roman" w:hAnsi="Times New Roman" w:eastAsia="宋体" w:cs="Times New Roman"/>
                <w:smallCaps w:val="0"/>
                <w:color w:val="0000FF"/>
                <w:spacing w:val="0"/>
                <w:w w:val="100"/>
                <w:position w:val="0"/>
                <w:sz w:val="24"/>
                <w:highlight w:val="none"/>
                <w:vertAlign w:val="subscript"/>
              </w:rPr>
              <w:t>i</w:t>
            </w:r>
            <w:r>
              <w:rPr>
                <w:rFonts w:hint="default" w:ascii="Times New Roman" w:hAnsi="Times New Roman" w:eastAsia="宋体" w:cs="Times New Roman"/>
                <w:smallCaps w:val="0"/>
                <w:color w:val="0000FF"/>
                <w:spacing w:val="0"/>
                <w:w w:val="100"/>
                <w:position w:val="0"/>
                <w:sz w:val="24"/>
                <w:highlight w:val="none"/>
              </w:rPr>
              <w:t>值的大小，分别确定其污染程度。当P</w:t>
            </w:r>
            <w:r>
              <w:rPr>
                <w:rFonts w:hint="default" w:ascii="Times New Roman" w:hAnsi="Times New Roman" w:eastAsia="宋体" w:cs="Times New Roman"/>
                <w:smallCaps w:val="0"/>
                <w:color w:val="0000FF"/>
                <w:spacing w:val="0"/>
                <w:w w:val="100"/>
                <w:position w:val="0"/>
                <w:sz w:val="24"/>
                <w:highlight w:val="none"/>
                <w:vertAlign w:val="subscript"/>
              </w:rPr>
              <w:t>i</w:t>
            </w:r>
            <w:r>
              <w:rPr>
                <w:rFonts w:hint="default" w:ascii="Times New Roman" w:hAnsi="Times New Roman" w:eastAsia="宋体" w:cs="Times New Roman"/>
                <w:smallCaps w:val="0"/>
                <w:color w:val="0000FF"/>
                <w:spacing w:val="0"/>
                <w:w w:val="100"/>
                <w:position w:val="0"/>
                <w:sz w:val="24"/>
                <w:highlight w:val="none"/>
              </w:rPr>
              <w:t>＜100%时，表示大气中该污染物浓度不超标；当P</w:t>
            </w:r>
            <w:r>
              <w:rPr>
                <w:rFonts w:hint="default" w:ascii="Times New Roman" w:hAnsi="Times New Roman" w:eastAsia="宋体" w:cs="Times New Roman"/>
                <w:smallCaps w:val="0"/>
                <w:color w:val="0000FF"/>
                <w:spacing w:val="0"/>
                <w:w w:val="100"/>
                <w:position w:val="0"/>
                <w:sz w:val="24"/>
                <w:highlight w:val="none"/>
                <w:vertAlign w:val="subscript"/>
              </w:rPr>
              <w:t>i</w:t>
            </w:r>
            <w:r>
              <w:rPr>
                <w:rFonts w:hint="default" w:ascii="Times New Roman" w:hAnsi="Times New Roman" w:eastAsia="宋体" w:cs="Times New Roman"/>
                <w:smallCaps w:val="0"/>
                <w:color w:val="0000FF"/>
                <w:spacing w:val="0"/>
                <w:w w:val="100"/>
                <w:position w:val="0"/>
                <w:sz w:val="24"/>
                <w:highlight w:val="none"/>
              </w:rPr>
              <w:t>≥100%时，表示大气中该污染物浓度超过评价标准。</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FF"/>
                <w:spacing w:val="0"/>
                <w:w w:val="100"/>
                <w:position w:val="0"/>
                <w:sz w:val="21"/>
                <w:szCs w:val="21"/>
                <w:highlight w:val="none"/>
              </w:rPr>
            </w:pPr>
            <w:r>
              <w:rPr>
                <w:rFonts w:hint="default" w:ascii="Times New Roman" w:hAnsi="Times New Roman" w:eastAsia="宋体" w:cs="Times New Roman"/>
                <w:b/>
                <w:bCs/>
                <w:color w:val="0000FF"/>
                <w:spacing w:val="0"/>
                <w:w w:val="100"/>
                <w:position w:val="0"/>
                <w:sz w:val="21"/>
                <w:szCs w:val="21"/>
                <w:highlight w:val="none"/>
              </w:rPr>
              <w:t>表3-</w:t>
            </w:r>
            <w:r>
              <w:rPr>
                <w:rFonts w:hint="eastAsia" w:cs="Times New Roman"/>
                <w:b/>
                <w:bCs/>
                <w:color w:val="0000FF"/>
                <w:spacing w:val="0"/>
                <w:w w:val="100"/>
                <w:position w:val="0"/>
                <w:sz w:val="21"/>
                <w:szCs w:val="21"/>
                <w:highlight w:val="none"/>
                <w:lang w:val="en-US" w:eastAsia="zh-CN"/>
              </w:rPr>
              <w:t>5</w:t>
            </w:r>
            <w:r>
              <w:rPr>
                <w:rFonts w:hint="default" w:ascii="Times New Roman" w:hAnsi="Times New Roman" w:eastAsia="宋体" w:cs="Times New Roman"/>
                <w:b/>
                <w:bCs/>
                <w:color w:val="0000FF"/>
                <w:spacing w:val="0"/>
                <w:w w:val="100"/>
                <w:position w:val="0"/>
                <w:sz w:val="21"/>
                <w:szCs w:val="21"/>
                <w:highlight w:val="none"/>
              </w:rPr>
              <w:t>环境空气质量其他污染物评价结果</w:t>
            </w:r>
          </w:p>
          <w:tbl>
            <w:tblPr>
              <w:tblStyle w:val="23"/>
              <w:tblW w:w="805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89"/>
              <w:gridCol w:w="955"/>
              <w:gridCol w:w="1882"/>
              <w:gridCol w:w="1310"/>
              <w:gridCol w:w="872"/>
              <w:gridCol w:w="15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5" w:hRule="atLeast"/>
              </w:trPr>
              <w:tc>
                <w:tcPr>
                  <w:tcW w:w="925"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位置</w:t>
                  </w:r>
                </w:p>
              </w:tc>
              <w:tc>
                <w:tcPr>
                  <w:tcW w:w="593"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污染物</w:t>
                  </w:r>
                </w:p>
              </w:tc>
              <w:tc>
                <w:tcPr>
                  <w:tcW w:w="1168"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浓度范围</w:t>
                  </w:r>
                  <w:r>
                    <w:rPr>
                      <w:rFonts w:hint="eastAsia" w:ascii="Times New Roman" w:hAnsi="Times New Roman" w:cs="Times New Roman"/>
                      <w:b/>
                      <w:bCs/>
                      <w:color w:val="0000FF"/>
                      <w:spacing w:val="0"/>
                      <w:w w:val="100"/>
                      <w:position w:val="0"/>
                      <w:sz w:val="21"/>
                      <w:szCs w:val="21"/>
                      <w:highlight w:val="none"/>
                      <w:lang w:eastAsia="zh-CN"/>
                    </w:rPr>
                    <w:t>（</w:t>
                  </w:r>
                  <w:r>
                    <w:rPr>
                      <w:rFonts w:hint="default" w:ascii="Times New Roman" w:hAnsi="Times New Roman" w:cs="Times New Roman"/>
                      <w:b/>
                      <w:bCs/>
                      <w:color w:val="0000FF"/>
                      <w:spacing w:val="0"/>
                      <w:w w:val="100"/>
                      <w:position w:val="0"/>
                      <w:sz w:val="21"/>
                      <w:szCs w:val="21"/>
                      <w:highlight w:val="none"/>
                    </w:rPr>
                    <w:t>mg/m</w:t>
                  </w:r>
                  <w:r>
                    <w:rPr>
                      <w:rFonts w:hint="default" w:ascii="Times New Roman" w:hAnsi="Times New Roman" w:cs="Times New Roman"/>
                      <w:b/>
                      <w:bCs/>
                      <w:color w:val="0000FF"/>
                      <w:spacing w:val="0"/>
                      <w:w w:val="100"/>
                      <w:position w:val="0"/>
                      <w:sz w:val="21"/>
                      <w:szCs w:val="21"/>
                      <w:highlight w:val="none"/>
                      <w:vertAlign w:val="superscript"/>
                    </w:rPr>
                    <w:t>3</w:t>
                  </w:r>
                  <w:r>
                    <w:rPr>
                      <w:rFonts w:hint="eastAsia" w:ascii="Times New Roman" w:hAnsi="Times New Roman" w:cs="Times New Roman"/>
                      <w:b/>
                      <w:bCs/>
                      <w:color w:val="0000FF"/>
                      <w:spacing w:val="0"/>
                      <w:w w:val="100"/>
                      <w:position w:val="0"/>
                      <w:sz w:val="21"/>
                      <w:szCs w:val="21"/>
                      <w:highlight w:val="none"/>
                      <w:vertAlign w:val="baseline"/>
                      <w:lang w:eastAsia="zh-CN"/>
                    </w:rPr>
                    <w:t>）</w:t>
                  </w:r>
                </w:p>
              </w:tc>
              <w:tc>
                <w:tcPr>
                  <w:tcW w:w="813"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最大占标率</w:t>
                  </w:r>
                </w:p>
              </w:tc>
              <w:tc>
                <w:tcPr>
                  <w:tcW w:w="541"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超标率</w:t>
                  </w:r>
                </w:p>
              </w:tc>
              <w:tc>
                <w:tcPr>
                  <w:tcW w:w="957"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0000FF"/>
                      <w:spacing w:val="0"/>
                      <w:w w:val="100"/>
                      <w:position w:val="0"/>
                      <w:sz w:val="21"/>
                      <w:szCs w:val="21"/>
                      <w:highlight w:val="none"/>
                    </w:rPr>
                  </w:pPr>
                  <w:r>
                    <w:rPr>
                      <w:rFonts w:hint="default" w:ascii="Times New Roman" w:hAnsi="Times New Roman" w:cs="Times New Roman"/>
                      <w:b/>
                      <w:bCs/>
                      <w:color w:val="0000FF"/>
                      <w:spacing w:val="0"/>
                      <w:w w:val="100"/>
                      <w:position w:val="0"/>
                      <w:sz w:val="21"/>
                      <w:szCs w:val="21"/>
                      <w:highlight w:val="none"/>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6" w:hRule="atLeast"/>
              </w:trPr>
              <w:tc>
                <w:tcPr>
                  <w:tcW w:w="925"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rPr>
                    <w:t>项目区下风向</w:t>
                  </w:r>
                </w:p>
              </w:tc>
              <w:tc>
                <w:tcPr>
                  <w:tcW w:w="593"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lang w:val="en-US"/>
                    </w:rPr>
                    <w:t>TSP</w:t>
                  </w:r>
                </w:p>
              </w:tc>
              <w:tc>
                <w:tcPr>
                  <w:tcW w:w="1168"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pacing w:val="0"/>
                      <w:w w:val="100"/>
                      <w:position w:val="0"/>
                      <w:sz w:val="21"/>
                      <w:szCs w:val="21"/>
                      <w:highlight w:val="none"/>
                      <w:lang w:val="en-US" w:eastAsia="zh-CN"/>
                    </w:rPr>
                  </w:pPr>
                  <w:r>
                    <w:rPr>
                      <w:rFonts w:hint="default" w:ascii="Times New Roman" w:hAnsi="Times New Roman" w:cs="Times New Roman"/>
                      <w:color w:val="0000FF"/>
                      <w:spacing w:val="0"/>
                      <w:w w:val="100"/>
                      <w:position w:val="0"/>
                      <w:sz w:val="21"/>
                      <w:szCs w:val="21"/>
                      <w:highlight w:val="none"/>
                      <w:lang w:val="en-US"/>
                    </w:rPr>
                    <w:t>0.</w:t>
                  </w:r>
                  <w:r>
                    <w:rPr>
                      <w:rFonts w:hint="eastAsia" w:ascii="Times New Roman" w:hAnsi="Times New Roman" w:cs="Times New Roman"/>
                      <w:color w:val="0000FF"/>
                      <w:spacing w:val="0"/>
                      <w:w w:val="100"/>
                      <w:position w:val="0"/>
                      <w:sz w:val="21"/>
                      <w:szCs w:val="21"/>
                      <w:highlight w:val="none"/>
                      <w:lang w:val="en-US" w:eastAsia="zh-CN"/>
                    </w:rPr>
                    <w:t>151</w:t>
                  </w:r>
                  <w:r>
                    <w:rPr>
                      <w:rFonts w:hint="default" w:ascii="Times New Roman" w:hAnsi="Times New Roman" w:cs="Times New Roman"/>
                      <w:color w:val="0000FF"/>
                      <w:spacing w:val="0"/>
                      <w:w w:val="100"/>
                      <w:position w:val="0"/>
                      <w:sz w:val="21"/>
                      <w:szCs w:val="21"/>
                      <w:highlight w:val="none"/>
                      <w:lang w:val="en-US"/>
                    </w:rPr>
                    <w:t>-0.</w:t>
                  </w:r>
                  <w:r>
                    <w:rPr>
                      <w:rFonts w:hint="eastAsia" w:ascii="Times New Roman" w:hAnsi="Times New Roman" w:cs="Times New Roman"/>
                      <w:color w:val="0000FF"/>
                      <w:spacing w:val="0"/>
                      <w:w w:val="100"/>
                      <w:position w:val="0"/>
                      <w:sz w:val="21"/>
                      <w:szCs w:val="21"/>
                      <w:highlight w:val="none"/>
                      <w:lang w:val="en-US" w:eastAsia="zh-CN"/>
                    </w:rPr>
                    <w:t>172</w:t>
                  </w:r>
                </w:p>
              </w:tc>
              <w:tc>
                <w:tcPr>
                  <w:tcW w:w="813"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Cs/>
                      <w:color w:val="0000FF"/>
                      <w:spacing w:val="0"/>
                      <w:w w:val="100"/>
                      <w:position w:val="0"/>
                      <w:sz w:val="21"/>
                      <w:szCs w:val="21"/>
                      <w:highlight w:val="none"/>
                      <w:lang w:val="en-US" w:bidi="ar-SA"/>
                    </w:rPr>
                  </w:pPr>
                  <w:r>
                    <w:rPr>
                      <w:rFonts w:hint="default" w:ascii="Times New Roman" w:hAnsi="Times New Roman" w:cs="Times New Roman"/>
                      <w:bCs/>
                      <w:color w:val="0000FF"/>
                      <w:spacing w:val="0"/>
                      <w:w w:val="100"/>
                      <w:position w:val="0"/>
                      <w:sz w:val="21"/>
                      <w:szCs w:val="21"/>
                      <w:highlight w:val="none"/>
                      <w:lang w:val="en-US" w:bidi="ar-SA"/>
                    </w:rPr>
                    <w:t>57.33%</w:t>
                  </w:r>
                </w:p>
              </w:tc>
              <w:tc>
                <w:tcPr>
                  <w:tcW w:w="541"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lang w:val="en-US"/>
                    </w:rPr>
                    <w:t>/</w:t>
                  </w:r>
                </w:p>
              </w:tc>
              <w:tc>
                <w:tcPr>
                  <w:tcW w:w="957"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6" w:hRule="atLeast"/>
              </w:trPr>
              <w:tc>
                <w:tcPr>
                  <w:tcW w:w="925"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0000FF"/>
                      <w:spacing w:val="0"/>
                      <w:w w:val="100"/>
                      <w:position w:val="0"/>
                      <w:sz w:val="21"/>
                      <w:szCs w:val="21"/>
                      <w:highlight w:val="none"/>
                    </w:rPr>
                  </w:pPr>
                  <w:r>
                    <w:rPr>
                      <w:rFonts w:hint="default" w:ascii="Times New Roman" w:hAnsi="Times New Roman" w:cs="Times New Roman"/>
                      <w:color w:val="0000FF"/>
                      <w:spacing w:val="0"/>
                      <w:w w:val="100"/>
                      <w:position w:val="0"/>
                      <w:sz w:val="21"/>
                      <w:szCs w:val="21"/>
                      <w:highlight w:val="none"/>
                    </w:rPr>
                    <w:t>项目区下风向</w:t>
                  </w:r>
                </w:p>
              </w:tc>
              <w:tc>
                <w:tcPr>
                  <w:tcW w:w="593"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0000FF"/>
                      <w:spacing w:val="0"/>
                      <w:w w:val="100"/>
                      <w:position w:val="0"/>
                      <w:sz w:val="21"/>
                      <w:szCs w:val="21"/>
                      <w:highlight w:val="none"/>
                      <w:lang w:val="en-US"/>
                    </w:rPr>
                  </w:pPr>
                  <w:r>
                    <w:rPr>
                      <w:rFonts w:hint="default" w:ascii="Times New Roman" w:hAnsi="Times New Roman" w:cs="Times New Roman"/>
                      <w:color w:val="0000FF"/>
                      <w:spacing w:val="0"/>
                      <w:w w:val="100"/>
                      <w:position w:val="0"/>
                      <w:sz w:val="21"/>
                      <w:szCs w:val="21"/>
                      <w:highlight w:val="none"/>
                      <w:lang w:val="en-US"/>
                    </w:rPr>
                    <w:t>非甲烷总烃</w:t>
                  </w:r>
                </w:p>
              </w:tc>
              <w:tc>
                <w:tcPr>
                  <w:tcW w:w="1168"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1.00-1.14</w:t>
                  </w:r>
                </w:p>
              </w:tc>
              <w:tc>
                <w:tcPr>
                  <w:tcW w:w="813"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FF"/>
                      <w:spacing w:val="0"/>
                      <w:w w:val="100"/>
                      <w:position w:val="0"/>
                      <w:sz w:val="21"/>
                      <w:szCs w:val="21"/>
                      <w:highlight w:val="none"/>
                      <w:lang w:val="en-US" w:eastAsia="zh-CN" w:bidi="ar-SA"/>
                    </w:rPr>
                  </w:pPr>
                  <w:r>
                    <w:rPr>
                      <w:rFonts w:hint="eastAsia" w:ascii="Times New Roman" w:hAnsi="Times New Roman" w:cs="Times New Roman"/>
                      <w:bCs/>
                      <w:color w:val="0000FF"/>
                      <w:spacing w:val="0"/>
                      <w:w w:val="100"/>
                      <w:position w:val="0"/>
                      <w:sz w:val="21"/>
                      <w:szCs w:val="21"/>
                      <w:highlight w:val="none"/>
                      <w:lang w:val="en-US" w:eastAsia="zh-CN" w:bidi="ar-SA"/>
                    </w:rPr>
                    <w:t>57</w:t>
                  </w:r>
                  <w:r>
                    <w:rPr>
                      <w:rFonts w:hint="default" w:ascii="Times New Roman" w:hAnsi="Times New Roman" w:cs="Times New Roman"/>
                      <w:bCs/>
                      <w:color w:val="0000FF"/>
                      <w:spacing w:val="0"/>
                      <w:w w:val="100"/>
                      <w:position w:val="0"/>
                      <w:sz w:val="21"/>
                      <w:szCs w:val="21"/>
                      <w:highlight w:val="none"/>
                      <w:lang w:val="en-US" w:bidi="ar-SA"/>
                    </w:rPr>
                    <w:t>%</w:t>
                  </w:r>
                </w:p>
              </w:tc>
              <w:tc>
                <w:tcPr>
                  <w:tcW w:w="541"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default" w:ascii="Times New Roman" w:hAnsi="Times New Roman" w:cs="Times New Roman"/>
                      <w:color w:val="0000FF"/>
                      <w:spacing w:val="0"/>
                      <w:w w:val="100"/>
                      <w:position w:val="0"/>
                      <w:sz w:val="21"/>
                      <w:szCs w:val="21"/>
                      <w:highlight w:val="none"/>
                      <w:lang w:val="en-US"/>
                    </w:rPr>
                    <w:t>/</w:t>
                  </w:r>
                </w:p>
              </w:tc>
              <w:tc>
                <w:tcPr>
                  <w:tcW w:w="957" w:type="pct"/>
                  <w:noWrap w:val="0"/>
                  <w:vAlign w:val="center"/>
                </w:tcPr>
                <w:p>
                  <w:pPr>
                    <w:pStyle w:val="46"/>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default" w:ascii="Times New Roman" w:hAnsi="Times New Roman" w:cs="Times New Roman"/>
                      <w:color w:val="0000FF"/>
                      <w:spacing w:val="0"/>
                      <w:w w:val="100"/>
                      <w:position w:val="0"/>
                      <w:sz w:val="21"/>
                      <w:szCs w:val="21"/>
                      <w:highlight w:val="none"/>
                      <w:lang w:val="en-US"/>
                    </w:rPr>
                    <w:t>/</w:t>
                  </w:r>
                </w:p>
              </w:tc>
            </w:tr>
          </w:tbl>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0000FF"/>
                <w:spacing w:val="0"/>
                <w:w w:val="100"/>
                <w:position w:val="0"/>
                <w:sz w:val="24"/>
                <w:szCs w:val="32"/>
                <w:highlight w:val="none"/>
              </w:rPr>
            </w:pPr>
            <w:r>
              <w:rPr>
                <w:rFonts w:hint="default" w:ascii="Times New Roman" w:hAnsi="Times New Roman" w:cs="Times New Roman"/>
                <w:color w:val="0000FF"/>
                <w:spacing w:val="0"/>
                <w:w w:val="100"/>
                <w:position w:val="0"/>
                <w:sz w:val="24"/>
                <w:szCs w:val="32"/>
                <w:highlight w:val="none"/>
                <w:lang w:eastAsia="zh-CN"/>
              </w:rPr>
              <w:t>（</w:t>
            </w:r>
            <w:r>
              <w:rPr>
                <w:rFonts w:hint="default" w:ascii="Times New Roman" w:hAnsi="Times New Roman" w:cs="Times New Roman"/>
                <w:color w:val="0000FF"/>
                <w:spacing w:val="0"/>
                <w:w w:val="100"/>
                <w:position w:val="0"/>
                <w:sz w:val="24"/>
                <w:szCs w:val="32"/>
                <w:highlight w:val="none"/>
                <w:lang w:val="en-US" w:eastAsia="zh-CN"/>
              </w:rPr>
              <w:t>6</w:t>
            </w:r>
            <w:r>
              <w:rPr>
                <w:rFonts w:hint="default" w:ascii="Times New Roman" w:hAnsi="Times New Roman" w:cs="Times New Roman"/>
                <w:color w:val="0000FF"/>
                <w:spacing w:val="0"/>
                <w:w w:val="100"/>
                <w:position w:val="0"/>
                <w:sz w:val="24"/>
                <w:szCs w:val="32"/>
                <w:highlight w:val="none"/>
                <w:lang w:eastAsia="zh-CN"/>
              </w:rPr>
              <w:t>）</w:t>
            </w:r>
            <w:r>
              <w:rPr>
                <w:rFonts w:hint="default" w:ascii="Times New Roman" w:hAnsi="Times New Roman" w:cs="Times New Roman"/>
                <w:color w:val="0000FF"/>
                <w:spacing w:val="0"/>
                <w:w w:val="100"/>
                <w:position w:val="0"/>
                <w:sz w:val="24"/>
                <w:szCs w:val="32"/>
                <w:highlight w:val="none"/>
              </w:rPr>
              <w:t>评价结果</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smallCaps w:val="0"/>
                <w:color w:val="0000FF"/>
                <w:spacing w:val="0"/>
                <w:w w:val="100"/>
                <w:position w:val="0"/>
                <w:sz w:val="24"/>
                <w:highlight w:val="none"/>
                <w:lang w:val="zh-CN"/>
              </w:rPr>
            </w:pPr>
            <w:r>
              <w:rPr>
                <w:rFonts w:hint="default" w:ascii="Times New Roman" w:hAnsi="Times New Roman" w:eastAsia="宋体" w:cs="Times New Roman"/>
                <w:smallCaps w:val="0"/>
                <w:color w:val="0000FF"/>
                <w:spacing w:val="0"/>
                <w:w w:val="100"/>
                <w:position w:val="0"/>
                <w:sz w:val="24"/>
                <w:highlight w:val="none"/>
              </w:rPr>
              <w:t>对照表</w:t>
            </w:r>
            <w:r>
              <w:rPr>
                <w:rFonts w:hint="default" w:ascii="Times New Roman" w:hAnsi="Times New Roman" w:eastAsia="宋体" w:cs="Times New Roman"/>
                <w:smallCaps w:val="0"/>
                <w:color w:val="0000FF"/>
                <w:spacing w:val="0"/>
                <w:w w:val="100"/>
                <w:position w:val="0"/>
                <w:sz w:val="24"/>
                <w:highlight w:val="none"/>
                <w:lang w:val="en-US" w:eastAsia="zh-CN"/>
              </w:rPr>
              <w:t>3-</w:t>
            </w:r>
            <w:r>
              <w:rPr>
                <w:rFonts w:hint="eastAsia" w:cs="Times New Roman"/>
                <w:smallCaps w:val="0"/>
                <w:color w:val="0000FF"/>
                <w:spacing w:val="0"/>
                <w:w w:val="100"/>
                <w:position w:val="0"/>
                <w:sz w:val="24"/>
                <w:highlight w:val="none"/>
                <w:lang w:val="en-US" w:eastAsia="zh-CN"/>
              </w:rPr>
              <w:t>5</w:t>
            </w:r>
            <w:r>
              <w:rPr>
                <w:rFonts w:hint="default" w:ascii="Times New Roman" w:hAnsi="Times New Roman" w:eastAsia="宋体" w:cs="Times New Roman"/>
                <w:smallCaps w:val="0"/>
                <w:color w:val="0000FF"/>
                <w:spacing w:val="0"/>
                <w:w w:val="100"/>
                <w:position w:val="0"/>
                <w:sz w:val="24"/>
                <w:highlight w:val="none"/>
              </w:rPr>
              <w:t>环境空气质量标准，评价区域内大气环境监测结果表明，TSP</w:t>
            </w:r>
            <w:r>
              <w:rPr>
                <w:rFonts w:hint="default" w:ascii="Times New Roman" w:hAnsi="Times New Roman" w:eastAsia="宋体" w:cs="Times New Roman"/>
                <w:smallCaps w:val="0"/>
                <w:color w:val="0000FF"/>
                <w:spacing w:val="0"/>
                <w:w w:val="100"/>
                <w:position w:val="0"/>
                <w:sz w:val="24"/>
                <w:highlight w:val="none"/>
                <w:lang w:val="en-US" w:eastAsia="zh-CN"/>
              </w:rPr>
              <w:t>符合</w:t>
            </w:r>
            <w:r>
              <w:rPr>
                <w:rFonts w:hint="default" w:ascii="Times New Roman" w:hAnsi="Times New Roman" w:eastAsia="宋体" w:cs="Times New Roman"/>
                <w:smallCaps w:val="0"/>
                <w:color w:val="0000FF"/>
                <w:spacing w:val="0"/>
                <w:w w:val="100"/>
                <w:position w:val="0"/>
                <w:sz w:val="24"/>
                <w:highlight w:val="none"/>
              </w:rPr>
              <w:t>《环境空气质量标准》（GB3095-2012）中二级标准质量标准。</w:t>
            </w:r>
            <w:r>
              <w:rPr>
                <w:rFonts w:hint="eastAsia"/>
                <w:bCs/>
                <w:color w:val="0000FF"/>
                <w:sz w:val="24"/>
              </w:rPr>
              <w:t>非甲烷总烃浓度</w:t>
            </w:r>
            <w:r>
              <w:rPr>
                <w:rFonts w:hint="eastAsia"/>
                <w:bCs/>
                <w:color w:val="0000FF"/>
                <w:sz w:val="24"/>
                <w:lang w:eastAsia="zh-CN"/>
              </w:rPr>
              <w:t>符合</w:t>
            </w:r>
            <w:r>
              <w:rPr>
                <w:rFonts w:hint="eastAsia"/>
                <w:bCs/>
                <w:color w:val="0000FF"/>
                <w:sz w:val="24"/>
              </w:rPr>
              <w:t>《大气污染物综合排放标准详解》中环境质量标准浓度限值要求。</w:t>
            </w:r>
            <w:r>
              <w:rPr>
                <w:rFonts w:hint="default" w:ascii="Times New Roman" w:hAnsi="Times New Roman" w:eastAsia="宋体" w:cs="Times New Roman"/>
                <w:smallCaps w:val="0"/>
                <w:color w:val="0000FF"/>
                <w:spacing w:val="0"/>
                <w:w w:val="100"/>
                <w:position w:val="0"/>
                <w:sz w:val="24"/>
                <w:highlight w:val="none"/>
              </w:rPr>
              <w:t>其污染物有一定环境容量，本项目实施后在落实各项环保措施情况下，对区域环境质量影响不大。</w:t>
            </w:r>
          </w:p>
          <w:p>
            <w:pPr>
              <w:pStyle w:val="36"/>
              <w:pageBreakBefore w:val="0"/>
              <w:kinsoku/>
              <w:wordWrap/>
              <w:overflowPunct/>
              <w:topLinePunct w:val="0"/>
              <w:autoSpaceDE/>
              <w:autoSpaceDN/>
              <w:bidi w:val="0"/>
              <w:spacing w:line="360" w:lineRule="auto"/>
              <w:textAlignment w:val="auto"/>
              <w:rPr>
                <w:rFonts w:hint="eastAsia"/>
                <w:b/>
                <w:bCs/>
                <w:color w:val="auto"/>
                <w:lang w:eastAsia="zh-CN" w:bidi="ar"/>
              </w:rPr>
            </w:pPr>
            <w:r>
              <w:rPr>
                <w:rFonts w:hint="eastAsia"/>
                <w:b/>
                <w:bCs/>
                <w:color w:val="auto"/>
                <w:lang w:bidi="ar"/>
              </w:rPr>
              <w:t>2.</w:t>
            </w:r>
            <w:r>
              <w:rPr>
                <w:rFonts w:hint="eastAsia"/>
                <w:b/>
                <w:bCs/>
                <w:color w:val="auto"/>
                <w:lang w:eastAsia="zh-CN" w:bidi="ar"/>
              </w:rPr>
              <w:t>地表</w:t>
            </w:r>
            <w:r>
              <w:rPr>
                <w:rFonts w:hint="eastAsia"/>
                <w:b/>
                <w:bCs/>
                <w:color w:val="auto"/>
                <w:lang w:bidi="ar"/>
              </w:rPr>
              <w:t>水环境</w:t>
            </w:r>
            <w:r>
              <w:rPr>
                <w:rFonts w:hint="eastAsia"/>
                <w:b/>
                <w:bCs/>
                <w:color w:val="auto"/>
                <w:lang w:eastAsia="zh-CN" w:bidi="ar"/>
              </w:rPr>
              <w:t>质量现状</w:t>
            </w:r>
          </w:p>
          <w:p>
            <w:pPr>
              <w:pageBreakBefore w:val="0"/>
              <w:shd w:val="clear"/>
              <w:bidi w:val="0"/>
              <w:spacing w:beforeAutospacing="0" w:afterAutospacing="0" w:line="360" w:lineRule="auto"/>
              <w:ind w:left="0" w:leftChars="0" w:right="0" w:rightChars="0" w:firstLine="480" w:firstLineChars="200"/>
              <w:jc w:val="left"/>
              <w:rPr>
                <w:rFonts w:hint="eastAsia" w:ascii="Times New Roman" w:hAnsi="Times New Roman" w:eastAsia="宋体" w:cs="Times New Roman"/>
                <w:smallCaps w:val="0"/>
                <w:color w:val="auto"/>
                <w:spacing w:val="0"/>
                <w:w w:val="100"/>
                <w:position w:val="0"/>
                <w:sz w:val="24"/>
                <w:highlight w:val="none"/>
                <w:lang w:val="en-US" w:eastAsia="zh-CN"/>
              </w:rPr>
            </w:pPr>
            <w:r>
              <w:rPr>
                <w:rFonts w:ascii="宋体" w:hAnsi="宋体" w:eastAsia="宋体" w:cs="宋体"/>
                <w:color w:val="000000"/>
                <w:sz w:val="24"/>
                <w:szCs w:val="24"/>
              </w:rPr>
              <w:t>根据《建设项目环境影响报告表编制技术指南（污染影响类）（试行）》，地表水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smallCaps w:val="0"/>
                <w:color w:val="auto"/>
                <w:spacing w:val="0"/>
                <w:w w:val="100"/>
                <w:position w:val="0"/>
                <w:sz w:val="24"/>
                <w:highlight w:val="none"/>
                <w:lang w:val="en-US" w:eastAsia="zh-CN"/>
              </w:rPr>
              <w:t>本项目厂界</w:t>
            </w:r>
            <w:r>
              <w:rPr>
                <w:rFonts w:hint="default" w:ascii="Times New Roman" w:hAnsi="Times New Roman" w:eastAsia="宋体" w:cs="Times New Roman"/>
                <w:smallCaps w:val="0"/>
                <w:color w:val="auto"/>
                <w:spacing w:val="0"/>
                <w:w w:val="100"/>
                <w:position w:val="0"/>
                <w:sz w:val="24"/>
                <w:highlight w:val="none"/>
                <w:lang w:val="en-US" w:eastAsia="zh-CN"/>
              </w:rPr>
              <w:t>1000m</w:t>
            </w:r>
            <w:r>
              <w:rPr>
                <w:rFonts w:hint="eastAsia" w:ascii="Times New Roman" w:hAnsi="Times New Roman" w:eastAsia="宋体" w:cs="Times New Roman"/>
                <w:smallCaps w:val="0"/>
                <w:color w:val="auto"/>
                <w:spacing w:val="0"/>
                <w:w w:val="100"/>
                <w:position w:val="0"/>
                <w:sz w:val="24"/>
                <w:highlight w:val="none"/>
                <w:lang w:val="en-US" w:eastAsia="zh-CN"/>
              </w:rPr>
              <w:t>范围内无地表水环境敏感目标，本</w:t>
            </w:r>
            <w:r>
              <w:rPr>
                <w:rFonts w:ascii="宋体" w:hAnsi="宋体" w:eastAsia="宋体" w:cs="宋体"/>
                <w:color w:val="000000"/>
                <w:sz w:val="24"/>
                <w:szCs w:val="24"/>
              </w:rPr>
              <w:t>项目</w:t>
            </w:r>
            <w:r>
              <w:rPr>
                <w:rFonts w:hint="eastAsia" w:ascii="宋体" w:hAnsi="宋体" w:cs="宋体"/>
                <w:color w:val="000000"/>
                <w:sz w:val="24"/>
                <w:szCs w:val="24"/>
                <w:lang w:eastAsia="zh-CN"/>
              </w:rPr>
              <w:t>生产</w:t>
            </w:r>
            <w:r>
              <w:rPr>
                <w:rFonts w:hint="eastAsia" w:ascii="宋体" w:hAnsi="宋体" w:eastAsia="宋体" w:cs="宋体"/>
                <w:color w:val="000000"/>
                <w:sz w:val="24"/>
                <w:szCs w:val="24"/>
                <w:lang w:eastAsia="zh-CN"/>
              </w:rPr>
              <w:t>不需用水</w:t>
            </w:r>
            <w:r>
              <w:rPr>
                <w:rFonts w:ascii="宋体" w:hAnsi="宋体" w:eastAsia="宋体" w:cs="宋体"/>
                <w:color w:val="000000"/>
                <w:sz w:val="24"/>
                <w:szCs w:val="24"/>
              </w:rPr>
              <w:t>；项目不新增劳动定员，无新增生活污水产生。因此无需开展地表水环境质量现状调查。</w:t>
            </w:r>
          </w:p>
          <w:p>
            <w:pPr>
              <w:pageBreakBefore w:val="0"/>
              <w:kinsoku/>
              <w:wordWrap/>
              <w:overflowPunct/>
              <w:topLinePunct w:val="0"/>
              <w:autoSpaceDE/>
              <w:autoSpaceDN/>
              <w:bidi w:val="0"/>
              <w:adjustRightInd w:val="0"/>
              <w:snapToGrid w:val="0"/>
              <w:spacing w:line="360" w:lineRule="auto"/>
              <w:jc w:val="left"/>
              <w:textAlignment w:val="auto"/>
              <w:rPr>
                <w:b/>
                <w:bCs/>
                <w:color w:val="auto"/>
                <w:sz w:val="24"/>
              </w:rPr>
            </w:pPr>
            <w:r>
              <w:rPr>
                <w:b/>
                <w:bCs/>
                <w:color w:val="auto"/>
                <w:sz w:val="24"/>
              </w:rPr>
              <w:t>3.噪声环境</w:t>
            </w:r>
          </w:p>
          <w:p>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mallCaps w:val="0"/>
                <w:color w:val="auto"/>
                <w:spacing w:val="0"/>
                <w:w w:val="100"/>
                <w:position w:val="0"/>
                <w:sz w:val="24"/>
                <w:highlight w:val="none"/>
              </w:rPr>
            </w:pPr>
            <w:r>
              <w:rPr>
                <w:rFonts w:ascii="宋体" w:hAnsi="宋体" w:eastAsia="宋体" w:cs="宋体"/>
                <w:color w:val="000000"/>
                <w:sz w:val="24"/>
                <w:szCs w:val="24"/>
              </w:rPr>
              <w:t>根据《建设项目环境影响报告表编制技术指南（污染影响类）》（试行）中区域环境质量现状评价要求，本项目厂界外周边50m范围内无声环境保护目标，因此，可不开展声环境现状调查与评价。</w:t>
            </w:r>
          </w:p>
          <w:p>
            <w:pPr>
              <w:pStyle w:val="3"/>
              <w:pageBreakBefore w:val="0"/>
              <w:kinsoku/>
              <w:wordWrap/>
              <w:overflowPunct/>
              <w:topLinePunct w:val="0"/>
              <w:autoSpaceDE/>
              <w:autoSpaceDN/>
              <w:bidi w:val="0"/>
              <w:spacing w:line="360" w:lineRule="auto"/>
              <w:jc w:val="both"/>
              <w:textAlignment w:val="auto"/>
              <w:rPr>
                <w:b/>
                <w:bCs/>
                <w:color w:val="auto"/>
                <w:sz w:val="24"/>
              </w:rPr>
            </w:pPr>
            <w:r>
              <w:rPr>
                <w:b/>
                <w:bCs/>
                <w:color w:val="auto"/>
                <w:sz w:val="24"/>
              </w:rPr>
              <w:t>4.生态环境</w:t>
            </w:r>
          </w:p>
          <w:p>
            <w:pPr>
              <w:pStyle w:val="3"/>
              <w:pageBreakBefore w:val="0"/>
              <w:kinsoku/>
              <w:wordWrap/>
              <w:overflowPunct/>
              <w:topLinePunct w:val="0"/>
              <w:autoSpaceDE/>
              <w:autoSpaceDN/>
              <w:bidi w:val="0"/>
              <w:spacing w:line="360" w:lineRule="auto"/>
              <w:ind w:firstLine="468" w:firstLineChars="200"/>
              <w:jc w:val="both"/>
              <w:textAlignment w:val="auto"/>
              <w:rPr>
                <w:rFonts w:hint="eastAsia"/>
                <w:b/>
                <w:bCs/>
                <w:color w:val="auto"/>
                <w:szCs w:val="24"/>
              </w:rPr>
            </w:pPr>
            <w:r>
              <w:rPr>
                <w:rFonts w:ascii="宋体" w:hAnsi="宋体" w:eastAsia="宋体" w:cs="宋体"/>
                <w:spacing w:val="-3"/>
                <w:kern w:val="0"/>
                <w:sz w:val="24"/>
                <w:szCs w:val="24"/>
                <w:lang w:val="en-US" w:eastAsia="zh-CN" w:bidi="ar-SA"/>
              </w:rPr>
              <w:t>根据《建设项目环境影响报告表编制技术指南（污染影响类）》（试行）中规定，产业园区外建设项目新增用地且用地范围内含有生态环境保护目标</w:t>
            </w:r>
            <w:r>
              <w:rPr>
                <w:rFonts w:ascii="宋体" w:hAnsi="宋体" w:eastAsia="宋体" w:cs="宋体"/>
                <w:spacing w:val="-3"/>
                <w:kern w:val="0"/>
                <w:sz w:val="24"/>
                <w:szCs w:val="24"/>
                <w:lang w:val="en-US" w:eastAsia="zh-Hans" w:bidi="ar-SA"/>
              </w:rPr>
              <w:t>的</w:t>
            </w:r>
            <w:r>
              <w:rPr>
                <w:rFonts w:ascii="宋体" w:hAnsi="宋体" w:eastAsia="宋体" w:cs="宋体"/>
                <w:spacing w:val="-3"/>
                <w:kern w:val="0"/>
                <w:sz w:val="24"/>
                <w:szCs w:val="24"/>
                <w:lang w:val="en-US" w:eastAsia="zh-CN" w:bidi="ar-SA"/>
              </w:rPr>
              <w:t>应进行生态现状调查。本项目位于</w:t>
            </w:r>
            <w:r>
              <w:rPr>
                <w:rFonts w:hint="eastAsia" w:ascii="宋体" w:hAnsi="宋体" w:eastAsia="宋体" w:cs="宋体"/>
                <w:spacing w:val="-3"/>
                <w:kern w:val="0"/>
                <w:sz w:val="24"/>
                <w:szCs w:val="24"/>
                <w:lang w:val="en-US" w:eastAsia="zh-CN" w:bidi="ar-SA"/>
              </w:rPr>
              <w:t>新疆昌吉州昌吉市八钢工业聚集区，</w:t>
            </w:r>
            <w:r>
              <w:rPr>
                <w:rFonts w:ascii="宋体" w:hAnsi="宋体" w:eastAsia="宋体" w:cs="宋体"/>
                <w:color w:val="auto"/>
                <w:spacing w:val="-3"/>
                <w:kern w:val="0"/>
                <w:sz w:val="24"/>
                <w:szCs w:val="24"/>
                <w:lang w:val="en-US" w:eastAsia="zh-CN" w:bidi="ar-SA"/>
              </w:rPr>
              <w:t>用地范围内无生</w:t>
            </w:r>
            <w:r>
              <w:rPr>
                <w:rFonts w:ascii="宋体" w:hAnsi="宋体" w:eastAsia="宋体" w:cs="宋体"/>
                <w:spacing w:val="-3"/>
                <w:kern w:val="0"/>
                <w:sz w:val="24"/>
                <w:szCs w:val="24"/>
                <w:lang w:val="en-US" w:eastAsia="zh-CN" w:bidi="ar-SA"/>
              </w:rPr>
              <w:t>态环境保护目标，因此本环评不再开展生态现状调查。</w:t>
            </w:r>
          </w:p>
          <w:p>
            <w:pPr>
              <w:pStyle w:val="36"/>
              <w:pageBreakBefore w:val="0"/>
              <w:kinsoku/>
              <w:wordWrap/>
              <w:overflowPunct/>
              <w:topLinePunct w:val="0"/>
              <w:autoSpaceDE/>
              <w:autoSpaceDN/>
              <w:bidi w:val="0"/>
              <w:spacing w:line="360" w:lineRule="auto"/>
              <w:textAlignment w:val="auto"/>
              <w:rPr>
                <w:rFonts w:hint="eastAsia" w:eastAsia="宋体"/>
                <w:b/>
                <w:bCs/>
                <w:color w:val="auto"/>
                <w:szCs w:val="24"/>
                <w:lang w:eastAsia="zh-CN"/>
              </w:rPr>
            </w:pPr>
            <w:r>
              <w:rPr>
                <w:rFonts w:hint="eastAsia"/>
                <w:b/>
                <w:bCs/>
                <w:color w:val="auto"/>
                <w:sz w:val="24"/>
              </w:rPr>
              <w:t>5.</w:t>
            </w:r>
            <w:r>
              <w:rPr>
                <w:rFonts w:hint="eastAsia"/>
                <w:b/>
                <w:bCs/>
                <w:color w:val="auto"/>
                <w:sz w:val="24"/>
                <w:lang w:eastAsia="zh-CN"/>
              </w:rPr>
              <w:t>地下水、土壤环境质量现状</w:t>
            </w:r>
          </w:p>
          <w:p>
            <w:pPr>
              <w:pStyle w:val="36"/>
              <w:pageBreakBefore w:val="0"/>
              <w:kinsoku/>
              <w:wordWrap/>
              <w:overflowPunct/>
              <w:topLinePunct w:val="0"/>
              <w:autoSpaceDE/>
              <w:autoSpaceDN/>
              <w:bidi w:val="0"/>
              <w:spacing w:line="360" w:lineRule="auto"/>
              <w:ind w:firstLine="468" w:firstLineChars="200"/>
              <w:textAlignment w:val="auto"/>
              <w:rPr>
                <w:color w:val="auto"/>
                <w:kern w:val="0"/>
                <w:szCs w:val="21"/>
              </w:rPr>
            </w:pPr>
            <w:r>
              <w:rPr>
                <w:rFonts w:hint="eastAsia" w:ascii="宋体" w:hAnsi="宋体" w:eastAsia="宋体" w:cs="宋体"/>
                <w:spacing w:val="-3"/>
                <w:kern w:val="0"/>
                <w:sz w:val="24"/>
                <w:szCs w:val="24"/>
                <w:lang w:val="en-US" w:eastAsia="zh-CN" w:bidi="ar-SA"/>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本项目无生产废水产生，项目不新增劳动定员，无新增生活污水产生，</w:t>
            </w:r>
            <w:r>
              <w:rPr>
                <w:rFonts w:ascii="宋体" w:hAnsi="宋体" w:eastAsia="宋体" w:cs="宋体"/>
                <w:color w:val="000000"/>
                <w:sz w:val="24"/>
                <w:szCs w:val="24"/>
              </w:rPr>
              <w:t>项目不存在地下水、土壤污染途径，因此本次评价不开展对地下水、土壤环境质量现状调查与评价。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796"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194" w:type="dxa"/>
          </w:tcPr>
          <w:p>
            <w:pPr>
              <w:pStyle w:val="3"/>
              <w:spacing w:line="360" w:lineRule="auto"/>
              <w:rPr>
                <w:b/>
                <w:bCs/>
                <w:color w:val="auto"/>
                <w:sz w:val="24"/>
              </w:rPr>
            </w:pPr>
            <w:r>
              <w:rPr>
                <w:b/>
                <w:bCs/>
                <w:color w:val="auto"/>
                <w:sz w:val="24"/>
              </w:rPr>
              <w:t>1.大气环境</w:t>
            </w:r>
          </w:p>
          <w:p>
            <w:pPr>
              <w:pStyle w:val="19"/>
              <w:ind w:firstLine="480"/>
              <w:rPr>
                <w:color w:val="auto"/>
              </w:rPr>
            </w:pPr>
            <w:r>
              <w:rPr>
                <w:rFonts w:hint="eastAsia"/>
                <w:color w:val="auto"/>
                <w:lang w:eastAsia="zh-CN"/>
              </w:rPr>
              <w:t>本</w:t>
            </w:r>
            <w:r>
              <w:rPr>
                <w:rFonts w:hint="eastAsia"/>
                <w:color w:val="auto"/>
              </w:rPr>
              <w:t>项目区厂界外500m范围内的无自然保护区、风景名胜区、居住区、文化区和农村地区中人群较集中的区域</w:t>
            </w:r>
            <w:r>
              <w:rPr>
                <w:color w:val="auto"/>
              </w:rPr>
              <w:t>等环境敏感区</w:t>
            </w:r>
            <w:r>
              <w:rPr>
                <w:rFonts w:hint="eastAsia"/>
                <w:color w:val="auto"/>
              </w:rPr>
              <w:t>，无大气环境敏感目标。</w:t>
            </w:r>
          </w:p>
          <w:p>
            <w:pPr>
              <w:pStyle w:val="19"/>
              <w:ind w:firstLine="0" w:firstLineChars="0"/>
              <w:rPr>
                <w:b/>
                <w:bCs/>
                <w:color w:val="auto"/>
              </w:rPr>
            </w:pPr>
            <w:r>
              <w:rPr>
                <w:b/>
                <w:bCs/>
                <w:color w:val="auto"/>
              </w:rPr>
              <w:t>2.声环境</w:t>
            </w:r>
          </w:p>
          <w:p>
            <w:pPr>
              <w:pStyle w:val="19"/>
              <w:ind w:firstLine="480"/>
              <w:rPr>
                <w:rFonts w:hint="default" w:eastAsia="宋体"/>
                <w:color w:val="auto"/>
                <w:lang w:val="en-US" w:eastAsia="zh-CN"/>
              </w:rPr>
            </w:pPr>
            <w:r>
              <w:rPr>
                <w:color w:val="auto"/>
              </w:rPr>
              <w:t>本项目厂界外50m范围内无声环境保护目标。</w:t>
            </w:r>
          </w:p>
          <w:p>
            <w:pPr>
              <w:pStyle w:val="3"/>
              <w:spacing w:line="360" w:lineRule="auto"/>
              <w:rPr>
                <w:b/>
                <w:bCs/>
                <w:color w:val="auto"/>
                <w:sz w:val="24"/>
              </w:rPr>
            </w:pPr>
            <w:r>
              <w:rPr>
                <w:b/>
                <w:bCs/>
                <w:color w:val="auto"/>
                <w:sz w:val="24"/>
              </w:rPr>
              <w:t>3.地下水环境</w:t>
            </w:r>
          </w:p>
          <w:p>
            <w:pPr>
              <w:pStyle w:val="19"/>
              <w:ind w:firstLine="480"/>
              <w:rPr>
                <w:rFonts w:hint="default" w:ascii="Times New Roman" w:hAnsi="Times New Roman" w:cs="Times New Roman"/>
                <w:color w:val="auto"/>
                <w:spacing w:val="0"/>
                <w:w w:val="100"/>
                <w:position w:val="0"/>
                <w:sz w:val="24"/>
                <w:szCs w:val="32"/>
                <w:highlight w:val="none"/>
              </w:rPr>
            </w:pPr>
            <w:r>
              <w:rPr>
                <w:color w:val="auto"/>
              </w:rPr>
              <w:t>本项目</w:t>
            </w:r>
            <w:r>
              <w:rPr>
                <w:rFonts w:hint="default" w:ascii="Times New Roman" w:hAnsi="Times New Roman" w:cs="Times New Roman"/>
                <w:color w:val="auto"/>
                <w:spacing w:val="0"/>
                <w:w w:val="100"/>
                <w:position w:val="0"/>
                <w:sz w:val="24"/>
                <w:szCs w:val="32"/>
                <w:highlight w:val="none"/>
              </w:rPr>
              <w:t>厂界外500m范围内的无地下水集中式饮用水水源和其他地下水敏感目标。</w:t>
            </w:r>
          </w:p>
          <w:p>
            <w:pPr>
              <w:pStyle w:val="3"/>
              <w:spacing w:line="360" w:lineRule="auto"/>
              <w:rPr>
                <w:b/>
                <w:bCs/>
                <w:color w:val="auto"/>
                <w:sz w:val="24"/>
              </w:rPr>
            </w:pPr>
            <w:r>
              <w:rPr>
                <w:b/>
                <w:bCs/>
                <w:color w:val="auto"/>
                <w:sz w:val="24"/>
              </w:rPr>
              <w:t>4.生态环境</w:t>
            </w:r>
          </w:p>
          <w:p>
            <w:pPr>
              <w:pStyle w:val="3"/>
              <w:spacing w:line="360" w:lineRule="auto"/>
              <w:ind w:firstLine="480" w:firstLineChars="200"/>
              <w:rPr>
                <w:rFonts w:ascii="Times New Roman" w:cs="Times New Roman"/>
                <w:color w:val="auto"/>
                <w:kern w:val="0"/>
              </w:rPr>
            </w:pPr>
            <w:r>
              <w:rPr>
                <w:rFonts w:hint="default" w:ascii="Times New Roman" w:hAnsi="Times New Roman" w:eastAsia="宋体" w:cs="Times New Roman"/>
                <w:color w:val="auto"/>
                <w:spacing w:val="0"/>
                <w:w w:val="100"/>
                <w:kern w:val="2"/>
                <w:position w:val="0"/>
                <w:sz w:val="24"/>
                <w:szCs w:val="32"/>
                <w:highlight w:val="none"/>
                <w:lang w:val="en-US" w:eastAsia="zh-CN" w:bidi="ar-SA"/>
              </w:rPr>
              <w:t>本项目</w:t>
            </w:r>
            <w:r>
              <w:rPr>
                <w:rFonts w:hint="eastAsia" w:cs="Times New Roman"/>
                <w:color w:val="auto"/>
                <w:spacing w:val="0"/>
                <w:w w:val="100"/>
                <w:kern w:val="2"/>
                <w:position w:val="0"/>
                <w:sz w:val="24"/>
                <w:szCs w:val="32"/>
                <w:highlight w:val="none"/>
                <w:lang w:val="en-US" w:eastAsia="zh-CN" w:bidi="ar-SA"/>
              </w:rPr>
              <w:t>用地为工业用地，</w:t>
            </w:r>
            <w:r>
              <w:rPr>
                <w:rFonts w:hint="eastAsia" w:ascii="Times New Roman" w:hAnsi="Times New Roman" w:eastAsia="宋体" w:cs="Times New Roman"/>
                <w:color w:val="auto"/>
                <w:spacing w:val="0"/>
                <w:w w:val="100"/>
                <w:kern w:val="2"/>
                <w:position w:val="0"/>
                <w:sz w:val="24"/>
                <w:szCs w:val="32"/>
                <w:highlight w:val="none"/>
                <w:lang w:val="en-US" w:eastAsia="zh-CN" w:bidi="ar-SA"/>
              </w:rPr>
              <w:t>项目区周边500m范围内无生态环境保护目标</w:t>
            </w:r>
            <w:r>
              <w:rPr>
                <w:rFonts w:hint="default" w:ascii="Times New Roman" w:hAnsi="Times New Roman" w:eastAsia="宋体" w:cs="Times New Roman"/>
                <w:color w:val="auto"/>
                <w:spacing w:val="0"/>
                <w:w w:val="100"/>
                <w:kern w:val="2"/>
                <w:position w:val="0"/>
                <w:sz w:val="24"/>
                <w:szCs w:val="32"/>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6" w:hRule="atLeast"/>
          <w:jc w:val="center"/>
        </w:trPr>
        <w:tc>
          <w:tcPr>
            <w:tcW w:w="796"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194" w:type="dxa"/>
            <w:vAlign w:val="center"/>
          </w:tcPr>
          <w:p>
            <w:pPr>
              <w:widowControl/>
              <w:spacing w:line="360" w:lineRule="auto"/>
              <w:jc w:val="left"/>
              <w:rPr>
                <w:b/>
                <w:bCs/>
                <w:color w:val="FF0000"/>
                <w:sz w:val="24"/>
              </w:rPr>
            </w:pPr>
            <w:r>
              <w:rPr>
                <w:b/>
                <w:bCs/>
                <w:color w:val="auto"/>
                <w:kern w:val="0"/>
                <w:sz w:val="24"/>
                <w:lang w:bidi="ar"/>
              </w:rPr>
              <w:t>1.大气</w:t>
            </w:r>
            <w:r>
              <w:rPr>
                <w:b/>
                <w:bCs/>
                <w:color w:val="000000" w:themeColor="text1"/>
                <w:kern w:val="0"/>
                <w:sz w:val="24"/>
                <w:lang w:bidi="ar"/>
                <w14:textFill>
                  <w14:solidFill>
                    <w14:schemeClr w14:val="tx1"/>
                  </w14:solidFill>
                </w14:textFill>
              </w:rPr>
              <w:t>污染物排放标准</w:t>
            </w:r>
          </w:p>
          <w:p>
            <w:pPr>
              <w:widowControl/>
              <w:spacing w:line="360" w:lineRule="auto"/>
              <w:ind w:firstLine="480" w:firstLineChars="200"/>
              <w:rPr>
                <w:rFonts w:hint="eastAsia" w:eastAsia="宋体"/>
                <w:color w:val="000000" w:themeColor="text1"/>
                <w:kern w:val="21"/>
                <w:sz w:val="24"/>
                <w:lang w:eastAsia="zh-CN" w:bidi="ar"/>
                <w14:textFill>
                  <w14:solidFill>
                    <w14:schemeClr w14:val="tx1"/>
                  </w14:solidFill>
                </w14:textFill>
              </w:rPr>
            </w:pPr>
            <w:r>
              <w:rPr>
                <w:color w:val="000000" w:themeColor="text1"/>
                <w:kern w:val="21"/>
                <w:sz w:val="24"/>
                <w:lang w:bidi="ar"/>
                <w14:textFill>
                  <w14:solidFill>
                    <w14:schemeClr w14:val="tx1"/>
                  </w14:solidFill>
                </w14:textFill>
              </w:rPr>
              <w:t>（1）</w:t>
            </w:r>
            <w:r>
              <w:rPr>
                <w:rFonts w:hint="eastAsia"/>
                <w:color w:val="000000" w:themeColor="text1"/>
                <w:kern w:val="21"/>
                <w:sz w:val="24"/>
                <w:lang w:eastAsia="zh-CN" w:bidi="ar"/>
                <w14:textFill>
                  <w14:solidFill>
                    <w14:schemeClr w14:val="tx1"/>
                  </w14:solidFill>
                </w14:textFill>
              </w:rPr>
              <w:t>厂界外无组织</w:t>
            </w:r>
            <w:r>
              <w:rPr>
                <w:color w:val="000000" w:themeColor="text1"/>
                <w:kern w:val="21"/>
                <w:sz w:val="24"/>
                <w:lang w:bidi="ar"/>
                <w14:textFill>
                  <w14:solidFill>
                    <w14:schemeClr w14:val="tx1"/>
                  </w14:solidFill>
                </w14:textFill>
              </w:rPr>
              <w:t>颗粒物</w:t>
            </w:r>
            <w:r>
              <w:rPr>
                <w:rFonts w:hint="eastAsia"/>
                <w:color w:val="000000" w:themeColor="text1"/>
                <w:kern w:val="21"/>
                <w:sz w:val="24"/>
                <w:lang w:eastAsia="zh-CN" w:bidi="ar"/>
                <w14:textFill>
                  <w14:solidFill>
                    <w14:schemeClr w14:val="tx1"/>
                  </w14:solidFill>
                </w14:textFill>
              </w:rPr>
              <w:t>、</w:t>
            </w:r>
            <w:r>
              <w:rPr>
                <w:rFonts w:hint="eastAsia" w:ascii="宋体" w:hAnsi="宋体" w:cs="宋体"/>
                <w:b w:val="0"/>
                <w:bCs w:val="0"/>
                <w:sz w:val="24"/>
                <w:szCs w:val="24"/>
                <w:lang w:val="en-US" w:eastAsia="zh-CN"/>
              </w:rPr>
              <w:t>非甲烷总烃</w:t>
            </w:r>
            <w:r>
              <w:rPr>
                <w:color w:val="000000" w:themeColor="text1"/>
                <w:kern w:val="21"/>
                <w:sz w:val="24"/>
                <w:lang w:bidi="ar"/>
                <w14:textFill>
                  <w14:solidFill>
                    <w14:schemeClr w14:val="tx1"/>
                  </w14:solidFill>
                </w14:textFill>
              </w:rPr>
              <w:t>执行</w:t>
            </w:r>
            <w:r>
              <w:rPr>
                <w:rFonts w:hint="eastAsia"/>
                <w:color w:val="000000" w:themeColor="text1"/>
                <w:kern w:val="21"/>
                <w:sz w:val="24"/>
                <w:lang w:bidi="ar"/>
                <w14:textFill>
                  <w14:solidFill>
                    <w14:schemeClr w14:val="tx1"/>
                  </w14:solidFill>
                </w14:textFill>
              </w:rPr>
              <w:t>《大气污染物综合排放标准》（GB16297-1996）表2无组织排放监控浓度限值</w:t>
            </w:r>
            <w:r>
              <w:rPr>
                <w:rFonts w:hint="eastAsia"/>
                <w:color w:val="000000" w:themeColor="text1"/>
                <w:kern w:val="21"/>
                <w:sz w:val="24"/>
                <w:lang w:eastAsia="zh-CN" w:bidi="ar"/>
                <w14:textFill>
                  <w14:solidFill>
                    <w14:schemeClr w14:val="tx1"/>
                  </w14:solidFill>
                </w14:textFill>
              </w:rPr>
              <w:t>。</w:t>
            </w:r>
          </w:p>
          <w:p>
            <w:pPr>
              <w:widowControl/>
              <w:spacing w:line="360" w:lineRule="auto"/>
              <w:ind w:firstLine="480" w:firstLineChars="200"/>
              <w:jc w:val="left"/>
              <w:rPr>
                <w:rFonts w:hint="eastAsia" w:eastAsia="宋体"/>
                <w:color w:val="000000" w:themeColor="text1"/>
                <w:kern w:val="21"/>
                <w:sz w:val="24"/>
                <w:lang w:eastAsia="zh-CN" w:bidi="ar"/>
                <w14:textFill>
                  <w14:solidFill>
                    <w14:schemeClr w14:val="tx1"/>
                  </w14:solidFill>
                </w14:textFill>
              </w:rPr>
            </w:pPr>
            <w:r>
              <w:rPr>
                <w:color w:val="000000" w:themeColor="text1"/>
                <w:kern w:val="21"/>
                <w:sz w:val="24"/>
                <w:lang w:bidi="ar"/>
                <w14:textFill>
                  <w14:solidFill>
                    <w14:schemeClr w14:val="tx1"/>
                  </w14:solidFill>
                </w14:textFill>
              </w:rPr>
              <w:t>（2）</w:t>
            </w:r>
            <w:r>
              <w:rPr>
                <w:rFonts w:hint="eastAsia"/>
                <w:color w:val="000000" w:themeColor="text1"/>
                <w:kern w:val="21"/>
                <w:sz w:val="24"/>
                <w:lang w:eastAsia="zh-CN" w:bidi="ar"/>
                <w14:textFill>
                  <w14:solidFill>
                    <w14:schemeClr w14:val="tx1"/>
                  </w14:solidFill>
                </w14:textFill>
              </w:rPr>
              <w:t>厂区内无组织</w:t>
            </w:r>
            <w:r>
              <w:rPr>
                <w:rFonts w:hint="eastAsia" w:ascii="宋体" w:hAnsi="宋体" w:cs="宋体"/>
                <w:b w:val="0"/>
                <w:bCs w:val="0"/>
                <w:sz w:val="24"/>
                <w:szCs w:val="24"/>
                <w:lang w:val="en-US" w:eastAsia="zh-CN"/>
              </w:rPr>
              <w:t>非甲烷总烃</w:t>
            </w:r>
            <w:r>
              <w:rPr>
                <w:color w:val="000000" w:themeColor="text1"/>
                <w:kern w:val="21"/>
                <w:sz w:val="24"/>
                <w:lang w:bidi="ar"/>
                <w14:textFill>
                  <w14:solidFill>
                    <w14:schemeClr w14:val="tx1"/>
                  </w14:solidFill>
                </w14:textFill>
              </w:rPr>
              <w:t>执行</w:t>
            </w:r>
            <w:r>
              <w:rPr>
                <w:rFonts w:hint="eastAsia"/>
                <w:color w:val="000000" w:themeColor="text1"/>
                <w:kern w:val="21"/>
                <w:sz w:val="24"/>
                <w:lang w:bidi="ar"/>
                <w14:textFill>
                  <w14:solidFill>
                    <w14:schemeClr w14:val="tx1"/>
                  </w14:solidFill>
                </w14:textFill>
              </w:rPr>
              <w:t>《挥发性有机物无组织排放控制标准》（GB37822-2019）表A.1限值要求</w:t>
            </w:r>
            <w:r>
              <w:rPr>
                <w:rFonts w:hint="eastAsia"/>
                <w:color w:val="000000" w:themeColor="text1"/>
                <w:kern w:val="21"/>
                <w:sz w:val="24"/>
                <w:lang w:eastAsia="zh-CN" w:bidi="ar"/>
                <w14:textFill>
                  <w14:solidFill>
                    <w14:schemeClr w14:val="tx1"/>
                  </w14:solidFill>
                </w14:textFill>
              </w:rPr>
              <w:t>。</w:t>
            </w:r>
          </w:p>
          <w:p>
            <w:pPr>
              <w:widowControl/>
              <w:spacing w:line="360" w:lineRule="auto"/>
              <w:ind w:firstLine="480" w:firstLineChars="200"/>
              <w:jc w:val="left"/>
              <w:rPr>
                <w:rFonts w:hint="eastAsia" w:ascii="Times New Roman" w:hAnsi="Times New Roman" w:eastAsia="宋体" w:cs="Times New Roman"/>
                <w:color w:val="000000" w:themeColor="text1"/>
                <w:kern w:val="21"/>
                <w:sz w:val="24"/>
                <w:lang w:eastAsia="zh-CN" w:bidi="ar"/>
                <w14:textFill>
                  <w14:solidFill>
                    <w14:schemeClr w14:val="tx1"/>
                  </w14:solidFill>
                </w14:textFill>
              </w:rPr>
            </w:pPr>
            <w:r>
              <w:rPr>
                <w:rFonts w:hint="eastAsia" w:ascii="Times New Roman" w:hAnsi="Times New Roman" w:eastAsia="宋体" w:cs="Times New Roman"/>
                <w:color w:val="000000" w:themeColor="text1"/>
                <w:kern w:val="21"/>
                <w:sz w:val="24"/>
                <w:lang w:eastAsia="zh-CN" w:bidi="ar"/>
                <w14:textFill>
                  <w14:solidFill>
                    <w14:schemeClr w14:val="tx1"/>
                  </w14:solidFill>
                </w14:textFill>
              </w:rPr>
              <w:t>（</w:t>
            </w:r>
            <w:r>
              <w:rPr>
                <w:rFonts w:hint="eastAsia" w:ascii="Times New Roman" w:hAnsi="Times New Roman" w:eastAsia="宋体" w:cs="Times New Roman"/>
                <w:color w:val="000000" w:themeColor="text1"/>
                <w:kern w:val="21"/>
                <w:sz w:val="24"/>
                <w:lang w:val="en-US" w:eastAsia="zh-CN" w:bidi="ar"/>
                <w14:textFill>
                  <w14:solidFill>
                    <w14:schemeClr w14:val="tx1"/>
                  </w14:solidFill>
                </w14:textFill>
              </w:rPr>
              <w:t>3</w:t>
            </w:r>
            <w:r>
              <w:rPr>
                <w:rFonts w:hint="eastAsia" w:ascii="Times New Roman" w:hAnsi="Times New Roman" w:eastAsia="宋体" w:cs="Times New Roman"/>
                <w:color w:val="000000" w:themeColor="text1"/>
                <w:kern w:val="21"/>
                <w:sz w:val="24"/>
                <w:lang w:eastAsia="zh-CN" w:bidi="ar"/>
                <w14:textFill>
                  <w14:solidFill>
                    <w14:schemeClr w14:val="tx1"/>
                  </w14:solidFill>
                </w14:textFill>
              </w:rPr>
              <w:t>）本项目抛丸</w:t>
            </w:r>
            <w:r>
              <w:rPr>
                <w:rFonts w:hint="eastAsia" w:cs="Times New Roman"/>
                <w:color w:val="000000" w:themeColor="text1"/>
                <w:kern w:val="21"/>
                <w:sz w:val="24"/>
                <w:lang w:eastAsia="zh-CN" w:bidi="ar"/>
                <w14:textFill>
                  <w14:solidFill>
                    <w14:schemeClr w14:val="tx1"/>
                  </w14:solidFill>
                </w14:textFill>
              </w:rPr>
              <w:t>、喷塑</w:t>
            </w:r>
            <w:r>
              <w:rPr>
                <w:rFonts w:hint="eastAsia" w:ascii="Times New Roman" w:hAnsi="Times New Roman" w:eastAsia="宋体" w:cs="Times New Roman"/>
                <w:color w:val="000000" w:themeColor="text1"/>
                <w:kern w:val="21"/>
                <w:sz w:val="24"/>
                <w:lang w:eastAsia="zh-CN" w:bidi="ar"/>
                <w14:textFill>
                  <w14:solidFill>
                    <w14:schemeClr w14:val="tx1"/>
                  </w14:solidFill>
                </w14:textFill>
              </w:rPr>
              <w:t>产生的颗粒物排放执行《大气污染物综合排放标准》（GB16297-1996）中表2新污染源颗粒物有组织排放限值。</w:t>
            </w:r>
          </w:p>
          <w:p>
            <w:pPr>
              <w:widowControl/>
              <w:spacing w:line="360" w:lineRule="auto"/>
              <w:ind w:firstLine="480" w:firstLineChars="200"/>
              <w:jc w:val="left"/>
              <w:rPr>
                <w:rFonts w:hint="eastAsia" w:ascii="Times New Roman" w:hAnsi="Times New Roman" w:eastAsia="宋体" w:cs="Times New Roman"/>
                <w:color w:val="000000" w:themeColor="text1"/>
                <w:kern w:val="21"/>
                <w:sz w:val="24"/>
                <w:lang w:eastAsia="zh-CN" w:bidi="ar"/>
                <w14:textFill>
                  <w14:solidFill>
                    <w14:schemeClr w14:val="tx1"/>
                  </w14:solidFill>
                </w14:textFill>
              </w:rPr>
            </w:pPr>
            <w:r>
              <w:rPr>
                <w:rFonts w:hint="eastAsia" w:ascii="Times New Roman" w:hAnsi="Times New Roman" w:eastAsia="宋体" w:cs="Times New Roman"/>
                <w:color w:val="000000" w:themeColor="text1"/>
                <w:kern w:val="21"/>
                <w:sz w:val="24"/>
                <w:lang w:eastAsia="zh-CN" w:bidi="ar"/>
                <w14:textFill>
                  <w14:solidFill>
                    <w14:schemeClr w14:val="tx1"/>
                  </w14:solidFill>
                </w14:textFill>
              </w:rPr>
              <w:t>（</w:t>
            </w:r>
            <w:r>
              <w:rPr>
                <w:rFonts w:hint="eastAsia" w:ascii="Times New Roman" w:hAnsi="Times New Roman" w:eastAsia="宋体" w:cs="Times New Roman"/>
                <w:color w:val="000000" w:themeColor="text1"/>
                <w:kern w:val="21"/>
                <w:sz w:val="24"/>
                <w:lang w:val="en-US" w:eastAsia="zh-CN" w:bidi="ar"/>
                <w14:textFill>
                  <w14:solidFill>
                    <w14:schemeClr w14:val="tx1"/>
                  </w14:solidFill>
                </w14:textFill>
              </w:rPr>
              <w:t>4</w:t>
            </w:r>
            <w:r>
              <w:rPr>
                <w:rFonts w:hint="eastAsia" w:ascii="Times New Roman" w:hAnsi="Times New Roman" w:eastAsia="宋体" w:cs="Times New Roman"/>
                <w:color w:val="000000" w:themeColor="text1"/>
                <w:kern w:val="21"/>
                <w:sz w:val="24"/>
                <w:lang w:eastAsia="zh-CN" w:bidi="ar"/>
                <w14:textFill>
                  <w14:solidFill>
                    <w14:schemeClr w14:val="tx1"/>
                  </w14:solidFill>
                </w14:textFill>
              </w:rPr>
              <w:t>）本项目固化产生的有机废气执行《大气污染物综合排放标准》（GB16297-1996）中表2新污染源大气污染物特别排放限值。</w:t>
            </w:r>
          </w:p>
          <w:p>
            <w:pPr>
              <w:pStyle w:val="47"/>
              <w:ind w:firstLine="422"/>
              <w:rPr>
                <w:rFonts w:hint="default" w:ascii="Times New Roman" w:hAnsi="Times New Roman"/>
                <w:color w:val="0000FF"/>
                <w:sz w:val="24"/>
                <w:szCs w:val="32"/>
              </w:rPr>
            </w:pPr>
            <w:r>
              <w:rPr>
                <w:rFonts w:hint="default" w:ascii="Times New Roman" w:hAnsi="Times New Roman"/>
                <w:color w:val="0000FF"/>
              </w:rPr>
              <w:t>表3-</w:t>
            </w:r>
            <w:r>
              <w:rPr>
                <w:rFonts w:hint="eastAsia" w:ascii="Times New Roman" w:hAnsi="Times New Roman"/>
                <w:color w:val="0000FF"/>
                <w:lang w:val="en-US" w:eastAsia="zh-CN"/>
              </w:rPr>
              <w:t>6</w:t>
            </w:r>
            <w:r>
              <w:rPr>
                <w:rFonts w:hint="default" w:ascii="Times New Roman" w:hAnsi="Times New Roman"/>
                <w:color w:val="0000FF"/>
              </w:rPr>
              <w:t>锅炉大气污染物排放限值单位：mg/m</w:t>
            </w:r>
            <w:r>
              <w:rPr>
                <w:rFonts w:hint="default" w:ascii="Times New Roman" w:hAnsi="Times New Roman"/>
                <w:color w:val="0000FF"/>
                <w:vertAlign w:val="superscript"/>
              </w:rPr>
              <w:t>3</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591"/>
              <w:gridCol w:w="1293"/>
              <w:gridCol w:w="1501"/>
              <w:gridCol w:w="1286"/>
              <w:gridCol w:w="2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tcBorders>
                    <w:bottom w:val="single" w:color="auto" w:sz="12" w:space="0"/>
                  </w:tcBorders>
                  <w:vAlign w:val="center"/>
                </w:tcPr>
                <w:p>
                  <w:pPr>
                    <w:overflowPunct w:val="0"/>
                    <w:autoSpaceDE w:val="0"/>
                    <w:autoSpaceDN w:val="0"/>
                    <w:adjustRightInd w:val="0"/>
                    <w:snapToGrid w:val="0"/>
                    <w:jc w:val="center"/>
                    <w:rPr>
                      <w:b/>
                      <w:bCs/>
                      <w:color w:val="0000FF"/>
                      <w:szCs w:val="21"/>
                    </w:rPr>
                  </w:pPr>
                  <w:r>
                    <w:rPr>
                      <w:b/>
                      <w:bCs/>
                      <w:color w:val="0000FF"/>
                      <w:szCs w:val="21"/>
                    </w:rPr>
                    <w:t>污染源</w:t>
                  </w:r>
                </w:p>
              </w:tc>
              <w:tc>
                <w:tcPr>
                  <w:tcW w:w="1170" w:type="pct"/>
                  <w:gridSpan w:val="2"/>
                  <w:tcBorders>
                    <w:bottom w:val="single" w:color="auto" w:sz="12" w:space="0"/>
                  </w:tcBorders>
                  <w:vAlign w:val="center"/>
                </w:tcPr>
                <w:p>
                  <w:pPr>
                    <w:overflowPunct w:val="0"/>
                    <w:autoSpaceDE w:val="0"/>
                    <w:autoSpaceDN w:val="0"/>
                    <w:adjustRightInd w:val="0"/>
                    <w:snapToGrid w:val="0"/>
                    <w:jc w:val="center"/>
                    <w:rPr>
                      <w:b/>
                      <w:bCs/>
                      <w:color w:val="0000FF"/>
                      <w:szCs w:val="21"/>
                    </w:rPr>
                  </w:pPr>
                  <w:r>
                    <w:rPr>
                      <w:b/>
                      <w:bCs/>
                      <w:color w:val="0000FF"/>
                      <w:szCs w:val="21"/>
                    </w:rPr>
                    <w:t>污染物</w:t>
                  </w:r>
                </w:p>
              </w:tc>
              <w:tc>
                <w:tcPr>
                  <w:tcW w:w="932" w:type="pct"/>
                  <w:tcBorders>
                    <w:bottom w:val="single" w:color="auto" w:sz="12" w:space="0"/>
                  </w:tcBorders>
                  <w:vAlign w:val="center"/>
                </w:tcPr>
                <w:p>
                  <w:pPr>
                    <w:overflowPunct w:val="0"/>
                    <w:autoSpaceDE w:val="0"/>
                    <w:autoSpaceDN w:val="0"/>
                    <w:adjustRightInd w:val="0"/>
                    <w:snapToGrid w:val="0"/>
                    <w:jc w:val="center"/>
                    <w:rPr>
                      <w:b/>
                      <w:bCs/>
                      <w:color w:val="0000FF"/>
                      <w:szCs w:val="21"/>
                    </w:rPr>
                  </w:pPr>
                  <w:r>
                    <w:rPr>
                      <w:b/>
                      <w:bCs/>
                      <w:color w:val="0000FF"/>
                      <w:szCs w:val="21"/>
                    </w:rPr>
                    <w:t>排放浓度mg/m</w:t>
                  </w:r>
                  <w:r>
                    <w:rPr>
                      <w:b/>
                      <w:bCs/>
                      <w:color w:val="0000FF"/>
                      <w:szCs w:val="21"/>
                      <w:vertAlign w:val="superscript"/>
                    </w:rPr>
                    <w:t>3</w:t>
                  </w:r>
                </w:p>
              </w:tc>
              <w:tc>
                <w:tcPr>
                  <w:tcW w:w="799" w:type="pct"/>
                  <w:tcBorders>
                    <w:bottom w:val="single" w:color="auto" w:sz="12" w:space="0"/>
                  </w:tcBorders>
                  <w:vAlign w:val="center"/>
                </w:tcPr>
                <w:p>
                  <w:pPr>
                    <w:overflowPunct w:val="0"/>
                    <w:autoSpaceDE w:val="0"/>
                    <w:autoSpaceDN w:val="0"/>
                    <w:adjustRightInd w:val="0"/>
                    <w:snapToGrid w:val="0"/>
                    <w:jc w:val="center"/>
                    <w:rPr>
                      <w:rFonts w:hint="eastAsia"/>
                      <w:b/>
                      <w:bCs/>
                      <w:color w:val="0000FF"/>
                      <w:szCs w:val="21"/>
                      <w:lang w:eastAsia="zh-CN"/>
                    </w:rPr>
                  </w:pPr>
                  <w:r>
                    <w:rPr>
                      <w:rFonts w:hint="eastAsia"/>
                      <w:b/>
                      <w:bCs/>
                      <w:color w:val="0000FF"/>
                      <w:szCs w:val="21"/>
                      <w:lang w:eastAsia="zh-CN"/>
                    </w:rPr>
                    <w:t>排放速率</w:t>
                  </w:r>
                </w:p>
                <w:p>
                  <w:pPr>
                    <w:pStyle w:val="28"/>
                    <w:jc w:val="center"/>
                    <w:rPr>
                      <w:rFonts w:hint="default"/>
                      <w:color w:val="0000FF"/>
                      <w:lang w:val="en-US" w:eastAsia="zh-CN"/>
                    </w:rPr>
                  </w:pPr>
                  <w:r>
                    <w:rPr>
                      <w:rFonts w:hint="eastAsia" w:ascii="Times New Roman" w:hAnsi="Times New Roman" w:eastAsia="宋体" w:cs="Times New Roman"/>
                      <w:b/>
                      <w:bCs/>
                      <w:color w:val="0000FF"/>
                      <w:kern w:val="2"/>
                      <w:sz w:val="21"/>
                      <w:szCs w:val="21"/>
                      <w:lang w:val="en-US" w:eastAsia="zh-CN" w:bidi="ar-SA"/>
                    </w:rPr>
                    <w:t>kg/h</w:t>
                  </w:r>
                </w:p>
              </w:tc>
              <w:tc>
                <w:tcPr>
                  <w:tcW w:w="1684" w:type="pct"/>
                  <w:tcBorders>
                    <w:bottom w:val="single" w:color="auto" w:sz="12" w:space="0"/>
                  </w:tcBorders>
                  <w:vAlign w:val="center"/>
                </w:tcPr>
                <w:p>
                  <w:pPr>
                    <w:overflowPunct w:val="0"/>
                    <w:autoSpaceDE w:val="0"/>
                    <w:autoSpaceDN w:val="0"/>
                    <w:adjustRightInd w:val="0"/>
                    <w:snapToGrid w:val="0"/>
                    <w:jc w:val="center"/>
                    <w:rPr>
                      <w:b/>
                      <w:bCs/>
                      <w:color w:val="0000FF"/>
                      <w:szCs w:val="21"/>
                    </w:rPr>
                  </w:pPr>
                  <w:r>
                    <w:rPr>
                      <w:b/>
                      <w:bCs/>
                      <w:color w:val="0000FF"/>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13" w:type="pct"/>
                  <w:vMerge w:val="restart"/>
                  <w:tcBorders>
                    <w:tl2br w:val="nil"/>
                    <w:tr2bl w:val="nil"/>
                  </w:tcBorders>
                  <w:vAlign w:val="center"/>
                </w:tcPr>
                <w:p>
                  <w:pPr>
                    <w:overflowPunct w:val="0"/>
                    <w:autoSpaceDE w:val="0"/>
                    <w:autoSpaceDN w:val="0"/>
                    <w:adjustRightInd w:val="0"/>
                    <w:snapToGrid w:val="0"/>
                    <w:jc w:val="center"/>
                    <w:rPr>
                      <w:color w:val="0000FF"/>
                      <w:szCs w:val="21"/>
                    </w:rPr>
                  </w:pPr>
                  <w:r>
                    <w:rPr>
                      <w:color w:val="0000FF"/>
                      <w:szCs w:val="21"/>
                    </w:rPr>
                    <w:t>厂界</w:t>
                  </w:r>
                </w:p>
              </w:tc>
              <w:tc>
                <w:tcPr>
                  <w:tcW w:w="367" w:type="pct"/>
                  <w:vMerge w:val="restart"/>
                  <w:tcBorders>
                    <w:tl2br w:val="nil"/>
                    <w:tr2bl w:val="nil"/>
                  </w:tcBorders>
                  <w:vAlign w:val="center"/>
                </w:tcPr>
                <w:p>
                  <w:pPr>
                    <w:overflowPunct w:val="0"/>
                    <w:autoSpaceDE w:val="0"/>
                    <w:autoSpaceDN w:val="0"/>
                    <w:adjustRightInd w:val="0"/>
                    <w:snapToGrid w:val="0"/>
                    <w:jc w:val="center"/>
                    <w:rPr>
                      <w:rFonts w:hint="eastAsia"/>
                      <w:color w:val="0000FF"/>
                      <w:szCs w:val="21"/>
                      <w:lang w:eastAsia="zh-CN"/>
                    </w:rPr>
                  </w:pPr>
                  <w:r>
                    <w:rPr>
                      <w:color w:val="0000FF"/>
                      <w:szCs w:val="21"/>
                    </w:rPr>
                    <w:t>无组织</w:t>
                  </w:r>
                </w:p>
              </w:tc>
              <w:tc>
                <w:tcPr>
                  <w:tcW w:w="803" w:type="pct"/>
                  <w:tcBorders>
                    <w:tl2br w:val="nil"/>
                    <w:tr2bl w:val="nil"/>
                  </w:tcBorders>
                  <w:vAlign w:val="center"/>
                </w:tcPr>
                <w:p>
                  <w:pPr>
                    <w:overflowPunct w:val="0"/>
                    <w:autoSpaceDE w:val="0"/>
                    <w:autoSpaceDN w:val="0"/>
                    <w:adjustRightInd w:val="0"/>
                    <w:snapToGrid w:val="0"/>
                    <w:jc w:val="center"/>
                    <w:rPr>
                      <w:color w:val="0000FF"/>
                      <w:szCs w:val="21"/>
                    </w:rPr>
                  </w:pPr>
                  <w:r>
                    <w:rPr>
                      <w:color w:val="0000FF"/>
                      <w:szCs w:val="21"/>
                    </w:rPr>
                    <w:t>颗粒物</w:t>
                  </w:r>
                </w:p>
              </w:tc>
              <w:tc>
                <w:tcPr>
                  <w:tcW w:w="932" w:type="pct"/>
                  <w:tcBorders>
                    <w:tl2br w:val="nil"/>
                    <w:tr2bl w:val="nil"/>
                  </w:tcBorders>
                  <w:vAlign w:val="center"/>
                </w:tcPr>
                <w:p>
                  <w:pPr>
                    <w:overflowPunct w:val="0"/>
                    <w:autoSpaceDE w:val="0"/>
                    <w:autoSpaceDN w:val="0"/>
                    <w:adjustRightInd w:val="0"/>
                    <w:snapToGrid w:val="0"/>
                    <w:jc w:val="center"/>
                    <w:rPr>
                      <w:rFonts w:hint="default" w:eastAsia="宋体"/>
                      <w:color w:val="0000FF"/>
                      <w:szCs w:val="21"/>
                      <w:lang w:val="en-US" w:eastAsia="zh-CN"/>
                    </w:rPr>
                  </w:pPr>
                  <w:r>
                    <w:rPr>
                      <w:rFonts w:hint="eastAsia"/>
                      <w:color w:val="0000FF"/>
                      <w:szCs w:val="21"/>
                      <w:lang w:val="en-US" w:eastAsia="zh-CN"/>
                    </w:rPr>
                    <w:t>1.0</w:t>
                  </w:r>
                </w:p>
              </w:tc>
              <w:tc>
                <w:tcPr>
                  <w:tcW w:w="799" w:type="pct"/>
                  <w:tcBorders>
                    <w:tl2br w:val="nil"/>
                    <w:tr2bl w:val="nil"/>
                  </w:tcBorders>
                  <w:vAlign w:val="center"/>
                </w:tcPr>
                <w:p>
                  <w:pPr>
                    <w:overflowPunct w:val="0"/>
                    <w:autoSpaceDE w:val="0"/>
                    <w:autoSpaceDN w:val="0"/>
                    <w:adjustRightInd w:val="0"/>
                    <w:snapToGrid w:val="0"/>
                    <w:jc w:val="center"/>
                    <w:rPr>
                      <w:rFonts w:hint="default" w:eastAsia="宋体"/>
                      <w:color w:val="0000FF"/>
                      <w:szCs w:val="21"/>
                      <w:lang w:val="en-US" w:eastAsia="zh-CN"/>
                    </w:rPr>
                  </w:pPr>
                  <w:r>
                    <w:rPr>
                      <w:rFonts w:hint="eastAsia"/>
                      <w:color w:val="0000FF"/>
                      <w:szCs w:val="21"/>
                      <w:lang w:val="en-US" w:eastAsia="zh-CN"/>
                    </w:rPr>
                    <w:t>/</w:t>
                  </w:r>
                </w:p>
              </w:tc>
              <w:tc>
                <w:tcPr>
                  <w:tcW w:w="1684" w:type="pct"/>
                  <w:vMerge w:val="restart"/>
                  <w:tcBorders>
                    <w:tl2br w:val="nil"/>
                    <w:tr2bl w:val="nil"/>
                  </w:tcBorders>
                  <w:vAlign w:val="center"/>
                </w:tcPr>
                <w:p>
                  <w:pPr>
                    <w:overflowPunct w:val="0"/>
                    <w:autoSpaceDE w:val="0"/>
                    <w:autoSpaceDN w:val="0"/>
                    <w:adjustRightInd w:val="0"/>
                    <w:snapToGrid w:val="0"/>
                    <w:jc w:val="center"/>
                    <w:rPr>
                      <w:color w:val="0000FF"/>
                      <w:szCs w:val="21"/>
                    </w:rPr>
                  </w:pPr>
                  <w:r>
                    <w:rPr>
                      <w:rFonts w:hint="eastAsia"/>
                      <w:color w:val="0000FF"/>
                      <w:szCs w:val="21"/>
                    </w:rPr>
                    <w:t>《大气污染物综合排放标准》（GB16297-1996）表2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13" w:type="pct"/>
                  <w:vMerge w:val="continue"/>
                  <w:tcBorders>
                    <w:tl2br w:val="nil"/>
                    <w:tr2bl w:val="nil"/>
                  </w:tcBorders>
                  <w:vAlign w:val="center"/>
                </w:tcPr>
                <w:p>
                  <w:pPr>
                    <w:overflowPunct w:val="0"/>
                    <w:autoSpaceDE w:val="0"/>
                    <w:autoSpaceDN w:val="0"/>
                    <w:adjustRightInd w:val="0"/>
                    <w:snapToGrid w:val="0"/>
                    <w:jc w:val="center"/>
                    <w:rPr>
                      <w:color w:val="0000FF"/>
                      <w:szCs w:val="21"/>
                    </w:rPr>
                  </w:pPr>
                </w:p>
              </w:tc>
              <w:tc>
                <w:tcPr>
                  <w:tcW w:w="367" w:type="pct"/>
                  <w:vMerge w:val="continue"/>
                  <w:tcBorders>
                    <w:tl2br w:val="nil"/>
                    <w:tr2bl w:val="nil"/>
                  </w:tcBorders>
                  <w:vAlign w:val="center"/>
                </w:tcPr>
                <w:p>
                  <w:pPr>
                    <w:overflowPunct w:val="0"/>
                    <w:autoSpaceDE w:val="0"/>
                    <w:autoSpaceDN w:val="0"/>
                    <w:adjustRightInd w:val="0"/>
                    <w:snapToGrid w:val="0"/>
                    <w:jc w:val="center"/>
                    <w:rPr>
                      <w:color w:val="0000FF"/>
                      <w:szCs w:val="21"/>
                    </w:rPr>
                  </w:pPr>
                </w:p>
              </w:tc>
              <w:tc>
                <w:tcPr>
                  <w:tcW w:w="803" w:type="pct"/>
                  <w:tcBorders>
                    <w:tl2br w:val="nil"/>
                    <w:tr2bl w:val="nil"/>
                  </w:tcBorders>
                  <w:vAlign w:val="center"/>
                </w:tcPr>
                <w:p>
                  <w:pPr>
                    <w:overflowPunct w:val="0"/>
                    <w:autoSpaceDE w:val="0"/>
                    <w:autoSpaceDN w:val="0"/>
                    <w:adjustRightInd w:val="0"/>
                    <w:snapToGrid w:val="0"/>
                    <w:jc w:val="center"/>
                    <w:rPr>
                      <w:rFonts w:hint="eastAsia" w:eastAsia="宋体"/>
                      <w:color w:val="0000FF"/>
                      <w:szCs w:val="21"/>
                      <w:lang w:eastAsia="zh-CN"/>
                    </w:rPr>
                  </w:pPr>
                  <w:r>
                    <w:rPr>
                      <w:rFonts w:hint="eastAsia"/>
                      <w:color w:val="0000FF"/>
                      <w:szCs w:val="21"/>
                      <w:lang w:eastAsia="zh-CN"/>
                    </w:rPr>
                    <w:t>非甲烷总烃</w:t>
                  </w:r>
                </w:p>
              </w:tc>
              <w:tc>
                <w:tcPr>
                  <w:tcW w:w="932" w:type="pct"/>
                  <w:tcBorders>
                    <w:tl2br w:val="nil"/>
                    <w:tr2bl w:val="nil"/>
                  </w:tcBorders>
                  <w:vAlign w:val="center"/>
                </w:tcPr>
                <w:p>
                  <w:pPr>
                    <w:overflowPunct w:val="0"/>
                    <w:autoSpaceDE w:val="0"/>
                    <w:autoSpaceDN w:val="0"/>
                    <w:adjustRightInd w:val="0"/>
                    <w:snapToGrid w:val="0"/>
                    <w:jc w:val="center"/>
                    <w:rPr>
                      <w:rFonts w:hint="default" w:eastAsia="宋体"/>
                      <w:color w:val="0000FF"/>
                      <w:szCs w:val="21"/>
                      <w:lang w:val="en-US" w:eastAsia="zh-CN"/>
                    </w:rPr>
                  </w:pPr>
                  <w:r>
                    <w:rPr>
                      <w:rFonts w:hint="eastAsia"/>
                      <w:color w:val="0000FF"/>
                      <w:szCs w:val="21"/>
                      <w:lang w:val="en-US" w:eastAsia="zh-CN"/>
                    </w:rPr>
                    <w:t>4.0</w:t>
                  </w:r>
                </w:p>
              </w:tc>
              <w:tc>
                <w:tcPr>
                  <w:tcW w:w="799" w:type="pct"/>
                  <w:tcBorders>
                    <w:tl2br w:val="nil"/>
                    <w:tr2bl w:val="nil"/>
                  </w:tcBorders>
                  <w:vAlign w:val="center"/>
                </w:tcPr>
                <w:p>
                  <w:pPr>
                    <w:overflowPunct w:val="0"/>
                    <w:autoSpaceDE w:val="0"/>
                    <w:autoSpaceDN w:val="0"/>
                    <w:adjustRightInd w:val="0"/>
                    <w:snapToGrid w:val="0"/>
                    <w:jc w:val="center"/>
                    <w:rPr>
                      <w:rFonts w:hint="default" w:eastAsia="宋体"/>
                      <w:color w:val="0000FF"/>
                      <w:kern w:val="21"/>
                      <w:szCs w:val="21"/>
                      <w:lang w:val="en-US" w:eastAsia="zh-CN" w:bidi="ar"/>
                    </w:rPr>
                  </w:pPr>
                  <w:r>
                    <w:rPr>
                      <w:rFonts w:hint="eastAsia"/>
                      <w:color w:val="0000FF"/>
                      <w:kern w:val="21"/>
                      <w:szCs w:val="21"/>
                      <w:lang w:val="en-US" w:eastAsia="zh-CN" w:bidi="ar"/>
                    </w:rPr>
                    <w:t>/</w:t>
                  </w:r>
                </w:p>
              </w:tc>
              <w:tc>
                <w:tcPr>
                  <w:tcW w:w="1684" w:type="pct"/>
                  <w:vMerge w:val="continue"/>
                  <w:tcBorders>
                    <w:tl2br w:val="nil"/>
                    <w:tr2bl w:val="nil"/>
                  </w:tcBorders>
                  <w:vAlign w:val="center"/>
                </w:tcPr>
                <w:p>
                  <w:pPr>
                    <w:overflowPunct w:val="0"/>
                    <w:autoSpaceDE w:val="0"/>
                    <w:autoSpaceDN w:val="0"/>
                    <w:adjustRightInd w:val="0"/>
                    <w:snapToGrid w:val="0"/>
                    <w:jc w:val="center"/>
                    <w:rPr>
                      <w:color w:val="0000FF"/>
                      <w:kern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3" w:type="pct"/>
                  <w:vMerge w:val="restart"/>
                  <w:tcBorders>
                    <w:tl2br w:val="nil"/>
                    <w:tr2bl w:val="nil"/>
                  </w:tcBorders>
                  <w:vAlign w:val="center"/>
                </w:tcPr>
                <w:p>
                  <w:pPr>
                    <w:overflowPunct w:val="0"/>
                    <w:autoSpaceDE w:val="0"/>
                    <w:autoSpaceDN w:val="0"/>
                    <w:adjustRightInd w:val="0"/>
                    <w:snapToGrid w:val="0"/>
                    <w:jc w:val="center"/>
                    <w:rPr>
                      <w:rFonts w:hint="eastAsia"/>
                      <w:color w:val="0000FF"/>
                      <w:szCs w:val="21"/>
                      <w:lang w:val="en-US" w:eastAsia="zh-CN"/>
                    </w:rPr>
                  </w:pPr>
                  <w:r>
                    <w:rPr>
                      <w:rFonts w:hint="eastAsia"/>
                      <w:color w:val="0000FF"/>
                      <w:szCs w:val="21"/>
                      <w:lang w:val="en-US" w:eastAsia="zh-CN"/>
                    </w:rPr>
                    <w:t>厂区内</w:t>
                  </w:r>
                </w:p>
              </w:tc>
              <w:tc>
                <w:tcPr>
                  <w:tcW w:w="367" w:type="pct"/>
                  <w:vMerge w:val="continue"/>
                  <w:tcBorders>
                    <w:tl2br w:val="nil"/>
                    <w:tr2bl w:val="nil"/>
                  </w:tcBorders>
                  <w:vAlign w:val="center"/>
                </w:tcPr>
                <w:p>
                  <w:pPr>
                    <w:overflowPunct w:val="0"/>
                    <w:autoSpaceDE w:val="0"/>
                    <w:autoSpaceDN w:val="0"/>
                    <w:adjustRightInd w:val="0"/>
                    <w:snapToGrid w:val="0"/>
                    <w:jc w:val="center"/>
                    <w:rPr>
                      <w:rFonts w:hint="eastAsia"/>
                      <w:color w:val="0000FF"/>
                      <w:szCs w:val="21"/>
                      <w:lang w:eastAsia="zh-CN"/>
                    </w:rPr>
                  </w:pPr>
                </w:p>
              </w:tc>
              <w:tc>
                <w:tcPr>
                  <w:tcW w:w="803" w:type="pct"/>
                  <w:vMerge w:val="restart"/>
                  <w:tcBorders>
                    <w:tl2br w:val="nil"/>
                    <w:tr2bl w:val="nil"/>
                  </w:tcBorders>
                  <w:vAlign w:val="center"/>
                </w:tcPr>
                <w:p>
                  <w:pPr>
                    <w:overflowPunct w:val="0"/>
                    <w:autoSpaceDE w:val="0"/>
                    <w:autoSpaceDN w:val="0"/>
                    <w:adjustRightInd w:val="0"/>
                    <w:snapToGrid w:val="0"/>
                    <w:jc w:val="center"/>
                    <w:rPr>
                      <w:rFonts w:hint="eastAsia"/>
                      <w:color w:val="0000FF"/>
                      <w:szCs w:val="21"/>
                      <w:lang w:eastAsia="zh-CN"/>
                    </w:rPr>
                  </w:pPr>
                  <w:r>
                    <w:rPr>
                      <w:rFonts w:hint="eastAsia"/>
                      <w:color w:val="0000FF"/>
                      <w:szCs w:val="21"/>
                      <w:lang w:eastAsia="zh-CN"/>
                    </w:rPr>
                    <w:t>非甲烷总烃</w:t>
                  </w:r>
                </w:p>
              </w:tc>
              <w:tc>
                <w:tcPr>
                  <w:tcW w:w="932" w:type="pct"/>
                  <w:tcBorders>
                    <w:tl2br w:val="nil"/>
                    <w:tr2bl w:val="nil"/>
                  </w:tcBorders>
                  <w:vAlign w:val="center"/>
                </w:tcPr>
                <w:p>
                  <w:pPr>
                    <w:overflowPunct w:val="0"/>
                    <w:autoSpaceDE w:val="0"/>
                    <w:autoSpaceDN w:val="0"/>
                    <w:adjustRightInd w:val="0"/>
                    <w:snapToGrid w:val="0"/>
                    <w:jc w:val="center"/>
                    <w:rPr>
                      <w:rFonts w:hint="default"/>
                      <w:color w:val="0000FF"/>
                      <w:szCs w:val="21"/>
                      <w:lang w:val="en-US" w:eastAsia="zh-CN"/>
                    </w:rPr>
                  </w:pPr>
                  <w:r>
                    <w:rPr>
                      <w:rFonts w:hint="eastAsia"/>
                      <w:color w:val="0000FF"/>
                      <w:szCs w:val="21"/>
                      <w:lang w:val="en-US" w:eastAsia="zh-CN"/>
                    </w:rPr>
                    <w:t>监控点处1h平均浓度值6.0</w:t>
                  </w:r>
                </w:p>
              </w:tc>
              <w:tc>
                <w:tcPr>
                  <w:tcW w:w="799" w:type="pct"/>
                  <w:tcBorders>
                    <w:tl2br w:val="nil"/>
                    <w:tr2bl w:val="nil"/>
                  </w:tcBorders>
                  <w:vAlign w:val="center"/>
                </w:tcPr>
                <w:p>
                  <w:pPr>
                    <w:overflowPunct w:val="0"/>
                    <w:autoSpaceDE w:val="0"/>
                    <w:autoSpaceDN w:val="0"/>
                    <w:adjustRightInd w:val="0"/>
                    <w:snapToGrid w:val="0"/>
                    <w:jc w:val="center"/>
                    <w:rPr>
                      <w:rFonts w:hint="eastAsia" w:ascii="Times New Roman" w:hAnsi="Times New Roman" w:eastAsia="宋体" w:cs="Times New Roman"/>
                      <w:color w:val="0000FF"/>
                      <w:szCs w:val="21"/>
                      <w:lang w:val="en-US" w:eastAsia="zh-CN"/>
                    </w:rPr>
                  </w:pPr>
                  <w:r>
                    <w:rPr>
                      <w:rFonts w:hint="eastAsia" w:cs="Times New Roman"/>
                      <w:color w:val="0000FF"/>
                      <w:szCs w:val="21"/>
                      <w:lang w:val="en-US" w:eastAsia="zh-CN"/>
                    </w:rPr>
                    <w:t>/</w:t>
                  </w:r>
                </w:p>
              </w:tc>
              <w:tc>
                <w:tcPr>
                  <w:tcW w:w="1684" w:type="pct"/>
                  <w:vMerge w:val="restart"/>
                  <w:tcBorders>
                    <w:tl2br w:val="nil"/>
                    <w:tr2bl w:val="nil"/>
                  </w:tcBorders>
                  <w:vAlign w:val="center"/>
                </w:tcPr>
                <w:p>
                  <w:pPr>
                    <w:overflowPunct w:val="0"/>
                    <w:autoSpaceDE w:val="0"/>
                    <w:autoSpaceDN w:val="0"/>
                    <w:adjustRightInd w:val="0"/>
                    <w:snapToGrid w:val="0"/>
                    <w:jc w:val="center"/>
                    <w:rPr>
                      <w:rFonts w:hint="eastAsia"/>
                      <w:color w:val="0000FF"/>
                      <w:kern w:val="21"/>
                      <w:szCs w:val="21"/>
                      <w:lang w:bidi="ar"/>
                    </w:rPr>
                  </w:pPr>
                  <w:r>
                    <w:rPr>
                      <w:rFonts w:hint="default" w:ascii="Times New Roman" w:hAnsi="Times New Roman" w:eastAsia="宋体" w:cs="Times New Roman"/>
                      <w:color w:val="0000FF"/>
                      <w:szCs w:val="21"/>
                    </w:rPr>
                    <w:t>《挥发性有机物无组织排放控制标准》（GB37822-2019）表A.1限值要求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3" w:type="pct"/>
                  <w:vMerge w:val="continue"/>
                  <w:tcBorders>
                    <w:tl2br w:val="nil"/>
                    <w:tr2bl w:val="nil"/>
                  </w:tcBorders>
                  <w:vAlign w:val="center"/>
                </w:tcPr>
                <w:p>
                  <w:pPr>
                    <w:overflowPunct w:val="0"/>
                    <w:autoSpaceDE w:val="0"/>
                    <w:autoSpaceDN w:val="0"/>
                    <w:adjustRightInd w:val="0"/>
                    <w:snapToGrid w:val="0"/>
                    <w:jc w:val="center"/>
                    <w:rPr>
                      <w:color w:val="0000FF"/>
                    </w:rPr>
                  </w:pPr>
                </w:p>
              </w:tc>
              <w:tc>
                <w:tcPr>
                  <w:tcW w:w="367" w:type="pct"/>
                  <w:vMerge w:val="continue"/>
                  <w:tcBorders>
                    <w:tl2br w:val="nil"/>
                    <w:tr2bl w:val="nil"/>
                  </w:tcBorders>
                  <w:vAlign w:val="center"/>
                </w:tcPr>
                <w:p>
                  <w:pPr>
                    <w:overflowPunct w:val="0"/>
                    <w:autoSpaceDE w:val="0"/>
                    <w:autoSpaceDN w:val="0"/>
                    <w:adjustRightInd w:val="0"/>
                    <w:snapToGrid w:val="0"/>
                    <w:jc w:val="center"/>
                    <w:rPr>
                      <w:color w:val="0000FF"/>
                    </w:rPr>
                  </w:pPr>
                </w:p>
              </w:tc>
              <w:tc>
                <w:tcPr>
                  <w:tcW w:w="803" w:type="pct"/>
                  <w:vMerge w:val="continue"/>
                  <w:tcBorders>
                    <w:tl2br w:val="nil"/>
                    <w:tr2bl w:val="nil"/>
                  </w:tcBorders>
                  <w:vAlign w:val="center"/>
                </w:tcPr>
                <w:p>
                  <w:pPr>
                    <w:overflowPunct w:val="0"/>
                    <w:autoSpaceDE w:val="0"/>
                    <w:autoSpaceDN w:val="0"/>
                    <w:adjustRightInd w:val="0"/>
                    <w:snapToGrid w:val="0"/>
                    <w:jc w:val="center"/>
                    <w:rPr>
                      <w:color w:val="0000FF"/>
                    </w:rPr>
                  </w:pPr>
                </w:p>
              </w:tc>
              <w:tc>
                <w:tcPr>
                  <w:tcW w:w="932" w:type="pct"/>
                  <w:tcBorders>
                    <w:tl2br w:val="nil"/>
                    <w:tr2bl w:val="nil"/>
                  </w:tcBorders>
                  <w:vAlign w:val="center"/>
                </w:tcPr>
                <w:p>
                  <w:pPr>
                    <w:overflowPunct w:val="0"/>
                    <w:autoSpaceDE w:val="0"/>
                    <w:autoSpaceDN w:val="0"/>
                    <w:adjustRightInd w:val="0"/>
                    <w:snapToGrid w:val="0"/>
                    <w:jc w:val="center"/>
                    <w:rPr>
                      <w:rFonts w:hint="default"/>
                      <w:color w:val="0000FF"/>
                      <w:szCs w:val="21"/>
                      <w:lang w:val="en-US" w:eastAsia="zh-CN"/>
                    </w:rPr>
                  </w:pPr>
                  <w:r>
                    <w:rPr>
                      <w:rFonts w:hint="eastAsia"/>
                      <w:color w:val="0000FF"/>
                      <w:szCs w:val="21"/>
                      <w:lang w:val="en-US" w:eastAsia="zh-CN"/>
                    </w:rPr>
                    <w:t>监控点处任意一次浓度值20</w:t>
                  </w:r>
                </w:p>
              </w:tc>
              <w:tc>
                <w:tcPr>
                  <w:tcW w:w="799" w:type="pct"/>
                  <w:tcBorders>
                    <w:tl2br w:val="nil"/>
                    <w:tr2bl w:val="nil"/>
                  </w:tcBorders>
                  <w:vAlign w:val="center"/>
                </w:tcPr>
                <w:p>
                  <w:pPr>
                    <w:overflowPunct w:val="0"/>
                    <w:autoSpaceDE w:val="0"/>
                    <w:autoSpaceDN w:val="0"/>
                    <w:adjustRightInd w:val="0"/>
                    <w:snapToGrid w:val="0"/>
                    <w:jc w:val="center"/>
                    <w:rPr>
                      <w:rFonts w:hint="default"/>
                      <w:color w:val="0000FF"/>
                      <w:szCs w:val="21"/>
                      <w:lang w:val="en-US" w:eastAsia="zh-CN"/>
                    </w:rPr>
                  </w:pPr>
                  <w:r>
                    <w:rPr>
                      <w:rFonts w:hint="eastAsia"/>
                      <w:color w:val="0000FF"/>
                      <w:szCs w:val="21"/>
                      <w:lang w:val="en-US" w:eastAsia="zh-CN"/>
                    </w:rPr>
                    <w:t>/</w:t>
                  </w:r>
                </w:p>
              </w:tc>
              <w:tc>
                <w:tcPr>
                  <w:tcW w:w="1684" w:type="pct"/>
                  <w:vMerge w:val="continue"/>
                  <w:tcBorders>
                    <w:tl2br w:val="nil"/>
                    <w:tr2bl w:val="nil"/>
                  </w:tcBorders>
                  <w:vAlign w:val="center"/>
                </w:tcPr>
                <w:p>
                  <w:pPr>
                    <w:overflowPunct w:val="0"/>
                    <w:autoSpaceDE w:val="0"/>
                    <w:autoSpaceDN w:val="0"/>
                    <w:adjustRightInd w:val="0"/>
                    <w:snapToGrid w:val="0"/>
                    <w:jc w:val="center"/>
                    <w:rPr>
                      <w:rFonts w:hint="eastAsia"/>
                      <w:color w:val="0000FF"/>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13" w:type="pct"/>
                  <w:tcBorders>
                    <w:tl2br w:val="nil"/>
                    <w:tr2bl w:val="nil"/>
                  </w:tcBorders>
                  <w:vAlign w:val="center"/>
                </w:tcPr>
                <w:p>
                  <w:pPr>
                    <w:overflowPunct w:val="0"/>
                    <w:autoSpaceDE w:val="0"/>
                    <w:autoSpaceDN w:val="0"/>
                    <w:adjustRightInd w:val="0"/>
                    <w:snapToGrid w:val="0"/>
                    <w:jc w:val="center"/>
                    <w:rPr>
                      <w:rFonts w:hint="default" w:eastAsia="宋体"/>
                      <w:color w:val="0000FF"/>
                      <w:szCs w:val="21"/>
                      <w:lang w:val="en-US" w:eastAsia="zh-CN"/>
                    </w:rPr>
                  </w:pPr>
                  <w:r>
                    <w:rPr>
                      <w:rFonts w:hint="eastAsia"/>
                      <w:color w:val="0000FF"/>
                      <w:szCs w:val="21"/>
                      <w:lang w:val="en-US" w:eastAsia="zh-CN"/>
                    </w:rPr>
                    <w:t>抛丸、喷塑</w:t>
                  </w:r>
                </w:p>
              </w:tc>
              <w:tc>
                <w:tcPr>
                  <w:tcW w:w="367" w:type="pct"/>
                  <w:vMerge w:val="restart"/>
                  <w:tcBorders>
                    <w:tl2br w:val="nil"/>
                    <w:tr2bl w:val="nil"/>
                  </w:tcBorders>
                  <w:vAlign w:val="center"/>
                </w:tcPr>
                <w:p>
                  <w:pPr>
                    <w:overflowPunct w:val="0"/>
                    <w:autoSpaceDE w:val="0"/>
                    <w:autoSpaceDN w:val="0"/>
                    <w:adjustRightInd w:val="0"/>
                    <w:snapToGrid w:val="0"/>
                    <w:jc w:val="center"/>
                    <w:rPr>
                      <w:rFonts w:hint="eastAsia" w:eastAsia="宋体"/>
                      <w:color w:val="0000FF"/>
                      <w:szCs w:val="21"/>
                      <w:lang w:eastAsia="zh-CN"/>
                    </w:rPr>
                  </w:pPr>
                  <w:r>
                    <w:rPr>
                      <w:rFonts w:hint="eastAsia"/>
                      <w:color w:val="0000FF"/>
                      <w:szCs w:val="21"/>
                      <w:lang w:eastAsia="zh-CN"/>
                    </w:rPr>
                    <w:t>有组织</w:t>
                  </w:r>
                </w:p>
              </w:tc>
              <w:tc>
                <w:tcPr>
                  <w:tcW w:w="803" w:type="pct"/>
                  <w:tcBorders>
                    <w:tl2br w:val="nil"/>
                    <w:tr2bl w:val="nil"/>
                  </w:tcBorders>
                  <w:vAlign w:val="center"/>
                </w:tcPr>
                <w:p>
                  <w:pPr>
                    <w:overflowPunct w:val="0"/>
                    <w:autoSpaceDE w:val="0"/>
                    <w:autoSpaceDN w:val="0"/>
                    <w:adjustRightInd w:val="0"/>
                    <w:snapToGrid w:val="0"/>
                    <w:jc w:val="center"/>
                    <w:rPr>
                      <w:rFonts w:hint="eastAsia" w:eastAsia="宋体"/>
                      <w:color w:val="0000FF"/>
                      <w:szCs w:val="21"/>
                      <w:lang w:eastAsia="zh-CN"/>
                    </w:rPr>
                  </w:pPr>
                  <w:r>
                    <w:rPr>
                      <w:rFonts w:hint="eastAsia"/>
                      <w:color w:val="0000FF"/>
                      <w:szCs w:val="21"/>
                      <w:lang w:eastAsia="zh-CN"/>
                    </w:rPr>
                    <w:t>颗粒物</w:t>
                  </w:r>
                </w:p>
              </w:tc>
              <w:tc>
                <w:tcPr>
                  <w:tcW w:w="932" w:type="pct"/>
                  <w:tcBorders>
                    <w:tl2br w:val="nil"/>
                    <w:tr2bl w:val="nil"/>
                  </w:tcBorders>
                  <w:vAlign w:val="center"/>
                </w:tcPr>
                <w:p>
                  <w:pPr>
                    <w:overflowPunct w:val="0"/>
                    <w:autoSpaceDE w:val="0"/>
                    <w:autoSpaceDN w:val="0"/>
                    <w:adjustRightInd w:val="0"/>
                    <w:snapToGrid w:val="0"/>
                    <w:jc w:val="center"/>
                    <w:rPr>
                      <w:rFonts w:hint="default" w:eastAsia="宋体"/>
                      <w:color w:val="0000FF"/>
                      <w:szCs w:val="21"/>
                      <w:lang w:val="en-US" w:eastAsia="zh-CN"/>
                    </w:rPr>
                  </w:pPr>
                  <w:r>
                    <w:rPr>
                      <w:rFonts w:hint="eastAsia"/>
                      <w:color w:val="0000FF"/>
                      <w:szCs w:val="21"/>
                      <w:lang w:val="en-US" w:eastAsia="zh-CN"/>
                    </w:rPr>
                    <w:t>120</w:t>
                  </w:r>
                </w:p>
              </w:tc>
              <w:tc>
                <w:tcPr>
                  <w:tcW w:w="799" w:type="pct"/>
                  <w:tcBorders>
                    <w:tl2br w:val="nil"/>
                    <w:tr2bl w:val="nil"/>
                  </w:tcBorders>
                  <w:vAlign w:val="center"/>
                </w:tcPr>
                <w:p>
                  <w:pPr>
                    <w:overflowPunct w:val="0"/>
                    <w:autoSpaceDE w:val="0"/>
                    <w:autoSpaceDN w:val="0"/>
                    <w:adjustRightInd w:val="0"/>
                    <w:snapToGrid w:val="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3.5</w:t>
                  </w:r>
                </w:p>
              </w:tc>
              <w:tc>
                <w:tcPr>
                  <w:tcW w:w="1684" w:type="pct"/>
                  <w:vMerge w:val="restart"/>
                  <w:tcBorders>
                    <w:tl2br w:val="nil"/>
                    <w:tr2bl w:val="nil"/>
                  </w:tcBorders>
                  <w:vAlign w:val="center"/>
                </w:tcPr>
                <w:p>
                  <w:pPr>
                    <w:overflowPunct w:val="0"/>
                    <w:autoSpaceDE w:val="0"/>
                    <w:autoSpaceDN w:val="0"/>
                    <w:adjustRightInd w:val="0"/>
                    <w:snapToGrid w:val="0"/>
                    <w:jc w:val="center"/>
                    <w:rPr>
                      <w:color w:val="0000FF"/>
                      <w:kern w:val="21"/>
                      <w:szCs w:val="21"/>
                      <w:lang w:bidi="ar"/>
                    </w:rPr>
                  </w:pPr>
                  <w:r>
                    <w:rPr>
                      <w:rFonts w:hint="eastAsia" w:ascii="Times New Roman" w:hAnsi="Times New Roman" w:eastAsia="宋体" w:cs="Times New Roman"/>
                      <w:color w:val="0000FF"/>
                      <w:szCs w:val="21"/>
                      <w:lang w:eastAsia="zh-CN"/>
                    </w:rPr>
                    <w:t>《大气污染物综合排放标准》（GB16297-1996）中表2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3" w:type="pct"/>
                  <w:tcBorders>
                    <w:tl2br w:val="nil"/>
                    <w:tr2bl w:val="nil"/>
                  </w:tcBorders>
                  <w:vAlign w:val="center"/>
                </w:tcPr>
                <w:p>
                  <w:pPr>
                    <w:overflowPunct w:val="0"/>
                    <w:autoSpaceDE w:val="0"/>
                    <w:autoSpaceDN w:val="0"/>
                    <w:adjustRightInd w:val="0"/>
                    <w:snapToGrid w:val="0"/>
                    <w:jc w:val="center"/>
                    <w:rPr>
                      <w:rFonts w:hint="eastAsia"/>
                      <w:color w:val="0000FF"/>
                      <w:szCs w:val="21"/>
                      <w:lang w:val="en-US" w:eastAsia="zh-CN"/>
                    </w:rPr>
                  </w:pPr>
                  <w:r>
                    <w:rPr>
                      <w:rFonts w:hint="eastAsia"/>
                      <w:color w:val="0000FF"/>
                      <w:szCs w:val="21"/>
                      <w:lang w:val="en-US" w:eastAsia="zh-CN"/>
                    </w:rPr>
                    <w:t>固化</w:t>
                  </w:r>
                </w:p>
              </w:tc>
              <w:tc>
                <w:tcPr>
                  <w:tcW w:w="367" w:type="pct"/>
                  <w:vMerge w:val="continue"/>
                  <w:tcBorders>
                    <w:tl2br w:val="nil"/>
                    <w:tr2bl w:val="nil"/>
                  </w:tcBorders>
                  <w:vAlign w:val="center"/>
                </w:tcPr>
                <w:p>
                  <w:pPr>
                    <w:overflowPunct w:val="0"/>
                    <w:autoSpaceDE w:val="0"/>
                    <w:autoSpaceDN w:val="0"/>
                    <w:adjustRightInd w:val="0"/>
                    <w:snapToGrid w:val="0"/>
                    <w:jc w:val="center"/>
                    <w:rPr>
                      <w:rFonts w:hint="eastAsia"/>
                      <w:color w:val="0000FF"/>
                      <w:szCs w:val="21"/>
                      <w:lang w:eastAsia="zh-CN"/>
                    </w:rPr>
                  </w:pPr>
                </w:p>
              </w:tc>
              <w:tc>
                <w:tcPr>
                  <w:tcW w:w="803" w:type="pct"/>
                  <w:tcBorders>
                    <w:tl2br w:val="nil"/>
                    <w:tr2bl w:val="nil"/>
                  </w:tcBorders>
                  <w:vAlign w:val="center"/>
                </w:tcPr>
                <w:p>
                  <w:pPr>
                    <w:overflowPunct w:val="0"/>
                    <w:autoSpaceDE w:val="0"/>
                    <w:autoSpaceDN w:val="0"/>
                    <w:adjustRightInd w:val="0"/>
                    <w:snapToGrid w:val="0"/>
                    <w:jc w:val="center"/>
                    <w:rPr>
                      <w:rFonts w:hint="eastAsia"/>
                      <w:color w:val="0000FF"/>
                      <w:szCs w:val="21"/>
                      <w:lang w:eastAsia="zh-CN"/>
                    </w:rPr>
                  </w:pPr>
                  <w:r>
                    <w:rPr>
                      <w:rFonts w:hint="eastAsia"/>
                      <w:color w:val="0000FF"/>
                      <w:szCs w:val="21"/>
                      <w:lang w:eastAsia="zh-CN"/>
                    </w:rPr>
                    <w:t>非甲烷总烃</w:t>
                  </w:r>
                </w:p>
              </w:tc>
              <w:tc>
                <w:tcPr>
                  <w:tcW w:w="932" w:type="pct"/>
                  <w:tcBorders>
                    <w:tl2br w:val="nil"/>
                    <w:tr2bl w:val="nil"/>
                  </w:tcBorders>
                  <w:vAlign w:val="center"/>
                </w:tcPr>
                <w:p>
                  <w:pPr>
                    <w:overflowPunct w:val="0"/>
                    <w:autoSpaceDE w:val="0"/>
                    <w:autoSpaceDN w:val="0"/>
                    <w:adjustRightInd w:val="0"/>
                    <w:snapToGrid w:val="0"/>
                    <w:jc w:val="center"/>
                    <w:rPr>
                      <w:rFonts w:hint="default"/>
                      <w:color w:val="0000FF"/>
                      <w:szCs w:val="21"/>
                      <w:lang w:val="en-US" w:eastAsia="zh-CN"/>
                    </w:rPr>
                  </w:pPr>
                  <w:r>
                    <w:rPr>
                      <w:rFonts w:hint="eastAsia"/>
                      <w:color w:val="0000FF"/>
                      <w:szCs w:val="21"/>
                      <w:lang w:val="en-US" w:eastAsia="zh-CN"/>
                    </w:rPr>
                    <w:t>120</w:t>
                  </w:r>
                </w:p>
              </w:tc>
              <w:tc>
                <w:tcPr>
                  <w:tcW w:w="799" w:type="pct"/>
                  <w:tcBorders>
                    <w:tl2br w:val="nil"/>
                    <w:tr2bl w:val="nil"/>
                  </w:tcBorders>
                  <w:vAlign w:val="center"/>
                </w:tcPr>
                <w:p>
                  <w:pPr>
                    <w:overflowPunct w:val="0"/>
                    <w:autoSpaceDE w:val="0"/>
                    <w:autoSpaceDN w:val="0"/>
                    <w:adjustRightInd w:val="0"/>
                    <w:snapToGrid w:val="0"/>
                    <w:jc w:val="center"/>
                    <w:rPr>
                      <w:rFonts w:hint="default" w:eastAsia="宋体"/>
                      <w:color w:val="0000FF"/>
                      <w:kern w:val="21"/>
                      <w:szCs w:val="21"/>
                      <w:lang w:val="en-US" w:eastAsia="zh-CN" w:bidi="ar"/>
                    </w:rPr>
                  </w:pPr>
                  <w:r>
                    <w:rPr>
                      <w:rFonts w:hint="eastAsia"/>
                      <w:color w:val="0000FF"/>
                      <w:kern w:val="21"/>
                      <w:szCs w:val="21"/>
                      <w:lang w:val="en-US" w:eastAsia="zh-CN" w:bidi="ar"/>
                    </w:rPr>
                    <w:t>10</w:t>
                  </w:r>
                </w:p>
              </w:tc>
              <w:tc>
                <w:tcPr>
                  <w:tcW w:w="1684" w:type="pct"/>
                  <w:vMerge w:val="continue"/>
                  <w:tcBorders>
                    <w:tl2br w:val="nil"/>
                    <w:tr2bl w:val="nil"/>
                  </w:tcBorders>
                  <w:vAlign w:val="center"/>
                </w:tcPr>
                <w:p>
                  <w:pPr>
                    <w:overflowPunct w:val="0"/>
                    <w:autoSpaceDE w:val="0"/>
                    <w:autoSpaceDN w:val="0"/>
                    <w:adjustRightInd w:val="0"/>
                    <w:snapToGrid w:val="0"/>
                    <w:jc w:val="center"/>
                    <w:rPr>
                      <w:color w:val="0000FF"/>
                      <w:kern w:val="21"/>
                      <w:szCs w:val="21"/>
                      <w:lang w:bidi="ar"/>
                    </w:rPr>
                  </w:pPr>
                </w:p>
              </w:tc>
            </w:tr>
          </w:tbl>
          <w:p>
            <w:pPr>
              <w:pStyle w:val="36"/>
              <w:spacing w:line="360" w:lineRule="auto"/>
              <w:rPr>
                <w:rFonts w:hint="eastAsia"/>
                <w:b/>
                <w:bCs/>
                <w:color w:val="auto"/>
              </w:rPr>
            </w:pPr>
            <w:r>
              <w:rPr>
                <w:rFonts w:hint="eastAsia"/>
                <w:b/>
                <w:bCs/>
                <w:color w:val="auto"/>
              </w:rPr>
              <w:t>2.废水排放标准</w:t>
            </w:r>
          </w:p>
          <w:p>
            <w:pPr>
              <w:pStyle w:val="36"/>
              <w:spacing w:line="360" w:lineRule="auto"/>
              <w:ind w:firstLine="480" w:firstLineChars="200"/>
              <w:rPr>
                <w:rFonts w:ascii="宋体" w:hAnsi="宋体" w:eastAsia="宋体" w:cs="宋体"/>
                <w:sz w:val="24"/>
                <w:szCs w:val="24"/>
              </w:rPr>
            </w:pPr>
            <w:r>
              <w:rPr>
                <w:rFonts w:ascii="宋体" w:hAnsi="宋体" w:eastAsia="宋体" w:cs="宋体"/>
                <w:sz w:val="24"/>
                <w:szCs w:val="24"/>
              </w:rPr>
              <w:t>本项目运营期间</w:t>
            </w:r>
            <w:r>
              <w:rPr>
                <w:rFonts w:hint="eastAsia" w:ascii="宋体" w:hAnsi="宋体" w:eastAsia="宋体" w:cs="宋体"/>
                <w:sz w:val="24"/>
                <w:szCs w:val="24"/>
                <w:lang w:eastAsia="zh-CN"/>
              </w:rPr>
              <w:t>生产不用水，无生产废水产生</w:t>
            </w:r>
            <w:r>
              <w:rPr>
                <w:rFonts w:ascii="宋体" w:hAnsi="宋体" w:eastAsia="宋体" w:cs="宋体"/>
                <w:sz w:val="24"/>
                <w:szCs w:val="24"/>
              </w:rPr>
              <w:t>，项目不新增劳动定员，无新增生活污水产生。</w:t>
            </w:r>
          </w:p>
          <w:p>
            <w:pPr>
              <w:widowControl/>
              <w:spacing w:line="360" w:lineRule="auto"/>
              <w:jc w:val="left"/>
              <w:rPr>
                <w:b/>
                <w:bCs/>
                <w:color w:val="auto"/>
                <w:sz w:val="24"/>
              </w:rPr>
            </w:pPr>
            <w:r>
              <w:rPr>
                <w:b/>
                <w:bCs/>
                <w:color w:val="auto"/>
                <w:kern w:val="0"/>
                <w:sz w:val="24"/>
                <w:lang w:bidi="ar"/>
              </w:rPr>
              <w:t>3.噪声排放标准</w:t>
            </w:r>
          </w:p>
          <w:p>
            <w:pPr>
              <w:autoSpaceDE w:val="0"/>
              <w:autoSpaceDN w:val="0"/>
              <w:adjustRightInd w:val="0"/>
              <w:snapToGrid w:val="0"/>
              <w:spacing w:line="360" w:lineRule="auto"/>
              <w:ind w:firstLine="480" w:firstLineChars="200"/>
              <w:rPr>
                <w:color w:val="auto"/>
                <w:kern w:val="0"/>
                <w:sz w:val="24"/>
              </w:rPr>
            </w:pPr>
            <w:r>
              <w:rPr>
                <w:rFonts w:hint="eastAsia"/>
                <w:color w:val="auto"/>
                <w:kern w:val="0"/>
                <w:sz w:val="24"/>
              </w:rPr>
              <w:t>本项目</w:t>
            </w:r>
            <w:r>
              <w:rPr>
                <w:color w:val="auto"/>
                <w:kern w:val="0"/>
                <w:sz w:val="24"/>
              </w:rPr>
              <w:t>施工期执行《建筑施工场界环境噪声排放标准》（GB12523-2011）标准，</w:t>
            </w:r>
            <w:r>
              <w:rPr>
                <w:rFonts w:hint="eastAsia"/>
                <w:color w:val="auto"/>
                <w:kern w:val="0"/>
                <w:sz w:val="24"/>
              </w:rPr>
              <w:t>详见表3-</w:t>
            </w:r>
            <w:r>
              <w:rPr>
                <w:rFonts w:hint="eastAsia"/>
                <w:color w:val="auto"/>
                <w:kern w:val="0"/>
                <w:sz w:val="24"/>
                <w:lang w:val="en-US" w:eastAsia="zh-CN"/>
              </w:rPr>
              <w:t>7</w:t>
            </w:r>
            <w:r>
              <w:rPr>
                <w:rFonts w:hint="eastAsia"/>
                <w:color w:val="auto"/>
                <w:kern w:val="0"/>
                <w:sz w:val="24"/>
              </w:rPr>
              <w:t>；</w:t>
            </w:r>
            <w:r>
              <w:rPr>
                <w:color w:val="auto"/>
                <w:kern w:val="0"/>
                <w:sz w:val="24"/>
              </w:rPr>
              <w:t>运营期厂界噪声执行《工业企业厂界环境噪声排放标准</w:t>
            </w:r>
            <w:r>
              <w:rPr>
                <w:rFonts w:hint="eastAsia"/>
                <w:color w:val="auto"/>
                <w:kern w:val="0"/>
                <w:sz w:val="24"/>
              </w:rPr>
              <w:t>》</w:t>
            </w:r>
            <w:r>
              <w:rPr>
                <w:color w:val="auto"/>
                <w:kern w:val="0"/>
                <w:sz w:val="24"/>
              </w:rPr>
              <w:t>（GB12348-2008）中</w:t>
            </w:r>
            <w:r>
              <w:rPr>
                <w:rFonts w:hint="eastAsia"/>
                <w:color w:val="auto"/>
                <w:kern w:val="0"/>
                <w:sz w:val="24"/>
                <w:lang w:val="en-US" w:eastAsia="zh-CN"/>
              </w:rPr>
              <w:t>3</w:t>
            </w:r>
            <w:r>
              <w:rPr>
                <w:rFonts w:hint="eastAsia"/>
                <w:color w:val="auto"/>
                <w:kern w:val="0"/>
                <w:sz w:val="24"/>
              </w:rPr>
              <w:t>类</w:t>
            </w:r>
            <w:r>
              <w:rPr>
                <w:color w:val="auto"/>
                <w:kern w:val="0"/>
                <w:sz w:val="24"/>
              </w:rPr>
              <w:t>标准</w:t>
            </w:r>
            <w:r>
              <w:rPr>
                <w:rFonts w:hint="eastAsia"/>
                <w:color w:val="auto"/>
                <w:kern w:val="0"/>
                <w:sz w:val="24"/>
              </w:rPr>
              <w:t>，详见表3-</w:t>
            </w:r>
            <w:r>
              <w:rPr>
                <w:rFonts w:hint="eastAsia"/>
                <w:color w:val="auto"/>
                <w:kern w:val="0"/>
                <w:sz w:val="24"/>
                <w:lang w:val="en-US" w:eastAsia="zh-CN"/>
              </w:rPr>
              <w:t>8</w:t>
            </w:r>
            <w:r>
              <w:rPr>
                <w:rFonts w:hint="eastAsia"/>
                <w:color w:val="auto"/>
                <w:kern w:val="0"/>
                <w:sz w:val="24"/>
              </w:rPr>
              <w:t>。</w:t>
            </w:r>
          </w:p>
          <w:p>
            <w:pPr>
              <w:pStyle w:val="47"/>
              <w:ind w:firstLine="0" w:firstLineChars="0"/>
              <w:rPr>
                <w:rFonts w:hint="default" w:ascii="Times New Roman" w:hAnsi="Times New Roman"/>
                <w:color w:val="auto"/>
              </w:rPr>
            </w:pPr>
            <w:r>
              <w:rPr>
                <w:rFonts w:ascii="Times New Roman" w:hAnsi="Times New Roman"/>
                <w:color w:val="auto"/>
              </w:rPr>
              <w:t>表3-</w:t>
            </w:r>
            <w:r>
              <w:rPr>
                <w:rFonts w:hint="eastAsia" w:ascii="Times New Roman" w:hAnsi="Times New Roman"/>
                <w:color w:val="auto"/>
                <w:lang w:val="en-US" w:eastAsia="zh-CN"/>
              </w:rPr>
              <w:t>7</w:t>
            </w:r>
            <w:r>
              <w:rPr>
                <w:rFonts w:ascii="Times New Roman" w:hAnsi="Times New Roman"/>
                <w:color w:val="auto"/>
              </w:rPr>
              <w:t>建筑施工场界环境噪声排放限值</w:t>
            </w:r>
          </w:p>
          <w:tbl>
            <w:tblPr>
              <w:tblStyle w:val="23"/>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209"/>
              <w:gridCol w:w="1892"/>
              <w:gridCol w:w="394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547" w:type="pct"/>
                  <w:gridSpan w:val="2"/>
                  <w:vAlign w:val="center"/>
                </w:tcPr>
                <w:p>
                  <w:pPr>
                    <w:widowControl/>
                    <w:adjustRightInd w:val="0"/>
                    <w:snapToGrid w:val="0"/>
                    <w:jc w:val="center"/>
                    <w:rPr>
                      <w:b/>
                      <w:bCs/>
                      <w:color w:val="auto"/>
                      <w:szCs w:val="21"/>
                    </w:rPr>
                  </w:pPr>
                  <w:r>
                    <w:rPr>
                      <w:rFonts w:hint="eastAsia" w:hAnsi="宋体"/>
                      <w:b/>
                      <w:bCs/>
                      <w:color w:val="auto"/>
                      <w:szCs w:val="21"/>
                    </w:rPr>
                    <w:t>噪声排放限值</w:t>
                  </w:r>
                  <w:r>
                    <w:rPr>
                      <w:b/>
                      <w:bCs/>
                      <w:color w:val="auto"/>
                      <w:szCs w:val="21"/>
                    </w:rPr>
                    <w:t>dB</w:t>
                  </w:r>
                  <w:r>
                    <w:rPr>
                      <w:rFonts w:hint="eastAsia" w:hAnsi="宋体"/>
                      <w:b/>
                      <w:bCs/>
                      <w:color w:val="auto"/>
                      <w:szCs w:val="21"/>
                    </w:rPr>
                    <w:t>（</w:t>
                  </w:r>
                  <w:r>
                    <w:rPr>
                      <w:b/>
                      <w:bCs/>
                      <w:color w:val="auto"/>
                      <w:szCs w:val="21"/>
                    </w:rPr>
                    <w:t>A</w:t>
                  </w:r>
                  <w:r>
                    <w:rPr>
                      <w:rFonts w:hint="eastAsia" w:hAnsi="宋体"/>
                      <w:b/>
                      <w:bCs/>
                      <w:color w:val="auto"/>
                      <w:szCs w:val="21"/>
                    </w:rPr>
                    <w:t>）</w:t>
                  </w:r>
                </w:p>
              </w:tc>
              <w:tc>
                <w:tcPr>
                  <w:tcW w:w="2452" w:type="pct"/>
                  <w:vMerge w:val="restart"/>
                  <w:vAlign w:val="center"/>
                </w:tcPr>
                <w:p>
                  <w:pPr>
                    <w:widowControl/>
                    <w:adjustRightInd w:val="0"/>
                    <w:snapToGrid w:val="0"/>
                    <w:jc w:val="center"/>
                    <w:rPr>
                      <w:b/>
                      <w:bCs/>
                      <w:color w:val="auto"/>
                      <w:szCs w:val="21"/>
                    </w:rPr>
                  </w:pPr>
                  <w:r>
                    <w:rPr>
                      <w:rFonts w:hint="eastAsia" w:hAnsi="宋体"/>
                      <w:b/>
                      <w:bCs/>
                      <w:color w:val="auto"/>
                      <w:szCs w:val="21"/>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bottom w:val="single" w:color="000000" w:sz="12" w:space="0"/>
                  </w:tcBorders>
                  <w:vAlign w:val="center"/>
                </w:tcPr>
                <w:p>
                  <w:pPr>
                    <w:widowControl/>
                    <w:adjustRightInd w:val="0"/>
                    <w:snapToGrid w:val="0"/>
                    <w:jc w:val="center"/>
                    <w:rPr>
                      <w:b/>
                      <w:bCs/>
                      <w:color w:val="auto"/>
                      <w:szCs w:val="21"/>
                    </w:rPr>
                  </w:pPr>
                  <w:r>
                    <w:rPr>
                      <w:rFonts w:hint="eastAsia" w:hAnsi="宋体"/>
                      <w:b/>
                      <w:bCs/>
                      <w:color w:val="auto"/>
                      <w:szCs w:val="21"/>
                    </w:rPr>
                    <w:t>昼间</w:t>
                  </w:r>
                </w:p>
              </w:tc>
              <w:tc>
                <w:tcPr>
                  <w:tcW w:w="1175" w:type="pct"/>
                  <w:tcBorders>
                    <w:bottom w:val="single" w:color="000000" w:sz="12" w:space="0"/>
                  </w:tcBorders>
                  <w:vAlign w:val="center"/>
                </w:tcPr>
                <w:p>
                  <w:pPr>
                    <w:widowControl/>
                    <w:adjustRightInd w:val="0"/>
                    <w:snapToGrid w:val="0"/>
                    <w:jc w:val="center"/>
                    <w:rPr>
                      <w:b/>
                      <w:bCs/>
                      <w:color w:val="auto"/>
                      <w:szCs w:val="21"/>
                    </w:rPr>
                  </w:pPr>
                  <w:r>
                    <w:rPr>
                      <w:rFonts w:hint="eastAsia" w:hAnsi="宋体"/>
                      <w:b/>
                      <w:bCs/>
                      <w:color w:val="auto"/>
                      <w:szCs w:val="21"/>
                    </w:rPr>
                    <w:t>夜间</w:t>
                  </w:r>
                </w:p>
              </w:tc>
              <w:tc>
                <w:tcPr>
                  <w:tcW w:w="2452" w:type="pct"/>
                  <w:vMerge w:val="continue"/>
                  <w:tcBorders>
                    <w:bottom w:val="single" w:color="000000" w:sz="12" w:space="0"/>
                  </w:tcBorders>
                  <w:vAlign w:val="center"/>
                </w:tcPr>
                <w:p>
                  <w:pPr>
                    <w:widowControl/>
                    <w:adjustRightInd w:val="0"/>
                    <w:snapToGrid w:val="0"/>
                    <w:jc w:val="center"/>
                    <w:rPr>
                      <w:b/>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top w:val="single" w:color="000000" w:sz="12" w:space="0"/>
                    <w:tl2br w:val="nil"/>
                    <w:tr2bl w:val="nil"/>
                  </w:tcBorders>
                  <w:vAlign w:val="center"/>
                </w:tcPr>
                <w:p>
                  <w:pPr>
                    <w:widowControl/>
                    <w:adjustRightInd w:val="0"/>
                    <w:snapToGrid w:val="0"/>
                    <w:jc w:val="center"/>
                    <w:rPr>
                      <w:color w:val="auto"/>
                      <w:szCs w:val="21"/>
                    </w:rPr>
                  </w:pPr>
                  <w:r>
                    <w:rPr>
                      <w:rFonts w:hint="eastAsia"/>
                      <w:color w:val="auto"/>
                      <w:szCs w:val="21"/>
                    </w:rPr>
                    <w:t>70</w:t>
                  </w:r>
                </w:p>
              </w:tc>
              <w:tc>
                <w:tcPr>
                  <w:tcW w:w="1175" w:type="pct"/>
                  <w:tcBorders>
                    <w:top w:val="single" w:color="000000" w:sz="12" w:space="0"/>
                    <w:tl2br w:val="nil"/>
                    <w:tr2bl w:val="nil"/>
                  </w:tcBorders>
                  <w:vAlign w:val="center"/>
                </w:tcPr>
                <w:p>
                  <w:pPr>
                    <w:widowControl/>
                    <w:adjustRightInd w:val="0"/>
                    <w:snapToGrid w:val="0"/>
                    <w:jc w:val="center"/>
                    <w:rPr>
                      <w:color w:val="auto"/>
                      <w:szCs w:val="21"/>
                    </w:rPr>
                  </w:pPr>
                  <w:r>
                    <w:rPr>
                      <w:color w:val="auto"/>
                      <w:szCs w:val="21"/>
                    </w:rPr>
                    <w:t>55</w:t>
                  </w:r>
                </w:p>
              </w:tc>
              <w:tc>
                <w:tcPr>
                  <w:tcW w:w="2452" w:type="pct"/>
                  <w:tcBorders>
                    <w:top w:val="single" w:color="000000" w:sz="12" w:space="0"/>
                    <w:tl2br w:val="nil"/>
                    <w:tr2bl w:val="nil"/>
                  </w:tcBorders>
                  <w:vAlign w:val="center"/>
                </w:tcPr>
                <w:p>
                  <w:pPr>
                    <w:widowControl/>
                    <w:adjustRightInd w:val="0"/>
                    <w:snapToGrid w:val="0"/>
                    <w:jc w:val="center"/>
                    <w:rPr>
                      <w:color w:val="auto"/>
                      <w:szCs w:val="21"/>
                    </w:rPr>
                  </w:pPr>
                  <w:r>
                    <w:rPr>
                      <w:rFonts w:hint="eastAsia" w:hAnsi="宋体"/>
                      <w:color w:val="auto"/>
                      <w:szCs w:val="21"/>
                    </w:rPr>
                    <w:t>《建筑施工场界环境噪声排放标准》（</w:t>
                  </w:r>
                  <w:r>
                    <w:rPr>
                      <w:color w:val="auto"/>
                      <w:szCs w:val="21"/>
                    </w:rPr>
                    <w:t>GB12523-2011</w:t>
                  </w:r>
                  <w:r>
                    <w:rPr>
                      <w:rFonts w:hint="eastAsia" w:hAnsi="宋体"/>
                      <w:color w:val="auto"/>
                      <w:szCs w:val="21"/>
                    </w:rPr>
                    <w:t>）</w:t>
                  </w:r>
                </w:p>
              </w:tc>
            </w:tr>
          </w:tbl>
          <w:p>
            <w:pPr>
              <w:pStyle w:val="47"/>
              <w:ind w:firstLine="0" w:firstLineChars="0"/>
              <w:rPr>
                <w:rFonts w:hint="default" w:ascii="Times New Roman" w:hAnsi="Times New Roman"/>
                <w:color w:val="auto"/>
              </w:rPr>
            </w:pPr>
            <w:r>
              <w:rPr>
                <w:rFonts w:ascii="Times New Roman" w:hAnsi="Times New Roman"/>
                <w:color w:val="auto"/>
              </w:rPr>
              <w:t>表3-</w:t>
            </w:r>
            <w:r>
              <w:rPr>
                <w:rFonts w:hint="eastAsia" w:ascii="Times New Roman" w:hAnsi="Times New Roman"/>
                <w:color w:val="auto"/>
                <w:lang w:val="en-US" w:eastAsia="zh-CN"/>
              </w:rPr>
              <w:t>8</w:t>
            </w:r>
            <w:r>
              <w:rPr>
                <w:rFonts w:ascii="Times New Roman" w:hAnsi="Times New Roman"/>
                <w:color w:val="auto"/>
              </w:rPr>
              <w:t>工业企业厂界环境噪声排放标准</w:t>
            </w:r>
          </w:p>
          <w:tbl>
            <w:tblPr>
              <w:tblStyle w:val="23"/>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66"/>
              <w:gridCol w:w="1417"/>
              <w:gridCol w:w="1414"/>
              <w:gridCol w:w="395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vMerge w:val="restart"/>
                  <w:vAlign w:val="center"/>
                </w:tcPr>
                <w:p>
                  <w:pPr>
                    <w:widowControl/>
                    <w:adjustRightInd w:val="0"/>
                    <w:snapToGrid w:val="0"/>
                    <w:jc w:val="center"/>
                    <w:rPr>
                      <w:b/>
                      <w:bCs/>
                      <w:color w:val="auto"/>
                      <w:szCs w:val="21"/>
                    </w:rPr>
                  </w:pPr>
                  <w:r>
                    <w:rPr>
                      <w:rFonts w:hint="eastAsia" w:hAnsi="宋体"/>
                      <w:b/>
                      <w:bCs/>
                      <w:color w:val="auto"/>
                      <w:szCs w:val="21"/>
                    </w:rPr>
                    <w:t>功能区类别</w:t>
                  </w:r>
                </w:p>
              </w:tc>
              <w:tc>
                <w:tcPr>
                  <w:tcW w:w="1758" w:type="pct"/>
                  <w:gridSpan w:val="2"/>
                  <w:vAlign w:val="center"/>
                </w:tcPr>
                <w:p>
                  <w:pPr>
                    <w:widowControl/>
                    <w:adjustRightInd w:val="0"/>
                    <w:snapToGrid w:val="0"/>
                    <w:jc w:val="center"/>
                    <w:rPr>
                      <w:b/>
                      <w:bCs/>
                      <w:color w:val="auto"/>
                      <w:szCs w:val="21"/>
                    </w:rPr>
                  </w:pPr>
                  <w:r>
                    <w:rPr>
                      <w:rFonts w:hint="eastAsia" w:hAnsi="宋体"/>
                      <w:b/>
                      <w:bCs/>
                      <w:color w:val="auto"/>
                      <w:szCs w:val="21"/>
                    </w:rPr>
                    <w:t>标准值</w:t>
                  </w:r>
                  <w:r>
                    <w:rPr>
                      <w:b/>
                      <w:bCs/>
                      <w:color w:val="auto"/>
                      <w:szCs w:val="21"/>
                    </w:rPr>
                    <w:t>dB</w:t>
                  </w:r>
                  <w:r>
                    <w:rPr>
                      <w:rFonts w:hint="eastAsia" w:hAnsi="宋体"/>
                      <w:b/>
                      <w:bCs/>
                      <w:color w:val="auto"/>
                      <w:szCs w:val="21"/>
                    </w:rPr>
                    <w:t>（</w:t>
                  </w:r>
                  <w:r>
                    <w:rPr>
                      <w:b/>
                      <w:bCs/>
                      <w:color w:val="auto"/>
                      <w:szCs w:val="21"/>
                    </w:rPr>
                    <w:t>A</w:t>
                  </w:r>
                  <w:r>
                    <w:rPr>
                      <w:rFonts w:hint="eastAsia" w:hAnsi="宋体"/>
                      <w:b/>
                      <w:bCs/>
                      <w:color w:val="auto"/>
                      <w:szCs w:val="21"/>
                    </w:rPr>
                    <w:t>）</w:t>
                  </w:r>
                </w:p>
              </w:tc>
              <w:tc>
                <w:tcPr>
                  <w:tcW w:w="2454" w:type="pct"/>
                  <w:vMerge w:val="restart"/>
                  <w:vAlign w:val="center"/>
                </w:tcPr>
                <w:p>
                  <w:pPr>
                    <w:widowControl/>
                    <w:adjustRightInd w:val="0"/>
                    <w:snapToGrid w:val="0"/>
                    <w:jc w:val="center"/>
                    <w:rPr>
                      <w:b/>
                      <w:bCs/>
                      <w:color w:val="auto"/>
                      <w:szCs w:val="21"/>
                    </w:rPr>
                  </w:pPr>
                  <w:r>
                    <w:rPr>
                      <w:rFonts w:hint="eastAsia" w:hAnsi="宋体"/>
                      <w:b/>
                      <w:bCs/>
                      <w:color w:val="auto"/>
                      <w:szCs w:val="21"/>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3" w:hRule="atLeast"/>
              </w:trPr>
              <w:tc>
                <w:tcPr>
                  <w:tcW w:w="786" w:type="pct"/>
                  <w:vMerge w:val="continue"/>
                  <w:tcBorders>
                    <w:bottom w:val="single" w:color="000000" w:sz="12" w:space="0"/>
                  </w:tcBorders>
                  <w:vAlign w:val="center"/>
                </w:tcPr>
                <w:p>
                  <w:pPr>
                    <w:widowControl/>
                    <w:adjustRightInd w:val="0"/>
                    <w:snapToGrid w:val="0"/>
                    <w:jc w:val="center"/>
                    <w:rPr>
                      <w:color w:val="auto"/>
                      <w:szCs w:val="21"/>
                    </w:rPr>
                  </w:pPr>
                </w:p>
              </w:tc>
              <w:tc>
                <w:tcPr>
                  <w:tcW w:w="880" w:type="pct"/>
                  <w:tcBorders>
                    <w:bottom w:val="single" w:color="000000" w:sz="12" w:space="0"/>
                  </w:tcBorders>
                  <w:vAlign w:val="center"/>
                </w:tcPr>
                <w:p>
                  <w:pPr>
                    <w:widowControl/>
                    <w:adjustRightInd w:val="0"/>
                    <w:snapToGrid w:val="0"/>
                    <w:jc w:val="center"/>
                    <w:rPr>
                      <w:b/>
                      <w:bCs/>
                      <w:color w:val="auto"/>
                      <w:szCs w:val="21"/>
                    </w:rPr>
                  </w:pPr>
                  <w:r>
                    <w:rPr>
                      <w:rFonts w:hint="eastAsia" w:hAnsi="宋体"/>
                      <w:b/>
                      <w:bCs/>
                      <w:color w:val="auto"/>
                      <w:szCs w:val="21"/>
                    </w:rPr>
                    <w:t>昼间</w:t>
                  </w:r>
                </w:p>
              </w:tc>
              <w:tc>
                <w:tcPr>
                  <w:tcW w:w="877" w:type="pct"/>
                  <w:tcBorders>
                    <w:bottom w:val="single" w:color="000000" w:sz="12" w:space="0"/>
                  </w:tcBorders>
                  <w:vAlign w:val="center"/>
                </w:tcPr>
                <w:p>
                  <w:pPr>
                    <w:widowControl/>
                    <w:adjustRightInd w:val="0"/>
                    <w:snapToGrid w:val="0"/>
                    <w:jc w:val="center"/>
                    <w:rPr>
                      <w:b/>
                      <w:bCs/>
                      <w:color w:val="auto"/>
                      <w:szCs w:val="21"/>
                    </w:rPr>
                  </w:pPr>
                  <w:r>
                    <w:rPr>
                      <w:rFonts w:hint="eastAsia" w:hAnsi="宋体"/>
                      <w:b/>
                      <w:bCs/>
                      <w:color w:val="auto"/>
                      <w:szCs w:val="21"/>
                    </w:rPr>
                    <w:t>夜间</w:t>
                  </w:r>
                </w:p>
              </w:tc>
              <w:tc>
                <w:tcPr>
                  <w:tcW w:w="2454" w:type="pct"/>
                  <w:vMerge w:val="continue"/>
                  <w:tcBorders>
                    <w:bottom w:val="single" w:color="000000" w:sz="12" w:space="0"/>
                  </w:tcBorders>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tcBorders>
                    <w:top w:val="single" w:color="000000" w:sz="12" w:space="0"/>
                    <w:tl2br w:val="nil"/>
                    <w:tr2bl w:val="nil"/>
                  </w:tcBorders>
                  <w:vAlign w:val="center"/>
                </w:tcPr>
                <w:p>
                  <w:pPr>
                    <w:widowControl/>
                    <w:adjustRightInd w:val="0"/>
                    <w:snapToGrid w:val="0"/>
                    <w:jc w:val="center"/>
                    <w:rPr>
                      <w:color w:val="auto"/>
                      <w:szCs w:val="21"/>
                    </w:rPr>
                  </w:pPr>
                  <w:r>
                    <w:rPr>
                      <w:rFonts w:hint="eastAsia"/>
                      <w:color w:val="auto"/>
                      <w:szCs w:val="21"/>
                      <w:lang w:val="en-US" w:eastAsia="zh-CN"/>
                    </w:rPr>
                    <w:t>3</w:t>
                  </w:r>
                  <w:r>
                    <w:rPr>
                      <w:rFonts w:hint="eastAsia"/>
                      <w:color w:val="auto"/>
                      <w:szCs w:val="21"/>
                    </w:rPr>
                    <w:t>类</w:t>
                  </w:r>
                </w:p>
              </w:tc>
              <w:tc>
                <w:tcPr>
                  <w:tcW w:w="880" w:type="pct"/>
                  <w:tcBorders>
                    <w:top w:val="single" w:color="000000" w:sz="12" w:space="0"/>
                    <w:tl2br w:val="nil"/>
                    <w:tr2bl w:val="nil"/>
                  </w:tcBorders>
                  <w:vAlign w:val="center"/>
                </w:tcPr>
                <w:p>
                  <w:pPr>
                    <w:widowControl/>
                    <w:adjustRightInd w:val="0"/>
                    <w:snapToGrid w:val="0"/>
                    <w:jc w:val="center"/>
                    <w:rPr>
                      <w:rFonts w:hint="eastAsia" w:eastAsia="宋体"/>
                      <w:color w:val="auto"/>
                      <w:szCs w:val="21"/>
                      <w:lang w:eastAsia="zh-CN"/>
                    </w:rPr>
                  </w:pPr>
                  <w:r>
                    <w:rPr>
                      <w:rFonts w:hint="eastAsia"/>
                      <w:color w:val="auto"/>
                      <w:szCs w:val="21"/>
                    </w:rPr>
                    <w:t>6</w:t>
                  </w:r>
                  <w:r>
                    <w:rPr>
                      <w:rFonts w:hint="eastAsia"/>
                      <w:color w:val="auto"/>
                      <w:szCs w:val="21"/>
                      <w:lang w:val="en-US" w:eastAsia="zh-CN"/>
                    </w:rPr>
                    <w:t>5</w:t>
                  </w:r>
                </w:p>
              </w:tc>
              <w:tc>
                <w:tcPr>
                  <w:tcW w:w="877" w:type="pct"/>
                  <w:tcBorders>
                    <w:top w:val="single" w:color="000000" w:sz="12" w:space="0"/>
                    <w:tl2br w:val="nil"/>
                    <w:tr2bl w:val="nil"/>
                  </w:tcBorders>
                  <w:vAlign w:val="center"/>
                </w:tcPr>
                <w:p>
                  <w:pPr>
                    <w:widowControl/>
                    <w:adjustRightInd w:val="0"/>
                    <w:snapToGrid w:val="0"/>
                    <w:jc w:val="center"/>
                    <w:rPr>
                      <w:rFonts w:hint="eastAsia" w:eastAsia="宋体"/>
                      <w:color w:val="auto"/>
                      <w:szCs w:val="21"/>
                      <w:lang w:eastAsia="zh-CN"/>
                    </w:rPr>
                  </w:pPr>
                  <w:r>
                    <w:rPr>
                      <w:rFonts w:hint="eastAsia"/>
                      <w:color w:val="auto"/>
                      <w:szCs w:val="21"/>
                    </w:rPr>
                    <w:t>5</w:t>
                  </w:r>
                  <w:r>
                    <w:rPr>
                      <w:rFonts w:hint="eastAsia"/>
                      <w:color w:val="auto"/>
                      <w:szCs w:val="21"/>
                      <w:lang w:val="en-US" w:eastAsia="zh-CN"/>
                    </w:rPr>
                    <w:t>5</w:t>
                  </w:r>
                </w:p>
              </w:tc>
              <w:tc>
                <w:tcPr>
                  <w:tcW w:w="2454" w:type="pct"/>
                  <w:tcBorders>
                    <w:top w:val="single" w:color="000000" w:sz="12" w:space="0"/>
                    <w:tl2br w:val="nil"/>
                    <w:tr2bl w:val="nil"/>
                  </w:tcBorders>
                  <w:vAlign w:val="center"/>
                </w:tcPr>
                <w:p>
                  <w:pPr>
                    <w:widowControl/>
                    <w:adjustRightInd w:val="0"/>
                    <w:snapToGrid w:val="0"/>
                    <w:jc w:val="center"/>
                    <w:rPr>
                      <w:color w:val="auto"/>
                      <w:szCs w:val="21"/>
                    </w:rPr>
                  </w:pPr>
                  <w:r>
                    <w:rPr>
                      <w:rFonts w:hint="eastAsia" w:hAnsi="宋体"/>
                      <w:color w:val="auto"/>
                      <w:szCs w:val="21"/>
                    </w:rPr>
                    <w:t>《工业企业厂界环境噪声排放标准》（</w:t>
                  </w:r>
                  <w:r>
                    <w:rPr>
                      <w:color w:val="auto"/>
                      <w:szCs w:val="21"/>
                    </w:rPr>
                    <w:t>GB12348-20</w:t>
                  </w:r>
                  <w:r>
                    <w:rPr>
                      <w:rFonts w:hint="eastAsia"/>
                      <w:color w:val="auto"/>
                      <w:szCs w:val="21"/>
                    </w:rPr>
                    <w:t>08</w:t>
                  </w:r>
                  <w:r>
                    <w:rPr>
                      <w:rFonts w:hint="eastAsia" w:hAnsi="宋体"/>
                      <w:color w:val="auto"/>
                      <w:szCs w:val="21"/>
                    </w:rPr>
                    <w:t>）中</w:t>
                  </w:r>
                  <w:r>
                    <w:rPr>
                      <w:rFonts w:hint="eastAsia" w:hAnsi="宋体"/>
                      <w:color w:val="auto"/>
                      <w:szCs w:val="21"/>
                      <w:lang w:val="en-US" w:eastAsia="zh-CN"/>
                    </w:rPr>
                    <w:t>3</w:t>
                  </w:r>
                  <w:r>
                    <w:rPr>
                      <w:rFonts w:hint="eastAsia" w:hAnsi="宋体"/>
                      <w:color w:val="auto"/>
                      <w:szCs w:val="21"/>
                    </w:rPr>
                    <w:t>类标准</w:t>
                  </w:r>
                </w:p>
              </w:tc>
            </w:tr>
          </w:tbl>
          <w:p>
            <w:pPr>
              <w:widowControl/>
              <w:spacing w:line="360" w:lineRule="auto"/>
              <w:jc w:val="left"/>
              <w:rPr>
                <w:b/>
                <w:bCs/>
                <w:color w:val="auto"/>
                <w:sz w:val="24"/>
              </w:rPr>
            </w:pPr>
            <w:r>
              <w:rPr>
                <w:b/>
                <w:bCs/>
                <w:color w:val="auto"/>
                <w:kern w:val="0"/>
                <w:sz w:val="24"/>
                <w:lang w:bidi="ar"/>
              </w:rPr>
              <w:t>4.固体废物</w:t>
            </w:r>
          </w:p>
          <w:p>
            <w:pPr>
              <w:autoSpaceDE w:val="0"/>
              <w:autoSpaceDN w:val="0"/>
              <w:adjustRightInd w:val="0"/>
              <w:snapToGrid w:val="0"/>
              <w:spacing w:line="360" w:lineRule="auto"/>
              <w:ind w:firstLine="480" w:firstLineChars="200"/>
              <w:rPr>
                <w:color w:val="auto"/>
                <w:kern w:val="0"/>
                <w:szCs w:val="21"/>
              </w:rPr>
            </w:pPr>
            <w:r>
              <w:rPr>
                <w:rFonts w:hint="eastAsia" w:ascii="Times New Roman" w:hAnsi="Times New Roman" w:eastAsia="宋体" w:cs="Times New Roman"/>
                <w:color w:val="auto"/>
                <w:kern w:val="0"/>
                <w:sz w:val="24"/>
              </w:rPr>
              <w:t>一般固体废物执行《一般工业固体废物贮存和填埋污染控制标准》（GB18599-2020） ； 危 险 废 物 执 行 《 危 险 废 物 贮 存 污 染 控 制 标 准 》（GB18597-2023）。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2" w:hRule="atLeast"/>
          <w:jc w:val="center"/>
        </w:trPr>
        <w:tc>
          <w:tcPr>
            <w:tcW w:w="796" w:type="dxa"/>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auto"/>
                <w:kern w:val="0"/>
                <w:szCs w:val="21"/>
              </w:rPr>
            </w:pPr>
            <w:r>
              <w:rPr>
                <w:color w:val="auto"/>
                <w:kern w:val="0"/>
                <w:szCs w:val="21"/>
              </w:rPr>
              <w:t>指标</w:t>
            </w:r>
          </w:p>
        </w:tc>
        <w:tc>
          <w:tcPr>
            <w:tcW w:w="8194" w:type="dxa"/>
            <w:vAlign w:val="center"/>
          </w:tcPr>
          <w:p>
            <w:pPr>
              <w:pStyle w:val="48"/>
              <w:spacing w:line="360" w:lineRule="auto"/>
              <w:ind w:firstLine="480" w:firstLineChars="200"/>
              <w:jc w:val="left"/>
              <w:rPr>
                <w:rFonts w:hint="eastAsia" w:ascii="Times New Roman" w:eastAsia="宋体"/>
                <w:color w:val="0000FF"/>
                <w:kern w:val="2"/>
                <w:sz w:val="24"/>
                <w:szCs w:val="24"/>
                <w:lang w:val="en-US" w:eastAsia="zh-CN"/>
              </w:rPr>
            </w:pPr>
            <w:r>
              <w:rPr>
                <w:rFonts w:ascii="Times New Roman" w:hAnsi="Times New Roman" w:eastAsia="宋体" w:cs="Times New Roman"/>
                <w:color w:val="0000FF"/>
                <w:kern w:val="2"/>
                <w:sz w:val="24"/>
                <w:szCs w:val="24"/>
              </w:rPr>
              <w:t>根据</w:t>
            </w:r>
            <w:r>
              <w:rPr>
                <w:rFonts w:ascii="Times New Roman"/>
                <w:color w:val="0000FF"/>
                <w:kern w:val="2"/>
                <w:sz w:val="24"/>
                <w:szCs w:val="24"/>
              </w:rPr>
              <w:t>工程分析内容，本项目在采取有效的污染防治措施后，污染物可实现达标排放，</w:t>
            </w:r>
            <w:r>
              <w:rPr>
                <w:rFonts w:hint="eastAsia" w:ascii="宋体" w:hAnsi="宋体" w:cs="宋体"/>
                <w:b w:val="0"/>
                <w:bCs w:val="0"/>
                <w:color w:val="0000FF"/>
                <w:sz w:val="24"/>
                <w:szCs w:val="24"/>
                <w:lang w:val="en-US" w:eastAsia="zh-CN"/>
              </w:rPr>
              <w:t>非甲烷总烃</w:t>
            </w:r>
            <w:r>
              <w:rPr>
                <w:rFonts w:hint="eastAsia" w:ascii="Times New Roman"/>
                <w:color w:val="0000FF"/>
                <w:kern w:val="2"/>
                <w:sz w:val="24"/>
                <w:szCs w:val="24"/>
              </w:rPr>
              <w:t>排放量：</w:t>
            </w:r>
            <w:r>
              <w:rPr>
                <w:rFonts w:hint="eastAsia" w:ascii="Times New Roman"/>
                <w:color w:val="0000FF"/>
                <w:kern w:val="2"/>
                <w:sz w:val="24"/>
                <w:szCs w:val="24"/>
                <w:lang w:val="en-US" w:eastAsia="zh-CN"/>
              </w:rPr>
              <w:t>0.0036</w:t>
            </w:r>
            <w:r>
              <w:rPr>
                <w:rFonts w:ascii="Times New Roman"/>
                <w:color w:val="0000FF"/>
                <w:kern w:val="2"/>
                <w:sz w:val="24"/>
                <w:szCs w:val="24"/>
              </w:rPr>
              <w:t>t/a</w:t>
            </w:r>
            <w:r>
              <w:rPr>
                <w:rFonts w:hint="eastAsia" w:ascii="Times New Roman"/>
                <w:color w:val="0000FF"/>
                <w:kern w:val="2"/>
                <w:sz w:val="24"/>
                <w:szCs w:val="24"/>
                <w:lang w:eastAsia="zh-CN"/>
              </w:rPr>
              <w:t>；颗粒物排放量：</w:t>
            </w:r>
            <w:r>
              <w:rPr>
                <w:rFonts w:hint="eastAsia" w:ascii="Times New Roman"/>
                <w:color w:val="0000FF"/>
                <w:kern w:val="2"/>
                <w:sz w:val="24"/>
                <w:szCs w:val="24"/>
                <w:lang w:val="en-US" w:eastAsia="zh-CN"/>
              </w:rPr>
              <w:t>0.133</w:t>
            </w:r>
            <w:r>
              <w:rPr>
                <w:rFonts w:ascii="Times New Roman"/>
                <w:color w:val="0000FF"/>
                <w:kern w:val="2"/>
                <w:sz w:val="24"/>
                <w:szCs w:val="24"/>
              </w:rPr>
              <w:t>t/a</w:t>
            </w:r>
            <w:r>
              <w:rPr>
                <w:rFonts w:hint="eastAsia" w:ascii="Times New Roman"/>
                <w:color w:val="0000FF"/>
                <w:kern w:val="2"/>
                <w:sz w:val="24"/>
                <w:szCs w:val="24"/>
                <w:lang w:eastAsia="zh-CN"/>
              </w:rPr>
              <w:t>。</w:t>
            </w:r>
          </w:p>
          <w:p>
            <w:pPr>
              <w:pStyle w:val="48"/>
              <w:spacing w:line="360" w:lineRule="auto"/>
              <w:ind w:firstLine="480" w:firstLineChars="200"/>
              <w:jc w:val="left"/>
              <w:rPr>
                <w:rFonts w:hint="eastAsia" w:ascii="Times New Roman" w:eastAsia="宋体"/>
                <w:color w:val="0000FF"/>
                <w:kern w:val="2"/>
                <w:sz w:val="24"/>
                <w:szCs w:val="24"/>
                <w:lang w:val="en-US" w:eastAsia="zh-CN"/>
              </w:rPr>
            </w:pPr>
            <w:r>
              <w:rPr>
                <w:rFonts w:hint="default" w:ascii="Times New Roman" w:hAnsi="Times New Roman" w:eastAsia="宋体" w:cs="Times New Roman"/>
                <w:color w:val="0000FF"/>
                <w:sz w:val="24"/>
                <w:szCs w:val="24"/>
                <w:highlight w:val="none"/>
              </w:rPr>
              <w:t>项目所在区域位于</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eastAsia="宋体" w:cs="Times New Roman"/>
                <w:color w:val="0000FF"/>
                <w:sz w:val="24"/>
                <w:szCs w:val="24"/>
                <w:highlight w:val="none"/>
              </w:rPr>
              <w:t>乌-昌-石</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eastAsia="宋体" w:cs="Times New Roman"/>
                <w:color w:val="0000FF"/>
                <w:sz w:val="24"/>
                <w:szCs w:val="24"/>
                <w:highlight w:val="none"/>
              </w:rPr>
              <w:t>大气污染联防联控区，为不达标区域，需落实重点区域大气污染物总量控制指标2倍削减替代的要求。</w:t>
            </w:r>
            <w:r>
              <w:rPr>
                <w:rFonts w:hint="default" w:ascii="Times New Roman" w:hAnsi="Times New Roman" w:eastAsia="宋体" w:cs="Times New Roman"/>
                <w:color w:val="0000FF"/>
                <w:sz w:val="24"/>
                <w:szCs w:val="24"/>
                <w:highlight w:val="none"/>
                <w:lang w:eastAsia="zh-CN"/>
              </w:rPr>
              <w:t>倍量替代量</w:t>
            </w:r>
            <w:r>
              <w:rPr>
                <w:rFonts w:hint="eastAsia" w:ascii="宋体" w:hAnsi="宋体" w:cs="宋体"/>
                <w:b w:val="0"/>
                <w:bCs w:val="0"/>
                <w:color w:val="0000FF"/>
                <w:sz w:val="24"/>
                <w:szCs w:val="24"/>
                <w:lang w:val="en-US" w:eastAsia="zh-CN"/>
              </w:rPr>
              <w:t>非甲烷总烃</w:t>
            </w:r>
            <w:r>
              <w:rPr>
                <w:rFonts w:hint="eastAsia" w:ascii="Times New Roman"/>
                <w:color w:val="0000FF"/>
                <w:kern w:val="2"/>
                <w:sz w:val="24"/>
                <w:szCs w:val="24"/>
                <w:lang w:eastAsia="zh-CN"/>
              </w:rPr>
              <w:t>：</w:t>
            </w:r>
            <w:r>
              <w:rPr>
                <w:rFonts w:hint="eastAsia" w:ascii="Times New Roman"/>
                <w:color w:val="0000FF"/>
                <w:kern w:val="2"/>
                <w:sz w:val="24"/>
                <w:szCs w:val="24"/>
                <w:lang w:val="en-US" w:eastAsia="zh-CN"/>
              </w:rPr>
              <w:t>0.0072</w:t>
            </w:r>
            <w:r>
              <w:rPr>
                <w:rFonts w:hint="eastAsia" w:ascii="Times New Roman"/>
                <w:color w:val="0000FF"/>
                <w:kern w:val="2"/>
                <w:sz w:val="24"/>
                <w:szCs w:val="24"/>
                <w:lang w:eastAsia="zh-CN"/>
              </w:rPr>
              <w:t>t/a；颗粒物：</w:t>
            </w:r>
            <w:r>
              <w:rPr>
                <w:rFonts w:hint="eastAsia" w:ascii="Times New Roman"/>
                <w:color w:val="0000FF"/>
                <w:kern w:val="2"/>
                <w:sz w:val="24"/>
                <w:szCs w:val="24"/>
                <w:lang w:val="en-US" w:eastAsia="zh-CN"/>
              </w:rPr>
              <w:t>0.266</w:t>
            </w:r>
            <w:r>
              <w:rPr>
                <w:rFonts w:ascii="Times New Roman"/>
                <w:color w:val="0000FF"/>
                <w:kern w:val="2"/>
                <w:sz w:val="24"/>
                <w:szCs w:val="24"/>
              </w:rPr>
              <w:t>t/a</w:t>
            </w:r>
            <w:r>
              <w:rPr>
                <w:rFonts w:hint="eastAsia" w:ascii="Times New Roman"/>
                <w:color w:val="0000FF"/>
                <w:kern w:val="2"/>
                <w:sz w:val="24"/>
                <w:szCs w:val="24"/>
                <w:lang w:eastAsia="zh-CN"/>
              </w:rPr>
              <w:t>。</w:t>
            </w:r>
          </w:p>
          <w:p>
            <w:pPr>
              <w:pStyle w:val="48"/>
              <w:spacing w:line="360" w:lineRule="auto"/>
              <w:ind w:firstLine="480" w:firstLineChars="200"/>
              <w:jc w:val="left"/>
              <w:rPr>
                <w:rFonts w:hint="eastAsia" w:ascii="Times New Roman"/>
                <w:color w:val="FF0000"/>
                <w:kern w:val="2"/>
                <w:sz w:val="24"/>
                <w:szCs w:val="24"/>
                <w:lang w:eastAsia="zh-CN"/>
              </w:rPr>
            </w:pPr>
            <w:r>
              <w:rPr>
                <w:rFonts w:hint="eastAsia" w:ascii="Times New Roman"/>
                <w:color w:val="0000FF"/>
                <w:kern w:val="2"/>
                <w:sz w:val="24"/>
                <w:szCs w:val="24"/>
                <w:lang w:eastAsia="zh-CN"/>
              </w:rPr>
              <w:t>削减来源由当地生态环境管理部门核定。</w:t>
            </w:r>
          </w:p>
        </w:tc>
      </w:tr>
    </w:tbl>
    <w:p>
      <w:r>
        <w:br w:type="page"/>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四、主要环境影响和保护措施</w:t>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2"/>
        <w:gridCol w:w="83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32" w:type="dxa"/>
            <w:tcMar>
              <w:left w:w="28" w:type="dxa"/>
              <w:right w:w="28" w:type="dxa"/>
            </w:tcMar>
            <w:vAlign w:val="center"/>
          </w:tcPr>
          <w:p>
            <w:pPr>
              <w:pStyle w:val="20"/>
              <w:adjustRightInd w:val="0"/>
              <w:snapToGrid w:val="0"/>
              <w:spacing w:before="0" w:beforeAutospacing="0" w:after="0" w:afterAutospacing="0" w:line="360" w:lineRule="auto"/>
              <w:jc w:val="center"/>
              <w:rPr>
                <w:rFonts w:ascii="Times New Roman" w:hAnsi="Times New Roman"/>
                <w:color w:val="auto"/>
                <w:kern w:val="2"/>
                <w:szCs w:val="24"/>
              </w:rPr>
            </w:pPr>
            <w:r>
              <w:rPr>
                <w:rFonts w:ascii="Times New Roman" w:hAnsi="Times New Roman"/>
                <w:color w:val="auto"/>
                <w:kern w:val="2"/>
                <w:szCs w:val="24"/>
              </w:rPr>
              <w:t>施工</w:t>
            </w:r>
          </w:p>
          <w:p>
            <w:pPr>
              <w:pStyle w:val="20"/>
              <w:adjustRightInd w:val="0"/>
              <w:snapToGrid w:val="0"/>
              <w:spacing w:before="0" w:beforeAutospacing="0" w:after="0" w:afterAutospacing="0" w:line="360" w:lineRule="auto"/>
              <w:jc w:val="center"/>
              <w:rPr>
                <w:rFonts w:ascii="Times New Roman" w:hAnsi="Times New Roman"/>
                <w:color w:val="auto"/>
                <w:kern w:val="2"/>
                <w:szCs w:val="24"/>
              </w:rPr>
            </w:pPr>
            <w:r>
              <w:rPr>
                <w:rFonts w:ascii="Times New Roman" w:hAnsi="Times New Roman"/>
                <w:color w:val="auto"/>
                <w:kern w:val="2"/>
                <w:szCs w:val="24"/>
              </w:rPr>
              <w:t>期环</w:t>
            </w:r>
          </w:p>
          <w:p>
            <w:pPr>
              <w:pStyle w:val="20"/>
              <w:adjustRightInd w:val="0"/>
              <w:snapToGrid w:val="0"/>
              <w:spacing w:before="0" w:beforeAutospacing="0" w:after="0" w:afterAutospacing="0" w:line="360" w:lineRule="auto"/>
              <w:jc w:val="center"/>
              <w:rPr>
                <w:rFonts w:ascii="Times New Roman" w:hAnsi="Times New Roman"/>
                <w:color w:val="auto"/>
                <w:kern w:val="2"/>
                <w:szCs w:val="24"/>
              </w:rPr>
            </w:pPr>
            <w:r>
              <w:rPr>
                <w:rFonts w:ascii="Times New Roman" w:hAnsi="Times New Roman"/>
                <w:color w:val="auto"/>
                <w:kern w:val="2"/>
                <w:szCs w:val="24"/>
              </w:rPr>
              <w:t>境保</w:t>
            </w:r>
          </w:p>
          <w:p>
            <w:pPr>
              <w:pStyle w:val="20"/>
              <w:adjustRightInd w:val="0"/>
              <w:snapToGrid w:val="0"/>
              <w:spacing w:before="0" w:beforeAutospacing="0" w:after="0" w:afterAutospacing="0" w:line="360" w:lineRule="auto"/>
              <w:jc w:val="center"/>
              <w:rPr>
                <w:rFonts w:ascii="Times New Roman" w:hAnsi="Times New Roman"/>
                <w:color w:val="auto"/>
                <w:kern w:val="2"/>
                <w:szCs w:val="24"/>
              </w:rPr>
            </w:pPr>
            <w:r>
              <w:rPr>
                <w:rFonts w:ascii="Times New Roman" w:hAnsi="Times New Roman"/>
                <w:color w:val="auto"/>
                <w:kern w:val="2"/>
                <w:szCs w:val="24"/>
              </w:rPr>
              <w:t>护措</w:t>
            </w:r>
          </w:p>
          <w:p>
            <w:pPr>
              <w:pStyle w:val="20"/>
              <w:adjustRightInd w:val="0"/>
              <w:snapToGrid w:val="0"/>
              <w:spacing w:before="0" w:beforeAutospacing="0" w:after="0" w:afterAutospacing="0" w:line="360" w:lineRule="auto"/>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349" w:type="dxa"/>
            <w:vAlign w:val="center"/>
          </w:tcPr>
          <w:p>
            <w:pPr>
              <w:widowControl/>
              <w:autoSpaceDE w:val="0"/>
              <w:autoSpaceDN w:val="0"/>
              <w:adjustRightInd w:val="0"/>
              <w:snapToGrid w:val="0"/>
              <w:spacing w:before="120" w:beforeLines="50" w:line="360" w:lineRule="auto"/>
              <w:textAlignment w:val="baseline"/>
              <w:rPr>
                <w:b/>
                <w:color w:val="auto"/>
                <w:sz w:val="24"/>
                <w:highlight w:val="none"/>
              </w:rPr>
            </w:pPr>
            <w:r>
              <w:rPr>
                <w:rFonts w:hint="eastAsia"/>
                <w:b/>
                <w:color w:val="auto"/>
                <w:sz w:val="24"/>
                <w:highlight w:val="none"/>
                <w:lang w:val="en-US" w:eastAsia="zh-CN"/>
              </w:rPr>
              <w:t>1.</w:t>
            </w:r>
            <w:r>
              <w:rPr>
                <w:b/>
                <w:color w:val="auto"/>
                <w:sz w:val="24"/>
                <w:highlight w:val="none"/>
              </w:rPr>
              <w:t>施工期大气环境保护措施</w:t>
            </w:r>
          </w:p>
          <w:p>
            <w:pPr>
              <w:widowControl/>
              <w:autoSpaceDE w:val="0"/>
              <w:autoSpaceDN w:val="0"/>
              <w:adjustRightInd w:val="0"/>
              <w:snapToGrid w:val="0"/>
              <w:spacing w:line="360" w:lineRule="auto"/>
              <w:ind w:firstLine="480" w:firstLineChars="200"/>
              <w:textAlignment w:val="baseline"/>
              <w:rPr>
                <w:rFonts w:hint="eastAsia"/>
                <w:bCs/>
                <w:color w:val="auto"/>
                <w:sz w:val="24"/>
                <w:highlight w:val="none"/>
              </w:rPr>
            </w:pPr>
            <w:r>
              <w:rPr>
                <w:rFonts w:hint="default" w:ascii="Times New Roman" w:hAnsi="Times New Roman" w:eastAsia="宋体" w:cs="Times New Roman"/>
                <w:b w:val="0"/>
                <w:bCs w:val="0"/>
                <w:color w:val="auto"/>
                <w:kern w:val="0"/>
                <w:sz w:val="24"/>
                <w:szCs w:val="24"/>
                <w:highlight w:val="none"/>
                <w:lang w:val="en-US" w:eastAsia="zh-CN" w:bidi="ar-SA"/>
              </w:rPr>
              <w:t>本次</w:t>
            </w:r>
            <w:r>
              <w:rPr>
                <w:rFonts w:hint="eastAsia" w:ascii="Times New Roman" w:hAnsi="Times New Roman" w:eastAsia="宋体" w:cs="Times New Roman"/>
                <w:b w:val="0"/>
                <w:bCs w:val="0"/>
                <w:color w:val="auto"/>
                <w:kern w:val="0"/>
                <w:sz w:val="24"/>
                <w:szCs w:val="24"/>
                <w:highlight w:val="none"/>
                <w:lang w:val="en-US" w:eastAsia="zh-CN" w:bidi="ar-SA"/>
              </w:rPr>
              <w:t>扩建</w:t>
            </w:r>
            <w:r>
              <w:rPr>
                <w:rFonts w:hint="eastAsia"/>
                <w:bCs/>
                <w:color w:val="auto"/>
                <w:sz w:val="24"/>
                <w:highlight w:val="none"/>
              </w:rPr>
              <w:t>项目</w:t>
            </w:r>
            <w:r>
              <w:rPr>
                <w:rFonts w:hint="eastAsia" w:ascii="Times New Roman" w:hAnsi="Times New Roman" w:eastAsia="宋体" w:cs="Times New Roman"/>
                <w:b w:val="0"/>
                <w:bCs w:val="0"/>
                <w:color w:val="auto"/>
                <w:kern w:val="0"/>
                <w:sz w:val="24"/>
                <w:szCs w:val="24"/>
                <w:highlight w:val="none"/>
                <w:lang w:val="en-US" w:eastAsia="zh-CN" w:bidi="ar-SA"/>
              </w:rPr>
              <w:t>不</w:t>
            </w:r>
            <w:r>
              <w:rPr>
                <w:rFonts w:hint="default" w:ascii="Times New Roman" w:hAnsi="Times New Roman" w:eastAsia="宋体" w:cs="Times New Roman"/>
                <w:b w:val="0"/>
                <w:bCs w:val="0"/>
                <w:color w:val="auto"/>
                <w:kern w:val="0"/>
                <w:sz w:val="24"/>
                <w:szCs w:val="24"/>
                <w:highlight w:val="none"/>
                <w:lang w:val="en-US" w:eastAsia="zh-CN" w:bidi="ar-SA"/>
              </w:rPr>
              <w:t>新增</w:t>
            </w:r>
            <w:r>
              <w:rPr>
                <w:rFonts w:hint="eastAsia" w:ascii="Times New Roman" w:hAnsi="Times New Roman" w:eastAsia="宋体" w:cs="Times New Roman"/>
                <w:b w:val="0"/>
                <w:bCs w:val="0"/>
                <w:color w:val="auto"/>
                <w:kern w:val="0"/>
                <w:sz w:val="24"/>
                <w:szCs w:val="24"/>
                <w:highlight w:val="none"/>
                <w:lang w:val="en-US" w:eastAsia="zh-CN" w:bidi="ar-SA"/>
              </w:rPr>
              <w:t>用</w:t>
            </w:r>
            <w:r>
              <w:rPr>
                <w:rFonts w:hint="default" w:ascii="Times New Roman" w:hAnsi="Times New Roman" w:eastAsia="宋体" w:cs="Times New Roman"/>
                <w:b w:val="0"/>
                <w:bCs w:val="0"/>
                <w:color w:val="auto"/>
                <w:kern w:val="0"/>
                <w:sz w:val="24"/>
                <w:szCs w:val="24"/>
                <w:highlight w:val="none"/>
                <w:lang w:val="en-US" w:eastAsia="zh-CN" w:bidi="ar-SA"/>
              </w:rPr>
              <w:t>地，喷粉固化车间在原有生产车间内隔出，新增喷塑烘干</w:t>
            </w:r>
            <w:r>
              <w:rPr>
                <w:rFonts w:hint="eastAsia" w:ascii="Times New Roman" w:hAnsi="Times New Roman" w:eastAsia="宋体" w:cs="Times New Roman"/>
                <w:b w:val="0"/>
                <w:bCs w:val="0"/>
                <w:color w:val="auto"/>
                <w:kern w:val="0"/>
                <w:sz w:val="24"/>
                <w:szCs w:val="24"/>
                <w:highlight w:val="none"/>
                <w:lang w:val="en-US" w:eastAsia="zh-CN" w:bidi="ar-SA"/>
              </w:rPr>
              <w:t>等设备，</w:t>
            </w:r>
            <w:r>
              <w:rPr>
                <w:rFonts w:hint="eastAsia"/>
                <w:bCs/>
                <w:color w:val="auto"/>
                <w:sz w:val="24"/>
                <w:highlight w:val="none"/>
              </w:rPr>
              <w:t>因此本项目施工期无土方开挖以及回填等，主要为设备安装过程，因此，施工期主要为设备运输引起的扬尘和运输车辆排放的尾气。</w:t>
            </w:r>
          </w:p>
          <w:p>
            <w:pPr>
              <w:widowControl/>
              <w:autoSpaceDE w:val="0"/>
              <w:autoSpaceDN w:val="0"/>
              <w:adjustRightInd w:val="0"/>
              <w:snapToGrid w:val="0"/>
              <w:spacing w:line="360" w:lineRule="auto"/>
              <w:textAlignment w:val="baseline"/>
              <w:rPr>
                <w:b/>
                <w:color w:val="auto"/>
                <w:sz w:val="24"/>
                <w:highlight w:val="none"/>
              </w:rPr>
            </w:pPr>
            <w:r>
              <w:rPr>
                <w:rFonts w:hint="eastAsia"/>
                <w:b/>
                <w:color w:val="auto"/>
                <w:sz w:val="24"/>
                <w:highlight w:val="none"/>
                <w:lang w:val="en-US" w:eastAsia="zh-CN"/>
              </w:rPr>
              <w:t>1.1</w:t>
            </w:r>
            <w:r>
              <w:rPr>
                <w:b/>
                <w:color w:val="auto"/>
                <w:sz w:val="24"/>
                <w:highlight w:val="none"/>
              </w:rPr>
              <w:t>扬尘</w:t>
            </w:r>
          </w:p>
          <w:p>
            <w:pPr>
              <w:widowControl/>
              <w:autoSpaceDE w:val="0"/>
              <w:autoSpaceDN w:val="0"/>
              <w:adjustRightInd w:val="0"/>
              <w:snapToGrid w:val="0"/>
              <w:spacing w:line="360" w:lineRule="auto"/>
              <w:ind w:firstLine="480" w:firstLineChars="200"/>
              <w:textAlignment w:val="baseline"/>
              <w:rPr>
                <w:color w:val="auto"/>
                <w:sz w:val="24"/>
                <w:highlight w:val="none"/>
              </w:rPr>
            </w:pPr>
            <w:r>
              <w:rPr>
                <w:color w:val="auto"/>
                <w:sz w:val="24"/>
                <w:highlight w:val="none"/>
              </w:rPr>
              <w:t>施工现场扬尘主要来源于施工运输车辆产生的道路扬尘</w:t>
            </w:r>
            <w:r>
              <w:rPr>
                <w:rFonts w:hint="eastAsia"/>
                <w:color w:val="auto"/>
                <w:sz w:val="24"/>
                <w:highlight w:val="none"/>
              </w:rPr>
              <w:t>，</w:t>
            </w:r>
            <w:r>
              <w:rPr>
                <w:color w:val="auto"/>
                <w:sz w:val="24"/>
                <w:highlight w:val="none"/>
              </w:rPr>
              <w:t>为最大限度</w:t>
            </w:r>
            <w:r>
              <w:rPr>
                <w:rFonts w:hint="eastAsia"/>
                <w:color w:val="auto"/>
                <w:sz w:val="24"/>
                <w:highlight w:val="none"/>
                <w:lang w:eastAsia="zh-CN"/>
              </w:rPr>
              <w:t>地</w:t>
            </w:r>
            <w:r>
              <w:rPr>
                <w:color w:val="auto"/>
                <w:sz w:val="24"/>
                <w:highlight w:val="none"/>
              </w:rPr>
              <w:t>降低项目</w:t>
            </w:r>
            <w:r>
              <w:rPr>
                <w:rFonts w:hint="eastAsia"/>
                <w:color w:val="auto"/>
                <w:sz w:val="24"/>
                <w:highlight w:val="none"/>
              </w:rPr>
              <w:t>运输</w:t>
            </w:r>
            <w:r>
              <w:rPr>
                <w:color w:val="auto"/>
                <w:sz w:val="24"/>
                <w:highlight w:val="none"/>
              </w:rPr>
              <w:t>过程中扬尘对周边环境的影响，在施工期间应采取积极、有效的措施减少扬尘的产生和扩散措施</w:t>
            </w:r>
            <w:r>
              <w:rPr>
                <w:rFonts w:hint="eastAsia"/>
                <w:color w:val="auto"/>
                <w:sz w:val="24"/>
                <w:highlight w:val="none"/>
              </w:rPr>
              <w:t>，</w:t>
            </w:r>
            <w:r>
              <w:rPr>
                <w:color w:val="auto"/>
                <w:sz w:val="24"/>
                <w:highlight w:val="none"/>
              </w:rPr>
              <w:t>对建设施工期间</w:t>
            </w:r>
            <w:r>
              <w:rPr>
                <w:rFonts w:hint="eastAsia"/>
                <w:color w:val="auto"/>
                <w:sz w:val="24"/>
                <w:highlight w:val="none"/>
              </w:rPr>
              <w:t>运输引起</w:t>
            </w:r>
            <w:r>
              <w:rPr>
                <w:color w:val="auto"/>
                <w:sz w:val="24"/>
                <w:highlight w:val="none"/>
              </w:rPr>
              <w:t>的</w:t>
            </w:r>
            <w:r>
              <w:rPr>
                <w:rFonts w:hint="eastAsia"/>
                <w:color w:val="auto"/>
                <w:sz w:val="24"/>
                <w:highlight w:val="none"/>
              </w:rPr>
              <w:t>道路</w:t>
            </w:r>
            <w:r>
              <w:rPr>
                <w:color w:val="auto"/>
                <w:sz w:val="24"/>
                <w:highlight w:val="none"/>
              </w:rPr>
              <w:t>扬尘，建议采取洒水湿法抑尘。利用洒水车对进出道路洒水，以利于减少扬尘的产量。</w:t>
            </w:r>
          </w:p>
          <w:p>
            <w:pPr>
              <w:widowControl/>
              <w:autoSpaceDE w:val="0"/>
              <w:autoSpaceDN w:val="0"/>
              <w:adjustRightInd w:val="0"/>
              <w:snapToGrid w:val="0"/>
              <w:spacing w:line="360" w:lineRule="auto"/>
              <w:textAlignment w:val="baseline"/>
              <w:rPr>
                <w:b/>
                <w:color w:val="auto"/>
                <w:sz w:val="24"/>
                <w:highlight w:val="none"/>
              </w:rPr>
            </w:pPr>
            <w:r>
              <w:rPr>
                <w:rFonts w:hint="eastAsia"/>
                <w:b/>
                <w:color w:val="auto"/>
                <w:sz w:val="24"/>
                <w:highlight w:val="none"/>
                <w:lang w:val="en-US" w:eastAsia="zh-CN"/>
              </w:rPr>
              <w:t>1.2</w:t>
            </w:r>
            <w:r>
              <w:rPr>
                <w:rFonts w:hint="eastAsia"/>
                <w:b/>
                <w:color w:val="auto"/>
                <w:sz w:val="24"/>
                <w:highlight w:val="none"/>
              </w:rPr>
              <w:t xml:space="preserve"> </w:t>
            </w:r>
            <w:r>
              <w:rPr>
                <w:b/>
                <w:color w:val="auto"/>
                <w:sz w:val="24"/>
                <w:highlight w:val="none"/>
              </w:rPr>
              <w:t>汽车尾气</w:t>
            </w:r>
          </w:p>
          <w:p>
            <w:pPr>
              <w:widowControl/>
              <w:autoSpaceDE w:val="0"/>
              <w:autoSpaceDN w:val="0"/>
              <w:adjustRightInd w:val="0"/>
              <w:snapToGrid w:val="0"/>
              <w:spacing w:line="360" w:lineRule="auto"/>
              <w:ind w:firstLine="480" w:firstLineChars="200"/>
              <w:textAlignment w:val="baseline"/>
              <w:rPr>
                <w:color w:val="auto"/>
                <w:sz w:val="24"/>
                <w:highlight w:val="none"/>
              </w:rPr>
            </w:pPr>
            <w:r>
              <w:rPr>
                <w:color w:val="auto"/>
                <w:sz w:val="24"/>
                <w:highlight w:val="none"/>
              </w:rPr>
              <w:t>在施工期间，施工运输设备将排放尾气，尾气中主要污染物为CO、NO</w:t>
            </w:r>
            <w:r>
              <w:rPr>
                <w:color w:val="auto"/>
                <w:sz w:val="24"/>
                <w:highlight w:val="none"/>
                <w:vertAlign w:val="subscript"/>
              </w:rPr>
              <w:t>x</w:t>
            </w:r>
            <w:r>
              <w:rPr>
                <w:color w:val="auto"/>
                <w:sz w:val="24"/>
                <w:highlight w:val="none"/>
              </w:rPr>
              <w:t>、THC。本项目施工期使用的运输设备和动力设备较少，排放量较小，加之场地空气流动性好，因此不会对区域环境空气质量产生不利的影响。</w:t>
            </w:r>
          </w:p>
          <w:p>
            <w:pPr>
              <w:widowControl/>
              <w:autoSpaceDE w:val="0"/>
              <w:autoSpaceDN w:val="0"/>
              <w:adjustRightInd w:val="0"/>
              <w:snapToGrid w:val="0"/>
              <w:spacing w:line="360" w:lineRule="auto"/>
              <w:textAlignment w:val="baseline"/>
              <w:rPr>
                <w:b/>
                <w:color w:val="auto"/>
                <w:sz w:val="24"/>
                <w:highlight w:val="none"/>
              </w:rPr>
            </w:pPr>
            <w:r>
              <w:rPr>
                <w:rFonts w:hint="eastAsia"/>
                <w:b/>
                <w:color w:val="auto"/>
                <w:sz w:val="24"/>
                <w:highlight w:val="none"/>
                <w:lang w:val="en-US" w:eastAsia="zh-CN"/>
              </w:rPr>
              <w:t>2.</w:t>
            </w:r>
            <w:r>
              <w:rPr>
                <w:b/>
                <w:color w:val="auto"/>
                <w:sz w:val="24"/>
                <w:highlight w:val="none"/>
              </w:rPr>
              <w:t>施工期水环境保护措施</w:t>
            </w:r>
          </w:p>
          <w:p>
            <w:pPr>
              <w:pStyle w:val="13"/>
              <w:widowControl/>
              <w:autoSpaceDE w:val="0"/>
              <w:autoSpaceDN w:val="0"/>
              <w:adjustRightInd w:val="0"/>
              <w:snapToGrid w:val="0"/>
              <w:spacing w:line="360" w:lineRule="auto"/>
              <w:ind w:firstLine="480" w:firstLineChars="200"/>
              <w:textAlignment w:val="baseline"/>
              <w:rPr>
                <w:rFonts w:ascii="Times New Roman" w:hAnsi="Times New Roman"/>
                <w:color w:val="auto"/>
                <w:sz w:val="24"/>
                <w:szCs w:val="24"/>
                <w:highlight w:val="none"/>
              </w:rPr>
            </w:pPr>
            <w:r>
              <w:rPr>
                <w:color w:val="auto"/>
                <w:sz w:val="24"/>
                <w:highlight w:val="none"/>
              </w:rPr>
              <w:t>施工期间污水主要是施工人员产生的生活污水</w:t>
            </w:r>
            <w:r>
              <w:rPr>
                <w:rFonts w:hint="eastAsia"/>
                <w:color w:val="auto"/>
                <w:sz w:val="24"/>
                <w:highlight w:val="none"/>
                <w:lang w:eastAsia="zh-CN"/>
              </w:rPr>
              <w:t>，</w:t>
            </w:r>
            <w:r>
              <w:rPr>
                <w:rFonts w:ascii="Times New Roman" w:hAnsi="Times New Roman"/>
                <w:color w:val="auto"/>
                <w:sz w:val="24"/>
                <w:szCs w:val="24"/>
                <w:highlight w:val="none"/>
              </w:rPr>
              <w:t>主要污染物指标为COD</w:t>
            </w:r>
            <w:r>
              <w:rPr>
                <w:rFonts w:ascii="Times New Roman" w:hAnsi="Times New Roman"/>
                <w:color w:val="auto"/>
                <w:sz w:val="24"/>
                <w:szCs w:val="24"/>
                <w:highlight w:val="none"/>
                <w:vertAlign w:val="subscript"/>
              </w:rPr>
              <w:t>cr</w:t>
            </w:r>
            <w:r>
              <w:rPr>
                <w:rFonts w:ascii="Times New Roman" w:hAnsi="Times New Roman"/>
                <w:color w:val="auto"/>
                <w:sz w:val="24"/>
                <w:szCs w:val="24"/>
                <w:highlight w:val="none"/>
              </w:rPr>
              <w:t>、BOD</w:t>
            </w:r>
            <w:r>
              <w:rPr>
                <w:rFonts w:ascii="Times New Roman" w:hAnsi="Times New Roman"/>
                <w:color w:val="auto"/>
                <w:sz w:val="24"/>
                <w:szCs w:val="24"/>
                <w:highlight w:val="none"/>
                <w:vertAlign w:val="subscript"/>
              </w:rPr>
              <w:t>5</w:t>
            </w:r>
            <w:r>
              <w:rPr>
                <w:rFonts w:ascii="Times New Roman" w:hAnsi="Times New Roman"/>
                <w:color w:val="auto"/>
                <w:sz w:val="24"/>
                <w:szCs w:val="24"/>
                <w:highlight w:val="none"/>
              </w:rPr>
              <w:t>和SS等，本项目不设临时生活区，施工生活污水排放依托</w:t>
            </w:r>
            <w:r>
              <w:rPr>
                <w:rFonts w:hint="eastAsia" w:ascii="Times New Roman" w:hAnsi="Times New Roman"/>
                <w:color w:val="auto"/>
                <w:sz w:val="24"/>
                <w:szCs w:val="24"/>
                <w:highlight w:val="none"/>
                <w:lang w:eastAsia="zh-CN"/>
              </w:rPr>
              <w:t>原有项目，</w:t>
            </w:r>
            <w:r>
              <w:rPr>
                <w:rFonts w:ascii="Times New Roman" w:hAnsi="Times New Roman"/>
                <w:color w:val="auto"/>
                <w:sz w:val="24"/>
                <w:szCs w:val="24"/>
                <w:highlight w:val="none"/>
              </w:rPr>
              <w:t>对周围水环境产生影响较小。</w:t>
            </w:r>
          </w:p>
          <w:p>
            <w:pPr>
              <w:pStyle w:val="13"/>
              <w:widowControl/>
              <w:autoSpaceDE w:val="0"/>
              <w:autoSpaceDN w:val="0"/>
              <w:adjustRightInd w:val="0"/>
              <w:snapToGrid w:val="0"/>
              <w:spacing w:line="360" w:lineRule="auto"/>
              <w:ind w:firstLine="480" w:firstLineChars="200"/>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项目施工期间，环评要求生活废水不得以渗坑、渗井或漫流的方式直接排放。为进一步减少施工废水对周围环境的影响，本评价要求建设方加强工地用水管理，节约用水，避免施工用水过程中的</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跑、冒、滴、漏</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，减少施工废水产生量。施工期废水的影响会随施工期的结束而结束。</w:t>
            </w:r>
          </w:p>
          <w:p>
            <w:pPr>
              <w:widowControl/>
              <w:autoSpaceDE w:val="0"/>
              <w:autoSpaceDN w:val="0"/>
              <w:adjustRightInd w:val="0"/>
              <w:snapToGrid w:val="0"/>
              <w:spacing w:line="360" w:lineRule="auto"/>
              <w:textAlignment w:val="baseline"/>
              <w:rPr>
                <w:b/>
                <w:color w:val="auto"/>
                <w:sz w:val="24"/>
                <w:highlight w:val="none"/>
              </w:rPr>
            </w:pPr>
            <w:r>
              <w:rPr>
                <w:rFonts w:hint="eastAsia"/>
                <w:b/>
                <w:color w:val="auto"/>
                <w:sz w:val="24"/>
                <w:highlight w:val="none"/>
              </w:rPr>
              <w:t xml:space="preserve">4.3 </w:t>
            </w:r>
            <w:r>
              <w:rPr>
                <w:b/>
                <w:color w:val="auto"/>
                <w:sz w:val="24"/>
                <w:highlight w:val="none"/>
              </w:rPr>
              <w:t>施工期声环境保护措施</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为减少施工对周边环境的影响，施工单位应严格执行《中华人民共和国噪声污染防治法》和《建筑施工场界环境噪声排放标准》（GB12523-2011）、《建筑施工噪声管理办法》相关要求，做好以下几点：</w:t>
            </w:r>
          </w:p>
          <w:p>
            <w:pPr>
              <w:adjustRightInd w:val="0"/>
              <w:snapToGrid w:val="0"/>
              <w:spacing w:line="360" w:lineRule="auto"/>
              <w:ind w:firstLine="480" w:firstLineChars="200"/>
              <w:rPr>
                <w:rFonts w:hint="eastAsia" w:eastAsia="宋体"/>
                <w:snapToGrid w:val="0"/>
                <w:color w:val="auto"/>
                <w:kern w:val="0"/>
                <w:sz w:val="24"/>
                <w:highlight w:val="none"/>
                <w:lang w:eastAsia="zh-CN"/>
              </w:rPr>
            </w:pPr>
            <w:r>
              <w:rPr>
                <w:snapToGrid w:val="0"/>
                <w:color w:val="auto"/>
                <w:kern w:val="0"/>
                <w:sz w:val="24"/>
                <w:highlight w:val="none"/>
              </w:rPr>
              <w:t>①施工单位要加强操作人员的环境意识，对一些零星的手工作业。如拆装模板、装卸</w:t>
            </w:r>
            <w:r>
              <w:rPr>
                <w:rFonts w:hint="eastAsia"/>
                <w:snapToGrid w:val="0"/>
                <w:color w:val="auto"/>
                <w:kern w:val="0"/>
                <w:sz w:val="24"/>
                <w:highlight w:val="none"/>
                <w:lang w:eastAsia="zh-CN"/>
              </w:rPr>
              <w:t>设备</w:t>
            </w:r>
            <w:r>
              <w:rPr>
                <w:snapToGrid w:val="0"/>
                <w:color w:val="auto"/>
                <w:kern w:val="0"/>
                <w:sz w:val="24"/>
                <w:highlight w:val="none"/>
              </w:rPr>
              <w:t>，尽可能做到轻拿轻放，并辅以一定的减缓措施，如铺设草包等</w:t>
            </w:r>
            <w:r>
              <w:rPr>
                <w:rFonts w:hint="eastAsia"/>
                <w:snapToGrid w:val="0"/>
                <w:color w:val="auto"/>
                <w:kern w:val="0"/>
                <w:sz w:val="24"/>
                <w:highlight w:val="none"/>
                <w:lang w:eastAsia="zh-CN"/>
              </w:rPr>
              <w:t>。</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②禁止在夜间施工，因工艺因素</w:t>
            </w:r>
            <w:r>
              <w:rPr>
                <w:rFonts w:hint="eastAsia"/>
                <w:snapToGrid w:val="0"/>
                <w:color w:val="auto"/>
                <w:kern w:val="0"/>
                <w:sz w:val="24"/>
                <w:highlight w:val="none"/>
                <w:lang w:eastAsia="zh-CN"/>
              </w:rPr>
              <w:t>或其他</w:t>
            </w:r>
            <w:r>
              <w:rPr>
                <w:snapToGrid w:val="0"/>
                <w:color w:val="auto"/>
                <w:kern w:val="0"/>
                <w:sz w:val="24"/>
                <w:highlight w:val="none"/>
              </w:rPr>
              <w:t>特殊原因确需夜间施工的应提前向当地生态环境部门申请夜间施工许可，并依法接受监督。</w:t>
            </w:r>
          </w:p>
          <w:p>
            <w:pPr>
              <w:widowControl/>
              <w:autoSpaceDE w:val="0"/>
              <w:autoSpaceDN w:val="0"/>
              <w:adjustRightInd w:val="0"/>
              <w:snapToGrid w:val="0"/>
              <w:spacing w:line="360" w:lineRule="auto"/>
              <w:ind w:firstLine="480" w:firstLineChars="200"/>
              <w:textAlignment w:val="baseline"/>
              <w:rPr>
                <w:rFonts w:hint="eastAsia" w:eastAsia="宋体"/>
                <w:snapToGrid w:val="0"/>
                <w:color w:val="auto"/>
                <w:kern w:val="0"/>
                <w:sz w:val="24"/>
                <w:highlight w:val="none"/>
                <w:lang w:eastAsia="zh-CN"/>
              </w:rPr>
            </w:pPr>
            <w:r>
              <w:rPr>
                <w:snapToGrid w:val="0"/>
                <w:color w:val="auto"/>
                <w:kern w:val="0"/>
                <w:sz w:val="24"/>
                <w:highlight w:val="none"/>
              </w:rPr>
              <w:t>③对人为的施工噪声加强管理</w:t>
            </w:r>
            <w:r>
              <w:rPr>
                <w:rFonts w:hint="eastAsia"/>
                <w:snapToGrid w:val="0"/>
                <w:color w:val="auto"/>
                <w:kern w:val="0"/>
                <w:sz w:val="24"/>
                <w:highlight w:val="none"/>
                <w:lang w:eastAsia="zh-CN"/>
              </w:rPr>
              <w:t>。</w:t>
            </w:r>
          </w:p>
          <w:p>
            <w:pPr>
              <w:widowControl/>
              <w:autoSpaceDE w:val="0"/>
              <w:autoSpaceDN w:val="0"/>
              <w:adjustRightInd w:val="0"/>
              <w:snapToGrid w:val="0"/>
              <w:spacing w:line="360" w:lineRule="auto"/>
              <w:ind w:firstLine="480" w:firstLineChars="200"/>
              <w:textAlignment w:val="baseline"/>
              <w:rPr>
                <w:snapToGrid w:val="0"/>
                <w:color w:val="auto"/>
                <w:kern w:val="0"/>
                <w:sz w:val="24"/>
                <w:highlight w:val="none"/>
              </w:rPr>
            </w:pPr>
            <w:r>
              <w:rPr>
                <w:snapToGrid w:val="0"/>
                <w:color w:val="auto"/>
                <w:kern w:val="0"/>
                <w:sz w:val="24"/>
                <w:highlight w:val="none"/>
              </w:rPr>
              <w:t>④承担运输的车辆，进出施工场地时要做到减速慢行，禁止鸣笛。</w:t>
            </w:r>
          </w:p>
          <w:p>
            <w:pPr>
              <w:widowControl/>
              <w:autoSpaceDE w:val="0"/>
              <w:autoSpaceDN w:val="0"/>
              <w:adjustRightInd w:val="0"/>
              <w:snapToGrid w:val="0"/>
              <w:spacing w:line="360" w:lineRule="auto"/>
              <w:textAlignment w:val="baseline"/>
              <w:rPr>
                <w:b/>
                <w:color w:val="auto"/>
                <w:sz w:val="24"/>
                <w:highlight w:val="none"/>
              </w:rPr>
            </w:pPr>
            <w:r>
              <w:rPr>
                <w:rFonts w:hint="eastAsia"/>
                <w:b/>
                <w:color w:val="auto"/>
                <w:sz w:val="24"/>
                <w:highlight w:val="none"/>
              </w:rPr>
              <w:t xml:space="preserve">4.4 </w:t>
            </w:r>
            <w:r>
              <w:rPr>
                <w:b/>
                <w:color w:val="auto"/>
                <w:sz w:val="24"/>
                <w:highlight w:val="none"/>
              </w:rPr>
              <w:t>固体废物环境保护措施</w:t>
            </w:r>
          </w:p>
          <w:p>
            <w:pPr>
              <w:widowControl/>
              <w:autoSpaceDE w:val="0"/>
              <w:autoSpaceDN w:val="0"/>
              <w:adjustRightInd w:val="0"/>
              <w:snapToGrid w:val="0"/>
              <w:spacing w:line="360" w:lineRule="auto"/>
              <w:ind w:firstLine="480" w:firstLineChars="200"/>
              <w:textAlignment w:val="baseline"/>
              <w:rPr>
                <w:color w:val="auto"/>
                <w:sz w:val="24"/>
                <w:highlight w:val="none"/>
              </w:rPr>
            </w:pPr>
            <w:r>
              <w:rPr>
                <w:color w:val="auto"/>
                <w:sz w:val="24"/>
                <w:highlight w:val="none"/>
              </w:rPr>
              <w:t>施工</w:t>
            </w:r>
            <w:r>
              <w:rPr>
                <w:rFonts w:hint="eastAsia"/>
                <w:color w:val="auto"/>
                <w:sz w:val="24"/>
                <w:highlight w:val="none"/>
              </w:rPr>
              <w:t>期</w:t>
            </w:r>
            <w:r>
              <w:rPr>
                <w:color w:val="auto"/>
                <w:sz w:val="24"/>
                <w:highlight w:val="none"/>
              </w:rPr>
              <w:t>固体废物的来源主要是施工人员的生活垃圾、</w:t>
            </w:r>
            <w:r>
              <w:rPr>
                <w:bCs/>
                <w:color w:val="auto"/>
                <w:sz w:val="24"/>
                <w:highlight w:val="none"/>
              </w:rPr>
              <w:t>包装</w:t>
            </w:r>
            <w:r>
              <w:rPr>
                <w:rFonts w:hint="eastAsia"/>
                <w:bCs/>
                <w:color w:val="auto"/>
                <w:sz w:val="24"/>
                <w:highlight w:val="none"/>
              </w:rPr>
              <w:t>材料</w:t>
            </w:r>
            <w:r>
              <w:rPr>
                <w:color w:val="auto"/>
                <w:sz w:val="24"/>
                <w:highlight w:val="none"/>
              </w:rPr>
              <w:t>等。</w:t>
            </w:r>
          </w:p>
          <w:p>
            <w:pPr>
              <w:widowControl/>
              <w:autoSpaceDE w:val="0"/>
              <w:autoSpaceDN w:val="0"/>
              <w:adjustRightInd w:val="0"/>
              <w:snapToGrid w:val="0"/>
              <w:spacing w:line="360" w:lineRule="auto"/>
              <w:ind w:firstLine="480" w:firstLineChars="200"/>
              <w:textAlignment w:val="baseline"/>
              <w:rPr>
                <w:color w:val="auto"/>
                <w:sz w:val="24"/>
                <w:highlight w:val="none"/>
              </w:rPr>
            </w:pPr>
            <w:r>
              <w:rPr>
                <w:rFonts w:hint="default" w:ascii="Times New Roman" w:hAnsi="Times New Roman" w:eastAsia="宋体" w:cs="Times New Roman"/>
                <w:bCs/>
                <w:color w:val="auto"/>
                <w:sz w:val="24"/>
                <w:highlight w:val="none"/>
              </w:rPr>
              <w:t>①</w:t>
            </w:r>
            <w:r>
              <w:rPr>
                <w:rFonts w:hint="eastAsia" w:ascii="Times New Roman" w:hAnsi="Times New Roman" w:eastAsia="宋体" w:cs="Times New Roman"/>
                <w:bCs/>
                <w:color w:val="auto"/>
                <w:sz w:val="24"/>
                <w:highlight w:val="none"/>
              </w:rPr>
              <w:t>包</w:t>
            </w:r>
            <w:r>
              <w:rPr>
                <w:bCs/>
                <w:color w:val="auto"/>
                <w:sz w:val="24"/>
                <w:highlight w:val="none"/>
              </w:rPr>
              <w:t>装</w:t>
            </w:r>
            <w:r>
              <w:rPr>
                <w:rFonts w:hint="eastAsia"/>
                <w:bCs/>
                <w:color w:val="auto"/>
                <w:sz w:val="24"/>
                <w:highlight w:val="none"/>
              </w:rPr>
              <w:t>材料</w:t>
            </w:r>
            <w:r>
              <w:rPr>
                <w:bCs/>
                <w:color w:val="auto"/>
                <w:sz w:val="24"/>
                <w:highlight w:val="none"/>
              </w:rPr>
              <w:t>：项目工程建设、装修过程产生</w:t>
            </w:r>
            <w:r>
              <w:rPr>
                <w:rFonts w:hint="eastAsia"/>
                <w:bCs/>
                <w:color w:val="auto"/>
                <w:sz w:val="24"/>
                <w:highlight w:val="none"/>
                <w:lang w:eastAsia="zh-CN"/>
              </w:rPr>
              <w:t>的</w:t>
            </w:r>
            <w:r>
              <w:rPr>
                <w:rFonts w:hint="eastAsia"/>
                <w:bCs/>
                <w:color w:val="auto"/>
                <w:sz w:val="24"/>
                <w:highlight w:val="none"/>
              </w:rPr>
              <w:t>装饰材料</w:t>
            </w:r>
            <w:r>
              <w:rPr>
                <w:bCs/>
                <w:color w:val="auto"/>
                <w:sz w:val="24"/>
                <w:highlight w:val="none"/>
              </w:rPr>
              <w:t>包装袋等，可回收利用的作为废品外卖，不可回收利用的作为不可重复利</w:t>
            </w:r>
            <w:r>
              <w:rPr>
                <w:rFonts w:hint="eastAsia"/>
                <w:bCs/>
                <w:color w:val="auto"/>
                <w:sz w:val="24"/>
                <w:highlight w:val="none"/>
                <w:lang w:eastAsia="zh-CN"/>
              </w:rPr>
              <w:t>用的</w:t>
            </w:r>
            <w:r>
              <w:rPr>
                <w:bCs/>
                <w:color w:val="auto"/>
                <w:sz w:val="24"/>
                <w:highlight w:val="none"/>
              </w:rPr>
              <w:t>建筑垃圾处理。</w:t>
            </w:r>
          </w:p>
          <w:p>
            <w:pPr>
              <w:widowControl/>
              <w:autoSpaceDE w:val="0"/>
              <w:autoSpaceDN w:val="0"/>
              <w:adjustRightInd w:val="0"/>
              <w:snapToGrid w:val="0"/>
              <w:spacing w:line="360" w:lineRule="auto"/>
              <w:ind w:firstLine="480" w:firstLineChars="200"/>
              <w:textAlignment w:val="baseline"/>
              <w:rPr>
                <w:bCs/>
                <w:color w:val="auto"/>
                <w:sz w:val="24"/>
                <w:highlight w:val="none"/>
              </w:rPr>
            </w:pPr>
            <w:r>
              <w:rPr>
                <w:rFonts w:hint="default" w:ascii="Times New Roman" w:hAnsi="Times New Roman" w:eastAsia="宋体" w:cs="Times New Roman"/>
                <w:color w:val="auto"/>
                <w:sz w:val="24"/>
                <w:highlight w:val="none"/>
              </w:rPr>
              <w:t>②</w:t>
            </w:r>
            <w:r>
              <w:rPr>
                <w:rFonts w:ascii="Times New Roman" w:hAnsi="Times New Roman" w:eastAsia="宋体" w:cs="Times New Roman"/>
                <w:color w:val="auto"/>
                <w:sz w:val="24"/>
                <w:highlight w:val="none"/>
              </w:rPr>
              <w:t>生活垃</w:t>
            </w:r>
            <w:r>
              <w:rPr>
                <w:color w:val="auto"/>
                <w:sz w:val="24"/>
                <w:highlight w:val="none"/>
              </w:rPr>
              <w:t>圾：禁止乱堆乱放，集中收集后定期清运，能够全部处理。生活垃圾收集后由环卫部门统一收集后清运至当地垃圾填埋场集中处置。</w:t>
            </w:r>
          </w:p>
          <w:p>
            <w:pPr>
              <w:widowControl/>
              <w:autoSpaceDE w:val="0"/>
              <w:autoSpaceDN w:val="0"/>
              <w:adjustRightInd w:val="0"/>
              <w:snapToGrid w:val="0"/>
              <w:spacing w:line="360" w:lineRule="auto"/>
              <w:textAlignment w:val="baseline"/>
              <w:rPr>
                <w:b/>
                <w:color w:val="auto"/>
                <w:sz w:val="24"/>
                <w:highlight w:val="none"/>
              </w:rPr>
            </w:pPr>
            <w:r>
              <w:rPr>
                <w:rFonts w:hint="eastAsia"/>
                <w:b/>
                <w:color w:val="auto"/>
                <w:sz w:val="24"/>
                <w:highlight w:val="none"/>
              </w:rPr>
              <w:t xml:space="preserve">4.5 </w:t>
            </w:r>
            <w:r>
              <w:rPr>
                <w:b/>
                <w:color w:val="auto"/>
                <w:sz w:val="24"/>
                <w:highlight w:val="none"/>
              </w:rPr>
              <w:t>施工期生态环境保护措施</w:t>
            </w:r>
          </w:p>
          <w:p>
            <w:pPr>
              <w:widowControl/>
              <w:autoSpaceDE w:val="0"/>
              <w:autoSpaceDN w:val="0"/>
              <w:adjustRightInd w:val="0"/>
              <w:snapToGrid w:val="0"/>
              <w:spacing w:line="360" w:lineRule="auto"/>
              <w:ind w:firstLine="480" w:firstLineChars="200"/>
              <w:textAlignment w:val="baseline"/>
              <w:rPr>
                <w:color w:val="auto"/>
                <w:sz w:val="24"/>
                <w:highlight w:val="none"/>
              </w:rPr>
            </w:pPr>
            <w:r>
              <w:rPr>
                <w:rFonts w:hint="eastAsia"/>
                <w:color w:val="auto"/>
                <w:sz w:val="24"/>
                <w:highlight w:val="none"/>
              </w:rPr>
              <w:t>本项目为新建项目，施工期主要为设备安装，不涉及地面开挖等</w:t>
            </w:r>
            <w:r>
              <w:rPr>
                <w:rFonts w:hint="eastAsia"/>
                <w:color w:val="auto"/>
                <w:sz w:val="24"/>
                <w:highlight w:val="none"/>
                <w:lang w:eastAsia="zh-CN"/>
              </w:rPr>
              <w:t>，</w:t>
            </w:r>
            <w:r>
              <w:rPr>
                <w:rFonts w:hint="eastAsia"/>
                <w:color w:val="auto"/>
                <w:sz w:val="24"/>
                <w:highlight w:val="none"/>
              </w:rPr>
              <w:t>会破坏植被的施工方式，因此不会对周围生态环境带来不良的影响。</w:t>
            </w:r>
          </w:p>
          <w:p>
            <w:pPr>
              <w:spacing w:line="360" w:lineRule="auto"/>
              <w:ind w:firstLine="480" w:firstLineChars="200"/>
              <w:rPr>
                <w:rFonts w:hint="eastAsia"/>
                <w:color w:val="auto"/>
                <w:kern w:val="0"/>
                <w:sz w:val="24"/>
                <w:lang w:eastAsia="zh-CN"/>
              </w:rPr>
            </w:pPr>
            <w:r>
              <w:rPr>
                <w:rFonts w:ascii="Times New Roman" w:hAnsi="Times New Roman" w:eastAsia="宋体" w:cs="Times New Roman"/>
                <w:color w:val="auto"/>
                <w:sz w:val="24"/>
                <w:highlight w:val="none"/>
              </w:rPr>
              <w:t>综上所述，施工期各要素对环境的影响是暂时的、局部的，采取有效的控制措施，可将影响降至最低，施工结束后基本可消除。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2" w:type="dxa"/>
            <w:tcMar>
              <w:left w:w="28" w:type="dxa"/>
              <w:right w:w="28" w:type="dxa"/>
            </w:tcMar>
            <w:vAlign w:val="center"/>
          </w:tcPr>
          <w:p>
            <w:pPr>
              <w:adjustRightInd w:val="0"/>
              <w:snapToGrid w:val="0"/>
              <w:spacing w:line="360" w:lineRule="auto"/>
              <w:jc w:val="center"/>
              <w:rPr>
                <w:bCs/>
                <w:color w:val="auto"/>
                <w:sz w:val="24"/>
              </w:rPr>
            </w:pPr>
            <w:r>
              <w:rPr>
                <w:bCs/>
                <w:color w:val="auto"/>
                <w:sz w:val="24"/>
              </w:rPr>
              <w:t>运营</w:t>
            </w:r>
          </w:p>
          <w:p>
            <w:pPr>
              <w:adjustRightInd w:val="0"/>
              <w:snapToGrid w:val="0"/>
              <w:spacing w:line="360" w:lineRule="auto"/>
              <w:jc w:val="center"/>
              <w:rPr>
                <w:bCs/>
                <w:color w:val="auto"/>
                <w:sz w:val="24"/>
              </w:rPr>
            </w:pPr>
            <w:r>
              <w:rPr>
                <w:bCs/>
                <w:color w:val="auto"/>
                <w:sz w:val="24"/>
              </w:rPr>
              <w:t>期环</w:t>
            </w:r>
          </w:p>
          <w:p>
            <w:pPr>
              <w:adjustRightInd w:val="0"/>
              <w:snapToGrid w:val="0"/>
              <w:spacing w:line="360" w:lineRule="auto"/>
              <w:jc w:val="center"/>
              <w:rPr>
                <w:bCs/>
                <w:color w:val="auto"/>
                <w:sz w:val="24"/>
              </w:rPr>
            </w:pPr>
            <w:r>
              <w:rPr>
                <w:bCs/>
                <w:color w:val="auto"/>
                <w:sz w:val="24"/>
              </w:rPr>
              <w:t>境影</w:t>
            </w:r>
          </w:p>
          <w:p>
            <w:pPr>
              <w:adjustRightInd w:val="0"/>
              <w:snapToGrid w:val="0"/>
              <w:spacing w:line="360" w:lineRule="auto"/>
              <w:jc w:val="center"/>
              <w:rPr>
                <w:bCs/>
                <w:color w:val="auto"/>
                <w:sz w:val="24"/>
              </w:rPr>
            </w:pPr>
            <w:r>
              <w:rPr>
                <w:bCs/>
                <w:color w:val="auto"/>
                <w:sz w:val="24"/>
              </w:rPr>
              <w:t>响和</w:t>
            </w:r>
          </w:p>
          <w:p>
            <w:pPr>
              <w:adjustRightInd w:val="0"/>
              <w:snapToGrid w:val="0"/>
              <w:spacing w:line="360" w:lineRule="auto"/>
              <w:jc w:val="center"/>
              <w:rPr>
                <w:bCs/>
                <w:color w:val="auto"/>
                <w:sz w:val="24"/>
              </w:rPr>
            </w:pPr>
            <w:r>
              <w:rPr>
                <w:bCs/>
                <w:color w:val="auto"/>
                <w:sz w:val="24"/>
              </w:rPr>
              <w:t>保护</w:t>
            </w:r>
          </w:p>
          <w:p>
            <w:pPr>
              <w:adjustRightInd w:val="0"/>
              <w:snapToGrid w:val="0"/>
              <w:spacing w:line="360" w:lineRule="auto"/>
              <w:jc w:val="center"/>
              <w:rPr>
                <w:bCs/>
                <w:color w:val="auto"/>
                <w:szCs w:val="21"/>
              </w:rPr>
            </w:pPr>
            <w:r>
              <w:rPr>
                <w:bCs/>
                <w:color w:val="auto"/>
                <w:sz w:val="24"/>
              </w:rPr>
              <w:t>措施</w:t>
            </w:r>
          </w:p>
        </w:tc>
        <w:tc>
          <w:tcPr>
            <w:tcW w:w="8349" w:type="dxa"/>
            <w:vAlign w:val="center"/>
          </w:tcPr>
          <w:p>
            <w:pPr>
              <w:widowControl/>
              <w:spacing w:line="360" w:lineRule="auto"/>
              <w:jc w:val="left"/>
              <w:rPr>
                <w:b/>
                <w:bCs/>
                <w:color w:val="auto"/>
                <w:sz w:val="24"/>
              </w:rPr>
            </w:pPr>
            <w:r>
              <w:rPr>
                <w:b/>
                <w:bCs/>
                <w:color w:val="auto"/>
                <w:sz w:val="24"/>
              </w:rPr>
              <w:t>1.废气</w:t>
            </w:r>
          </w:p>
          <w:p>
            <w:pPr>
              <w:widowControl/>
              <w:spacing w:line="360" w:lineRule="auto"/>
              <w:jc w:val="left"/>
              <w:rPr>
                <w:rFonts w:ascii="Times New Roman" w:hAnsi="Times New Roman" w:eastAsia="宋体" w:cs="Times New Roman"/>
                <w:b/>
                <w:color w:val="auto"/>
                <w:sz w:val="24"/>
                <w:szCs w:val="24"/>
                <w:highlight w:val="none"/>
              </w:rPr>
            </w:pPr>
            <w:r>
              <w:rPr>
                <w:b/>
                <w:bCs/>
                <w:color w:val="auto"/>
                <w:sz w:val="24"/>
              </w:rPr>
              <w:t>1.</w:t>
            </w:r>
            <w:r>
              <w:rPr>
                <w:rFonts w:hint="eastAsia"/>
                <w:b/>
                <w:bCs/>
                <w:color w:val="auto"/>
                <w:sz w:val="24"/>
                <w:lang w:val="en-US" w:eastAsia="zh-CN"/>
              </w:rPr>
              <w:t>1</w:t>
            </w:r>
            <w:r>
              <w:rPr>
                <w:rFonts w:ascii="Times New Roman" w:hAnsi="Times New Roman" w:eastAsia="宋体" w:cs="Times New Roman"/>
                <w:b/>
                <w:color w:val="auto"/>
                <w:sz w:val="24"/>
                <w:szCs w:val="24"/>
                <w:highlight w:val="none"/>
              </w:rPr>
              <w:t>大气环境</w:t>
            </w:r>
            <w:r>
              <w:rPr>
                <w:rFonts w:hint="eastAsia" w:ascii="Times New Roman" w:hAnsi="Times New Roman" w:eastAsia="宋体" w:cs="Times New Roman"/>
                <w:b/>
                <w:color w:val="auto"/>
                <w:sz w:val="24"/>
                <w:szCs w:val="24"/>
                <w:highlight w:val="none"/>
              </w:rPr>
              <w:t>保护措施及</w:t>
            </w:r>
            <w:r>
              <w:rPr>
                <w:rFonts w:ascii="Times New Roman" w:hAnsi="Times New Roman" w:eastAsia="宋体" w:cs="Times New Roman"/>
                <w:b/>
                <w:color w:val="auto"/>
                <w:sz w:val="24"/>
                <w:szCs w:val="24"/>
                <w:highlight w:val="none"/>
              </w:rPr>
              <w:t>影响分析</w:t>
            </w:r>
          </w:p>
          <w:p>
            <w:pPr>
              <w:widowControl/>
              <w:autoSpaceDE w:val="0"/>
              <w:autoSpaceDN w:val="0"/>
              <w:adjustRightInd w:val="0"/>
              <w:snapToGrid w:val="0"/>
              <w:spacing w:line="360" w:lineRule="auto"/>
              <w:ind w:firstLine="480" w:firstLineChars="200"/>
              <w:textAlignment w:val="baseline"/>
              <w:rPr>
                <w:rFonts w:hint="eastAsia" w:cs="Times New Roman"/>
                <w:b w:val="0"/>
                <w:bCs w:val="0"/>
                <w:color w:val="auto"/>
                <w:sz w:val="24"/>
                <w:szCs w:val="24"/>
                <w:highlight w:val="none"/>
                <w:lang w:val="en-US" w:eastAsia="zh-CN"/>
              </w:rPr>
            </w:pPr>
            <w:r>
              <w:rPr>
                <w:rFonts w:hint="eastAsia" w:ascii="Times New Roman" w:hAnsi="Times New Roman" w:cs="Times New Roman"/>
                <w:color w:val="auto"/>
                <w:sz w:val="24"/>
                <w:highlight w:val="none"/>
                <w:lang w:val="en-US" w:eastAsia="zh-CN"/>
              </w:rPr>
              <w:t>扩建项目运营过程中产生的废气主要为抛丸、喷塑过程中产生的颗粒物以及烘干固化工序产生的</w:t>
            </w:r>
            <w:r>
              <w:rPr>
                <w:rFonts w:hint="default" w:ascii="Times New Roman" w:hAnsi="Times New Roman" w:eastAsia="宋体" w:cs="Times New Roman"/>
                <w:b w:val="0"/>
                <w:bCs w:val="0"/>
                <w:color w:val="auto"/>
                <w:sz w:val="24"/>
                <w:szCs w:val="24"/>
                <w:highlight w:val="none"/>
                <w:lang w:val="en-US" w:eastAsia="zh-CN"/>
              </w:rPr>
              <w:t>挥发性有机废气</w:t>
            </w:r>
            <w:r>
              <w:rPr>
                <w:rFonts w:hint="eastAsia" w:cs="Times New Roman"/>
                <w:b w:val="0"/>
                <w:bCs w:val="0"/>
                <w:color w:val="auto"/>
                <w:sz w:val="24"/>
                <w:szCs w:val="24"/>
                <w:highlight w:val="none"/>
                <w:lang w:val="en-US" w:eastAsia="zh-CN"/>
              </w:rPr>
              <w:t>。</w:t>
            </w:r>
          </w:p>
          <w:p>
            <w:pPr>
              <w:widowControl/>
              <w:autoSpaceDE w:val="0"/>
              <w:autoSpaceDN w:val="0"/>
              <w:adjustRightInd w:val="0"/>
              <w:snapToGrid w:val="0"/>
              <w:spacing w:line="360" w:lineRule="auto"/>
              <w:ind w:firstLine="480" w:firstLineChars="200"/>
              <w:textAlignment w:val="baseline"/>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（1）有组织废气</w:t>
            </w:r>
          </w:p>
          <w:p>
            <w:pPr>
              <w:widowControl/>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①喷塑工序产生的颗粒物</w:t>
            </w:r>
          </w:p>
          <w:p>
            <w:pPr>
              <w:widowControl/>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项目喷塑</w:t>
            </w:r>
            <w:r>
              <w:rPr>
                <w:rFonts w:hint="eastAsia" w:cs="Times New Roman"/>
                <w:color w:val="auto"/>
                <w:sz w:val="24"/>
                <w:szCs w:val="24"/>
                <w:highlight w:val="none"/>
                <w:lang w:val="en-US" w:eastAsia="zh-CN"/>
              </w:rPr>
              <w:t>工序运行过程设备密闭</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利用静电吸附原理，在工件的表面均匀地喷上一层粉末涂料，</w:t>
            </w:r>
            <w:r>
              <w:rPr>
                <w:rFonts w:hint="default" w:ascii="Times New Roman" w:hAnsi="Times New Roman" w:eastAsia="宋体" w:cs="Times New Roman"/>
                <w:color w:val="auto"/>
                <w:sz w:val="24"/>
                <w:szCs w:val="24"/>
                <w:highlight w:val="none"/>
                <w:lang w:val="en-US" w:eastAsia="zh-CN"/>
              </w:rPr>
              <w:t>产生的大气污染物主要喷塑过程中</w:t>
            </w:r>
            <w:r>
              <w:rPr>
                <w:rFonts w:hint="eastAsia" w:cs="Times New Roman"/>
                <w:color w:val="auto"/>
                <w:sz w:val="24"/>
                <w:szCs w:val="24"/>
                <w:highlight w:val="none"/>
                <w:lang w:val="en-US" w:eastAsia="zh-CN"/>
              </w:rPr>
              <w:t>产生的颗粒物，落下的粉末通过回收系统回收，经过布袋除尘器（处理效率为95%）处理后由</w:t>
            </w:r>
            <w:r>
              <w:rPr>
                <w:rFonts w:hint="default" w:ascii="Times New Roman" w:hAnsi="Times New Roman" w:eastAsia="宋体" w:cs="Times New Roman"/>
                <w:color w:val="auto"/>
                <w:sz w:val="24"/>
                <w:szCs w:val="24"/>
                <w:highlight w:val="none"/>
                <w:lang w:val="en-US" w:eastAsia="zh-CN"/>
              </w:rPr>
              <w:t>15m高排气筒高空排放。</w:t>
            </w:r>
            <w:r>
              <w:rPr>
                <w:rFonts w:hint="eastAsia" w:cs="Times New Roman"/>
                <w:color w:val="auto"/>
                <w:sz w:val="24"/>
                <w:szCs w:val="24"/>
                <w:highlight w:val="none"/>
                <w:lang w:val="en-US" w:eastAsia="zh-CN"/>
              </w:rPr>
              <w:t>布袋除尘器收集的粉尘</w:t>
            </w:r>
            <w:r>
              <w:rPr>
                <w:rFonts w:hint="default" w:ascii="Times New Roman" w:hAnsi="Times New Roman" w:eastAsia="宋体" w:cs="Times New Roman"/>
                <w:color w:val="auto"/>
                <w:sz w:val="24"/>
                <w:szCs w:val="24"/>
                <w:highlight w:val="none"/>
                <w:lang w:val="en-US" w:eastAsia="zh-CN"/>
              </w:rPr>
              <w:t>全部回用于喷塑工序。</w:t>
            </w:r>
          </w:p>
          <w:p>
            <w:pPr>
              <w:widowControl/>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根据《排放源统计调查产排污核算方法和系数手册》（2021年6月）中“218机械行业系数手册-33金属制品行业</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涂装”中的产污系数，颗粒物产生量即为原料用量乘以产污系数，详见表4-</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p>
          <w:p>
            <w:pPr>
              <w:pageBreakBefore w:val="0"/>
              <w:numPr>
                <w:ilvl w:val="0"/>
                <w:numId w:val="0"/>
              </w:numPr>
              <w:overflowPunct/>
              <w:topLinePunct w:val="0"/>
              <w:bidi w:val="0"/>
              <w:spacing w:line="36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喷塑工序产污系数表</w:t>
            </w:r>
          </w:p>
          <w:tbl>
            <w:tblPr>
              <w:tblStyle w:val="24"/>
              <w:tblW w:w="82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41"/>
              <w:gridCol w:w="668"/>
              <w:gridCol w:w="709"/>
              <w:gridCol w:w="396"/>
              <w:gridCol w:w="1180"/>
              <w:gridCol w:w="1022"/>
              <w:gridCol w:w="696"/>
              <w:gridCol w:w="1151"/>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9" w:hRule="atLeast"/>
                <w:jc w:val="center"/>
              </w:trPr>
              <w:tc>
                <w:tcPr>
                  <w:tcW w:w="392"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工段名称</w:t>
                  </w:r>
                </w:p>
              </w:tc>
              <w:tc>
                <w:tcPr>
                  <w:tcW w:w="389"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原料名称</w:t>
                  </w:r>
                </w:p>
              </w:tc>
              <w:tc>
                <w:tcPr>
                  <w:tcW w:w="406"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工艺名称</w:t>
                  </w:r>
                </w:p>
              </w:tc>
              <w:tc>
                <w:tcPr>
                  <w:tcW w:w="431"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规模</w:t>
                  </w:r>
                </w:p>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等级</w:t>
                  </w:r>
                </w:p>
              </w:tc>
              <w:tc>
                <w:tcPr>
                  <w:tcW w:w="958" w:type="pct"/>
                  <w:gridSpan w:val="2"/>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污染物指标</w:t>
                  </w:r>
                </w:p>
              </w:tc>
              <w:tc>
                <w:tcPr>
                  <w:tcW w:w="621"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en-US"/>
                    </w:rPr>
                  </w:pPr>
                  <w:r>
                    <w:rPr>
                      <w:rFonts w:hint="default" w:ascii="Times New Roman" w:hAnsi="Times New Roman" w:eastAsia="宋体" w:cs="Times New Roman"/>
                      <w:b/>
                      <w:bCs/>
                      <w:color w:val="auto"/>
                      <w:sz w:val="21"/>
                      <w:szCs w:val="21"/>
                      <w:vertAlign w:val="baseline"/>
                    </w:rPr>
                    <w:t>单位</w:t>
                  </w:r>
                </w:p>
              </w:tc>
              <w:tc>
                <w:tcPr>
                  <w:tcW w:w="423"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en-US"/>
                    </w:rPr>
                  </w:pPr>
                  <w:r>
                    <w:rPr>
                      <w:rFonts w:hint="default" w:ascii="Times New Roman" w:hAnsi="Times New Roman" w:eastAsia="宋体" w:cs="Times New Roman"/>
                      <w:b/>
                      <w:bCs/>
                      <w:color w:val="auto"/>
                      <w:sz w:val="21"/>
                      <w:szCs w:val="21"/>
                      <w:vertAlign w:val="baseline"/>
                    </w:rPr>
                    <w:t>产污系数</w:t>
                  </w:r>
                </w:p>
              </w:tc>
              <w:tc>
                <w:tcPr>
                  <w:tcW w:w="700"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末端治理技术名称</w:t>
                  </w:r>
                </w:p>
              </w:tc>
              <w:tc>
                <w:tcPr>
                  <w:tcW w:w="676"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末端治理技术效率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92" w:type="pct"/>
                  <w:vMerge w:val="restar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涂装</w:t>
                  </w:r>
                </w:p>
              </w:tc>
              <w:tc>
                <w:tcPr>
                  <w:tcW w:w="389" w:type="pct"/>
                  <w:vMerge w:val="restar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pacing w:val="5"/>
                      <w:sz w:val="21"/>
                      <w:szCs w:val="21"/>
                      <w:lang w:val="en-US" w:eastAsia="zh-CN"/>
                    </w:rPr>
                    <w:t>塑粉</w:t>
                  </w:r>
                </w:p>
              </w:tc>
              <w:tc>
                <w:tcPr>
                  <w:tcW w:w="406" w:type="pct"/>
                  <w:vMerge w:val="restart"/>
                  <w:tcBorders>
                    <w:top w:val="single" w:color="auto" w:sz="12" w:space="0"/>
                    <w:tl2br w:val="nil"/>
                    <w:tr2bl w:val="nil"/>
                  </w:tcBorders>
                  <w:vAlign w:val="center"/>
                </w:tcPr>
                <w:p>
                  <w:pPr>
                    <w:pStyle w:val="43"/>
                    <w:keepNext w:val="0"/>
                    <w:keepLines w:val="0"/>
                    <w:pageBreakBefore w:val="0"/>
                    <w:wordWrap/>
                    <w:overflowPunct/>
                    <w:topLinePunct w:val="0"/>
                    <w:bidi w:val="0"/>
                    <w:adjustRightInd/>
                    <w:snapToGrid/>
                    <w:spacing w:line="240" w:lineRule="auto"/>
                    <w:ind w:left="0" w:leftChars="0" w:right="0"/>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9"/>
                      <w:sz w:val="21"/>
                      <w:szCs w:val="21"/>
                    </w:rPr>
                    <w:t>喷塑</w:t>
                  </w:r>
                </w:p>
              </w:tc>
              <w:tc>
                <w:tcPr>
                  <w:tcW w:w="431" w:type="pct"/>
                  <w:vMerge w:val="restar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4"/>
                      <w:sz w:val="21"/>
                      <w:szCs w:val="21"/>
                    </w:rPr>
                    <w:t>所有</w:t>
                  </w:r>
                </w:p>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规模</w:t>
                  </w:r>
                </w:p>
              </w:tc>
              <w:tc>
                <w:tcPr>
                  <w:tcW w:w="240" w:type="pct"/>
                  <w:vMerge w:val="restar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lang w:val="en-US" w:eastAsia="zh-CN"/>
                    </w:rPr>
                    <w:t>废气</w:t>
                  </w:r>
                </w:p>
              </w:tc>
              <w:tc>
                <w:tcPr>
                  <w:tcW w:w="717" w:type="pct"/>
                  <w:tcBorders>
                    <w:top w:val="single" w:color="auto" w:sz="12" w:space="0"/>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pacing w:val="4"/>
                      <w:sz w:val="21"/>
                      <w:szCs w:val="21"/>
                      <w:lang w:val="en-US" w:eastAsia="zh-CN"/>
                    </w:rPr>
                  </w:pPr>
                  <w:r>
                    <w:rPr>
                      <w:rFonts w:hint="eastAsia" w:ascii="宋体" w:hAnsi="宋体" w:eastAsia="宋体" w:cs="宋体"/>
                      <w:color w:val="000000"/>
                      <w:kern w:val="0"/>
                      <w:sz w:val="19"/>
                      <w:szCs w:val="19"/>
                      <w:lang w:val="en-US" w:eastAsia="zh-CN" w:bidi="ar"/>
                    </w:rPr>
                    <w:t>工业废气量</w:t>
                  </w:r>
                </w:p>
              </w:tc>
              <w:tc>
                <w:tcPr>
                  <w:tcW w:w="621" w:type="pct"/>
                  <w:tcBorders>
                    <w:top w:val="single" w:color="auto" w:sz="12" w:space="0"/>
                    <w:tl2br w:val="nil"/>
                    <w:tr2bl w:val="nil"/>
                  </w:tcBorders>
                  <w:vAlign w:val="center"/>
                </w:tcPr>
                <w:p>
                  <w:pPr>
                    <w:keepNext w:val="0"/>
                    <w:keepLines w:val="0"/>
                    <w:widowControl/>
                    <w:suppressLineNumbers w:val="0"/>
                    <w:jc w:val="center"/>
                    <w:rPr>
                      <w:rFonts w:hint="default" w:ascii="Times New Roman" w:hAnsi="Times New Roman" w:eastAsia="宋体" w:cs="Times New Roman"/>
                      <w:snapToGrid w:val="0"/>
                      <w:color w:val="auto"/>
                      <w:kern w:val="0"/>
                      <w:sz w:val="21"/>
                      <w:szCs w:val="21"/>
                      <w:lang w:val="en-US" w:eastAsia="en-US" w:bidi="ar-SA"/>
                    </w:rPr>
                  </w:pPr>
                  <w:r>
                    <w:rPr>
                      <w:rFonts w:hint="eastAsia" w:ascii="宋体" w:hAnsi="宋体" w:eastAsia="宋体" w:cs="宋体"/>
                      <w:color w:val="000000"/>
                      <w:kern w:val="0"/>
                      <w:sz w:val="19"/>
                      <w:szCs w:val="19"/>
                      <w:lang w:val="en-US" w:eastAsia="zh-CN" w:bidi="ar"/>
                    </w:rPr>
                    <w:t>立方米/吨</w:t>
                  </w:r>
                  <w:r>
                    <w:rPr>
                      <w:rFonts w:hint="eastAsia" w:ascii="宋体" w:hAnsi="宋体" w:cs="宋体"/>
                      <w:color w:val="000000"/>
                      <w:kern w:val="0"/>
                      <w:sz w:val="19"/>
                      <w:szCs w:val="19"/>
                      <w:lang w:val="en-US" w:eastAsia="zh-CN" w:bidi="ar"/>
                    </w:rPr>
                    <w:t>－</w:t>
                  </w:r>
                  <w:r>
                    <w:rPr>
                      <w:rFonts w:hint="eastAsia" w:ascii="宋体" w:hAnsi="宋体" w:eastAsia="宋体" w:cs="宋体"/>
                      <w:color w:val="000000"/>
                      <w:kern w:val="0"/>
                      <w:sz w:val="19"/>
                      <w:szCs w:val="19"/>
                      <w:lang w:val="en-US" w:eastAsia="zh-CN" w:bidi="ar"/>
                    </w:rPr>
                    <w:t>原料</w:t>
                  </w:r>
                </w:p>
              </w:tc>
              <w:tc>
                <w:tcPr>
                  <w:tcW w:w="423" w:type="pct"/>
                  <w:tcBorders>
                    <w:top w:val="single" w:color="auto" w:sz="12" w:space="0"/>
                    <w:tl2br w:val="nil"/>
                    <w:tr2bl w:val="nil"/>
                  </w:tcBorders>
                  <w:vAlign w:val="center"/>
                </w:tcPr>
                <w:p>
                  <w:pPr>
                    <w:keepNext w:val="0"/>
                    <w:keepLines w:val="0"/>
                    <w:widowControl/>
                    <w:suppressLineNumbers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000000"/>
                      <w:kern w:val="0"/>
                      <w:sz w:val="19"/>
                      <w:szCs w:val="19"/>
                      <w:lang w:val="en-US" w:eastAsia="zh-CN" w:bidi="ar"/>
                    </w:rPr>
                    <w:t>53200</w:t>
                  </w:r>
                </w:p>
              </w:tc>
              <w:tc>
                <w:tcPr>
                  <w:tcW w:w="700" w:type="pc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w:t>
                  </w:r>
                </w:p>
              </w:tc>
              <w:tc>
                <w:tcPr>
                  <w:tcW w:w="676" w:type="pct"/>
                  <w:tcBorders>
                    <w:top w:val="single" w:color="auto" w:sz="12"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92"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389"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406"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431"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240"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717"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lang w:val="en-US" w:eastAsia="zh-CN"/>
                    </w:rPr>
                    <w:t>颗粒物</w:t>
                  </w:r>
                </w:p>
              </w:tc>
              <w:tc>
                <w:tcPr>
                  <w:tcW w:w="621"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宋体" w:hAnsi="宋体" w:eastAsia="宋体" w:cs="宋体"/>
                      <w:color w:val="000000"/>
                      <w:kern w:val="0"/>
                      <w:sz w:val="19"/>
                      <w:szCs w:val="19"/>
                      <w:lang w:val="en-US" w:eastAsia="zh-CN" w:bidi="ar"/>
                    </w:rPr>
                    <w:t>千克/吨</w:t>
                  </w:r>
                  <w:r>
                    <w:rPr>
                      <w:rFonts w:hint="eastAsia" w:cs="宋体"/>
                      <w:color w:val="000000"/>
                      <w:kern w:val="0"/>
                      <w:sz w:val="19"/>
                      <w:szCs w:val="19"/>
                      <w:lang w:val="en-US" w:eastAsia="zh-CN" w:bidi="ar"/>
                    </w:rPr>
                    <w:t>－</w:t>
                  </w:r>
                  <w:r>
                    <w:rPr>
                      <w:rFonts w:hint="default" w:ascii="宋体" w:hAnsi="宋体" w:eastAsia="宋体" w:cs="宋体"/>
                      <w:color w:val="000000"/>
                      <w:kern w:val="0"/>
                      <w:sz w:val="19"/>
                      <w:szCs w:val="19"/>
                      <w:lang w:val="en-US" w:eastAsia="zh-CN" w:bidi="ar"/>
                    </w:rPr>
                    <w:t>原料</w:t>
                  </w:r>
                </w:p>
              </w:tc>
              <w:tc>
                <w:tcPr>
                  <w:tcW w:w="423"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2"/>
                      <w:sz w:val="21"/>
                      <w:szCs w:val="21"/>
                      <w:lang w:val="en-US" w:eastAsia="zh-CN"/>
                    </w:rPr>
                    <w:t>300</w:t>
                  </w:r>
                </w:p>
              </w:tc>
              <w:tc>
                <w:tcPr>
                  <w:tcW w:w="700"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7"/>
                      <w:sz w:val="21"/>
                      <w:szCs w:val="21"/>
                      <w:lang w:val="en-US" w:eastAsia="zh-CN"/>
                    </w:rPr>
                    <w:t>布袋除尘器</w:t>
                  </w:r>
                </w:p>
              </w:tc>
              <w:tc>
                <w:tcPr>
                  <w:tcW w:w="676"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3"/>
                      <w:position w:val="2"/>
                      <w:sz w:val="21"/>
                      <w:szCs w:val="21"/>
                    </w:rPr>
                    <w:t>95%</w:t>
                  </w:r>
                </w:p>
              </w:tc>
            </w:tr>
          </w:tbl>
          <w:p>
            <w:pPr>
              <w:pageBreakBefore w:val="0"/>
              <w:numPr>
                <w:ilvl w:val="0"/>
                <w:numId w:val="0"/>
              </w:numPr>
              <w:overflowPunct/>
              <w:topLinePunct w:val="0"/>
              <w:bidi w:val="0"/>
              <w:spacing w:line="360" w:lineRule="auto"/>
              <w:ind w:left="0" w:leftChars="0" w:right="0" w:firstLine="480" w:firstLineChars="200"/>
              <w:rPr>
                <w:rFonts w:hint="eastAsia" w:cs="Times New Roman"/>
                <w:color w:val="auto"/>
                <w:sz w:val="24"/>
                <w:highlight w:val="none"/>
                <w:lang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塑粉</w:t>
            </w:r>
            <w:r>
              <w:rPr>
                <w:rFonts w:hint="default" w:ascii="Times New Roman" w:hAnsi="Times New Roman" w:eastAsia="宋体" w:cs="Times New Roman"/>
                <w:color w:val="auto"/>
                <w:sz w:val="24"/>
                <w:szCs w:val="24"/>
                <w:highlight w:val="none"/>
                <w:lang w:val="en-US" w:eastAsia="zh-CN"/>
              </w:rPr>
              <w:t>用量为5t/a，则颗粒物产生量为1.5t/a</w:t>
            </w:r>
            <w:r>
              <w:rPr>
                <w:rFonts w:hint="eastAsia" w:cs="Times New Roman"/>
                <w:color w:val="auto"/>
                <w:sz w:val="24"/>
                <w:szCs w:val="24"/>
                <w:highlight w:val="none"/>
                <w:lang w:val="en-US" w:eastAsia="zh-CN"/>
              </w:rPr>
              <w:t>，</w:t>
            </w:r>
            <w:r>
              <w:rPr>
                <w:rFonts w:hint="eastAsia" w:ascii="Times New Roman" w:hAnsi="Times New Roman" w:cs="Times New Roman"/>
                <w:color w:val="auto"/>
                <w:spacing w:val="-1"/>
                <w:sz w:val="24"/>
                <w:szCs w:val="24"/>
                <w:lang w:val="en-US" w:eastAsia="zh-CN"/>
              </w:rPr>
              <w:t>产生速率为0.625</w:t>
            </w:r>
            <w:r>
              <w:rPr>
                <w:rFonts w:hint="default" w:ascii="Times New Roman" w:hAnsi="Times New Roman" w:eastAsia="宋体" w:cs="Times New Roman"/>
                <w:color w:val="auto"/>
                <w:spacing w:val="-1"/>
                <w:sz w:val="24"/>
                <w:szCs w:val="24"/>
              </w:rPr>
              <w:t>kg/h</w:t>
            </w:r>
            <w:r>
              <w:rPr>
                <w:rFonts w:hint="eastAsia" w:ascii="Times New Roman" w:hAnsi="Times New Roman" w:eastAsia="宋体" w:cs="Times New Roman"/>
                <w:color w:val="auto"/>
                <w:spacing w:val="-1"/>
                <w:sz w:val="24"/>
                <w:szCs w:val="24"/>
                <w:lang w:eastAsia="zh-CN"/>
              </w:rPr>
              <w:t>，产生浓度为</w:t>
            </w:r>
            <w:r>
              <w:rPr>
                <w:rFonts w:hint="eastAsia" w:ascii="Times New Roman" w:hAnsi="Times New Roman" w:eastAsia="宋体" w:cs="Times New Roman"/>
                <w:color w:val="auto"/>
                <w:spacing w:val="-1"/>
                <w:sz w:val="24"/>
                <w:szCs w:val="24"/>
                <w:lang w:val="en-US" w:eastAsia="zh-CN"/>
              </w:rPr>
              <w:t>5639.09</w:t>
            </w:r>
            <w:r>
              <w:rPr>
                <w:rFonts w:hint="default" w:ascii="Times New Roman" w:hAnsi="Times New Roman" w:eastAsia="宋体" w:cs="Times New Roman"/>
                <w:color w:val="auto"/>
                <w:spacing w:val="-1"/>
                <w:sz w:val="24"/>
                <w:szCs w:val="24"/>
              </w:rPr>
              <w:t>mg/m</w:t>
            </w:r>
            <w:r>
              <w:rPr>
                <w:rFonts w:hint="default" w:ascii="Times New Roman" w:hAnsi="Times New Roman" w:eastAsia="宋体" w:cs="Times New Roman"/>
                <w:color w:val="auto"/>
                <w:spacing w:val="-1"/>
                <w:sz w:val="24"/>
                <w:szCs w:val="24"/>
                <w:vertAlign w:val="superscript"/>
                <w:lang w:val="en-US" w:eastAsia="zh-CN"/>
              </w:rPr>
              <w:t>3</w:t>
            </w:r>
            <w:r>
              <w:rPr>
                <w:rFonts w:hint="eastAsia"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z w:val="24"/>
                <w:szCs w:val="24"/>
                <w:highlight w:val="none"/>
                <w:lang w:val="en-US" w:eastAsia="zh-CN"/>
              </w:rPr>
              <w:t>项目年工作时间为2400h，风机风量为3000m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收集效率为99%，</w:t>
            </w:r>
            <w:r>
              <w:rPr>
                <w:rFonts w:hint="eastAsia" w:ascii="Times New Roman" w:hAnsi="Times New Roman" w:cs="Times New Roman"/>
                <w:color w:val="auto"/>
                <w:sz w:val="24"/>
                <w:szCs w:val="24"/>
                <w:highlight w:val="none"/>
                <w:lang w:val="en-US" w:eastAsia="zh-CN"/>
              </w:rPr>
              <w:t>有组织颗粒物排放量为0.07</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，排放速率为0.03</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kg/h</w:t>
            </w:r>
            <w:r>
              <w:rPr>
                <w:rFonts w:hint="eastAsia" w:ascii="Times New Roman" w:hAnsi="Times New Roman" w:cs="Times New Roman"/>
                <w:color w:val="auto"/>
                <w:sz w:val="24"/>
                <w:szCs w:val="24"/>
                <w:highlight w:val="none"/>
                <w:lang w:val="en-US" w:eastAsia="zh-CN"/>
              </w:rPr>
              <w:t>，排放浓度为10.</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，有组织颗粒物排放浓度满足</w:t>
            </w:r>
            <w:r>
              <w:rPr>
                <w:rFonts w:hint="default" w:ascii="Times New Roman" w:hAnsi="Times New Roman" w:eastAsia="宋体" w:cs="Times New Roman"/>
                <w:color w:val="auto"/>
                <w:spacing w:val="-3"/>
                <w:sz w:val="24"/>
                <w:szCs w:val="24"/>
                <w:highlight w:val="none"/>
              </w:rPr>
              <w:t>《大气污染物综合排放标准》（GB16297-1996）</w:t>
            </w:r>
            <w:r>
              <w:rPr>
                <w:rFonts w:hint="default" w:ascii="Times New Roman" w:hAnsi="Times New Roman" w:eastAsia="宋体" w:cs="Times New Roman"/>
                <w:color w:val="auto"/>
                <w:sz w:val="24"/>
                <w:highlight w:val="none"/>
              </w:rPr>
              <w:t>相应标准（</w:t>
            </w:r>
            <w:r>
              <w:rPr>
                <w:rFonts w:hint="default" w:ascii="Times New Roman" w:hAnsi="Times New Roman" w:eastAsia="宋体" w:cs="Times New Roman"/>
                <w:color w:val="auto"/>
                <w:sz w:val="24"/>
                <w:highlight w:val="none"/>
                <w:lang w:val="en-US" w:eastAsia="zh-CN"/>
              </w:rPr>
              <w:t>颗粒物</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120</w:t>
            </w:r>
            <w:r>
              <w:rPr>
                <w:rFonts w:hint="default" w:ascii="Times New Roman" w:hAnsi="Times New Roman" w:eastAsia="宋体" w:cs="Times New Roman"/>
                <w:bCs/>
                <w:color w:val="auto"/>
                <w:sz w:val="24"/>
                <w:highlight w:val="none"/>
              </w:rPr>
              <w:t>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，有组织颗粒物排放速率满足</w:t>
            </w:r>
            <w:r>
              <w:rPr>
                <w:rFonts w:hint="default" w:ascii="Times New Roman" w:hAnsi="Times New Roman" w:eastAsia="宋体" w:cs="Times New Roman"/>
                <w:color w:val="auto"/>
                <w:spacing w:val="-3"/>
                <w:sz w:val="24"/>
                <w:szCs w:val="24"/>
                <w:highlight w:val="none"/>
              </w:rPr>
              <w:t>《大气污染物综合排放标准》（GB16297-1996）</w:t>
            </w:r>
            <w:r>
              <w:rPr>
                <w:rFonts w:hint="default" w:ascii="Times New Roman" w:hAnsi="Times New Roman" w:eastAsia="宋体" w:cs="Times New Roman"/>
                <w:color w:val="auto"/>
                <w:sz w:val="24"/>
                <w:highlight w:val="none"/>
              </w:rPr>
              <w:t>相应标准</w:t>
            </w:r>
            <w:r>
              <w:rPr>
                <w:rFonts w:hint="eastAsia" w:cs="Times New Roman"/>
                <w:color w:val="auto"/>
                <w:sz w:val="24"/>
                <w:highlight w:val="none"/>
                <w:lang w:eastAsia="zh-CN"/>
              </w:rPr>
              <w:t>（颗粒物</w:t>
            </w:r>
            <w:r>
              <w:rPr>
                <w:rFonts w:hint="eastAsia" w:cs="Times New Roman"/>
                <w:color w:val="auto"/>
                <w:sz w:val="24"/>
                <w:highlight w:val="none"/>
                <w:lang w:val="en-US" w:eastAsia="zh-CN"/>
              </w:rPr>
              <w:t>3.5</w:t>
            </w:r>
            <w:r>
              <w:rPr>
                <w:rFonts w:hint="default" w:ascii="Times New Roman" w:hAnsi="Times New Roman" w:eastAsia="宋体" w:cs="Times New Roman"/>
                <w:color w:val="auto"/>
                <w:sz w:val="24"/>
                <w:szCs w:val="24"/>
                <w:highlight w:val="none"/>
                <w:lang w:val="en-US" w:eastAsia="zh-CN"/>
              </w:rPr>
              <w:t>kg/h</w:t>
            </w:r>
            <w:r>
              <w:rPr>
                <w:rFonts w:hint="eastAsia" w:cs="Times New Roman"/>
                <w:color w:val="auto"/>
                <w:sz w:val="24"/>
                <w:highlight w:val="none"/>
                <w:lang w:eastAsia="zh-CN"/>
              </w:rPr>
              <w:t>）。</w:t>
            </w:r>
          </w:p>
          <w:p>
            <w:pPr>
              <w:pageBreakBefore w:val="0"/>
              <w:numPr>
                <w:ilvl w:val="0"/>
                <w:numId w:val="0"/>
              </w:numPr>
              <w:overflowPunct/>
              <w:topLinePunct w:val="0"/>
              <w:bidi w:val="0"/>
              <w:spacing w:line="360" w:lineRule="auto"/>
              <w:ind w:left="0" w:leftChars="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抛</w:t>
            </w:r>
            <w:r>
              <w:rPr>
                <w:rFonts w:hint="eastAsia" w:ascii="Times New Roman" w:hAnsi="Times New Roman" w:cs="Times New Roman"/>
                <w:color w:val="auto"/>
                <w:sz w:val="24"/>
                <w:szCs w:val="24"/>
                <w:highlight w:val="none"/>
                <w:lang w:val="en-US" w:eastAsia="zh-CN"/>
              </w:rPr>
              <w:t>丸</w:t>
            </w:r>
            <w:r>
              <w:rPr>
                <w:rFonts w:hint="default" w:ascii="Times New Roman" w:hAnsi="Times New Roman" w:eastAsia="宋体" w:cs="Times New Roman"/>
                <w:color w:val="auto"/>
                <w:sz w:val="24"/>
                <w:szCs w:val="24"/>
                <w:highlight w:val="none"/>
                <w:lang w:val="en-US" w:eastAsia="zh-CN"/>
              </w:rPr>
              <w:t>工序产生的颗粒物</w:t>
            </w:r>
          </w:p>
          <w:p>
            <w:pPr>
              <w:pageBreakBefore w:val="0"/>
              <w:numPr>
                <w:ilvl w:val="0"/>
                <w:numId w:val="0"/>
              </w:numPr>
              <w:overflowPunct/>
              <w:topLinePunct w:val="0"/>
              <w:bidi w:val="0"/>
              <w:spacing w:line="360" w:lineRule="auto"/>
              <w:ind w:left="0" w:leftChars="0" w:right="0" w:firstLine="480" w:firstLineChars="200"/>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本项目</w:t>
            </w:r>
            <w:r>
              <w:rPr>
                <w:rFonts w:hint="default" w:ascii="Times New Roman" w:hAnsi="Times New Roman" w:eastAsia="宋体" w:cs="Times New Roman"/>
                <w:b w:val="0"/>
                <w:bCs w:val="0"/>
                <w:color w:val="auto"/>
                <w:kern w:val="2"/>
                <w:sz w:val="24"/>
                <w:szCs w:val="24"/>
                <w:highlight w:val="none"/>
                <w:lang w:val="en-US" w:eastAsia="zh-CN" w:bidi="ar-SA"/>
              </w:rPr>
              <w:t>抛丸工序</w:t>
            </w:r>
            <w:r>
              <w:rPr>
                <w:rFonts w:hint="eastAsia" w:ascii="Times New Roman" w:hAnsi="Times New Roman" w:cs="Times New Roman"/>
                <w:b w:val="0"/>
                <w:bCs w:val="0"/>
                <w:color w:val="auto"/>
                <w:kern w:val="2"/>
                <w:sz w:val="24"/>
                <w:szCs w:val="24"/>
                <w:highlight w:val="none"/>
                <w:lang w:val="en-US" w:eastAsia="zh-CN" w:bidi="ar-SA"/>
              </w:rPr>
              <w:t>采用</w:t>
            </w:r>
            <w:r>
              <w:rPr>
                <w:rFonts w:hint="default" w:ascii="Times New Roman" w:hAnsi="Times New Roman" w:eastAsia="宋体" w:cs="Times New Roman"/>
                <w:b w:val="0"/>
                <w:bCs w:val="0"/>
                <w:color w:val="auto"/>
                <w:kern w:val="2"/>
                <w:sz w:val="24"/>
                <w:szCs w:val="24"/>
                <w:highlight w:val="none"/>
                <w:lang w:val="en-US" w:eastAsia="zh-CN" w:bidi="ar-SA"/>
              </w:rPr>
              <w:t>单钩式抛丸清理机</w:t>
            </w:r>
            <w:r>
              <w:rPr>
                <w:rFonts w:hint="eastAsia" w:ascii="Times New Roman" w:hAnsi="Times New Roman" w:cs="Times New Roman"/>
                <w:b w:val="0"/>
                <w:bCs w:val="0"/>
                <w:color w:val="auto"/>
                <w:kern w:val="2"/>
                <w:sz w:val="24"/>
                <w:szCs w:val="24"/>
                <w:highlight w:val="none"/>
                <w:lang w:val="en-US" w:eastAsia="zh-CN" w:bidi="ar-SA"/>
              </w:rPr>
              <w:t>，机器运行时吊钩下降吊起工件，上升至一定位置，然后沿轨道进入抛丸清理室，当到达工位后停止并开始自转。此时关闭抛丸清理室大门，打开抛丸器，开供丸闸，开始对工件进行抛丸清理，</w:t>
            </w:r>
            <w:r>
              <w:rPr>
                <w:rFonts w:hint="default" w:ascii="Times New Roman" w:hAnsi="Times New Roman" w:eastAsia="宋体" w:cs="Times New Roman"/>
                <w:b w:val="0"/>
                <w:bCs w:val="0"/>
                <w:color w:val="auto"/>
                <w:kern w:val="2"/>
                <w:sz w:val="24"/>
                <w:szCs w:val="24"/>
                <w:highlight w:val="none"/>
                <w:lang w:val="en-US" w:eastAsia="zh-CN" w:bidi="ar-SA"/>
              </w:rPr>
              <w:t>运行过程设备密闭，收集后的废气经布袋除尘装置</w:t>
            </w:r>
            <w:r>
              <w:rPr>
                <w:rFonts w:hint="eastAsia" w:cs="Times New Roman"/>
                <w:color w:val="auto"/>
                <w:sz w:val="24"/>
                <w:szCs w:val="24"/>
                <w:highlight w:val="none"/>
                <w:lang w:val="en-US" w:eastAsia="zh-CN"/>
              </w:rPr>
              <w:t>（处理效率为95%）</w:t>
            </w:r>
            <w:r>
              <w:rPr>
                <w:rFonts w:hint="default" w:ascii="Times New Roman" w:hAnsi="Times New Roman" w:eastAsia="宋体" w:cs="Times New Roman"/>
                <w:b w:val="0"/>
                <w:bCs w:val="0"/>
                <w:color w:val="auto"/>
                <w:kern w:val="2"/>
                <w:sz w:val="24"/>
                <w:szCs w:val="24"/>
                <w:highlight w:val="none"/>
                <w:lang w:val="en-US" w:eastAsia="zh-CN" w:bidi="ar-SA"/>
              </w:rPr>
              <w:t>处理后</w:t>
            </w:r>
            <w:r>
              <w:rPr>
                <w:rFonts w:hint="eastAsia"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lang w:val="en-US" w:eastAsia="zh-CN"/>
              </w:rPr>
              <w:t>15m高排气筒高空排放</w:t>
            </w:r>
            <w:r>
              <w:rPr>
                <w:rFonts w:hint="default" w:ascii="Times New Roman" w:hAnsi="Times New Roman" w:eastAsia="宋体" w:cs="Times New Roman"/>
                <w:b w:val="0"/>
                <w:bCs w:val="0"/>
                <w:color w:val="auto"/>
                <w:kern w:val="2"/>
                <w:sz w:val="24"/>
                <w:szCs w:val="24"/>
                <w:highlight w:val="none"/>
                <w:lang w:val="en-US" w:eastAsia="zh-CN" w:bidi="ar-SA"/>
              </w:rPr>
              <w:t>，除尘设施风机风量均为</w:t>
            </w:r>
            <w:r>
              <w:rPr>
                <w:rFonts w:hint="eastAsia" w:ascii="Times New Roman" w:hAnsi="Times New Roman"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000m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/h</w:t>
            </w:r>
            <w:r>
              <w:rPr>
                <w:rFonts w:hint="eastAsia" w:ascii="Times New Roman" w:hAnsi="Times New Roman" w:cs="Times New Roman"/>
                <w:b w:val="0"/>
                <w:bCs w:val="0"/>
                <w:color w:val="auto"/>
                <w:kern w:val="2"/>
                <w:sz w:val="24"/>
                <w:szCs w:val="24"/>
                <w:highlight w:val="none"/>
                <w:lang w:val="en-US" w:eastAsia="zh-CN" w:bidi="ar-SA"/>
              </w:rPr>
              <w:t>。</w:t>
            </w:r>
          </w:p>
          <w:p>
            <w:pPr>
              <w:pageBreakBefore w:val="0"/>
              <w:numPr>
                <w:ilvl w:val="0"/>
                <w:numId w:val="0"/>
              </w:numPr>
              <w:overflowPunct/>
              <w:topLinePunct w:val="0"/>
              <w:bidi w:val="0"/>
              <w:spacing w:line="360" w:lineRule="auto"/>
              <w:ind w:left="0" w:leftChars="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根据《排放源统计调查产排污核算方法和系数手册》（2021年6月）中“218机械行业系数手册-33金属制品行业</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预处理</w:t>
            </w:r>
            <w:r>
              <w:rPr>
                <w:rFonts w:hint="default" w:ascii="Times New Roman" w:hAnsi="Times New Roman" w:eastAsia="宋体" w:cs="Times New Roman"/>
                <w:color w:val="auto"/>
                <w:sz w:val="24"/>
                <w:szCs w:val="24"/>
                <w:highlight w:val="none"/>
                <w:lang w:val="en-US" w:eastAsia="zh-CN"/>
              </w:rPr>
              <w:t>”中的产污系数，颗粒物产生量即为原料用量乘以产污系数，详见表4-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pageBreakBefore w:val="0"/>
              <w:numPr>
                <w:ilvl w:val="0"/>
                <w:numId w:val="0"/>
              </w:numPr>
              <w:overflowPunct/>
              <w:topLinePunct w:val="0"/>
              <w:bidi w:val="0"/>
              <w:spacing w:line="360" w:lineRule="auto"/>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抛丸</w:t>
            </w:r>
            <w:r>
              <w:rPr>
                <w:rFonts w:hint="default" w:ascii="Times New Roman" w:hAnsi="Times New Roman" w:eastAsia="宋体" w:cs="Times New Roman"/>
                <w:b/>
                <w:bCs/>
                <w:color w:val="auto"/>
                <w:sz w:val="21"/>
                <w:szCs w:val="21"/>
                <w:highlight w:val="none"/>
                <w:lang w:val="en-US" w:eastAsia="zh-CN"/>
              </w:rPr>
              <w:t>工序产污系数表</w:t>
            </w:r>
          </w:p>
          <w:tbl>
            <w:tblPr>
              <w:tblStyle w:val="24"/>
              <w:tblW w:w="82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80"/>
              <w:gridCol w:w="647"/>
              <w:gridCol w:w="648"/>
              <w:gridCol w:w="341"/>
              <w:gridCol w:w="1173"/>
              <w:gridCol w:w="1029"/>
              <w:gridCol w:w="668"/>
              <w:gridCol w:w="1213"/>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31"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工段名称</w:t>
                  </w:r>
                </w:p>
              </w:tc>
              <w:tc>
                <w:tcPr>
                  <w:tcW w:w="413"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原料名称</w:t>
                  </w:r>
                </w:p>
              </w:tc>
              <w:tc>
                <w:tcPr>
                  <w:tcW w:w="393"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工艺名称</w:t>
                  </w:r>
                </w:p>
              </w:tc>
              <w:tc>
                <w:tcPr>
                  <w:tcW w:w="394"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规模</w:t>
                  </w:r>
                </w:p>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等级</w:t>
                  </w:r>
                </w:p>
              </w:tc>
              <w:tc>
                <w:tcPr>
                  <w:tcW w:w="920" w:type="pct"/>
                  <w:gridSpan w:val="2"/>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污染物指标</w:t>
                  </w:r>
                </w:p>
              </w:tc>
              <w:tc>
                <w:tcPr>
                  <w:tcW w:w="625"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en-US"/>
                    </w:rPr>
                  </w:pPr>
                  <w:r>
                    <w:rPr>
                      <w:rFonts w:hint="default" w:ascii="Times New Roman" w:hAnsi="Times New Roman" w:eastAsia="宋体" w:cs="Times New Roman"/>
                      <w:b/>
                      <w:bCs/>
                      <w:color w:val="auto"/>
                      <w:sz w:val="21"/>
                      <w:szCs w:val="21"/>
                      <w:vertAlign w:val="baseline"/>
                    </w:rPr>
                    <w:t>单位</w:t>
                  </w:r>
                </w:p>
              </w:tc>
              <w:tc>
                <w:tcPr>
                  <w:tcW w:w="406"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lang w:val="en-US" w:eastAsia="en-US"/>
                    </w:rPr>
                  </w:pPr>
                  <w:r>
                    <w:rPr>
                      <w:rFonts w:hint="default" w:ascii="Times New Roman" w:hAnsi="Times New Roman" w:eastAsia="宋体" w:cs="Times New Roman"/>
                      <w:b/>
                      <w:bCs/>
                      <w:color w:val="auto"/>
                      <w:sz w:val="21"/>
                      <w:szCs w:val="21"/>
                      <w:vertAlign w:val="baseline"/>
                    </w:rPr>
                    <w:t>产污系数</w:t>
                  </w:r>
                </w:p>
              </w:tc>
              <w:tc>
                <w:tcPr>
                  <w:tcW w:w="737"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末端治理技术名称</w:t>
                  </w:r>
                </w:p>
              </w:tc>
              <w:tc>
                <w:tcPr>
                  <w:tcW w:w="676"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末端治理技术效率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31" w:type="pct"/>
                  <w:vMerge w:val="restart"/>
                  <w:tcBorders>
                    <w:top w:val="single" w:color="auto" w:sz="12" w:space="0"/>
                    <w:tl2br w:val="nil"/>
                    <w:tr2bl w:val="nil"/>
                  </w:tcBorders>
                  <w:vAlign w:val="center"/>
                </w:tcPr>
                <w:p>
                  <w:pPr>
                    <w:keepNext w:val="0"/>
                    <w:keepLines w:val="0"/>
                    <w:widowControl/>
                    <w:suppressLineNumbers w:val="0"/>
                    <w:jc w:val="left"/>
                  </w:pPr>
                  <w:r>
                    <w:rPr>
                      <w:rFonts w:hint="eastAsia" w:ascii="宋体" w:hAnsi="宋体" w:eastAsia="宋体" w:cs="宋体"/>
                      <w:color w:val="000000"/>
                      <w:kern w:val="0"/>
                      <w:sz w:val="19"/>
                      <w:szCs w:val="19"/>
                      <w:lang w:val="en-US" w:eastAsia="zh-CN" w:bidi="ar"/>
                    </w:rPr>
                    <w:t xml:space="preserve">干式 </w:t>
                  </w:r>
                </w:p>
                <w:p>
                  <w:pPr>
                    <w:keepNext w:val="0"/>
                    <w:keepLines w:val="0"/>
                    <w:widowControl/>
                    <w:suppressLineNumbers w:val="0"/>
                    <w:jc w:val="left"/>
                  </w:pPr>
                  <w:r>
                    <w:rPr>
                      <w:rFonts w:hint="eastAsia" w:ascii="宋体" w:hAnsi="宋体" w:eastAsia="宋体" w:cs="宋体"/>
                      <w:color w:val="000000"/>
                      <w:kern w:val="0"/>
                      <w:sz w:val="19"/>
                      <w:szCs w:val="19"/>
                      <w:lang w:val="en-US" w:eastAsia="zh-CN" w:bidi="ar"/>
                    </w:rPr>
                    <w:t xml:space="preserve">预处 </w:t>
                  </w:r>
                </w:p>
                <w:p>
                  <w:pPr>
                    <w:keepNext w:val="0"/>
                    <w:keepLines w:val="0"/>
                    <w:widowControl/>
                    <w:suppressLineNumbers w:val="0"/>
                    <w:jc w:val="left"/>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color w:val="000000"/>
                      <w:kern w:val="0"/>
                      <w:sz w:val="19"/>
                      <w:szCs w:val="19"/>
                      <w:lang w:val="en-US" w:eastAsia="zh-CN" w:bidi="ar"/>
                    </w:rPr>
                    <w:t>理件</w:t>
                  </w:r>
                </w:p>
              </w:tc>
              <w:tc>
                <w:tcPr>
                  <w:tcW w:w="413" w:type="pct"/>
                  <w:vMerge w:val="restar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spacing w:val="5"/>
                      <w:sz w:val="21"/>
                      <w:szCs w:val="21"/>
                      <w:lang w:val="en-US" w:eastAsia="zh-CN"/>
                    </w:rPr>
                    <w:t>钢材、钢管</w:t>
                  </w:r>
                </w:p>
              </w:tc>
              <w:tc>
                <w:tcPr>
                  <w:tcW w:w="393" w:type="pct"/>
                  <w:vMerge w:val="restart"/>
                  <w:tcBorders>
                    <w:top w:val="single" w:color="auto" w:sz="12" w:space="0"/>
                    <w:tl2br w:val="nil"/>
                    <w:tr2bl w:val="nil"/>
                  </w:tcBorders>
                  <w:vAlign w:val="center"/>
                </w:tcPr>
                <w:p>
                  <w:pPr>
                    <w:pStyle w:val="43"/>
                    <w:keepNext w:val="0"/>
                    <w:keepLines w:val="0"/>
                    <w:pageBreakBefore w:val="0"/>
                    <w:wordWrap/>
                    <w:overflowPunct/>
                    <w:topLinePunct w:val="0"/>
                    <w:bidi w:val="0"/>
                    <w:adjustRightInd/>
                    <w:snapToGrid/>
                    <w:spacing w:line="240" w:lineRule="auto"/>
                    <w:ind w:left="0" w:leftChars="0" w:right="0"/>
                    <w:jc w:val="center"/>
                    <w:rPr>
                      <w:rFonts w:hint="eastAsia" w:ascii="Times New Roman" w:hAnsi="Times New Roman" w:eastAsia="宋体" w:cs="Times New Roman"/>
                      <w:color w:val="auto"/>
                      <w:spacing w:val="5"/>
                      <w:sz w:val="21"/>
                      <w:szCs w:val="21"/>
                      <w:lang w:eastAsia="zh-CN"/>
                    </w:rPr>
                  </w:pPr>
                  <w:r>
                    <w:rPr>
                      <w:rFonts w:hint="eastAsia" w:ascii="Times New Roman" w:hAnsi="Times New Roman" w:cs="Times New Roman"/>
                      <w:color w:val="auto"/>
                      <w:spacing w:val="9"/>
                      <w:sz w:val="21"/>
                      <w:szCs w:val="21"/>
                      <w:lang w:eastAsia="zh-CN"/>
                    </w:rPr>
                    <w:t>抛丸</w:t>
                  </w:r>
                </w:p>
              </w:tc>
              <w:tc>
                <w:tcPr>
                  <w:tcW w:w="394" w:type="pct"/>
                  <w:vMerge w:val="restar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4"/>
                      <w:sz w:val="21"/>
                      <w:szCs w:val="21"/>
                    </w:rPr>
                    <w:t>所有</w:t>
                  </w:r>
                </w:p>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规模</w:t>
                  </w:r>
                </w:p>
              </w:tc>
              <w:tc>
                <w:tcPr>
                  <w:tcW w:w="207" w:type="pct"/>
                  <w:vMerge w:val="restar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lang w:val="en-US" w:eastAsia="zh-CN"/>
                    </w:rPr>
                    <w:t>废气</w:t>
                  </w:r>
                </w:p>
              </w:tc>
              <w:tc>
                <w:tcPr>
                  <w:tcW w:w="713" w:type="pct"/>
                  <w:tcBorders>
                    <w:top w:val="single" w:color="auto" w:sz="12" w:space="0"/>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pacing w:val="4"/>
                      <w:sz w:val="21"/>
                      <w:szCs w:val="21"/>
                      <w:lang w:val="en-US" w:eastAsia="zh-CN"/>
                    </w:rPr>
                  </w:pPr>
                  <w:r>
                    <w:rPr>
                      <w:rFonts w:hint="eastAsia" w:ascii="宋体" w:hAnsi="宋体" w:eastAsia="宋体" w:cs="宋体"/>
                      <w:color w:val="000000"/>
                      <w:kern w:val="0"/>
                      <w:sz w:val="19"/>
                      <w:szCs w:val="19"/>
                      <w:lang w:val="en-US" w:eastAsia="zh-CN" w:bidi="ar"/>
                    </w:rPr>
                    <w:t>工业废气量</w:t>
                  </w:r>
                </w:p>
              </w:tc>
              <w:tc>
                <w:tcPr>
                  <w:tcW w:w="625" w:type="pct"/>
                  <w:tcBorders>
                    <w:top w:val="single" w:color="auto" w:sz="12" w:space="0"/>
                    <w:tl2br w:val="nil"/>
                    <w:tr2bl w:val="nil"/>
                  </w:tcBorders>
                  <w:vAlign w:val="center"/>
                </w:tcPr>
                <w:p>
                  <w:pPr>
                    <w:keepNext w:val="0"/>
                    <w:keepLines w:val="0"/>
                    <w:widowControl/>
                    <w:suppressLineNumbers w:val="0"/>
                    <w:jc w:val="center"/>
                    <w:rPr>
                      <w:rFonts w:hint="default" w:ascii="Times New Roman" w:hAnsi="Times New Roman" w:eastAsia="宋体" w:cs="Times New Roman"/>
                      <w:snapToGrid w:val="0"/>
                      <w:color w:val="auto"/>
                      <w:kern w:val="0"/>
                      <w:sz w:val="21"/>
                      <w:szCs w:val="21"/>
                      <w:lang w:val="en-US" w:eastAsia="en-US" w:bidi="ar-SA"/>
                    </w:rPr>
                  </w:pPr>
                  <w:r>
                    <w:rPr>
                      <w:rFonts w:hint="eastAsia" w:ascii="宋体" w:hAnsi="宋体" w:eastAsia="宋体" w:cs="宋体"/>
                      <w:color w:val="000000"/>
                      <w:kern w:val="0"/>
                      <w:sz w:val="19"/>
                      <w:szCs w:val="19"/>
                      <w:lang w:val="en-US" w:eastAsia="zh-CN" w:bidi="ar"/>
                    </w:rPr>
                    <w:t>立方米/吨</w:t>
                  </w:r>
                  <w:r>
                    <w:rPr>
                      <w:rFonts w:hint="eastAsia" w:ascii="宋体" w:hAnsi="宋体" w:cs="宋体"/>
                      <w:color w:val="000000"/>
                      <w:kern w:val="0"/>
                      <w:sz w:val="19"/>
                      <w:szCs w:val="19"/>
                      <w:lang w:val="en-US" w:eastAsia="zh-CN" w:bidi="ar"/>
                    </w:rPr>
                    <w:t>－</w:t>
                  </w:r>
                  <w:r>
                    <w:rPr>
                      <w:rFonts w:hint="eastAsia" w:ascii="宋体" w:hAnsi="宋体" w:eastAsia="宋体" w:cs="宋体"/>
                      <w:color w:val="000000"/>
                      <w:kern w:val="0"/>
                      <w:sz w:val="19"/>
                      <w:szCs w:val="19"/>
                      <w:lang w:val="en-US" w:eastAsia="zh-CN" w:bidi="ar"/>
                    </w:rPr>
                    <w:t>原料</w:t>
                  </w:r>
                </w:p>
              </w:tc>
              <w:tc>
                <w:tcPr>
                  <w:tcW w:w="406" w:type="pct"/>
                  <w:tcBorders>
                    <w:top w:val="single" w:color="auto" w:sz="12" w:space="0"/>
                    <w:tl2br w:val="nil"/>
                    <w:tr2bl w:val="nil"/>
                  </w:tcBorders>
                  <w:vAlign w:val="center"/>
                </w:tcPr>
                <w:p>
                  <w:pPr>
                    <w:keepNext w:val="0"/>
                    <w:keepLines w:val="0"/>
                    <w:widowControl/>
                    <w:suppressLineNumbers w:val="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000000"/>
                      <w:kern w:val="0"/>
                      <w:sz w:val="19"/>
                      <w:szCs w:val="19"/>
                      <w:lang w:val="en-US" w:eastAsia="zh-CN" w:bidi="ar"/>
                    </w:rPr>
                    <w:t>8500</w:t>
                  </w:r>
                </w:p>
              </w:tc>
              <w:tc>
                <w:tcPr>
                  <w:tcW w:w="737" w:type="pc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w:t>
                  </w:r>
                </w:p>
              </w:tc>
              <w:tc>
                <w:tcPr>
                  <w:tcW w:w="676" w:type="pct"/>
                  <w:tcBorders>
                    <w:top w:val="single" w:color="auto" w:sz="12"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31"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413"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393"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394"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207"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pPr>
                </w:p>
              </w:tc>
              <w:tc>
                <w:tcPr>
                  <w:tcW w:w="713"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lang w:val="en-US" w:eastAsia="zh-CN"/>
                    </w:rPr>
                    <w:t>颗粒物</w:t>
                  </w:r>
                </w:p>
              </w:tc>
              <w:tc>
                <w:tcPr>
                  <w:tcW w:w="625"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宋体" w:hAnsi="宋体" w:eastAsia="宋体" w:cs="宋体"/>
                      <w:color w:val="000000"/>
                      <w:kern w:val="0"/>
                      <w:sz w:val="19"/>
                      <w:szCs w:val="19"/>
                      <w:lang w:val="en-US" w:eastAsia="zh-CN" w:bidi="ar"/>
                    </w:rPr>
                    <w:t>千克/吨</w:t>
                  </w:r>
                  <w:r>
                    <w:rPr>
                      <w:rFonts w:hint="eastAsia" w:cs="宋体"/>
                      <w:color w:val="000000"/>
                      <w:kern w:val="0"/>
                      <w:sz w:val="19"/>
                      <w:szCs w:val="19"/>
                      <w:lang w:val="en-US" w:eastAsia="zh-CN" w:bidi="ar"/>
                    </w:rPr>
                    <w:t>－</w:t>
                  </w:r>
                  <w:r>
                    <w:rPr>
                      <w:rFonts w:hint="default" w:ascii="宋体" w:hAnsi="宋体" w:eastAsia="宋体" w:cs="宋体"/>
                      <w:color w:val="000000"/>
                      <w:kern w:val="0"/>
                      <w:sz w:val="19"/>
                      <w:szCs w:val="19"/>
                      <w:lang w:val="en-US" w:eastAsia="zh-CN" w:bidi="ar"/>
                    </w:rPr>
                    <w:t>原料</w:t>
                  </w:r>
                </w:p>
              </w:tc>
              <w:tc>
                <w:tcPr>
                  <w:tcW w:w="406"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2"/>
                      <w:sz w:val="21"/>
                      <w:szCs w:val="21"/>
                      <w:lang w:val="en-US" w:eastAsia="zh-CN"/>
                    </w:rPr>
                    <w:t>2.19</w:t>
                  </w:r>
                </w:p>
              </w:tc>
              <w:tc>
                <w:tcPr>
                  <w:tcW w:w="737"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7"/>
                      <w:sz w:val="21"/>
                      <w:szCs w:val="21"/>
                      <w:lang w:val="en-US" w:eastAsia="zh-CN"/>
                    </w:rPr>
                    <w:t>布袋除尘器</w:t>
                  </w:r>
                </w:p>
              </w:tc>
              <w:tc>
                <w:tcPr>
                  <w:tcW w:w="676"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3"/>
                      <w:position w:val="2"/>
                      <w:sz w:val="21"/>
                      <w:szCs w:val="21"/>
                    </w:rPr>
                    <w:t>95%</w:t>
                  </w:r>
                </w:p>
              </w:tc>
            </w:tr>
          </w:tbl>
          <w:p>
            <w:pPr>
              <w:pageBreakBefore w:val="0"/>
              <w:numPr>
                <w:ilvl w:val="0"/>
                <w:numId w:val="0"/>
              </w:numPr>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本项目钢材、钢管用量为544.77</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则颗粒物产生量为1.</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pacing w:val="-1"/>
                <w:sz w:val="24"/>
                <w:szCs w:val="24"/>
                <w:lang w:val="en-US" w:eastAsia="zh-CN"/>
              </w:rPr>
              <w:t>产生速率为0.496</w:t>
            </w:r>
            <w:r>
              <w:rPr>
                <w:rFonts w:hint="default" w:ascii="Times New Roman" w:hAnsi="Times New Roman" w:eastAsia="宋体" w:cs="Times New Roman"/>
                <w:color w:val="auto"/>
                <w:spacing w:val="-1"/>
                <w:sz w:val="24"/>
                <w:szCs w:val="24"/>
              </w:rPr>
              <w:t>kg/h</w:t>
            </w:r>
            <w:r>
              <w:rPr>
                <w:rFonts w:hint="eastAsia" w:ascii="Times New Roman" w:hAnsi="Times New Roman" w:eastAsia="宋体" w:cs="Times New Roman"/>
                <w:color w:val="auto"/>
                <w:spacing w:val="-1"/>
                <w:sz w:val="24"/>
                <w:szCs w:val="24"/>
                <w:lang w:eastAsia="zh-CN"/>
              </w:rPr>
              <w:t>，产生浓度为</w:t>
            </w:r>
            <w:r>
              <w:rPr>
                <w:rFonts w:hint="eastAsia" w:ascii="Times New Roman" w:hAnsi="Times New Roman" w:eastAsia="宋体" w:cs="Times New Roman"/>
                <w:color w:val="auto"/>
                <w:spacing w:val="-1"/>
                <w:sz w:val="24"/>
                <w:szCs w:val="24"/>
                <w:lang w:val="en-US" w:eastAsia="zh-CN"/>
              </w:rPr>
              <w:t>256.98</w:t>
            </w:r>
            <w:r>
              <w:rPr>
                <w:rFonts w:hint="default" w:ascii="Times New Roman" w:hAnsi="Times New Roman" w:eastAsia="宋体" w:cs="Times New Roman"/>
                <w:color w:val="auto"/>
                <w:spacing w:val="-1"/>
                <w:sz w:val="24"/>
                <w:szCs w:val="24"/>
              </w:rPr>
              <w:t>mg/m</w:t>
            </w:r>
            <w:r>
              <w:rPr>
                <w:rFonts w:hint="default" w:ascii="Times New Roman" w:hAnsi="Times New Roman" w:eastAsia="宋体" w:cs="Times New Roman"/>
                <w:color w:val="auto"/>
                <w:spacing w:val="-1"/>
                <w:sz w:val="24"/>
                <w:szCs w:val="24"/>
                <w:vertAlign w:val="superscript"/>
                <w:lang w:val="en-US" w:eastAsia="zh-CN"/>
              </w:rPr>
              <w:t>3</w:t>
            </w:r>
            <w:r>
              <w:rPr>
                <w:rFonts w:hint="eastAsia"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z w:val="24"/>
                <w:szCs w:val="24"/>
                <w:highlight w:val="none"/>
                <w:lang w:val="en-US" w:eastAsia="zh-CN"/>
              </w:rPr>
              <w:t>项目年工作时间为2400h，风机风量为3000m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收集效率为99%，</w:t>
            </w:r>
            <w:r>
              <w:rPr>
                <w:rFonts w:hint="eastAsia" w:ascii="Times New Roman" w:hAnsi="Times New Roman" w:cs="Times New Roman"/>
                <w:color w:val="auto"/>
                <w:sz w:val="24"/>
                <w:szCs w:val="24"/>
                <w:highlight w:val="none"/>
                <w:lang w:val="en-US" w:eastAsia="zh-CN"/>
              </w:rPr>
              <w:t>有组织颗粒物排放量为0.059</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，排放速率为0.0246</w:t>
            </w:r>
            <w:r>
              <w:rPr>
                <w:rFonts w:hint="default" w:ascii="Times New Roman" w:hAnsi="Times New Roman" w:eastAsia="宋体" w:cs="Times New Roman"/>
                <w:color w:val="auto"/>
                <w:sz w:val="24"/>
                <w:szCs w:val="24"/>
                <w:highlight w:val="none"/>
                <w:lang w:val="en-US" w:eastAsia="zh-CN"/>
              </w:rPr>
              <w:t>kg/h</w:t>
            </w:r>
            <w:r>
              <w:rPr>
                <w:rFonts w:hint="eastAsia" w:ascii="Times New Roman" w:hAnsi="Times New Roman" w:cs="Times New Roman"/>
                <w:color w:val="auto"/>
                <w:sz w:val="24"/>
                <w:szCs w:val="24"/>
                <w:highlight w:val="none"/>
                <w:lang w:val="en-US" w:eastAsia="zh-CN"/>
              </w:rPr>
              <w:t>，排放浓度为8.</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，有组织颗粒物排放浓度满足</w:t>
            </w:r>
            <w:r>
              <w:rPr>
                <w:rFonts w:hint="default" w:ascii="Times New Roman" w:hAnsi="Times New Roman" w:eastAsia="宋体" w:cs="Times New Roman"/>
                <w:color w:val="auto"/>
                <w:spacing w:val="-3"/>
                <w:sz w:val="24"/>
                <w:szCs w:val="24"/>
                <w:highlight w:val="none"/>
              </w:rPr>
              <w:t>《大气污染物综合排放标准》（GB16297-1996）</w:t>
            </w:r>
            <w:r>
              <w:rPr>
                <w:rFonts w:hint="default" w:ascii="Times New Roman" w:hAnsi="Times New Roman" w:eastAsia="宋体" w:cs="Times New Roman"/>
                <w:color w:val="auto"/>
                <w:sz w:val="24"/>
                <w:highlight w:val="none"/>
              </w:rPr>
              <w:t>相应标准（</w:t>
            </w:r>
            <w:r>
              <w:rPr>
                <w:rFonts w:hint="default" w:ascii="Times New Roman" w:hAnsi="Times New Roman" w:eastAsia="宋体" w:cs="Times New Roman"/>
                <w:color w:val="auto"/>
                <w:sz w:val="24"/>
                <w:highlight w:val="none"/>
                <w:lang w:val="en-US" w:eastAsia="zh-CN"/>
              </w:rPr>
              <w:t>颗粒物</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120</w:t>
            </w:r>
            <w:r>
              <w:rPr>
                <w:rFonts w:hint="default" w:ascii="Times New Roman" w:hAnsi="Times New Roman" w:eastAsia="宋体" w:cs="Times New Roman"/>
                <w:bCs/>
                <w:color w:val="auto"/>
                <w:sz w:val="24"/>
                <w:highlight w:val="none"/>
              </w:rPr>
              <w:t>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highlight w:val="none"/>
                <w:lang w:eastAsia="zh-CN"/>
              </w:rPr>
              <w:t>有组织颗粒物排放速率满足</w:t>
            </w:r>
            <w:r>
              <w:rPr>
                <w:rFonts w:hint="default" w:ascii="Times New Roman" w:hAnsi="Times New Roman" w:eastAsia="宋体" w:cs="Times New Roman"/>
                <w:color w:val="auto"/>
                <w:spacing w:val="-3"/>
                <w:sz w:val="24"/>
                <w:szCs w:val="24"/>
                <w:highlight w:val="none"/>
              </w:rPr>
              <w:t>《大气污染物综合排放标准》（GB16297-1996）</w:t>
            </w:r>
            <w:r>
              <w:rPr>
                <w:rFonts w:hint="default" w:ascii="Times New Roman" w:hAnsi="Times New Roman" w:eastAsia="宋体" w:cs="Times New Roman"/>
                <w:color w:val="auto"/>
                <w:sz w:val="24"/>
                <w:highlight w:val="none"/>
              </w:rPr>
              <w:t>相应标准</w:t>
            </w:r>
            <w:r>
              <w:rPr>
                <w:rFonts w:hint="eastAsia" w:cs="Times New Roman"/>
                <w:color w:val="auto"/>
                <w:sz w:val="24"/>
                <w:highlight w:val="none"/>
                <w:lang w:eastAsia="zh-CN"/>
              </w:rPr>
              <w:t>（颗粒物</w:t>
            </w:r>
            <w:r>
              <w:rPr>
                <w:rFonts w:hint="eastAsia" w:cs="Times New Roman"/>
                <w:color w:val="auto"/>
                <w:sz w:val="24"/>
                <w:highlight w:val="none"/>
                <w:lang w:val="en-US" w:eastAsia="zh-CN"/>
              </w:rPr>
              <w:t>3.5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highlight w:val="none"/>
                <w:lang w:eastAsia="zh-CN"/>
                <w14:textFill>
                  <w14:solidFill>
                    <w14:schemeClr w14:val="tx1"/>
                  </w14:solidFill>
                </w14:textFill>
              </w:rPr>
              <w:t>）。</w:t>
            </w:r>
          </w:p>
          <w:p>
            <w:pPr>
              <w:pageBreakBefore w:val="0"/>
              <w:numPr>
                <w:ilvl w:val="0"/>
                <w:numId w:val="0"/>
              </w:numPr>
              <w:overflowPunct/>
              <w:topLinePunct w:val="0"/>
              <w:bidi w:val="0"/>
              <w:spacing w:line="360" w:lineRule="auto"/>
              <w:ind w:left="0" w:leftChars="0" w:right="0" w:firstLine="468" w:firstLineChars="200"/>
              <w:rPr>
                <w:rFonts w:hint="default" w:ascii="Times New Roman" w:hAnsi="Times New Roman" w:eastAsia="宋体" w:cs="Times New Roman"/>
                <w:color w:val="000000" w:themeColor="text1"/>
                <w:spacing w:val="-3"/>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③</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烘干固化工序产生的挥发性有机废气</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（以非甲烷总烃计）</w:t>
            </w:r>
          </w:p>
          <w:p>
            <w:pPr>
              <w:pageBreakBefore w:val="0"/>
              <w:numPr>
                <w:ilvl w:val="0"/>
                <w:numId w:val="0"/>
              </w:numPr>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项目烘干固化工段产生的废气主要为流平固化产生的有机废气，以非甲烷总烃为表征，</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烘干固化工序</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有机废气经“</w:t>
            </w:r>
            <w:r>
              <w:rPr>
                <w:rFonts w:hint="default" w:ascii="Times New Roman" w:hAnsi="Times New Roman" w:cs="Times New Roman" w:eastAsiaTheme="minorEastAsia"/>
                <w:color w:val="000000" w:themeColor="text1"/>
                <w:kern w:val="0"/>
                <w:sz w:val="24"/>
                <w:szCs w:val="24"/>
                <w:lang w:val="en-US" w:eastAsia="zh-CN"/>
                <w14:textFill>
                  <w14:solidFill>
                    <w14:schemeClr w14:val="tx1"/>
                  </w14:solidFill>
                </w14:textFill>
              </w:rPr>
              <w:t>二级活性炭吸附装置</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处理</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通过</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15m高</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排气筒高空排放。</w:t>
            </w:r>
          </w:p>
          <w:p>
            <w:pPr>
              <w:pageBreakBefore w:val="0"/>
              <w:numPr>
                <w:ilvl w:val="0"/>
                <w:numId w:val="0"/>
              </w:numPr>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参考生态环境部《排放源统计调查产排污核算方法和系数手册》（2021年6月）中“218机械行业系数手册-33金属制品行业</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涂装”中的产污系数表，有机废气产生量即为原料用量乘以产污系数，详表见表4-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numPr>
                <w:ilvl w:val="0"/>
                <w:numId w:val="0"/>
              </w:numPr>
              <w:overflowPunct/>
              <w:topLinePunct w:val="0"/>
              <w:bidi w:val="0"/>
              <w:spacing w:line="360" w:lineRule="auto"/>
              <w:ind w:left="0" w:leftChars="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eastAsia" w:cs="Times New Roman"/>
                <w:b/>
                <w:bCs/>
                <w:color w:val="000000" w:themeColor="text1"/>
                <w:sz w:val="21"/>
                <w:szCs w:val="21"/>
                <w:highlight w:val="none"/>
                <w:lang w:val="en-US" w:eastAsia="zh-CN"/>
                <w14:textFill>
                  <w14:solidFill>
                    <w14:schemeClr w14:val="tx1"/>
                  </w14:solidFill>
                </w14:textFill>
              </w:rPr>
              <w:t>烘干固化</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工序产污系数表</w:t>
            </w:r>
          </w:p>
          <w:tbl>
            <w:tblPr>
              <w:tblStyle w:val="24"/>
              <w:tblW w:w="82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68"/>
              <w:gridCol w:w="695"/>
              <w:gridCol w:w="655"/>
              <w:gridCol w:w="463"/>
              <w:gridCol w:w="1126"/>
              <w:gridCol w:w="1040"/>
              <w:gridCol w:w="743"/>
              <w:gridCol w:w="1060"/>
              <w:gridCol w:w="1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00"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工段名称</w:t>
                  </w:r>
                </w:p>
              </w:tc>
              <w:tc>
                <w:tcPr>
                  <w:tcW w:w="406"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原料名称</w:t>
                  </w:r>
                </w:p>
              </w:tc>
              <w:tc>
                <w:tcPr>
                  <w:tcW w:w="422"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工艺名称</w:t>
                  </w:r>
                </w:p>
              </w:tc>
              <w:tc>
                <w:tcPr>
                  <w:tcW w:w="398"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规模</w:t>
                  </w:r>
                </w:p>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等级</w:t>
                  </w:r>
                </w:p>
              </w:tc>
              <w:tc>
                <w:tcPr>
                  <w:tcW w:w="966" w:type="pct"/>
                  <w:gridSpan w:val="2"/>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污染物指标</w:t>
                  </w:r>
                </w:p>
              </w:tc>
              <w:tc>
                <w:tcPr>
                  <w:tcW w:w="632"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单位</w:t>
                  </w:r>
                </w:p>
              </w:tc>
              <w:tc>
                <w:tcPr>
                  <w:tcW w:w="451"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产污系数</w:t>
                  </w:r>
                </w:p>
              </w:tc>
              <w:tc>
                <w:tcPr>
                  <w:tcW w:w="644"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末端治理技术名称</w:t>
                  </w:r>
                </w:p>
              </w:tc>
              <w:tc>
                <w:tcPr>
                  <w:tcW w:w="676" w:type="pct"/>
                  <w:tcBorders>
                    <w:bottom w:val="single" w:color="auto" w:sz="12"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14:textFill>
                        <w14:solidFill>
                          <w14:schemeClr w14:val="tx1"/>
                        </w14:solidFill>
                      </w14:textFill>
                    </w:rPr>
                    <w:t>末端治理技术效率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00" w:type="pct"/>
                  <w:vMerge w:val="restart"/>
                  <w:tcBorders>
                    <w:top w:val="single" w:color="auto" w:sz="12"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涂装</w:t>
                  </w:r>
                </w:p>
              </w:tc>
              <w:tc>
                <w:tcPr>
                  <w:tcW w:w="406" w:type="pct"/>
                  <w:vMerge w:val="restart"/>
                  <w:tcBorders>
                    <w:top w:val="single" w:color="auto" w:sz="12"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粉末涂料</w:t>
                  </w:r>
                </w:p>
              </w:tc>
              <w:tc>
                <w:tcPr>
                  <w:tcW w:w="422" w:type="pct"/>
                  <w:vMerge w:val="restart"/>
                  <w:tcBorders>
                    <w:top w:val="single" w:color="auto" w:sz="12"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pacing w:val="5"/>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烘干固化工段</w:t>
                  </w:r>
                </w:p>
              </w:tc>
              <w:tc>
                <w:tcPr>
                  <w:tcW w:w="398" w:type="pct"/>
                  <w:vMerge w:val="restart"/>
                  <w:tcBorders>
                    <w:top w:val="single" w:color="auto" w:sz="12"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所有规模</w:t>
                  </w:r>
                </w:p>
              </w:tc>
              <w:tc>
                <w:tcPr>
                  <w:tcW w:w="281" w:type="pct"/>
                  <w:vMerge w:val="restart"/>
                  <w:tcBorders>
                    <w:top w:val="single" w:color="auto" w:sz="12" w:space="0"/>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废气</w:t>
                  </w:r>
                </w:p>
              </w:tc>
              <w:tc>
                <w:tcPr>
                  <w:tcW w:w="684" w:type="pct"/>
                  <w:tcBorders>
                    <w:top w:val="single" w:color="auto" w:sz="12"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工业废</w:t>
                  </w:r>
                </w:p>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气量</w:t>
                  </w:r>
                </w:p>
              </w:tc>
              <w:tc>
                <w:tcPr>
                  <w:tcW w:w="632" w:type="pc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宋体" w:hAnsi="宋体" w:eastAsia="宋体" w:cs="宋体"/>
                      <w:color w:val="000000" w:themeColor="text1"/>
                      <w:kern w:val="0"/>
                      <w:sz w:val="19"/>
                      <w:szCs w:val="19"/>
                      <w:lang w:val="en-US" w:eastAsia="en-US" w:bidi="ar"/>
                      <w14:textFill>
                        <w14:solidFill>
                          <w14:schemeClr w14:val="tx1"/>
                        </w14:solidFill>
                      </w14:textFill>
                    </w:rPr>
                  </w:pPr>
                  <w:r>
                    <w:rPr>
                      <w:rFonts w:hint="default" w:ascii="宋体" w:hAnsi="宋体" w:eastAsia="宋体" w:cs="宋体"/>
                      <w:color w:val="000000" w:themeColor="text1"/>
                      <w:kern w:val="0"/>
                      <w:sz w:val="19"/>
                      <w:szCs w:val="19"/>
                      <w:lang w:val="en-US" w:eastAsia="zh-CN" w:bidi="ar"/>
                      <w14:textFill>
                        <w14:solidFill>
                          <w14:schemeClr w14:val="tx1"/>
                        </w14:solidFill>
                      </w14:textFill>
                    </w:rPr>
                    <w:t>立方米/吨</w:t>
                  </w:r>
                  <w:r>
                    <w:rPr>
                      <w:rFonts w:hint="eastAsia" w:cs="宋体"/>
                      <w:color w:val="000000" w:themeColor="text1"/>
                      <w:kern w:val="0"/>
                      <w:sz w:val="19"/>
                      <w:szCs w:val="19"/>
                      <w:lang w:val="en-US" w:eastAsia="zh-CN" w:bidi="ar"/>
                      <w14:textFill>
                        <w14:solidFill>
                          <w14:schemeClr w14:val="tx1"/>
                        </w14:solidFill>
                      </w14:textFill>
                    </w:rPr>
                    <w:t>－</w:t>
                  </w:r>
                  <w:r>
                    <w:rPr>
                      <w:rFonts w:hint="default" w:ascii="宋体" w:hAnsi="宋体" w:eastAsia="宋体" w:cs="宋体"/>
                      <w:color w:val="000000" w:themeColor="text1"/>
                      <w:kern w:val="0"/>
                      <w:sz w:val="19"/>
                      <w:szCs w:val="19"/>
                      <w:lang w:val="en-US" w:eastAsia="zh-CN" w:bidi="ar"/>
                      <w14:textFill>
                        <w14:solidFill>
                          <w14:schemeClr w14:val="tx1"/>
                        </w14:solidFill>
                      </w14:textFill>
                    </w:rPr>
                    <w:t>原料</w:t>
                  </w:r>
                </w:p>
              </w:tc>
              <w:tc>
                <w:tcPr>
                  <w:tcW w:w="451" w:type="pc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000000" w:themeColor="text1"/>
                      <w:kern w:val="0"/>
                      <w:sz w:val="19"/>
                      <w:szCs w:val="19"/>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9"/>
                      <w:szCs w:val="19"/>
                      <w:lang w:val="en-US" w:eastAsia="zh-CN" w:bidi="ar"/>
                      <w14:textFill>
                        <w14:solidFill>
                          <w14:schemeClr w14:val="tx1"/>
                        </w14:solidFill>
                      </w14:textFill>
                    </w:rPr>
                    <w:t>37262</w:t>
                  </w:r>
                </w:p>
              </w:tc>
              <w:tc>
                <w:tcPr>
                  <w:tcW w:w="644" w:type="pc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宋体" w:hAnsi="宋体" w:eastAsia="宋体" w:cs="宋体"/>
                      <w:color w:val="000000" w:themeColor="text1"/>
                      <w:kern w:val="0"/>
                      <w:sz w:val="19"/>
                      <w:szCs w:val="19"/>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9"/>
                      <w:szCs w:val="19"/>
                      <w:lang w:val="en-US" w:eastAsia="zh-CN" w:bidi="ar"/>
                      <w14:textFill>
                        <w14:solidFill>
                          <w14:schemeClr w14:val="tx1"/>
                        </w14:solidFill>
                      </w14:textFill>
                    </w:rPr>
                    <w:t>/</w:t>
                  </w:r>
                </w:p>
              </w:tc>
              <w:tc>
                <w:tcPr>
                  <w:tcW w:w="676" w:type="pct"/>
                  <w:tcBorders>
                    <w:top w:val="single" w:color="auto" w:sz="12" w:space="0"/>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eastAsia" w:ascii="Times New Roman" w:hAnsi="Times New Roman" w:eastAsia="宋体" w:cs="Times New Roman"/>
                      <w:color w:val="000000" w:themeColor="text1"/>
                      <w:kern w:val="0"/>
                      <w:sz w:val="19"/>
                      <w:szCs w:val="19"/>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9"/>
                      <w:szCs w:val="19"/>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00"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color w:val="000000" w:themeColor="text1"/>
                      <w14:textFill>
                        <w14:solidFill>
                          <w14:schemeClr w14:val="tx1"/>
                        </w14:solidFill>
                      </w14:textFill>
                    </w:rPr>
                  </w:pPr>
                </w:p>
              </w:tc>
              <w:tc>
                <w:tcPr>
                  <w:tcW w:w="406"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color w:val="000000" w:themeColor="text1"/>
                      <w14:textFill>
                        <w14:solidFill>
                          <w14:schemeClr w14:val="tx1"/>
                        </w14:solidFill>
                      </w14:textFill>
                    </w:rPr>
                  </w:pPr>
                </w:p>
              </w:tc>
              <w:tc>
                <w:tcPr>
                  <w:tcW w:w="422"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color w:val="000000" w:themeColor="text1"/>
                      <w14:textFill>
                        <w14:solidFill>
                          <w14:schemeClr w14:val="tx1"/>
                        </w14:solidFill>
                      </w14:textFill>
                    </w:rPr>
                  </w:pPr>
                </w:p>
              </w:tc>
              <w:tc>
                <w:tcPr>
                  <w:tcW w:w="398"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color w:val="000000" w:themeColor="text1"/>
                      <w14:textFill>
                        <w14:solidFill>
                          <w14:schemeClr w14:val="tx1"/>
                        </w14:solidFill>
                      </w14:textFill>
                    </w:rPr>
                  </w:pPr>
                </w:p>
              </w:tc>
              <w:tc>
                <w:tcPr>
                  <w:tcW w:w="281" w:type="pct"/>
                  <w:vMerge w:val="continue"/>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color w:val="000000" w:themeColor="text1"/>
                      <w14:textFill>
                        <w14:solidFill>
                          <w14:schemeClr w14:val="tx1"/>
                        </w14:solidFill>
                      </w14:textFill>
                    </w:rPr>
                  </w:pPr>
                </w:p>
              </w:tc>
              <w:tc>
                <w:tcPr>
                  <w:tcW w:w="68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挥发性有机物</w:t>
                  </w:r>
                </w:p>
              </w:tc>
              <w:tc>
                <w:tcPr>
                  <w:tcW w:w="632"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宋体" w:hAnsi="宋体" w:eastAsia="宋体" w:cs="宋体"/>
                      <w:color w:val="000000" w:themeColor="text1"/>
                      <w:kern w:val="0"/>
                      <w:sz w:val="19"/>
                      <w:szCs w:val="19"/>
                      <w:lang w:val="en-US" w:eastAsia="zh-CN" w:bidi="ar"/>
                      <w14:textFill>
                        <w14:solidFill>
                          <w14:schemeClr w14:val="tx1"/>
                        </w14:solidFill>
                      </w14:textFill>
                    </w:rPr>
                  </w:pPr>
                  <w:r>
                    <w:rPr>
                      <w:rFonts w:hint="default" w:ascii="宋体" w:hAnsi="宋体" w:eastAsia="宋体" w:cs="宋体"/>
                      <w:color w:val="000000" w:themeColor="text1"/>
                      <w:kern w:val="0"/>
                      <w:sz w:val="19"/>
                      <w:szCs w:val="19"/>
                      <w:lang w:val="en-US" w:eastAsia="zh-CN" w:bidi="ar"/>
                      <w14:textFill>
                        <w14:solidFill>
                          <w14:schemeClr w14:val="tx1"/>
                        </w14:solidFill>
                      </w14:textFill>
                    </w:rPr>
                    <w:t>千克/吨</w:t>
                  </w:r>
                  <w:r>
                    <w:rPr>
                      <w:rFonts w:hint="eastAsia" w:cs="宋体"/>
                      <w:color w:val="000000" w:themeColor="text1"/>
                      <w:kern w:val="0"/>
                      <w:sz w:val="19"/>
                      <w:szCs w:val="19"/>
                      <w:lang w:val="en-US" w:eastAsia="zh-CN" w:bidi="ar"/>
                      <w14:textFill>
                        <w14:solidFill>
                          <w14:schemeClr w14:val="tx1"/>
                        </w14:solidFill>
                      </w14:textFill>
                    </w:rPr>
                    <w:t>－</w:t>
                  </w:r>
                  <w:r>
                    <w:rPr>
                      <w:rFonts w:hint="default" w:ascii="宋体" w:hAnsi="宋体" w:eastAsia="宋体" w:cs="宋体"/>
                      <w:color w:val="000000" w:themeColor="text1"/>
                      <w:kern w:val="0"/>
                      <w:sz w:val="19"/>
                      <w:szCs w:val="19"/>
                      <w:lang w:val="en-US" w:eastAsia="zh-CN" w:bidi="ar"/>
                      <w14:textFill>
                        <w14:solidFill>
                          <w14:schemeClr w14:val="tx1"/>
                        </w14:solidFill>
                      </w14:textFill>
                    </w:rPr>
                    <w:t>原料</w:t>
                  </w:r>
                </w:p>
              </w:tc>
              <w:tc>
                <w:tcPr>
                  <w:tcW w:w="451"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宋体" w:cs="Times New Roman"/>
                      <w:color w:val="000000" w:themeColor="text1"/>
                      <w:kern w:val="0"/>
                      <w:sz w:val="19"/>
                      <w:szCs w:val="19"/>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9"/>
                      <w:szCs w:val="19"/>
                      <w:lang w:val="en-US" w:eastAsia="zh-CN" w:bidi="ar"/>
                      <w14:textFill>
                        <w14:solidFill>
                          <w14:schemeClr w14:val="tx1"/>
                        </w14:solidFill>
                      </w14:textFill>
                    </w:rPr>
                    <w:t>1.20</w:t>
                  </w:r>
                </w:p>
              </w:tc>
              <w:tc>
                <w:tcPr>
                  <w:tcW w:w="644"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宋体" w:hAnsi="宋体" w:eastAsia="宋体" w:cs="宋体"/>
                      <w:color w:val="000000" w:themeColor="text1"/>
                      <w:kern w:val="0"/>
                      <w:sz w:val="19"/>
                      <w:szCs w:val="19"/>
                      <w:lang w:val="en-US" w:eastAsia="zh-CN" w:bidi="ar"/>
                      <w14:textFill>
                        <w14:solidFill>
                          <w14:schemeClr w14:val="tx1"/>
                        </w14:solidFill>
                      </w14:textFill>
                    </w:rPr>
                  </w:pPr>
                  <w:r>
                    <w:rPr>
                      <w:rFonts w:hint="default" w:ascii="宋体" w:hAnsi="宋体" w:eastAsia="宋体" w:cs="宋体"/>
                      <w:color w:val="000000" w:themeColor="text1"/>
                      <w:kern w:val="0"/>
                      <w:sz w:val="19"/>
                      <w:szCs w:val="19"/>
                      <w:lang w:val="en-US" w:eastAsia="zh-CN" w:bidi="ar"/>
                      <w14:textFill>
                        <w14:solidFill>
                          <w14:schemeClr w14:val="tx1"/>
                        </w14:solidFill>
                      </w14:textFill>
                    </w:rPr>
                    <w:t>其他（吸附法）</w:t>
                  </w:r>
                </w:p>
              </w:tc>
              <w:tc>
                <w:tcPr>
                  <w:tcW w:w="676" w:type="pct"/>
                  <w:tcBorders>
                    <w:tl2br w:val="nil"/>
                    <w:tr2bl w:val="nil"/>
                  </w:tcBorders>
                  <w:vAlign w:val="center"/>
                </w:tcPr>
                <w:p>
                  <w:pPr>
                    <w:pStyle w:val="43"/>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宋体" w:hAnsi="宋体" w:eastAsia="宋体" w:cs="宋体"/>
                      <w:color w:val="000000" w:themeColor="text1"/>
                      <w:kern w:val="0"/>
                      <w:sz w:val="19"/>
                      <w:szCs w:val="19"/>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9"/>
                      <w:szCs w:val="19"/>
                      <w:lang w:val="en-US" w:eastAsia="zh-CN" w:bidi="ar"/>
                      <w14:textFill>
                        <w14:solidFill>
                          <w14:schemeClr w14:val="tx1"/>
                        </w14:solidFill>
                      </w14:textFill>
                    </w:rPr>
                    <w:t>18%</w:t>
                  </w:r>
                </w:p>
              </w:tc>
            </w:tr>
          </w:tbl>
          <w:p>
            <w:pPr>
              <w:pageBreakBefore w:val="0"/>
              <w:numPr>
                <w:ilvl w:val="0"/>
                <w:numId w:val="0"/>
              </w:numPr>
              <w:overflowPunct/>
              <w:topLinePunct w:val="0"/>
              <w:bidi w:val="0"/>
              <w:spacing w:line="360" w:lineRule="auto"/>
              <w:ind w:left="0" w:leftChars="0" w:right="0" w:firstLine="476"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本项目粉末涂料用量为</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pacing w:val="-1"/>
                <w:sz w:val="24"/>
                <w:szCs w:val="24"/>
                <w14:textFill>
                  <w14:solidFill>
                    <w14:schemeClr w14:val="tx1"/>
                  </w14:solidFill>
                </w14:textFill>
              </w:rPr>
              <w:t>t/a，根据“218机械行业系数手册-33金属制品行业</w:t>
            </w:r>
            <w:r>
              <w:rPr>
                <w:rFonts w:hint="eastAsia"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涂装”中的产污系数折算，</w:t>
            </w:r>
            <w:r>
              <w:rPr>
                <w:rFonts w:hint="eastAsia" w:ascii="宋体" w:hAnsi="宋体" w:cs="宋体"/>
                <w:b w:val="0"/>
                <w:bCs w:val="0"/>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1"/>
                <w:sz w:val="24"/>
                <w:szCs w:val="24"/>
                <w14:textFill>
                  <w14:solidFill>
                    <w14:schemeClr w14:val="tx1"/>
                  </w14:solidFill>
                </w14:textFill>
              </w:rPr>
              <w:t>产生</w:t>
            </w:r>
            <w:r>
              <w:rPr>
                <w:rFonts w:hint="eastAsia" w:ascii="Times New Roman" w:hAnsi="Times New Roman" w:cs="Times New Roman"/>
                <w:color w:val="000000" w:themeColor="text1"/>
                <w:spacing w:val="-1"/>
                <w:sz w:val="24"/>
                <w:szCs w:val="24"/>
                <w:lang w:eastAsia="zh-CN"/>
                <w14:textFill>
                  <w14:solidFill>
                    <w14:schemeClr w14:val="tx1"/>
                  </w14:solidFill>
                </w14:textFill>
              </w:rPr>
              <w:t>总</w:t>
            </w:r>
            <w:r>
              <w:rPr>
                <w:rFonts w:hint="default" w:ascii="Times New Roman" w:hAnsi="Times New Roman" w:eastAsia="宋体" w:cs="Times New Roman"/>
                <w:color w:val="000000" w:themeColor="text1"/>
                <w:spacing w:val="-1"/>
                <w:sz w:val="24"/>
                <w:szCs w:val="24"/>
                <w14:textFill>
                  <w14:solidFill>
                    <w14:schemeClr w14:val="tx1"/>
                  </w14:solidFill>
                </w14:textFill>
              </w:rPr>
              <w:t>量为</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0.006</w:t>
            </w:r>
            <w:r>
              <w:rPr>
                <w:rFonts w:hint="default" w:ascii="Times New Roman" w:hAnsi="Times New Roman" w:eastAsia="宋体" w:cs="Times New Roman"/>
                <w:color w:val="000000" w:themeColor="text1"/>
                <w:spacing w:val="-1"/>
                <w:sz w:val="24"/>
                <w:szCs w:val="24"/>
                <w14:textFill>
                  <w14:solidFill>
                    <w14:schemeClr w14:val="tx1"/>
                  </w14:solidFill>
                </w14:textFill>
              </w:rPr>
              <w:t>t/a</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产生速率为0.0025</w:t>
            </w:r>
            <w:r>
              <w:rPr>
                <w:rFonts w:hint="default" w:ascii="Times New Roman" w:hAnsi="Times New Roman" w:eastAsia="宋体" w:cs="Times New Roman"/>
                <w:color w:val="000000" w:themeColor="text1"/>
                <w:spacing w:val="-1"/>
                <w:sz w:val="24"/>
                <w:szCs w:val="24"/>
                <w14:textFill>
                  <w14:solidFill>
                    <w14:schemeClr w14:val="tx1"/>
                  </w14:solidFill>
                </w14:textFill>
              </w:rPr>
              <w:t>kg/h</w:t>
            </w:r>
            <w:r>
              <w:rPr>
                <w:rFonts w:hint="eastAsia" w:ascii="Times New Roman" w:hAnsi="Times New Roman" w:eastAsia="宋体" w:cs="Times New Roman"/>
                <w:color w:val="000000" w:themeColor="text1"/>
                <w:spacing w:val="-1"/>
                <w:sz w:val="24"/>
                <w:szCs w:val="24"/>
                <w:lang w:eastAsia="zh-CN"/>
                <w14:textFill>
                  <w14:solidFill>
                    <w14:schemeClr w14:val="tx1"/>
                  </w14:solidFill>
                </w14:textFill>
              </w:rPr>
              <w:t>，产生浓度为</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32.2</w:t>
            </w:r>
            <w:r>
              <w:rPr>
                <w:rFonts w:hint="default" w:ascii="Times New Roman" w:hAnsi="Times New Roman" w:eastAsia="宋体" w:cs="Times New Roman"/>
                <w:color w:val="000000" w:themeColor="text1"/>
                <w:spacing w:val="-1"/>
                <w:sz w:val="24"/>
                <w:szCs w:val="24"/>
                <w14:textFill>
                  <w14:solidFill>
                    <w14:schemeClr w14:val="tx1"/>
                  </w14:solidFill>
                </w14:textFill>
              </w:rPr>
              <w:t>mg/m</w:t>
            </w:r>
            <w:r>
              <w:rPr>
                <w:rFonts w:hint="default" w:ascii="Times New Roman" w:hAnsi="Times New Roman" w:eastAsia="宋体" w:cs="Times New Roman"/>
                <w:color w:val="000000" w:themeColor="text1"/>
                <w:spacing w:val="-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项目年工作时间为2400h，风机风量为3000m</w:t>
            </w:r>
            <w:r>
              <w:rPr>
                <w:rFonts w:hint="default" w:ascii="Times New Roman" w:hAnsi="Times New Roman" w:eastAsia="宋体" w:cs="Times New Roman"/>
                <w:color w:val="000000" w:themeColor="text1"/>
                <w:spacing w:val="-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/h</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收集效率90%，</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有组织</w:t>
            </w:r>
            <w:r>
              <w:rPr>
                <w:rFonts w:hint="eastAsia" w:ascii="宋体" w:hAnsi="宋体" w:cs="宋体"/>
                <w:b w:val="0"/>
                <w:bCs w:val="0"/>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1"/>
                <w:sz w:val="24"/>
                <w:szCs w:val="24"/>
                <w14:textFill>
                  <w14:solidFill>
                    <w14:schemeClr w14:val="tx1"/>
                  </w14:solidFill>
                </w14:textFill>
              </w:rPr>
              <w:t>排放量为</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0.00</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36</w:t>
            </w:r>
            <w:r>
              <w:rPr>
                <w:rFonts w:hint="default" w:ascii="Times New Roman" w:hAnsi="Times New Roman" w:eastAsia="宋体" w:cs="Times New Roman"/>
                <w:color w:val="000000" w:themeColor="text1"/>
                <w:spacing w:val="-1"/>
                <w:sz w:val="24"/>
                <w:szCs w:val="24"/>
                <w14:textFill>
                  <w14:solidFill>
                    <w14:schemeClr w14:val="tx1"/>
                  </w14:solidFill>
                </w14:textFill>
              </w:rPr>
              <w:t>t/a</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排放速率为</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0.00</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1</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pacing w:val="-1"/>
                <w:sz w:val="24"/>
                <w:szCs w:val="24"/>
                <w14:textFill>
                  <w14:solidFill>
                    <w14:schemeClr w14:val="tx1"/>
                  </w14:solidFill>
                </w14:textFill>
              </w:rPr>
              <w:t>kg/h</w:t>
            </w:r>
            <w:r>
              <w:rPr>
                <w:rFonts w:hint="eastAsia"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排放浓度为0.</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pacing w:val="-1"/>
                <w:sz w:val="24"/>
                <w:szCs w:val="24"/>
                <w14:textFill>
                  <w14:solidFill>
                    <w14:schemeClr w14:val="tx1"/>
                  </w14:solidFill>
                </w14:textFill>
              </w:rPr>
              <w:t>mg/m</w:t>
            </w:r>
            <w:r>
              <w:rPr>
                <w:rFonts w:hint="default" w:ascii="Times New Roman" w:hAnsi="Times New Roman" w:eastAsia="宋体" w:cs="Times New Roman"/>
                <w:color w:val="000000" w:themeColor="text1"/>
                <w:spacing w:val="-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有组织</w:t>
            </w:r>
            <w:r>
              <w:rPr>
                <w:rFonts w:hint="eastAsia" w:ascii="宋体" w:hAnsi="宋体" w:cs="宋体"/>
                <w:b w:val="0"/>
                <w:bCs w:val="0"/>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pacing w:val="-1"/>
                <w:sz w:val="24"/>
                <w:szCs w:val="24"/>
                <w14:textFill>
                  <w14:solidFill>
                    <w14:schemeClr w14:val="tx1"/>
                  </w14:solidFill>
                </w14:textFill>
              </w:rPr>
              <w:t>排放浓度满足《大气污染物综合排放标准》(GB16297-1996</w:t>
            </w:r>
            <w:r>
              <w:rPr>
                <w:rFonts w:hint="eastAsia"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中</w:t>
            </w:r>
            <w:r>
              <w:rPr>
                <w:rFonts w:hint="default" w:ascii="Times New Roman" w:hAnsi="Times New Roman" w:eastAsia="宋体" w:cs="Times New Roman"/>
                <w:color w:val="000000" w:themeColor="text1"/>
                <w:spacing w:val="-1"/>
                <w:sz w:val="24"/>
                <w:szCs w:val="24"/>
                <w14:textFill>
                  <w14:solidFill>
                    <w14:schemeClr w14:val="tx1"/>
                  </w14:solidFill>
                </w14:textFill>
              </w:rPr>
              <w:t>相应标准（非甲烷总烃≤</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120</w:t>
            </w:r>
            <w:r>
              <w:rPr>
                <w:rFonts w:hint="default" w:ascii="Times New Roman" w:hAnsi="Times New Roman" w:eastAsia="宋体" w:cs="Times New Roman"/>
                <w:color w:val="000000" w:themeColor="text1"/>
                <w:spacing w:val="-1"/>
                <w:sz w:val="24"/>
                <w:szCs w:val="24"/>
                <w14:textFill>
                  <w14:solidFill>
                    <w14:schemeClr w14:val="tx1"/>
                  </w14:solidFill>
                </w14:textFill>
              </w:rPr>
              <w:t>mg/m</w:t>
            </w:r>
            <w:r>
              <w:rPr>
                <w:rFonts w:hint="default" w:ascii="Times New Roman" w:hAnsi="Times New Roman" w:eastAsia="宋体" w:cs="Times New Roman"/>
                <w:color w:val="000000" w:themeColor="text1"/>
                <w:spacing w:val="-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1"/>
                <w:sz w:val="24"/>
                <w:szCs w:val="24"/>
                <w14:textFill>
                  <w14:solidFill>
                    <w14:schemeClr w14:val="tx1"/>
                  </w14:solidFill>
                </w14:textFill>
              </w:rPr>
              <w:t>）</w:t>
            </w:r>
            <w:r>
              <w:rPr>
                <w:rFonts w:hint="eastAsia" w:ascii="Times New Roman" w:hAnsi="Times New Roman" w:eastAsia="宋体" w:cs="Times New Roman"/>
                <w:color w:val="000000" w:themeColor="text1"/>
                <w:spacing w:val="-1"/>
                <w:sz w:val="24"/>
                <w:szCs w:val="24"/>
                <w:lang w:eastAsia="zh-CN"/>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有组织非甲烷总烃排放速率满足</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highlight w:val="none"/>
                <w14:textFill>
                  <w14:solidFill>
                    <w14:schemeClr w14:val="tx1"/>
                  </w14:solidFill>
                </w14:textFill>
              </w:rPr>
              <w:t>相应标准</w:t>
            </w:r>
            <w:r>
              <w:rPr>
                <w:rFonts w:hint="eastAsia" w:cs="Times New Roman"/>
                <w:color w:val="000000" w:themeColor="text1"/>
                <w:sz w:val="24"/>
                <w:highlight w:val="none"/>
                <w:lang w:eastAsia="zh-CN"/>
                <w14:textFill>
                  <w14:solidFill>
                    <w14:schemeClr w14:val="tx1"/>
                  </w14:solidFill>
                </w14:textFill>
              </w:rPr>
              <w:t>（非甲烷总烃</w:t>
            </w:r>
            <w:r>
              <w:rPr>
                <w:rFonts w:hint="eastAsia"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highlight w:val="none"/>
                <w:lang w:eastAsia="zh-CN"/>
                <w14:textFill>
                  <w14:solidFill>
                    <w14:schemeClr w14:val="tx1"/>
                  </w14:solidFill>
                </w14:textFill>
              </w:rPr>
              <w:t>）。</w:t>
            </w:r>
          </w:p>
          <w:p>
            <w:pPr>
              <w:pStyle w:val="43"/>
              <w:pageBreakBefore w:val="0"/>
              <w:overflowPunct/>
              <w:topLinePunct w:val="0"/>
              <w:bidi w:val="0"/>
              <w:spacing w:line="359" w:lineRule="auto"/>
              <w:ind w:left="0" w:leftChars="0" w:right="0" w:firstLine="36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（2）无组织废气</w:t>
            </w:r>
          </w:p>
          <w:p>
            <w:pPr>
              <w:widowControl/>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①喷塑工序产生的</w:t>
            </w:r>
            <w:r>
              <w:rPr>
                <w:rFonts w:hint="eastAsia" w:cs="Times New Roman"/>
                <w:color w:val="auto"/>
                <w:sz w:val="24"/>
                <w:szCs w:val="24"/>
                <w:highlight w:val="none"/>
                <w:lang w:val="en-US" w:eastAsia="zh-CN"/>
              </w:rPr>
              <w:t>无组织</w:t>
            </w:r>
            <w:r>
              <w:rPr>
                <w:rFonts w:hint="default" w:ascii="Times New Roman" w:hAnsi="Times New Roman" w:eastAsia="宋体" w:cs="Times New Roman"/>
                <w:color w:val="auto"/>
                <w:sz w:val="24"/>
                <w:szCs w:val="24"/>
                <w:highlight w:val="none"/>
                <w:lang w:val="en-US" w:eastAsia="zh-CN"/>
              </w:rPr>
              <w:t>颗粒物</w:t>
            </w:r>
          </w:p>
          <w:p>
            <w:pPr>
              <w:widowControl/>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项目喷塑工序产生的颗粒物总量为1.5</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t/a，经集气罩收集，收集效率为99%，则未被收集的无组织颗粒物产生量为</w:t>
            </w:r>
            <w:r>
              <w:rPr>
                <w:rFonts w:hint="eastAsia" w:eastAsia="宋体" w:cs="Times New Roman"/>
                <w:color w:val="000000" w:themeColor="text1"/>
                <w:kern w:val="2"/>
                <w:sz w:val="24"/>
                <w:szCs w:val="24"/>
                <w:lang w:val="en-US" w:eastAsia="zh-CN" w:bidi="ar-SA"/>
                <w14:textFill>
                  <w14:solidFill>
                    <w14:schemeClr w14:val="tx1"/>
                  </w14:solidFill>
                </w14:textFill>
              </w:rPr>
              <w:t>0.015</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w:t>
            </w:r>
            <w:r>
              <w:rPr>
                <w:rFonts w:hint="eastAsia" w:eastAsia="宋体" w:cs="Times New Roman"/>
                <w:color w:val="000000" w:themeColor="text1"/>
                <w:kern w:val="2"/>
                <w:sz w:val="24"/>
                <w:szCs w:val="24"/>
                <w:lang w:val="en-US" w:eastAsia="zh-CN" w:bidi="ar-SA"/>
                <w14:textFill>
                  <w14:solidFill>
                    <w14:schemeClr w14:val="tx1"/>
                  </w14:solidFill>
                </w14:textFill>
              </w:rPr>
              <w:t>，排放速率0.00625</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kg/h</w:t>
            </w:r>
            <w:r>
              <w:rPr>
                <w:rFonts w:hint="eastAsia"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通过加强车间通风换气</w:t>
            </w:r>
            <w:r>
              <w:rPr>
                <w:rFonts w:hint="eastAsia" w:eastAsia="宋体" w:cs="Times New Roman"/>
                <w:color w:val="000000" w:themeColor="text1"/>
                <w:kern w:val="2"/>
                <w:sz w:val="24"/>
                <w:szCs w:val="24"/>
                <w:lang w:val="en-US" w:eastAsia="zh-CN" w:bidi="ar-SA"/>
                <w14:textFill>
                  <w14:solidFill>
                    <w14:schemeClr w14:val="tx1"/>
                  </w14:solidFill>
                </w14:textFill>
              </w:rPr>
              <w:t>，无组织颗粒物厂界排放浓度可满足《大气污染物综合排放标准》（GB16297-1996）表2限值（颗粒物浓度限值：1.0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eastAsia" w:eastAsia="宋体" w:cs="Times New Roman"/>
                <w:color w:val="000000" w:themeColor="text1"/>
                <w:kern w:val="2"/>
                <w:sz w:val="24"/>
                <w:szCs w:val="24"/>
                <w:lang w:val="en-US" w:eastAsia="zh-CN" w:bidi="ar-SA"/>
                <w14:textFill>
                  <w14:solidFill>
                    <w14:schemeClr w14:val="tx1"/>
                  </w14:solidFill>
                </w14:textFill>
              </w:rPr>
              <w:t>）。</w:t>
            </w:r>
          </w:p>
          <w:p>
            <w:pPr>
              <w:widowControl/>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抛</w:t>
            </w:r>
            <w:r>
              <w:rPr>
                <w:rFonts w:hint="eastAsia" w:ascii="Times New Roman" w:hAnsi="Times New Roman" w:cs="Times New Roman"/>
                <w:color w:val="auto"/>
                <w:sz w:val="24"/>
                <w:szCs w:val="24"/>
                <w:highlight w:val="none"/>
                <w:lang w:val="en-US" w:eastAsia="zh-CN"/>
              </w:rPr>
              <w:t>丸</w:t>
            </w:r>
            <w:r>
              <w:rPr>
                <w:rFonts w:hint="default" w:ascii="Times New Roman" w:hAnsi="Times New Roman" w:eastAsia="宋体" w:cs="Times New Roman"/>
                <w:color w:val="auto"/>
                <w:sz w:val="24"/>
                <w:szCs w:val="24"/>
                <w:highlight w:val="none"/>
                <w:lang w:val="en-US" w:eastAsia="zh-CN"/>
              </w:rPr>
              <w:t>工序产生的</w:t>
            </w:r>
            <w:r>
              <w:rPr>
                <w:rFonts w:hint="eastAsia" w:cs="Times New Roman"/>
                <w:color w:val="auto"/>
                <w:sz w:val="24"/>
                <w:szCs w:val="24"/>
                <w:highlight w:val="none"/>
                <w:lang w:val="en-US" w:eastAsia="zh-CN"/>
              </w:rPr>
              <w:t>无组织</w:t>
            </w:r>
            <w:r>
              <w:rPr>
                <w:rFonts w:hint="default" w:ascii="Times New Roman" w:hAnsi="Times New Roman" w:eastAsia="宋体" w:cs="Times New Roman"/>
                <w:color w:val="auto"/>
                <w:sz w:val="24"/>
                <w:szCs w:val="24"/>
                <w:highlight w:val="none"/>
                <w:lang w:val="en-US" w:eastAsia="zh-CN"/>
              </w:rPr>
              <w:t>颗粒物</w:t>
            </w:r>
          </w:p>
          <w:p>
            <w:pPr>
              <w:widowControl/>
              <w:autoSpaceDE w:val="0"/>
              <w:autoSpaceDN w:val="0"/>
              <w:adjustRightInd w:val="0"/>
              <w:snapToGrid w:val="0"/>
              <w:spacing w:line="360" w:lineRule="auto"/>
              <w:ind w:firstLine="480" w:firstLineChars="200"/>
              <w:textAlignment w:val="baseline"/>
              <w:rPr>
                <w:rFonts w:hint="eastAsia"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项目</w:t>
            </w:r>
            <w:r>
              <w:rPr>
                <w:rFonts w:hint="eastAsia" w:eastAsia="宋体" w:cs="Times New Roman"/>
                <w:color w:val="auto"/>
                <w:kern w:val="2"/>
                <w:sz w:val="24"/>
                <w:szCs w:val="24"/>
                <w:highlight w:val="none"/>
                <w:lang w:val="en-US" w:eastAsia="zh-CN" w:bidi="ar-SA"/>
              </w:rPr>
              <w:t>抛丸</w:t>
            </w:r>
            <w:r>
              <w:rPr>
                <w:rFonts w:hint="eastAsia" w:ascii="Times New Roman" w:hAnsi="Times New Roman" w:eastAsia="宋体" w:cs="Times New Roman"/>
                <w:color w:val="auto"/>
                <w:kern w:val="2"/>
                <w:sz w:val="24"/>
                <w:szCs w:val="24"/>
                <w:highlight w:val="none"/>
                <w:lang w:val="en-US" w:eastAsia="zh-CN" w:bidi="ar-SA"/>
              </w:rPr>
              <w:t>工序产生的颗粒物总量为</w:t>
            </w:r>
            <w:r>
              <w:rPr>
                <w:rFonts w:hint="eastAsia" w:eastAsia="宋体" w:cs="Times New Roman"/>
                <w:color w:val="auto"/>
                <w:kern w:val="2"/>
                <w:sz w:val="24"/>
                <w:szCs w:val="24"/>
                <w:highlight w:val="none"/>
                <w:lang w:val="en-US" w:eastAsia="zh-CN" w:bidi="ar-SA"/>
              </w:rPr>
              <w:t>1.19</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t/a，经集气罩收集，收集效率为99%，则未被收集的无组织颗粒物产生量为</w:t>
            </w:r>
            <w:r>
              <w:rPr>
                <w:rFonts w:hint="eastAsia" w:eastAsia="宋体" w:cs="Times New Roman"/>
                <w:color w:val="000000" w:themeColor="text1"/>
                <w:kern w:val="2"/>
                <w:sz w:val="24"/>
                <w:szCs w:val="24"/>
                <w:lang w:val="en-US" w:eastAsia="zh-CN" w:bidi="ar-SA"/>
                <w14:textFill>
                  <w14:solidFill>
                    <w14:schemeClr w14:val="tx1"/>
                  </w14:solidFill>
                </w14:textFill>
              </w:rPr>
              <w:t>0.0119</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w:t>
            </w:r>
            <w:r>
              <w:rPr>
                <w:rFonts w:hint="eastAsia" w:eastAsia="宋体" w:cs="Times New Roman"/>
                <w:color w:val="000000" w:themeColor="text1"/>
                <w:kern w:val="2"/>
                <w:sz w:val="24"/>
                <w:szCs w:val="24"/>
                <w:lang w:val="en-US" w:eastAsia="zh-CN" w:bidi="ar-SA"/>
                <w14:textFill>
                  <w14:solidFill>
                    <w14:schemeClr w14:val="tx1"/>
                  </w14:solidFill>
                </w14:textFill>
              </w:rPr>
              <w:t>，排放速率0.000496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kg/h</w:t>
            </w:r>
            <w:r>
              <w:rPr>
                <w:rFonts w:hint="eastAsia"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通过加强车间通风换气</w:t>
            </w:r>
            <w:r>
              <w:rPr>
                <w:rFonts w:hint="eastAsia" w:eastAsia="宋体" w:cs="Times New Roman"/>
                <w:color w:val="000000" w:themeColor="text1"/>
                <w:kern w:val="2"/>
                <w:sz w:val="24"/>
                <w:szCs w:val="24"/>
                <w:lang w:val="en-US" w:eastAsia="zh-CN" w:bidi="ar-SA"/>
                <w14:textFill>
                  <w14:solidFill>
                    <w14:schemeClr w14:val="tx1"/>
                  </w14:solidFill>
                </w14:textFill>
              </w:rPr>
              <w:t>，无组织颗粒物厂界排放浓度可满足《大气污染物综合排放标准》（GB16297-1996）表2限值（颗粒物浓度限值：1.0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eastAsia" w:eastAsia="宋体" w:cs="Times New Roman"/>
                <w:color w:val="000000" w:themeColor="text1"/>
                <w:kern w:val="2"/>
                <w:sz w:val="24"/>
                <w:szCs w:val="24"/>
                <w:lang w:val="en-US" w:eastAsia="zh-CN" w:bidi="ar-SA"/>
                <w14:textFill>
                  <w14:solidFill>
                    <w14:schemeClr w14:val="tx1"/>
                  </w14:solidFill>
                </w14:textFill>
              </w:rPr>
              <w:t>）。</w:t>
            </w:r>
          </w:p>
          <w:p>
            <w:pPr>
              <w:widowControl/>
              <w:autoSpaceDE w:val="0"/>
              <w:autoSpaceDN w:val="0"/>
              <w:adjustRightInd w:val="0"/>
              <w:snapToGrid w:val="0"/>
              <w:spacing w:line="360" w:lineRule="auto"/>
              <w:ind w:firstLine="468" w:firstLineChars="200"/>
              <w:textAlignment w:val="baseline"/>
              <w:rPr>
                <w:rFonts w:hint="default" w:ascii="Times New Roman" w:hAnsi="Times New Roman" w:eastAsia="宋体" w:cs="Times New Roman"/>
                <w:color w:val="0000FF"/>
                <w:spacing w:val="-3"/>
                <w:sz w:val="24"/>
                <w:szCs w:val="24"/>
                <w:highlight w:val="none"/>
              </w:rPr>
            </w:pPr>
            <w:r>
              <w:rPr>
                <w:rFonts w:hint="default" w:ascii="Times New Roman" w:hAnsi="Times New Roman" w:eastAsia="宋体" w:cs="Times New Roman"/>
                <w:color w:val="0000FF"/>
                <w:spacing w:val="-3"/>
                <w:sz w:val="24"/>
                <w:szCs w:val="24"/>
                <w:highlight w:val="none"/>
                <w:lang w:val="en-US" w:eastAsia="zh-CN"/>
              </w:rPr>
              <w:t>③</w:t>
            </w:r>
            <w:r>
              <w:rPr>
                <w:rFonts w:hint="eastAsia" w:ascii="Times New Roman" w:hAnsi="Times New Roman" w:eastAsia="宋体" w:cs="Times New Roman"/>
                <w:color w:val="0000FF"/>
                <w:spacing w:val="-3"/>
                <w:sz w:val="24"/>
                <w:szCs w:val="24"/>
                <w:highlight w:val="none"/>
                <w:lang w:val="en-US" w:eastAsia="zh-CN"/>
              </w:rPr>
              <w:t>烘干固化工序</w:t>
            </w:r>
            <w:r>
              <w:rPr>
                <w:rFonts w:hint="eastAsia" w:eastAsia="宋体" w:cs="Times New Roman"/>
                <w:color w:val="0000FF"/>
                <w:spacing w:val="-3"/>
                <w:sz w:val="24"/>
                <w:szCs w:val="24"/>
                <w:highlight w:val="none"/>
                <w:lang w:val="en-US" w:eastAsia="zh-CN"/>
              </w:rPr>
              <w:t>未被收集的</w:t>
            </w:r>
            <w:r>
              <w:rPr>
                <w:rFonts w:hint="eastAsia" w:ascii="Times New Roman" w:hAnsi="Times New Roman" w:eastAsia="宋体" w:cs="Times New Roman"/>
                <w:color w:val="0000FF"/>
                <w:spacing w:val="-3"/>
                <w:sz w:val="24"/>
                <w:szCs w:val="24"/>
                <w:highlight w:val="none"/>
                <w:lang w:val="en-US" w:eastAsia="zh-CN"/>
              </w:rPr>
              <w:t>有机废气</w:t>
            </w:r>
            <w:r>
              <w:rPr>
                <w:rFonts w:hint="default" w:ascii="Times New Roman" w:hAnsi="Times New Roman" w:eastAsia="宋体" w:cs="Times New Roman"/>
                <w:color w:val="0000FF"/>
                <w:spacing w:val="-3"/>
                <w:sz w:val="24"/>
                <w:szCs w:val="24"/>
                <w:highlight w:val="none"/>
              </w:rPr>
              <w:t>（以非甲烷总烃计）</w:t>
            </w:r>
          </w:p>
          <w:p>
            <w:pPr>
              <w:widowControl/>
              <w:autoSpaceDE w:val="0"/>
              <w:autoSpaceDN w:val="0"/>
              <w:adjustRightInd w:val="0"/>
              <w:snapToGrid w:val="0"/>
              <w:spacing w:line="360" w:lineRule="auto"/>
              <w:ind w:firstLine="480" w:firstLineChars="200"/>
              <w:textAlignment w:val="baseline"/>
              <w:rPr>
                <w:rFonts w:hint="eastAsia" w:ascii="Times New Roman" w:hAnsi="Times New Roman" w:eastAsia="宋体" w:cs="Times New Roman"/>
                <w:color w:val="0000FF"/>
                <w:kern w:val="2"/>
                <w:sz w:val="24"/>
                <w:szCs w:val="24"/>
                <w:lang w:val="en-US" w:eastAsia="zh-CN" w:bidi="ar-SA"/>
              </w:rPr>
            </w:pPr>
            <w:r>
              <w:rPr>
                <w:rFonts w:hint="eastAsia" w:ascii="宋体" w:hAnsi="宋体" w:eastAsia="宋体" w:cs="宋体"/>
                <w:color w:val="0000FF"/>
                <w:kern w:val="0"/>
                <w:sz w:val="24"/>
                <w:szCs w:val="24"/>
                <w:lang w:val="en-US" w:eastAsia="zh-CN" w:bidi="ar"/>
              </w:rPr>
              <w:t>本项目生产过程产生的有机废气总</w:t>
            </w:r>
            <w:r>
              <w:rPr>
                <w:rFonts w:hint="eastAsia" w:ascii="Times New Roman" w:hAnsi="Times New Roman" w:eastAsia="宋体" w:cs="Times New Roman"/>
                <w:color w:val="0000FF"/>
                <w:kern w:val="2"/>
                <w:sz w:val="24"/>
                <w:szCs w:val="24"/>
                <w:lang w:val="en-US" w:eastAsia="zh-CN" w:bidi="ar-SA"/>
              </w:rPr>
              <w:t>量为</w:t>
            </w:r>
            <w:r>
              <w:rPr>
                <w:rFonts w:hint="eastAsia" w:eastAsia="宋体" w:cs="Times New Roman"/>
                <w:color w:val="0000FF"/>
                <w:kern w:val="2"/>
                <w:sz w:val="24"/>
                <w:szCs w:val="24"/>
                <w:lang w:val="en-US" w:eastAsia="zh-CN" w:bidi="ar-SA"/>
              </w:rPr>
              <w:t>0.006</w:t>
            </w:r>
            <w:r>
              <w:rPr>
                <w:rFonts w:hint="eastAsia" w:ascii="Times New Roman" w:hAnsi="Times New Roman" w:eastAsia="宋体" w:cs="Times New Roman"/>
                <w:color w:val="0000FF"/>
                <w:kern w:val="2"/>
                <w:sz w:val="24"/>
                <w:szCs w:val="24"/>
                <w:lang w:val="en-US" w:eastAsia="zh-CN" w:bidi="ar-SA"/>
              </w:rPr>
              <w:t>t/a，经集气罩收集，收集效率为90%，则未被收集的有机废气产生量为</w:t>
            </w:r>
            <w:r>
              <w:rPr>
                <w:rFonts w:hint="eastAsia" w:eastAsia="宋体" w:cs="Times New Roman"/>
                <w:color w:val="0000FF"/>
                <w:kern w:val="2"/>
                <w:sz w:val="24"/>
                <w:szCs w:val="24"/>
                <w:lang w:val="en-US" w:eastAsia="zh-CN" w:bidi="ar-SA"/>
              </w:rPr>
              <w:t>0.0006</w:t>
            </w:r>
            <w:r>
              <w:rPr>
                <w:rFonts w:hint="eastAsia" w:ascii="Times New Roman" w:hAnsi="Times New Roman" w:eastAsia="宋体" w:cs="Times New Roman"/>
                <w:color w:val="0000FF"/>
                <w:kern w:val="2"/>
                <w:sz w:val="24"/>
                <w:szCs w:val="24"/>
                <w:lang w:val="en-US" w:eastAsia="zh-CN" w:bidi="ar-SA"/>
              </w:rPr>
              <w:t>t/a，排放速率</w:t>
            </w:r>
            <w:r>
              <w:rPr>
                <w:rFonts w:hint="eastAsia" w:eastAsia="宋体" w:cs="Times New Roman"/>
                <w:color w:val="0000FF"/>
                <w:kern w:val="2"/>
                <w:sz w:val="24"/>
                <w:szCs w:val="24"/>
                <w:lang w:val="en-US" w:eastAsia="zh-CN" w:bidi="ar-SA"/>
              </w:rPr>
              <w:t>0.00025</w:t>
            </w:r>
            <w:r>
              <w:rPr>
                <w:rFonts w:hint="eastAsia" w:ascii="Times New Roman" w:hAnsi="Times New Roman" w:eastAsia="宋体" w:cs="Times New Roman"/>
                <w:color w:val="0000FF"/>
                <w:kern w:val="2"/>
                <w:sz w:val="24"/>
                <w:szCs w:val="24"/>
                <w:lang w:val="en-US" w:eastAsia="zh-CN" w:bidi="ar-SA"/>
              </w:rPr>
              <w:t>kg/h</w:t>
            </w:r>
            <w:r>
              <w:rPr>
                <w:rFonts w:hint="eastAsia" w:eastAsia="宋体" w:cs="Times New Roman"/>
                <w:color w:val="0000FF"/>
                <w:kern w:val="2"/>
                <w:sz w:val="24"/>
                <w:szCs w:val="24"/>
                <w:lang w:val="en-US" w:eastAsia="zh-CN" w:bidi="ar-SA"/>
              </w:rPr>
              <w:t>，以无组织的形式在厂房内排放</w:t>
            </w:r>
            <w:r>
              <w:rPr>
                <w:rFonts w:hint="eastAsia" w:ascii="Times New Roman" w:hAnsi="Times New Roman" w:eastAsia="宋体" w:cs="Times New Roman"/>
                <w:color w:val="0000FF"/>
                <w:kern w:val="2"/>
                <w:sz w:val="24"/>
                <w:szCs w:val="24"/>
                <w:lang w:val="en-US" w:eastAsia="zh-CN" w:bidi="ar-SA"/>
              </w:rPr>
              <w:t>。</w:t>
            </w:r>
          </w:p>
          <w:p>
            <w:pPr>
              <w:widowControl/>
              <w:autoSpaceDE w:val="0"/>
              <w:autoSpaceDN w:val="0"/>
              <w:adjustRightInd w:val="0"/>
              <w:snapToGrid w:val="0"/>
              <w:spacing w:line="360" w:lineRule="auto"/>
              <w:ind w:firstLine="480" w:firstLineChars="200"/>
              <w:textAlignment w:val="baseline"/>
              <w:rPr>
                <w:rFonts w:hint="default"/>
                <w:lang w:val="en-US" w:eastAsia="zh-CN"/>
              </w:rPr>
            </w:pPr>
            <w:r>
              <w:rPr>
                <w:rFonts w:hint="eastAsia" w:ascii="Times New Roman" w:hAnsi="Times New Roman" w:eastAsia="宋体" w:cs="Times New Roman"/>
                <w:color w:val="0000FF"/>
                <w:kern w:val="2"/>
                <w:sz w:val="24"/>
                <w:szCs w:val="24"/>
                <w:lang w:val="en-US" w:eastAsia="zh-CN" w:bidi="ar-SA"/>
              </w:rPr>
              <w:t>对比《新疆振清机械设备制造有限公司建设年产7.5万片钢制托盘生产线及喷塑建设项目》</w:t>
            </w:r>
            <w:r>
              <w:rPr>
                <w:rFonts w:hint="eastAsia" w:eastAsia="宋体" w:cs="Times New Roman"/>
                <w:color w:val="0000FF"/>
                <w:kern w:val="2"/>
                <w:sz w:val="24"/>
                <w:szCs w:val="24"/>
                <w:lang w:val="en-US" w:eastAsia="zh-CN" w:bidi="ar-SA"/>
              </w:rPr>
              <w:t>的固化工序产生的有机废气总量为45</w:t>
            </w:r>
            <w:r>
              <w:rPr>
                <w:rFonts w:hint="eastAsia" w:ascii="Times New Roman" w:hAnsi="Times New Roman" w:eastAsia="宋体" w:cs="Times New Roman"/>
                <w:color w:val="0000FF"/>
                <w:kern w:val="2"/>
                <w:sz w:val="24"/>
                <w:szCs w:val="24"/>
                <w:lang w:val="en-US" w:eastAsia="zh-CN" w:bidi="ar-SA"/>
              </w:rPr>
              <w:t>t/a</w:t>
            </w:r>
            <w:r>
              <w:rPr>
                <w:rFonts w:hint="eastAsia" w:eastAsia="宋体" w:cs="Times New Roman"/>
                <w:color w:val="0000FF"/>
                <w:kern w:val="2"/>
                <w:sz w:val="24"/>
                <w:szCs w:val="24"/>
                <w:lang w:val="en-US" w:eastAsia="zh-CN" w:bidi="ar-SA"/>
              </w:rPr>
              <w:t>，</w:t>
            </w:r>
            <w:r>
              <w:rPr>
                <w:rFonts w:hint="eastAsia" w:ascii="Times New Roman" w:hAnsi="Times New Roman" w:eastAsia="宋体" w:cs="Times New Roman"/>
                <w:color w:val="0000FF"/>
                <w:kern w:val="2"/>
                <w:sz w:val="24"/>
                <w:szCs w:val="24"/>
                <w:lang w:val="en-US" w:eastAsia="zh-CN" w:bidi="ar-SA"/>
              </w:rPr>
              <w:t>经集气罩收集，收集效率为90%，则未被收集的有机废气产生量为</w:t>
            </w:r>
            <w:r>
              <w:rPr>
                <w:rFonts w:hint="eastAsia" w:eastAsia="宋体" w:cs="Times New Roman"/>
                <w:color w:val="0000FF"/>
                <w:kern w:val="2"/>
                <w:sz w:val="24"/>
                <w:szCs w:val="24"/>
                <w:lang w:val="en-US" w:eastAsia="zh-CN" w:bidi="ar-SA"/>
              </w:rPr>
              <w:t>4.5</w:t>
            </w:r>
            <w:r>
              <w:rPr>
                <w:rFonts w:hint="eastAsia" w:ascii="Times New Roman" w:hAnsi="Times New Roman" w:eastAsia="宋体" w:cs="Times New Roman"/>
                <w:color w:val="0000FF"/>
                <w:kern w:val="2"/>
                <w:sz w:val="24"/>
                <w:szCs w:val="24"/>
                <w:lang w:val="en-US" w:eastAsia="zh-CN" w:bidi="ar-SA"/>
              </w:rPr>
              <w:t>t/a</w:t>
            </w:r>
            <w:r>
              <w:rPr>
                <w:rFonts w:hint="eastAsia" w:eastAsia="宋体" w:cs="Times New Roman"/>
                <w:color w:val="0000FF"/>
                <w:kern w:val="2"/>
                <w:sz w:val="24"/>
                <w:szCs w:val="24"/>
                <w:lang w:val="en-US" w:eastAsia="zh-CN" w:bidi="ar-SA"/>
              </w:rPr>
              <w:t>，根据新疆锡水金山环境科技有限公司2020年对</w:t>
            </w:r>
            <w:r>
              <w:rPr>
                <w:rFonts w:hint="eastAsia" w:ascii="Times New Roman" w:hAnsi="Times New Roman" w:eastAsia="宋体" w:cs="Times New Roman"/>
                <w:color w:val="0000FF"/>
                <w:kern w:val="2"/>
                <w:sz w:val="24"/>
                <w:szCs w:val="24"/>
                <w:lang w:val="en-US" w:eastAsia="zh-CN" w:bidi="ar-SA"/>
              </w:rPr>
              <w:t>新疆振清机械设备制造有限公司</w:t>
            </w:r>
            <w:r>
              <w:rPr>
                <w:rFonts w:hint="eastAsia" w:eastAsia="宋体" w:cs="Times New Roman"/>
                <w:color w:val="0000FF"/>
                <w:kern w:val="2"/>
                <w:sz w:val="24"/>
                <w:szCs w:val="24"/>
                <w:lang w:val="en-US" w:eastAsia="zh-CN" w:bidi="ar-SA"/>
              </w:rPr>
              <w:t>的监测报告显示，无组织有机废气（非甲烷总烃）最高排放浓度为</w:t>
            </w:r>
            <w:r>
              <w:rPr>
                <w:rFonts w:hint="eastAsia" w:ascii="Times New Roman" w:hAnsi="Times New Roman" w:eastAsia="宋体" w:cs="Times New Roman"/>
                <w:color w:val="0000FF"/>
                <w:kern w:val="2"/>
                <w:sz w:val="24"/>
                <w:szCs w:val="24"/>
                <w:lang w:val="en-US" w:eastAsia="zh-CN" w:bidi="ar-SA"/>
              </w:rPr>
              <w:t>1.91mg/m</w:t>
            </w:r>
            <w:r>
              <w:rPr>
                <w:rFonts w:hint="eastAsia" w:ascii="Times New Roman" w:hAnsi="Times New Roman" w:eastAsia="宋体" w:cs="Times New Roman"/>
                <w:color w:val="0000FF"/>
                <w:kern w:val="2"/>
                <w:sz w:val="24"/>
                <w:szCs w:val="24"/>
                <w:vertAlign w:val="superscript"/>
                <w:lang w:val="en-US" w:eastAsia="zh-CN" w:bidi="ar-SA"/>
              </w:rPr>
              <w:t>3</w:t>
            </w:r>
            <w:r>
              <w:rPr>
                <w:rFonts w:hint="eastAsia" w:eastAsia="宋体" w:cs="Times New Roman"/>
                <w:color w:val="0000FF"/>
                <w:kern w:val="2"/>
                <w:sz w:val="24"/>
                <w:szCs w:val="24"/>
                <w:vertAlign w:val="baseline"/>
                <w:lang w:val="en-US" w:eastAsia="zh-CN" w:bidi="ar-SA"/>
              </w:rPr>
              <w:t>。</w:t>
            </w:r>
          </w:p>
          <w:p>
            <w:pPr>
              <w:widowControl/>
              <w:autoSpaceDE w:val="0"/>
              <w:autoSpaceDN w:val="0"/>
              <w:adjustRightInd w:val="0"/>
              <w:snapToGrid w:val="0"/>
              <w:spacing w:line="360" w:lineRule="auto"/>
              <w:ind w:firstLine="480" w:firstLineChars="200"/>
              <w:textAlignment w:val="baseline"/>
              <w:rPr>
                <w:rFonts w:hint="eastAsia" w:ascii="Times New Roman" w:hAnsi="Times New Roman" w:eastAsia="宋体" w:cs="Times New Roman"/>
                <w:color w:val="0000FF"/>
                <w:kern w:val="2"/>
                <w:sz w:val="24"/>
                <w:szCs w:val="24"/>
                <w:lang w:val="en-US" w:eastAsia="zh-CN" w:bidi="ar-SA"/>
              </w:rPr>
            </w:pPr>
            <w:r>
              <w:rPr>
                <w:rFonts w:hint="eastAsia" w:eastAsia="宋体" w:cs="Times New Roman"/>
                <w:color w:val="0000FF"/>
                <w:kern w:val="2"/>
                <w:sz w:val="24"/>
                <w:szCs w:val="24"/>
                <w:lang w:val="en-US" w:eastAsia="zh-CN" w:bidi="ar-SA"/>
              </w:rPr>
              <w:t>因此本项目</w:t>
            </w:r>
            <w:r>
              <w:rPr>
                <w:rFonts w:hint="eastAsia" w:ascii="Times New Roman" w:hAnsi="Times New Roman" w:eastAsia="宋体" w:cs="Times New Roman"/>
                <w:color w:val="0000FF"/>
                <w:kern w:val="2"/>
                <w:sz w:val="24"/>
                <w:szCs w:val="24"/>
                <w:lang w:val="en-US" w:eastAsia="zh-CN" w:bidi="ar-SA"/>
              </w:rPr>
              <w:t>通过加强车间通风换气，无组织有机废气（非甲烷总烃）厂界排放浓度可满足</w:t>
            </w:r>
            <w:r>
              <w:rPr>
                <w:rFonts w:hint="default" w:ascii="Times New Roman" w:hAnsi="Times New Roman" w:eastAsia="宋体" w:cs="Times New Roman"/>
                <w:color w:val="0000FF"/>
                <w:spacing w:val="-1"/>
                <w:sz w:val="24"/>
                <w:szCs w:val="24"/>
              </w:rPr>
              <w:t>《大气污染物综合排放标准》（GB16297-1996）相应标准</w:t>
            </w:r>
            <w:r>
              <w:rPr>
                <w:rFonts w:hint="eastAsia" w:ascii="Times New Roman" w:hAnsi="Times New Roman" w:eastAsia="宋体" w:cs="Times New Roman"/>
                <w:color w:val="0000FF"/>
                <w:kern w:val="2"/>
                <w:sz w:val="24"/>
                <w:szCs w:val="24"/>
                <w:lang w:val="en-US" w:eastAsia="zh-CN" w:bidi="ar-SA"/>
              </w:rPr>
              <w:t>（非甲烷总烃排放浓度限值：4.0mg/m</w:t>
            </w:r>
            <w:r>
              <w:rPr>
                <w:rFonts w:hint="eastAsia" w:ascii="Times New Roman" w:hAnsi="Times New Roman" w:eastAsia="宋体" w:cs="Times New Roman"/>
                <w:color w:val="0000FF"/>
                <w:kern w:val="2"/>
                <w:sz w:val="24"/>
                <w:szCs w:val="24"/>
                <w:vertAlign w:val="superscript"/>
                <w:lang w:val="en-US" w:eastAsia="zh-CN" w:bidi="ar-SA"/>
              </w:rPr>
              <w:t>3</w:t>
            </w:r>
            <w:r>
              <w:rPr>
                <w:rFonts w:hint="eastAsia" w:ascii="Times New Roman" w:hAnsi="Times New Roman" w:eastAsia="宋体" w:cs="Times New Roman"/>
                <w:color w:val="0000FF"/>
                <w:kern w:val="2"/>
                <w:sz w:val="24"/>
                <w:szCs w:val="24"/>
                <w:lang w:val="en-US" w:eastAsia="zh-CN" w:bidi="ar-SA"/>
              </w:rPr>
              <w:t>），厂内无组织《挥发性有机物无组织排放控制标准》（GB37822-2019）中特别排放限值（监控点处1h平均浓度：6mg/m</w:t>
            </w:r>
            <w:r>
              <w:rPr>
                <w:rFonts w:hint="eastAsia" w:ascii="Times New Roman" w:hAnsi="Times New Roman" w:eastAsia="宋体" w:cs="Times New Roman"/>
                <w:color w:val="0000FF"/>
                <w:kern w:val="2"/>
                <w:sz w:val="24"/>
                <w:szCs w:val="24"/>
                <w:vertAlign w:val="superscript"/>
                <w:lang w:val="en-US" w:eastAsia="zh-CN" w:bidi="ar-SA"/>
              </w:rPr>
              <w:t>3</w:t>
            </w:r>
            <w:r>
              <w:rPr>
                <w:rFonts w:hint="eastAsia" w:ascii="Times New Roman" w:hAnsi="Times New Roman" w:eastAsia="宋体" w:cs="Times New Roman"/>
                <w:color w:val="0000FF"/>
                <w:kern w:val="2"/>
                <w:sz w:val="24"/>
                <w:szCs w:val="24"/>
                <w:lang w:val="en-US" w:eastAsia="zh-CN" w:bidi="ar-SA"/>
              </w:rPr>
              <w:t>；监控点任意一次浓度值20mg/m</w:t>
            </w:r>
            <w:r>
              <w:rPr>
                <w:rFonts w:hint="eastAsia" w:ascii="Times New Roman" w:hAnsi="Times New Roman" w:eastAsia="宋体" w:cs="Times New Roman"/>
                <w:color w:val="0000FF"/>
                <w:kern w:val="2"/>
                <w:sz w:val="24"/>
                <w:szCs w:val="24"/>
                <w:vertAlign w:val="superscript"/>
                <w:lang w:val="en-US" w:eastAsia="zh-CN" w:bidi="ar-SA"/>
              </w:rPr>
              <w:t>3</w:t>
            </w:r>
            <w:r>
              <w:rPr>
                <w:rFonts w:hint="eastAsia" w:ascii="Times New Roman" w:hAnsi="Times New Roman" w:eastAsia="宋体" w:cs="Times New Roman"/>
                <w:color w:val="0000FF"/>
                <w:kern w:val="2"/>
                <w:sz w:val="24"/>
                <w:szCs w:val="24"/>
                <w:lang w:val="en-US" w:eastAsia="zh-CN" w:bidi="ar-SA"/>
              </w:rPr>
              <w:t>），对周边大气环境影响较小。</w:t>
            </w:r>
          </w:p>
          <w:p>
            <w:pPr>
              <w:widowControl/>
              <w:spacing w:line="360" w:lineRule="auto"/>
              <w:jc w:val="left"/>
              <w:rPr>
                <w:b/>
                <w:bCs/>
                <w:color w:val="auto"/>
                <w:sz w:val="24"/>
              </w:rPr>
            </w:pPr>
            <w:r>
              <w:rPr>
                <w:b/>
                <w:bCs/>
                <w:color w:val="auto"/>
                <w:sz w:val="24"/>
              </w:rPr>
              <w:t>1.</w:t>
            </w:r>
            <w:r>
              <w:rPr>
                <w:rFonts w:hint="eastAsia"/>
                <w:b/>
                <w:bCs/>
                <w:color w:val="auto"/>
                <w:sz w:val="24"/>
                <w:lang w:val="en-US" w:eastAsia="zh-CN"/>
              </w:rPr>
              <w:t>2</w:t>
            </w:r>
            <w:r>
              <w:rPr>
                <w:b/>
                <w:bCs/>
                <w:color w:val="auto"/>
                <w:sz w:val="24"/>
              </w:rPr>
              <w:t>非正常工况</w:t>
            </w:r>
          </w:p>
          <w:p>
            <w:pPr>
              <w:widowControl/>
              <w:spacing w:line="360" w:lineRule="auto"/>
              <w:ind w:firstLine="480" w:firstLineChars="200"/>
              <w:jc w:val="left"/>
              <w:rPr>
                <w:color w:val="auto"/>
                <w:sz w:val="24"/>
              </w:rPr>
            </w:pPr>
            <w:r>
              <w:rPr>
                <w:color w:val="auto"/>
                <w:sz w:val="24"/>
              </w:rPr>
              <w:t>根据《环境影响评价技术导则大气环境》（HJ2.2-2018），非正常排放包括设备检修、污染物排放控制措施达不到应有效率、工艺设备运转异常等</w:t>
            </w:r>
            <w:r>
              <w:rPr>
                <w:rFonts w:hint="eastAsia"/>
                <w:color w:val="auto"/>
                <w:sz w:val="24"/>
                <w:lang w:eastAsia="zh-CN"/>
              </w:rPr>
              <w:t>，</w:t>
            </w:r>
            <w:r>
              <w:rPr>
                <w:color w:val="auto"/>
                <w:sz w:val="24"/>
              </w:rPr>
              <w:t>本项目非正常工况主要为袋式除尘装置失效</w:t>
            </w:r>
            <w:r>
              <w:rPr>
                <w:rFonts w:hint="eastAsia"/>
                <w:color w:val="auto"/>
                <w:sz w:val="24"/>
                <w:lang w:eastAsia="zh-CN"/>
              </w:rPr>
              <w:t>、</w:t>
            </w:r>
            <w:r>
              <w:rPr>
                <w:rFonts w:hint="default" w:ascii="Times New Roman" w:hAnsi="Times New Roman" w:eastAsia="宋体" w:cs="Times New Roman"/>
                <w:b w:val="0"/>
                <w:bCs w:val="0"/>
                <w:color w:val="auto"/>
                <w:kern w:val="2"/>
                <w:sz w:val="24"/>
                <w:szCs w:val="24"/>
                <w:highlight w:val="none"/>
                <w:lang w:val="en-US" w:eastAsia="zh-CN" w:bidi="ar-SA"/>
              </w:rPr>
              <w:t>活性炭未及时更换</w:t>
            </w:r>
            <w:r>
              <w:rPr>
                <w:rFonts w:hint="eastAsia" w:cs="Times New Roman"/>
                <w:b w:val="0"/>
                <w:bCs w:val="0"/>
                <w:color w:val="auto"/>
                <w:kern w:val="2"/>
                <w:sz w:val="24"/>
                <w:szCs w:val="24"/>
                <w:highlight w:val="none"/>
                <w:lang w:val="en-US" w:eastAsia="zh-CN" w:bidi="ar-SA"/>
              </w:rPr>
              <w:t>等</w:t>
            </w:r>
            <w:r>
              <w:rPr>
                <w:color w:val="auto"/>
                <w:sz w:val="24"/>
              </w:rPr>
              <w:t>。在此情景下，本项目废气污染物产生情况及排放情况，具体见表4-4。</w:t>
            </w:r>
          </w:p>
          <w:p>
            <w:pPr>
              <w:ind w:firstLine="422" w:firstLineChars="200"/>
              <w:jc w:val="center"/>
              <w:rPr>
                <w:b/>
                <w:bCs/>
                <w:color w:val="auto"/>
                <w:szCs w:val="21"/>
              </w:rPr>
            </w:pPr>
            <w:r>
              <w:rPr>
                <w:b/>
                <w:bCs/>
                <w:color w:val="auto"/>
                <w:szCs w:val="21"/>
              </w:rPr>
              <w:t>表4-4本项目有组织废气产生、排放情况表</w:t>
            </w:r>
          </w:p>
          <w:tbl>
            <w:tblPr>
              <w:tblStyle w:val="23"/>
              <w:tblW w:w="81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68"/>
              <w:gridCol w:w="723"/>
              <w:gridCol w:w="634"/>
              <w:gridCol w:w="1022"/>
              <w:gridCol w:w="1105"/>
              <w:gridCol w:w="1077"/>
              <w:gridCol w:w="1050"/>
              <w:gridCol w:w="477"/>
              <w:gridCol w:w="532"/>
              <w:gridCol w:w="5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1" w:type="pct"/>
                  <w:vMerge w:val="restart"/>
                  <w:tcBorders>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污染源</w:t>
                  </w:r>
                </w:p>
              </w:tc>
              <w:tc>
                <w:tcPr>
                  <w:tcW w:w="442" w:type="pct"/>
                  <w:vMerge w:val="restart"/>
                  <w:tcBorders>
                    <w:tl2br w:val="nil"/>
                    <w:tr2bl w:val="nil"/>
                  </w:tcBorders>
                  <w:vAlign w:val="center"/>
                </w:tcPr>
                <w:p>
                  <w:pPr>
                    <w:pStyle w:val="31"/>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污染物</w:t>
                  </w:r>
                </w:p>
              </w:tc>
              <w:tc>
                <w:tcPr>
                  <w:tcW w:w="387" w:type="pct"/>
                  <w:vMerge w:val="restart"/>
                  <w:tcBorders>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排放方式</w:t>
                  </w:r>
                </w:p>
              </w:tc>
              <w:tc>
                <w:tcPr>
                  <w:tcW w:w="1300" w:type="pct"/>
                  <w:gridSpan w:val="2"/>
                  <w:tcBorders>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污染物产生</w:t>
                  </w:r>
                </w:p>
              </w:tc>
              <w:tc>
                <w:tcPr>
                  <w:tcW w:w="658" w:type="pct"/>
                  <w:vMerge w:val="restart"/>
                  <w:tcBorders>
                    <w:tl2br w:val="nil"/>
                    <w:tr2bl w:val="nil"/>
                  </w:tcBorders>
                  <w:vAlign w:val="center"/>
                </w:tcPr>
                <w:p>
                  <w:pPr>
                    <w:pStyle w:val="31"/>
                    <w:jc w:val="center"/>
                    <w:rPr>
                      <w:rFonts w:ascii="Times New Roman" w:hAnsi="Times New Roman" w:cs="Times New Roman"/>
                      <w:b/>
                      <w:bCs/>
                      <w:color w:val="auto"/>
                      <w:szCs w:val="21"/>
                    </w:rPr>
                  </w:pPr>
                  <w:r>
                    <w:rPr>
                      <w:rFonts w:hint="eastAsia" w:ascii="Times New Roman" w:hAnsi="Times New Roman" w:cs="Times New Roman"/>
                      <w:b/>
                      <w:bCs/>
                      <w:color w:val="auto"/>
                      <w:szCs w:val="21"/>
                      <w:lang w:eastAsia="zh-CN"/>
                    </w:rPr>
                    <w:t>排放浓度</w:t>
                  </w:r>
                </w:p>
                <w:p>
                  <w:pPr>
                    <w:pStyle w:val="31"/>
                    <w:jc w:val="center"/>
                    <w:rPr>
                      <w:rFonts w:ascii="Times New Roman" w:hAnsi="Times New Roman" w:cs="Times New Roman"/>
                      <w:b/>
                      <w:bCs/>
                      <w:color w:val="auto"/>
                      <w:szCs w:val="21"/>
                    </w:rPr>
                  </w:pPr>
                  <w:r>
                    <w:rPr>
                      <w:rFonts w:hint="eastAsia" w:ascii="Times New Roman" w:hAnsi="Times New Roman"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mg/m</w:t>
                  </w:r>
                  <w:r>
                    <w:rPr>
                      <w:rFonts w:hint="eastAsia" w:ascii="Times New Roman" w:hAnsi="Times New Roman" w:eastAsia="宋体" w:cs="Times New Roman"/>
                      <w:b/>
                      <w:bCs/>
                      <w:color w:val="auto"/>
                      <w:sz w:val="24"/>
                      <w:szCs w:val="24"/>
                      <w:vertAlign w:val="superscript"/>
                      <w:lang w:val="en-US" w:eastAsia="zh-CN"/>
                    </w:rPr>
                    <w:t>3</w:t>
                  </w:r>
                  <w:r>
                    <w:rPr>
                      <w:rFonts w:hint="eastAsia" w:ascii="Times New Roman" w:hAnsi="Times New Roman" w:cs="Times New Roman"/>
                      <w:b/>
                      <w:bCs/>
                      <w:color w:val="auto"/>
                      <w:sz w:val="24"/>
                      <w:szCs w:val="24"/>
                      <w:lang w:val="en-US" w:eastAsia="zh-CN"/>
                    </w:rPr>
                    <w:t>）</w:t>
                  </w:r>
                </w:p>
              </w:tc>
              <w:tc>
                <w:tcPr>
                  <w:tcW w:w="642" w:type="pct"/>
                  <w:vMerge w:val="restart"/>
                  <w:tcBorders>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排放标准</w:t>
                  </w:r>
                </w:p>
                <w:p>
                  <w:pPr>
                    <w:pStyle w:val="31"/>
                    <w:jc w:val="center"/>
                    <w:rPr>
                      <w:rFonts w:ascii="Times New Roman" w:hAnsi="Times New Roman" w:cs="Times New Roman"/>
                      <w:b/>
                      <w:bCs/>
                      <w:color w:val="auto"/>
                      <w:szCs w:val="21"/>
                    </w:rPr>
                  </w:pPr>
                  <w:r>
                    <w:rPr>
                      <w:rFonts w:hint="eastAsia" w:ascii="Times New Roman" w:hAnsi="Times New Roman"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mg/m</w:t>
                  </w:r>
                  <w:r>
                    <w:rPr>
                      <w:rFonts w:hint="eastAsia" w:ascii="Times New Roman" w:hAnsi="Times New Roman" w:eastAsia="宋体" w:cs="Times New Roman"/>
                      <w:b/>
                      <w:bCs/>
                      <w:color w:val="auto"/>
                      <w:sz w:val="24"/>
                      <w:szCs w:val="24"/>
                      <w:vertAlign w:val="superscript"/>
                      <w:lang w:val="en-US" w:eastAsia="zh-CN"/>
                    </w:rPr>
                    <w:t>3</w:t>
                  </w:r>
                  <w:r>
                    <w:rPr>
                      <w:rFonts w:hint="eastAsia" w:ascii="Times New Roman" w:hAnsi="Times New Roman" w:cs="Times New Roman"/>
                      <w:b/>
                      <w:bCs/>
                      <w:color w:val="auto"/>
                      <w:sz w:val="24"/>
                      <w:szCs w:val="24"/>
                      <w:lang w:val="en-US" w:eastAsia="zh-CN"/>
                    </w:rPr>
                    <w:t>）</w:t>
                  </w:r>
                </w:p>
              </w:tc>
              <w:tc>
                <w:tcPr>
                  <w:tcW w:w="291" w:type="pct"/>
                  <w:vMerge w:val="restart"/>
                  <w:tcBorders>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达标情况</w:t>
                  </w:r>
                </w:p>
              </w:tc>
              <w:tc>
                <w:tcPr>
                  <w:tcW w:w="325" w:type="pct"/>
                  <w:vMerge w:val="restart"/>
                  <w:tcBorders>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持续时间</w:t>
                  </w:r>
                </w:p>
              </w:tc>
              <w:tc>
                <w:tcPr>
                  <w:tcW w:w="359" w:type="pct"/>
                  <w:vMerge w:val="restart"/>
                  <w:tcBorders>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发生频次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1" w:type="pct"/>
                  <w:vMerge w:val="continue"/>
                  <w:tcBorders>
                    <w:bottom w:val="single" w:color="000000" w:sz="12" w:space="0"/>
                    <w:tl2br w:val="nil"/>
                    <w:tr2bl w:val="nil"/>
                  </w:tcBorders>
                  <w:vAlign w:val="center"/>
                </w:tcPr>
                <w:p>
                  <w:pPr>
                    <w:jc w:val="center"/>
                    <w:rPr>
                      <w:color w:val="auto"/>
                      <w:szCs w:val="21"/>
                    </w:rPr>
                  </w:pPr>
                </w:p>
              </w:tc>
              <w:tc>
                <w:tcPr>
                  <w:tcW w:w="442" w:type="pct"/>
                  <w:vMerge w:val="continue"/>
                  <w:tcBorders>
                    <w:bottom w:val="single" w:color="000000" w:sz="12" w:space="0"/>
                    <w:tl2br w:val="nil"/>
                    <w:tr2bl w:val="nil"/>
                  </w:tcBorders>
                  <w:vAlign w:val="center"/>
                </w:tcPr>
                <w:p>
                  <w:pPr>
                    <w:jc w:val="center"/>
                    <w:rPr>
                      <w:color w:val="auto"/>
                      <w:szCs w:val="21"/>
                    </w:rPr>
                  </w:pPr>
                </w:p>
              </w:tc>
              <w:tc>
                <w:tcPr>
                  <w:tcW w:w="387" w:type="pct"/>
                  <w:vMerge w:val="continue"/>
                  <w:tcBorders>
                    <w:bottom w:val="single" w:color="000000" w:sz="12" w:space="0"/>
                    <w:tl2br w:val="nil"/>
                    <w:tr2bl w:val="nil"/>
                  </w:tcBorders>
                  <w:vAlign w:val="center"/>
                </w:tcPr>
                <w:p>
                  <w:pPr>
                    <w:jc w:val="center"/>
                    <w:rPr>
                      <w:color w:val="auto"/>
                      <w:szCs w:val="21"/>
                    </w:rPr>
                  </w:pPr>
                </w:p>
              </w:tc>
              <w:tc>
                <w:tcPr>
                  <w:tcW w:w="625" w:type="pct"/>
                  <w:tcBorders>
                    <w:bottom w:val="single" w:color="000000" w:sz="12" w:space="0"/>
                    <w:tl2br w:val="nil"/>
                    <w:tr2bl w:val="nil"/>
                  </w:tcBorders>
                  <w:vAlign w:val="center"/>
                </w:tcPr>
                <w:p>
                  <w:pPr>
                    <w:pStyle w:val="31"/>
                    <w:jc w:val="center"/>
                    <w:rPr>
                      <w:rFonts w:ascii="Times New Roman" w:hAnsi="Times New Roman" w:cs="Times New Roman"/>
                      <w:b/>
                      <w:bCs/>
                      <w:color w:val="auto"/>
                      <w:szCs w:val="21"/>
                    </w:rPr>
                  </w:pPr>
                  <w:r>
                    <w:rPr>
                      <w:rFonts w:ascii="Times New Roman" w:hAnsi="Times New Roman" w:cs="Times New Roman"/>
                      <w:b/>
                      <w:bCs/>
                      <w:color w:val="auto"/>
                      <w:szCs w:val="21"/>
                    </w:rPr>
                    <w:t>产生速率（kg/h）</w:t>
                  </w:r>
                </w:p>
              </w:tc>
              <w:tc>
                <w:tcPr>
                  <w:tcW w:w="675" w:type="pct"/>
                  <w:tcBorders>
                    <w:bottom w:val="single" w:color="000000" w:sz="12" w:space="0"/>
                    <w:tl2br w:val="nil"/>
                    <w:tr2bl w:val="nil"/>
                  </w:tcBorders>
                  <w:vAlign w:val="center"/>
                </w:tcPr>
                <w:p>
                  <w:pPr>
                    <w:pStyle w:val="31"/>
                    <w:jc w:val="center"/>
                    <w:rPr>
                      <w:rFonts w:ascii="Times New Roman" w:hAnsi="Times New Roman" w:cs="Times New Roman"/>
                      <w:b/>
                      <w:bCs/>
                      <w:color w:val="auto"/>
                      <w:szCs w:val="21"/>
                    </w:rPr>
                  </w:pPr>
                  <w:r>
                    <w:rPr>
                      <w:rFonts w:hint="eastAsia" w:ascii="Times New Roman" w:hAnsi="Times New Roman" w:cs="Times New Roman"/>
                      <w:b/>
                      <w:bCs/>
                      <w:color w:val="auto"/>
                      <w:szCs w:val="21"/>
                      <w:lang w:eastAsia="zh-CN"/>
                    </w:rPr>
                    <w:t>产生浓度</w:t>
                  </w:r>
                  <w:r>
                    <w:rPr>
                      <w:rFonts w:hint="eastAsia" w:ascii="Times New Roman" w:hAnsi="Times New Roman"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mg/m</w:t>
                  </w:r>
                  <w:r>
                    <w:rPr>
                      <w:rFonts w:hint="eastAsia" w:ascii="Times New Roman" w:hAnsi="Times New Roman" w:eastAsia="宋体" w:cs="Times New Roman"/>
                      <w:b/>
                      <w:bCs/>
                      <w:color w:val="auto"/>
                      <w:sz w:val="24"/>
                      <w:szCs w:val="24"/>
                      <w:vertAlign w:val="superscript"/>
                      <w:lang w:val="en-US" w:eastAsia="zh-CN"/>
                    </w:rPr>
                    <w:t>3</w:t>
                  </w:r>
                  <w:r>
                    <w:rPr>
                      <w:rFonts w:hint="eastAsia" w:ascii="Times New Roman" w:hAnsi="Times New Roman" w:cs="Times New Roman"/>
                      <w:b/>
                      <w:bCs/>
                      <w:color w:val="auto"/>
                      <w:sz w:val="24"/>
                      <w:szCs w:val="24"/>
                      <w:lang w:val="en-US" w:eastAsia="zh-CN"/>
                    </w:rPr>
                    <w:t>）</w:t>
                  </w:r>
                </w:p>
              </w:tc>
              <w:tc>
                <w:tcPr>
                  <w:tcW w:w="658" w:type="pct"/>
                  <w:vMerge w:val="continue"/>
                  <w:tcBorders>
                    <w:bottom w:val="single" w:color="000000" w:sz="12" w:space="0"/>
                    <w:tl2br w:val="nil"/>
                    <w:tr2bl w:val="nil"/>
                  </w:tcBorders>
                  <w:vAlign w:val="center"/>
                </w:tcPr>
                <w:p>
                  <w:pPr>
                    <w:pStyle w:val="31"/>
                    <w:jc w:val="center"/>
                    <w:rPr>
                      <w:rFonts w:ascii="Times New Roman" w:hAnsi="Times New Roman" w:cs="Times New Roman"/>
                      <w:b/>
                      <w:bCs/>
                      <w:color w:val="auto"/>
                      <w:szCs w:val="21"/>
                    </w:rPr>
                  </w:pPr>
                </w:p>
              </w:tc>
              <w:tc>
                <w:tcPr>
                  <w:tcW w:w="642" w:type="pct"/>
                  <w:vMerge w:val="continue"/>
                  <w:tcBorders>
                    <w:bottom w:val="single" w:color="000000" w:sz="12" w:space="0"/>
                    <w:tl2br w:val="nil"/>
                    <w:tr2bl w:val="nil"/>
                  </w:tcBorders>
                  <w:vAlign w:val="center"/>
                </w:tcPr>
                <w:p>
                  <w:pPr>
                    <w:jc w:val="center"/>
                    <w:rPr>
                      <w:color w:val="auto"/>
                      <w:szCs w:val="21"/>
                    </w:rPr>
                  </w:pPr>
                </w:p>
              </w:tc>
              <w:tc>
                <w:tcPr>
                  <w:tcW w:w="291" w:type="pct"/>
                  <w:vMerge w:val="continue"/>
                  <w:tcBorders>
                    <w:bottom w:val="single" w:color="000000" w:sz="12" w:space="0"/>
                    <w:tl2br w:val="nil"/>
                    <w:tr2bl w:val="nil"/>
                  </w:tcBorders>
                  <w:vAlign w:val="center"/>
                </w:tcPr>
                <w:p>
                  <w:pPr>
                    <w:jc w:val="center"/>
                    <w:rPr>
                      <w:color w:val="auto"/>
                      <w:szCs w:val="21"/>
                    </w:rPr>
                  </w:pPr>
                </w:p>
              </w:tc>
              <w:tc>
                <w:tcPr>
                  <w:tcW w:w="325" w:type="pct"/>
                  <w:vMerge w:val="continue"/>
                  <w:tcBorders>
                    <w:bottom w:val="single" w:color="000000" w:sz="12" w:space="0"/>
                    <w:tl2br w:val="nil"/>
                    <w:tr2bl w:val="nil"/>
                  </w:tcBorders>
                  <w:vAlign w:val="center"/>
                </w:tcPr>
                <w:p>
                  <w:pPr>
                    <w:jc w:val="center"/>
                    <w:rPr>
                      <w:color w:val="auto"/>
                      <w:szCs w:val="21"/>
                    </w:rPr>
                  </w:pPr>
                </w:p>
              </w:tc>
              <w:tc>
                <w:tcPr>
                  <w:tcW w:w="359" w:type="pct"/>
                  <w:vMerge w:val="continue"/>
                  <w:tcBorders>
                    <w:bottom w:val="single" w:color="000000" w:sz="12" w:space="0"/>
                    <w:tl2br w:val="nil"/>
                    <w:tr2bl w:val="nil"/>
                  </w:tcBorders>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591"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抛丸</w:t>
                  </w:r>
                </w:p>
              </w:tc>
              <w:tc>
                <w:tcPr>
                  <w:tcW w:w="442" w:type="pct"/>
                  <w:vMerge w:val="restar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w:t>
                  </w:r>
                </w:p>
              </w:tc>
              <w:tc>
                <w:tcPr>
                  <w:tcW w:w="387" w:type="pct"/>
                  <w:vMerge w:val="restar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有组织</w:t>
                  </w:r>
                </w:p>
              </w:tc>
              <w:tc>
                <w:tcPr>
                  <w:tcW w:w="625"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0.496</w:t>
                  </w:r>
                </w:p>
              </w:tc>
              <w:tc>
                <w:tcPr>
                  <w:tcW w:w="675"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256.98</w:t>
                  </w:r>
                </w:p>
              </w:tc>
              <w:tc>
                <w:tcPr>
                  <w:tcW w:w="658"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r>
                    <w:rPr>
                      <w:rFonts w:hint="eastAsia" w:cs="Times New Roman"/>
                      <w:color w:val="auto"/>
                      <w:kern w:val="2"/>
                      <w:sz w:val="21"/>
                      <w:szCs w:val="21"/>
                      <w:highlight w:val="none"/>
                      <w:lang w:val="en-US" w:eastAsia="zh-CN" w:bidi="ar-SA"/>
                    </w:rPr>
                    <w:t>2</w:t>
                  </w:r>
                </w:p>
              </w:tc>
              <w:tc>
                <w:tcPr>
                  <w:tcW w:w="642"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w:t>
                  </w:r>
                </w:p>
              </w:tc>
              <w:tc>
                <w:tcPr>
                  <w:tcW w:w="291" w:type="pct"/>
                  <w:vMerge w:val="restar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超标</w:t>
                  </w:r>
                </w:p>
              </w:tc>
              <w:tc>
                <w:tcPr>
                  <w:tcW w:w="325" w:type="pct"/>
                  <w:vMerge w:val="restar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&lt;1h</w:t>
                  </w:r>
                </w:p>
              </w:tc>
              <w:tc>
                <w:tcPr>
                  <w:tcW w:w="359" w:type="pct"/>
                  <w:vMerge w:val="restar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1次/a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91"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喷塑</w:t>
                  </w:r>
                </w:p>
              </w:tc>
              <w:tc>
                <w:tcPr>
                  <w:tcW w:w="442" w:type="pct"/>
                  <w:vMerge w:val="continue"/>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p>
              </w:tc>
              <w:tc>
                <w:tcPr>
                  <w:tcW w:w="387" w:type="pct"/>
                  <w:vMerge w:val="continue"/>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p>
              </w:tc>
              <w:tc>
                <w:tcPr>
                  <w:tcW w:w="625"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0.625</w:t>
                  </w:r>
                </w:p>
              </w:tc>
              <w:tc>
                <w:tcPr>
                  <w:tcW w:w="675"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5639.09</w:t>
                  </w:r>
                </w:p>
              </w:tc>
              <w:tc>
                <w:tcPr>
                  <w:tcW w:w="658"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10.</w:t>
                  </w:r>
                  <w:r>
                    <w:rPr>
                      <w:rFonts w:hint="eastAsia" w:cs="Times New Roman"/>
                      <w:color w:val="auto"/>
                      <w:sz w:val="21"/>
                      <w:szCs w:val="21"/>
                      <w:highlight w:val="none"/>
                      <w:lang w:val="en-US" w:eastAsia="zh-CN"/>
                    </w:rPr>
                    <w:t>3</w:t>
                  </w:r>
                </w:p>
              </w:tc>
              <w:tc>
                <w:tcPr>
                  <w:tcW w:w="642"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w:t>
                  </w:r>
                </w:p>
              </w:tc>
              <w:tc>
                <w:tcPr>
                  <w:tcW w:w="291" w:type="pct"/>
                  <w:vMerge w:val="continue"/>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p>
              </w:tc>
              <w:tc>
                <w:tcPr>
                  <w:tcW w:w="325" w:type="pct"/>
                  <w:vMerge w:val="continue"/>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p>
              </w:tc>
              <w:tc>
                <w:tcPr>
                  <w:tcW w:w="359" w:type="pct"/>
                  <w:vMerge w:val="continue"/>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591"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烘干固化</w:t>
                  </w:r>
                </w:p>
              </w:tc>
              <w:tc>
                <w:tcPr>
                  <w:tcW w:w="442"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387" w:type="pct"/>
                  <w:vMerge w:val="continue"/>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p>
              </w:tc>
              <w:tc>
                <w:tcPr>
                  <w:tcW w:w="625"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0.0025</w:t>
                  </w:r>
                </w:p>
              </w:tc>
              <w:tc>
                <w:tcPr>
                  <w:tcW w:w="675"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32.2</w:t>
                  </w:r>
                </w:p>
              </w:tc>
              <w:tc>
                <w:tcPr>
                  <w:tcW w:w="658"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5</w:t>
                  </w:r>
                </w:p>
              </w:tc>
              <w:tc>
                <w:tcPr>
                  <w:tcW w:w="642"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w:t>
                  </w:r>
                </w:p>
              </w:tc>
              <w:tc>
                <w:tcPr>
                  <w:tcW w:w="291"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达标</w:t>
                  </w:r>
                </w:p>
              </w:tc>
              <w:tc>
                <w:tcPr>
                  <w:tcW w:w="325"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&lt;1h</w:t>
                  </w:r>
                </w:p>
              </w:tc>
              <w:tc>
                <w:tcPr>
                  <w:tcW w:w="359" w:type="pct"/>
                  <w:vAlign w:val="center"/>
                </w:tcPr>
                <w:p>
                  <w:pPr>
                    <w:pStyle w:val="41"/>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1次/a</w:t>
                  </w:r>
                </w:p>
              </w:tc>
            </w:tr>
          </w:tbl>
          <w:p>
            <w:pPr>
              <w:widowControl/>
              <w:spacing w:line="360" w:lineRule="auto"/>
              <w:jc w:val="left"/>
              <w:rPr>
                <w:rFonts w:hint="default" w:ascii="Times New Roman" w:hAnsi="Times New Roman" w:cs="Times New Roman"/>
                <w:b/>
                <w:color w:val="0000FF"/>
                <w:spacing w:val="0"/>
                <w:w w:val="100"/>
                <w:position w:val="0"/>
                <w:sz w:val="24"/>
                <w:szCs w:val="24"/>
                <w:highlight w:val="none"/>
                <w:lang w:eastAsia="zh-CN"/>
              </w:rPr>
            </w:pPr>
            <w:r>
              <w:rPr>
                <w:b/>
                <w:bCs/>
                <w:color w:val="0000FF"/>
                <w:sz w:val="24"/>
              </w:rPr>
              <w:t>1.</w:t>
            </w:r>
            <w:r>
              <w:rPr>
                <w:rFonts w:hint="eastAsia"/>
                <w:b/>
                <w:bCs/>
                <w:color w:val="0000FF"/>
                <w:sz w:val="24"/>
                <w:lang w:val="en-US" w:eastAsia="zh-CN"/>
              </w:rPr>
              <w:t>3</w:t>
            </w:r>
            <w:r>
              <w:rPr>
                <w:rFonts w:hint="default" w:ascii="Times New Roman" w:hAnsi="Times New Roman" w:cs="Times New Roman"/>
                <w:b/>
                <w:color w:val="0000FF"/>
                <w:spacing w:val="0"/>
                <w:w w:val="100"/>
                <w:position w:val="0"/>
                <w:sz w:val="24"/>
                <w:szCs w:val="24"/>
                <w:highlight w:val="none"/>
                <w:lang w:eastAsia="zh-CN"/>
              </w:rPr>
              <w:t>环保治理措施可行性分析</w:t>
            </w:r>
          </w:p>
          <w:p>
            <w:pPr>
              <w:pageBreakBefore w:val="0"/>
              <w:shd w:val="clear"/>
              <w:bidi w:val="0"/>
              <w:snapToGrid w:val="0"/>
              <w:spacing w:beforeAutospacing="0" w:afterAutospacing="0" w:line="360" w:lineRule="auto"/>
              <w:ind w:left="0" w:leftChars="0" w:right="0" w:rightChars="0" w:firstLine="480"/>
              <w:rPr>
                <w:rFonts w:hint="default" w:ascii="Times New Roman" w:hAnsi="Times New Roman" w:cs="Times New Roman"/>
                <w:color w:val="0000FF"/>
                <w:spacing w:val="0"/>
                <w:w w:val="100"/>
                <w:position w:val="0"/>
                <w:sz w:val="24"/>
                <w:szCs w:val="24"/>
                <w:highlight w:val="none"/>
                <w:lang w:eastAsia="zh-CN"/>
              </w:rPr>
            </w:pPr>
            <w:r>
              <w:rPr>
                <w:rFonts w:hint="eastAsia" w:cs="Times New Roman"/>
                <w:color w:val="0000FF"/>
                <w:spacing w:val="0"/>
                <w:w w:val="100"/>
                <w:position w:val="0"/>
                <w:sz w:val="24"/>
                <w:szCs w:val="24"/>
                <w:highlight w:val="none"/>
                <w:lang w:eastAsia="zh-CN"/>
              </w:rPr>
              <w:t>（</w:t>
            </w:r>
            <w:r>
              <w:rPr>
                <w:rFonts w:hint="eastAsia" w:cs="Times New Roman"/>
                <w:color w:val="0000FF"/>
                <w:spacing w:val="0"/>
                <w:w w:val="100"/>
                <w:position w:val="0"/>
                <w:sz w:val="24"/>
                <w:szCs w:val="24"/>
                <w:highlight w:val="none"/>
                <w:lang w:val="en-US" w:eastAsia="zh-CN"/>
              </w:rPr>
              <w:t>1</w:t>
            </w:r>
            <w:r>
              <w:rPr>
                <w:rFonts w:hint="eastAsia" w:cs="Times New Roman"/>
                <w:color w:val="0000FF"/>
                <w:spacing w:val="0"/>
                <w:w w:val="100"/>
                <w:position w:val="0"/>
                <w:sz w:val="24"/>
                <w:szCs w:val="24"/>
                <w:highlight w:val="none"/>
                <w:lang w:eastAsia="zh-CN"/>
              </w:rPr>
              <w:t>）布袋除尘的可行性分析</w:t>
            </w:r>
          </w:p>
          <w:p>
            <w:pPr>
              <w:pageBreakBefore w:val="0"/>
              <w:shd w:val="clear"/>
              <w:bidi w:val="0"/>
              <w:snapToGrid w:val="0"/>
              <w:spacing w:beforeAutospacing="0" w:afterAutospacing="0" w:line="360" w:lineRule="auto"/>
              <w:ind w:left="0" w:leftChars="0" w:right="0" w:rightChars="0" w:firstLine="480"/>
              <w:rPr>
                <w:rFonts w:hint="default" w:ascii="Times New Roman" w:hAnsi="Times New Roman" w:cs="Times New Roman"/>
                <w:color w:val="0000FF"/>
                <w:spacing w:val="0"/>
                <w:w w:val="100"/>
                <w:position w:val="0"/>
                <w:sz w:val="24"/>
                <w:szCs w:val="24"/>
                <w:highlight w:val="none"/>
                <w:lang w:eastAsia="zh-CN"/>
              </w:rPr>
            </w:pPr>
            <w:r>
              <w:rPr>
                <w:rFonts w:hint="default" w:ascii="Times New Roman" w:hAnsi="Times New Roman" w:cs="Times New Roman"/>
                <w:color w:val="0000FF"/>
                <w:spacing w:val="0"/>
                <w:w w:val="100"/>
                <w:position w:val="0"/>
                <w:sz w:val="24"/>
                <w:szCs w:val="24"/>
                <w:highlight w:val="none"/>
                <w:lang w:eastAsia="zh-CN"/>
              </w:rPr>
              <w:t>本项目对</w:t>
            </w:r>
            <w:r>
              <w:rPr>
                <w:rFonts w:hint="eastAsia" w:cs="Times New Roman"/>
                <w:color w:val="0000FF"/>
                <w:spacing w:val="0"/>
                <w:w w:val="100"/>
                <w:position w:val="0"/>
                <w:sz w:val="24"/>
                <w:szCs w:val="24"/>
                <w:highlight w:val="none"/>
                <w:lang w:eastAsia="zh-CN"/>
              </w:rPr>
              <w:t>抛丸、喷塑产生的粉尘</w:t>
            </w:r>
            <w:r>
              <w:rPr>
                <w:rFonts w:hint="default" w:ascii="Times New Roman" w:hAnsi="Times New Roman" w:cs="Times New Roman"/>
                <w:color w:val="0000FF"/>
                <w:spacing w:val="0"/>
                <w:w w:val="100"/>
                <w:position w:val="0"/>
                <w:sz w:val="24"/>
                <w:szCs w:val="24"/>
                <w:highlight w:val="none"/>
                <w:lang w:eastAsia="zh-CN"/>
              </w:rPr>
              <w:t>采用布袋除尘器处理，处理后尾气由15m高排气筒排放。袋式除尘器工作原理：当含尘气体由进风口进入</w:t>
            </w:r>
            <w:r>
              <w:rPr>
                <w:rFonts w:hint="default" w:ascii="Times New Roman" w:hAnsi="Times New Roman" w:cs="Times New Roman"/>
                <w:color w:val="0000FF"/>
                <w:spacing w:val="0"/>
                <w:w w:val="100"/>
                <w:position w:val="0"/>
                <w:sz w:val="24"/>
                <w:szCs w:val="24"/>
                <w:highlight w:val="none"/>
              </w:rPr>
              <w:fldChar w:fldCharType="begin"/>
            </w:r>
            <w:r>
              <w:rPr>
                <w:rFonts w:hint="default" w:ascii="Times New Roman" w:hAnsi="Times New Roman" w:cs="Times New Roman"/>
                <w:color w:val="0000FF"/>
                <w:spacing w:val="0"/>
                <w:w w:val="100"/>
                <w:position w:val="0"/>
                <w:sz w:val="24"/>
                <w:szCs w:val="24"/>
                <w:highlight w:val="none"/>
                <w:lang w:eastAsia="zh-CN"/>
              </w:rPr>
              <w:instrText xml:space="preserve">HYPERLINK "http://www.lvxinnet.com"</w:instrText>
            </w:r>
            <w:r>
              <w:rPr>
                <w:rFonts w:hint="default" w:ascii="Times New Roman" w:hAnsi="Times New Roman" w:cs="Times New Roman"/>
                <w:color w:val="0000FF"/>
                <w:spacing w:val="0"/>
                <w:w w:val="100"/>
                <w:position w:val="0"/>
                <w:sz w:val="24"/>
                <w:szCs w:val="24"/>
                <w:highlight w:val="none"/>
              </w:rPr>
              <w:fldChar w:fldCharType="separate"/>
            </w:r>
            <w:r>
              <w:rPr>
                <w:rFonts w:hint="default" w:ascii="Times New Roman" w:hAnsi="Times New Roman" w:cs="Times New Roman"/>
                <w:color w:val="0000FF"/>
                <w:spacing w:val="0"/>
                <w:w w:val="100"/>
                <w:position w:val="0"/>
                <w:sz w:val="24"/>
                <w:szCs w:val="24"/>
                <w:highlight w:val="none"/>
                <w:lang w:eastAsia="zh-CN"/>
              </w:rPr>
              <w:t>除尘器，</w:t>
            </w:r>
            <w:r>
              <w:rPr>
                <w:rFonts w:hint="default" w:ascii="Times New Roman" w:hAnsi="Times New Roman" w:cs="Times New Roman"/>
                <w:color w:val="0000FF"/>
                <w:spacing w:val="0"/>
                <w:w w:val="100"/>
                <w:position w:val="0"/>
                <w:sz w:val="24"/>
                <w:szCs w:val="24"/>
                <w:highlight w:val="none"/>
              </w:rPr>
              <w:fldChar w:fldCharType="end"/>
            </w:r>
            <w:r>
              <w:rPr>
                <w:rFonts w:hint="default" w:ascii="Times New Roman" w:hAnsi="Times New Roman" w:cs="Times New Roman"/>
                <w:color w:val="0000FF"/>
                <w:spacing w:val="0"/>
                <w:w w:val="100"/>
                <w:position w:val="0"/>
                <w:sz w:val="24"/>
                <w:szCs w:val="24"/>
                <w:highlight w:val="none"/>
                <w:lang w:eastAsia="zh-CN"/>
              </w:rPr>
              <w:t>首先碰到进出风口中间的斜板及挡板，气流便转向流入灰斗，同时气流速度放慢，由于惯性作用，使气体中粗颗粒粉尘直接流入灰斗。起到预先收尘的作用，进入灰斗的气流随后折而向上通过内部装有金属骨架的布袋，粉尘被捕集在布袋的外表面，净化后的气体进入布袋室上部清洁室，汇集到出风口排出。含尘气体通过布袋净化的过程中，随着时间</w:t>
            </w:r>
            <w:r>
              <w:rPr>
                <w:rFonts w:hint="eastAsia" w:cs="Times New Roman"/>
                <w:color w:val="0000FF"/>
                <w:spacing w:val="0"/>
                <w:w w:val="100"/>
                <w:position w:val="0"/>
                <w:sz w:val="24"/>
                <w:szCs w:val="24"/>
                <w:highlight w:val="none"/>
                <w:lang w:eastAsia="zh-CN"/>
              </w:rPr>
              <w:t>的</w:t>
            </w:r>
            <w:r>
              <w:rPr>
                <w:rFonts w:hint="default" w:ascii="Times New Roman" w:hAnsi="Times New Roman" w:cs="Times New Roman"/>
                <w:color w:val="0000FF"/>
                <w:spacing w:val="0"/>
                <w:w w:val="100"/>
                <w:position w:val="0"/>
                <w:sz w:val="24"/>
                <w:szCs w:val="24"/>
                <w:highlight w:val="none"/>
                <w:lang w:eastAsia="zh-CN"/>
              </w:rPr>
              <w:t>增加而积附在布袋上的粉尘越来越多，从而增加布袋阻力，致使处理风量逐渐减少。为了使除尘器正常工作，必须经常对布袋进行清灰，清灰时由控制仪顺序触发各控制阀并开启阀，气箱内的压缩空气由喷吹管各孔经文氏管喷射到各相应的布袋内，布袋瞬间急剧膨胀，使积附在布袋表面的粉尘脱落</w:t>
            </w:r>
            <w:r>
              <w:rPr>
                <w:rFonts w:hint="default" w:ascii="Times New Roman" w:hAnsi="Times New Roman" w:cs="Times New Roman"/>
                <w:color w:val="0000FF"/>
                <w:spacing w:val="0"/>
                <w:w w:val="100"/>
                <w:position w:val="0"/>
                <w:sz w:val="24"/>
                <w:szCs w:val="24"/>
                <w:highlight w:val="none"/>
              </w:rPr>
              <w:fldChar w:fldCharType="begin"/>
            </w:r>
            <w:r>
              <w:rPr>
                <w:rFonts w:hint="default" w:ascii="Times New Roman" w:hAnsi="Times New Roman" w:cs="Times New Roman"/>
                <w:color w:val="0000FF"/>
                <w:spacing w:val="0"/>
                <w:w w:val="100"/>
                <w:position w:val="0"/>
                <w:sz w:val="24"/>
                <w:szCs w:val="24"/>
                <w:highlight w:val="none"/>
                <w:lang w:eastAsia="zh-CN"/>
              </w:rPr>
              <w:instrText xml:space="preserve">HYPERLINK "http://www.lvxinnet.com"</w:instrText>
            </w:r>
            <w:r>
              <w:rPr>
                <w:rFonts w:hint="default" w:ascii="Times New Roman" w:hAnsi="Times New Roman" w:cs="Times New Roman"/>
                <w:color w:val="0000FF"/>
                <w:spacing w:val="0"/>
                <w:w w:val="100"/>
                <w:position w:val="0"/>
                <w:sz w:val="24"/>
                <w:szCs w:val="24"/>
                <w:highlight w:val="none"/>
              </w:rPr>
              <w:fldChar w:fldCharType="separate"/>
            </w:r>
            <w:r>
              <w:rPr>
                <w:rFonts w:hint="default" w:ascii="Times New Roman" w:hAnsi="Times New Roman" w:cs="Times New Roman"/>
                <w:color w:val="0000FF"/>
                <w:spacing w:val="0"/>
                <w:w w:val="100"/>
                <w:position w:val="0"/>
                <w:sz w:val="24"/>
                <w:szCs w:val="24"/>
                <w:highlight w:val="none"/>
                <w:lang w:eastAsia="zh-CN"/>
              </w:rPr>
              <w:t>，布袋得</w:t>
            </w:r>
            <w:r>
              <w:rPr>
                <w:rFonts w:hint="default" w:ascii="Times New Roman" w:hAnsi="Times New Roman" w:cs="Times New Roman"/>
                <w:color w:val="0000FF"/>
                <w:spacing w:val="0"/>
                <w:w w:val="100"/>
                <w:position w:val="0"/>
                <w:sz w:val="24"/>
                <w:szCs w:val="24"/>
                <w:highlight w:val="none"/>
              </w:rPr>
              <w:fldChar w:fldCharType="end"/>
            </w:r>
            <w:r>
              <w:rPr>
                <w:rFonts w:hint="default" w:ascii="Times New Roman" w:hAnsi="Times New Roman" w:cs="Times New Roman"/>
                <w:color w:val="0000FF"/>
                <w:spacing w:val="0"/>
                <w:w w:val="100"/>
                <w:position w:val="0"/>
                <w:sz w:val="24"/>
                <w:szCs w:val="24"/>
                <w:highlight w:val="none"/>
                <w:lang w:eastAsia="zh-CN"/>
              </w:rPr>
              <w:t>到再生。清下粉尘落入灰斗，经排灰系统排出机体，处理效率可达到9</w:t>
            </w:r>
            <w:r>
              <w:rPr>
                <w:rFonts w:hint="eastAsia" w:ascii="Times New Roman" w:hAnsi="Times New Roman" w:cs="Times New Roman"/>
                <w:color w:val="0000FF"/>
                <w:spacing w:val="0"/>
                <w:w w:val="100"/>
                <w:position w:val="0"/>
                <w:sz w:val="24"/>
                <w:szCs w:val="24"/>
                <w:highlight w:val="none"/>
                <w:lang w:val="en-US" w:eastAsia="zh-CN"/>
              </w:rPr>
              <w:t>5</w:t>
            </w:r>
            <w:r>
              <w:rPr>
                <w:rFonts w:hint="default" w:ascii="Times New Roman" w:hAnsi="Times New Roman" w:cs="Times New Roman"/>
                <w:color w:val="0000FF"/>
                <w:spacing w:val="0"/>
                <w:w w:val="100"/>
                <w:position w:val="0"/>
                <w:sz w:val="24"/>
                <w:szCs w:val="24"/>
                <w:highlight w:val="none"/>
                <w:lang w:eastAsia="zh-CN"/>
              </w:rPr>
              <w:t>%，经处理后的粉尘有组织排放</w:t>
            </w:r>
            <w:r>
              <w:rPr>
                <w:rFonts w:hint="eastAsia" w:cs="Times New Roman"/>
                <w:color w:val="0000FF"/>
                <w:spacing w:val="0"/>
                <w:w w:val="100"/>
                <w:position w:val="0"/>
                <w:sz w:val="24"/>
                <w:szCs w:val="24"/>
                <w:highlight w:val="none"/>
                <w:lang w:eastAsia="zh-CN"/>
              </w:rPr>
              <w:t>满足</w:t>
            </w:r>
            <w:r>
              <w:rPr>
                <w:rFonts w:hint="default" w:ascii="Times New Roman" w:hAnsi="Times New Roman" w:eastAsia="宋体" w:cs="Times New Roman"/>
                <w:color w:val="0000FF"/>
                <w:spacing w:val="-3"/>
                <w:sz w:val="24"/>
                <w:szCs w:val="24"/>
                <w:highlight w:val="none"/>
              </w:rPr>
              <w:t>《大气污染物综合排放标准》（GB16297-1996）</w:t>
            </w:r>
            <w:r>
              <w:rPr>
                <w:rFonts w:hint="default" w:ascii="Times New Roman" w:hAnsi="Times New Roman" w:eastAsia="宋体" w:cs="Times New Roman"/>
                <w:color w:val="0000FF"/>
                <w:sz w:val="24"/>
                <w:highlight w:val="none"/>
              </w:rPr>
              <w:t>相应标准（</w:t>
            </w:r>
            <w:r>
              <w:rPr>
                <w:rFonts w:hint="default" w:ascii="Times New Roman" w:hAnsi="Times New Roman" w:eastAsia="宋体" w:cs="Times New Roman"/>
                <w:color w:val="0000FF"/>
                <w:sz w:val="24"/>
                <w:highlight w:val="none"/>
                <w:lang w:val="en-US" w:eastAsia="zh-CN"/>
              </w:rPr>
              <w:t>颗粒物</w:t>
            </w:r>
            <w:r>
              <w:rPr>
                <w:rFonts w:hint="default" w:ascii="Times New Roman" w:hAnsi="Times New Roman" w:eastAsia="宋体" w:cs="Times New Roman"/>
                <w:color w:val="0000FF"/>
                <w:sz w:val="24"/>
                <w:highlight w:val="none"/>
              </w:rPr>
              <w:t>≤</w:t>
            </w:r>
            <w:r>
              <w:rPr>
                <w:rFonts w:hint="default" w:ascii="Times New Roman" w:hAnsi="Times New Roman" w:eastAsia="宋体" w:cs="Times New Roman"/>
                <w:color w:val="0000FF"/>
                <w:sz w:val="24"/>
                <w:highlight w:val="none"/>
                <w:lang w:val="en-US" w:eastAsia="zh-CN"/>
              </w:rPr>
              <w:t>120</w:t>
            </w:r>
            <w:r>
              <w:rPr>
                <w:rFonts w:hint="default" w:ascii="Times New Roman" w:hAnsi="Times New Roman" w:eastAsia="宋体" w:cs="Times New Roman"/>
                <w:bCs/>
                <w:color w:val="0000FF"/>
                <w:sz w:val="24"/>
                <w:highlight w:val="none"/>
              </w:rPr>
              <w:t>mg/m</w:t>
            </w:r>
            <w:r>
              <w:rPr>
                <w:rFonts w:hint="default" w:ascii="Times New Roman" w:hAnsi="Times New Roman" w:eastAsia="宋体" w:cs="Times New Roman"/>
                <w:bCs/>
                <w:color w:val="0000FF"/>
                <w:sz w:val="24"/>
                <w:highlight w:val="none"/>
                <w:vertAlign w:val="superscript"/>
              </w:rPr>
              <w:t>3</w:t>
            </w:r>
            <w:r>
              <w:rPr>
                <w:rFonts w:hint="default" w:ascii="Times New Roman" w:hAnsi="Times New Roman" w:eastAsia="宋体" w:cs="Times New Roman"/>
                <w:color w:val="0000FF"/>
                <w:sz w:val="24"/>
                <w:highlight w:val="none"/>
              </w:rPr>
              <w:t>）</w:t>
            </w:r>
            <w:r>
              <w:rPr>
                <w:rFonts w:hint="eastAsia" w:ascii="Times New Roman" w:hAnsi="Times New Roman" w:eastAsia="宋体" w:cs="Times New Roman"/>
                <w:color w:val="0000FF"/>
                <w:sz w:val="24"/>
                <w:szCs w:val="24"/>
                <w:lang w:val="en-US" w:eastAsia="zh-CN"/>
              </w:rPr>
              <w:t>，</w:t>
            </w:r>
            <w:r>
              <w:rPr>
                <w:rFonts w:hint="default" w:ascii="Times New Roman" w:hAnsi="Times New Roman" w:cs="Times New Roman"/>
                <w:color w:val="0000FF"/>
                <w:spacing w:val="0"/>
                <w:w w:val="100"/>
                <w:position w:val="0"/>
                <w:sz w:val="24"/>
                <w:szCs w:val="24"/>
                <w:highlight w:val="none"/>
                <w:lang w:eastAsia="zh-CN"/>
              </w:rPr>
              <w:t>处理措施可行。</w:t>
            </w:r>
          </w:p>
          <w:p>
            <w:pPr>
              <w:pStyle w:val="14"/>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Times New Roman"/>
                <w:b w:val="0"/>
                <w:bCs/>
                <w:color w:val="0000FF"/>
                <w:sz w:val="24"/>
                <w:szCs w:val="24"/>
                <w:lang w:val="en-US" w:eastAsia="zh-CN"/>
              </w:rPr>
            </w:pPr>
            <w:r>
              <w:rPr>
                <w:rFonts w:hint="default" w:ascii="Times New Roman" w:hAnsi="Times New Roman" w:eastAsia="宋体" w:cs="Times New Roman"/>
                <w:b w:val="0"/>
                <w:bCs/>
                <w:color w:val="0000FF"/>
                <w:sz w:val="24"/>
                <w:szCs w:val="24"/>
                <w:lang w:val="en-US" w:eastAsia="zh-CN"/>
              </w:rPr>
              <w:t>（</w:t>
            </w:r>
            <w:r>
              <w:rPr>
                <w:rFonts w:hint="eastAsia" w:cs="Times New Roman"/>
                <w:b w:val="0"/>
                <w:bCs/>
                <w:color w:val="0000FF"/>
                <w:sz w:val="24"/>
                <w:szCs w:val="24"/>
                <w:lang w:val="en-US" w:eastAsia="zh-CN"/>
              </w:rPr>
              <w:t>2</w:t>
            </w:r>
            <w:r>
              <w:rPr>
                <w:rFonts w:hint="default" w:ascii="Times New Roman" w:hAnsi="Times New Roman" w:eastAsia="宋体" w:cs="Times New Roman"/>
                <w:b w:val="0"/>
                <w:bCs/>
                <w:color w:val="0000FF"/>
                <w:sz w:val="24"/>
                <w:szCs w:val="24"/>
                <w:lang w:val="en-US" w:eastAsia="zh-CN"/>
              </w:rPr>
              <w:t>）二级活性炭吸附</w:t>
            </w:r>
          </w:p>
          <w:p>
            <w:pPr>
              <w:pStyle w:val="14"/>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eastAsia" w:ascii="Times New Roman" w:hAnsi="Times New Roman" w:cs="Times New Roman"/>
                <w:color w:val="0000FF"/>
                <w:spacing w:val="0"/>
                <w:w w:val="100"/>
                <w:position w:val="0"/>
                <w:sz w:val="24"/>
                <w:szCs w:val="24"/>
                <w:highlight w:val="none"/>
                <w:lang w:eastAsia="zh-CN"/>
              </w:rPr>
            </w:pPr>
            <w:r>
              <w:rPr>
                <w:rFonts w:hint="eastAsia" w:ascii="Times New Roman" w:hAnsi="Times New Roman" w:eastAsia="宋体" w:cs="Times New Roman"/>
                <w:b w:val="0"/>
                <w:bCs/>
                <w:color w:val="0000FF"/>
                <w:sz w:val="24"/>
                <w:szCs w:val="24"/>
                <w:lang w:val="en-US" w:eastAsia="zh-CN"/>
              </w:rPr>
              <w:t>本项目烘干固化产生的</w:t>
            </w:r>
            <w:r>
              <w:rPr>
                <w:rFonts w:hint="eastAsia" w:ascii="宋体" w:hAnsi="宋体" w:cs="宋体"/>
                <w:b w:val="0"/>
                <w:bCs w:val="0"/>
                <w:color w:val="0000FF"/>
                <w:sz w:val="24"/>
                <w:szCs w:val="24"/>
                <w:lang w:val="en-US" w:eastAsia="zh-CN"/>
              </w:rPr>
              <w:t>非甲烷总烃</w:t>
            </w:r>
            <w:r>
              <w:rPr>
                <w:rFonts w:hint="eastAsia" w:ascii="Times New Roman" w:hAnsi="Times New Roman" w:eastAsia="宋体" w:cs="Times New Roman"/>
                <w:b w:val="0"/>
                <w:bCs/>
                <w:color w:val="0000FF"/>
                <w:sz w:val="24"/>
                <w:szCs w:val="24"/>
                <w:lang w:val="en-US" w:eastAsia="zh-CN"/>
              </w:rPr>
              <w:t>采用</w:t>
            </w:r>
            <w:r>
              <w:rPr>
                <w:rFonts w:hint="default" w:ascii="Times New Roman" w:hAnsi="Times New Roman" w:cs="Times New Roman" w:eastAsiaTheme="minorEastAsia"/>
                <w:color w:val="0000FF"/>
                <w:kern w:val="0"/>
                <w:sz w:val="24"/>
                <w:szCs w:val="24"/>
                <w:lang w:val="en-US" w:eastAsia="zh-CN"/>
              </w:rPr>
              <w:t>二级活性炭吸附装置</w:t>
            </w:r>
            <w:r>
              <w:rPr>
                <w:rFonts w:hint="eastAsia" w:cs="Times New Roman"/>
                <w:b w:val="0"/>
                <w:bCs/>
                <w:color w:val="0000FF"/>
                <w:sz w:val="24"/>
                <w:szCs w:val="24"/>
                <w:lang w:val="en-US" w:eastAsia="zh-CN"/>
              </w:rPr>
              <w:t>处理，处理后的</w:t>
            </w:r>
            <w:r>
              <w:rPr>
                <w:rFonts w:hint="default" w:ascii="Times New Roman" w:hAnsi="Times New Roman" w:cs="Times New Roman"/>
                <w:color w:val="0000FF"/>
                <w:spacing w:val="0"/>
                <w:w w:val="100"/>
                <w:position w:val="0"/>
                <w:sz w:val="24"/>
                <w:szCs w:val="24"/>
                <w:highlight w:val="none"/>
                <w:lang w:eastAsia="zh-CN"/>
              </w:rPr>
              <w:t>尾气由15m高排气筒排放</w:t>
            </w:r>
            <w:r>
              <w:rPr>
                <w:rFonts w:hint="eastAsia" w:ascii="Times New Roman" w:hAnsi="Times New Roman" w:cs="Times New Roman"/>
                <w:color w:val="0000FF"/>
                <w:spacing w:val="0"/>
                <w:w w:val="100"/>
                <w:position w:val="0"/>
                <w:sz w:val="24"/>
                <w:szCs w:val="24"/>
                <w:highlight w:val="none"/>
                <w:lang w:eastAsia="zh-CN"/>
              </w:rPr>
              <w:t>。</w:t>
            </w:r>
          </w:p>
          <w:p>
            <w:pPr>
              <w:pStyle w:val="14"/>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Times New Roman"/>
                <w:b w:val="0"/>
                <w:bCs/>
                <w:color w:val="0000FF"/>
                <w:sz w:val="24"/>
              </w:rPr>
            </w:pPr>
            <w:r>
              <w:rPr>
                <w:rFonts w:hint="default" w:ascii="Times New Roman" w:hAnsi="Times New Roman" w:eastAsia="宋体" w:cs="Times New Roman"/>
                <w:b w:val="0"/>
                <w:bCs/>
                <w:color w:val="0000FF"/>
                <w:sz w:val="24"/>
                <w:szCs w:val="24"/>
                <w:lang w:val="en-US" w:eastAsia="zh-CN"/>
              </w:rPr>
              <w:t>活性炭吸附技术原理</w:t>
            </w:r>
            <w:r>
              <w:rPr>
                <w:rFonts w:hint="eastAsia" w:cs="Times New Roman"/>
                <w:b w:val="0"/>
                <w:bCs/>
                <w:color w:val="0000FF"/>
                <w:sz w:val="24"/>
                <w:szCs w:val="24"/>
                <w:lang w:val="en-US" w:eastAsia="zh-CN"/>
              </w:rPr>
              <w:t>：</w:t>
            </w:r>
            <w:r>
              <w:rPr>
                <w:rFonts w:hint="default" w:ascii="Times New Roman" w:hAnsi="Times New Roman" w:eastAsia="宋体" w:cs="Times New Roman"/>
                <w:b w:val="0"/>
                <w:bCs/>
                <w:color w:val="0000FF"/>
                <w:sz w:val="24"/>
              </w:rPr>
              <w:t>当废气由风机提供动力，负压进入吸附箱后进入活性炭吸附层，由于活性炭吸附剂表面上存在着平衡和未饱和的分子引力或化学键力，因此当活性炭吸附剂的表面与气体接触时，就能吸引气体分子，使其浓聚并保持在活性炭表面，此现象称为吸附。利用活性炭吸附剂表面的吸附能力，使其废气与大表面的多孔性活性炭吸附剂相接触，废气中的污染物被吸附在活性炭表面上，使其与气体混合物分离，净化后的气体高空排放。</w:t>
            </w:r>
          </w:p>
          <w:p>
            <w:pPr>
              <w:pStyle w:val="14"/>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eastAsia" w:ascii="Times New Roman" w:hAnsi="Times New Roman" w:eastAsia="宋体" w:cs="Times New Roman"/>
                <w:color w:val="0000FF"/>
                <w:spacing w:val="-1"/>
                <w:sz w:val="24"/>
                <w:szCs w:val="24"/>
                <w:lang w:eastAsia="zh-CN"/>
              </w:rPr>
            </w:pPr>
            <w:r>
              <w:rPr>
                <w:rFonts w:hint="eastAsia" w:ascii="Times New Roman" w:hAnsi="Times New Roman" w:eastAsia="宋体" w:cs="Times New Roman"/>
                <w:b w:val="0"/>
                <w:bCs/>
                <w:color w:val="0000FF"/>
                <w:sz w:val="24"/>
                <w:szCs w:val="24"/>
                <w:lang w:val="en-US" w:eastAsia="zh-CN"/>
              </w:rPr>
              <w:t>活性炭吸附处理效率18%，</w:t>
            </w:r>
            <w:r>
              <w:rPr>
                <w:rFonts w:hint="eastAsia" w:cs="Times New Roman"/>
                <w:b w:val="0"/>
                <w:bCs/>
                <w:color w:val="0000FF"/>
                <w:sz w:val="24"/>
                <w:lang w:eastAsia="zh-CN"/>
              </w:rPr>
              <w:t>经处理后的</w:t>
            </w:r>
            <w:r>
              <w:rPr>
                <w:rFonts w:hint="default" w:ascii="Times New Roman" w:hAnsi="Times New Roman" w:eastAsia="宋体" w:cs="Times New Roman"/>
                <w:color w:val="0000FF"/>
                <w:spacing w:val="-1"/>
                <w:sz w:val="24"/>
                <w:szCs w:val="24"/>
              </w:rPr>
              <w:t>有组织</w:t>
            </w:r>
            <w:r>
              <w:rPr>
                <w:rFonts w:hint="eastAsia" w:ascii="宋体" w:hAnsi="宋体" w:cs="宋体"/>
                <w:b w:val="0"/>
                <w:bCs w:val="0"/>
                <w:color w:val="0000FF"/>
                <w:sz w:val="24"/>
                <w:szCs w:val="24"/>
                <w:lang w:val="en-US" w:eastAsia="zh-CN"/>
              </w:rPr>
              <w:t>非甲烷总烃</w:t>
            </w:r>
            <w:r>
              <w:rPr>
                <w:rFonts w:hint="default" w:ascii="Times New Roman" w:hAnsi="Times New Roman" w:eastAsia="宋体" w:cs="Times New Roman"/>
                <w:color w:val="0000FF"/>
                <w:spacing w:val="-1"/>
                <w:sz w:val="24"/>
                <w:szCs w:val="24"/>
              </w:rPr>
              <w:t>排放浓度满足《大气污染物综合排放标准》(GB16297-1996</w:t>
            </w:r>
            <w:r>
              <w:rPr>
                <w:rFonts w:hint="eastAsia" w:cs="Times New Roman"/>
                <w:color w:val="0000FF"/>
                <w:spacing w:val="-1"/>
                <w:sz w:val="24"/>
                <w:szCs w:val="24"/>
                <w:lang w:eastAsia="zh-CN"/>
              </w:rPr>
              <w:t>）</w:t>
            </w:r>
            <w:r>
              <w:rPr>
                <w:rFonts w:hint="default" w:ascii="Times New Roman" w:hAnsi="Times New Roman" w:eastAsia="宋体" w:cs="Times New Roman"/>
                <w:color w:val="0000FF"/>
                <w:spacing w:val="-1"/>
                <w:sz w:val="24"/>
                <w:szCs w:val="24"/>
                <w:lang w:val="en-US" w:eastAsia="zh-CN"/>
              </w:rPr>
              <w:t>中</w:t>
            </w:r>
            <w:r>
              <w:rPr>
                <w:rFonts w:hint="default" w:ascii="Times New Roman" w:hAnsi="Times New Roman" w:eastAsia="宋体" w:cs="Times New Roman"/>
                <w:color w:val="0000FF"/>
                <w:spacing w:val="-1"/>
                <w:sz w:val="24"/>
                <w:szCs w:val="24"/>
              </w:rPr>
              <w:t>相应标准（非甲烷总烃≤</w:t>
            </w:r>
            <w:r>
              <w:rPr>
                <w:rFonts w:hint="default" w:ascii="Times New Roman" w:hAnsi="Times New Roman" w:eastAsia="宋体" w:cs="Times New Roman"/>
                <w:color w:val="0000FF"/>
                <w:spacing w:val="-1"/>
                <w:sz w:val="24"/>
                <w:szCs w:val="24"/>
                <w:lang w:val="en-US" w:eastAsia="zh-CN"/>
              </w:rPr>
              <w:t>120</w:t>
            </w:r>
            <w:r>
              <w:rPr>
                <w:rFonts w:hint="default" w:ascii="Times New Roman" w:hAnsi="Times New Roman" w:eastAsia="宋体" w:cs="Times New Roman"/>
                <w:color w:val="0000FF"/>
                <w:spacing w:val="-1"/>
                <w:sz w:val="24"/>
                <w:szCs w:val="24"/>
              </w:rPr>
              <w:t>mg/m</w:t>
            </w:r>
            <w:r>
              <w:rPr>
                <w:rFonts w:hint="default" w:ascii="Times New Roman" w:hAnsi="Times New Roman" w:eastAsia="宋体" w:cs="Times New Roman"/>
                <w:color w:val="0000FF"/>
                <w:spacing w:val="-1"/>
                <w:sz w:val="24"/>
                <w:szCs w:val="24"/>
                <w:vertAlign w:val="superscript"/>
              </w:rPr>
              <w:t>3</w:t>
            </w:r>
            <w:r>
              <w:rPr>
                <w:rFonts w:hint="default" w:ascii="Times New Roman" w:hAnsi="Times New Roman" w:eastAsia="宋体" w:cs="Times New Roman"/>
                <w:color w:val="0000FF"/>
                <w:spacing w:val="-1"/>
                <w:sz w:val="24"/>
                <w:szCs w:val="24"/>
              </w:rPr>
              <w:t>）</w:t>
            </w:r>
            <w:r>
              <w:rPr>
                <w:rFonts w:hint="eastAsia" w:ascii="Times New Roman" w:hAnsi="Times New Roman" w:eastAsia="宋体" w:cs="Times New Roman"/>
                <w:color w:val="0000FF"/>
                <w:spacing w:val="-1"/>
                <w:sz w:val="24"/>
                <w:szCs w:val="24"/>
                <w:lang w:eastAsia="zh-CN"/>
              </w:rPr>
              <w:t>，</w:t>
            </w:r>
            <w:r>
              <w:rPr>
                <w:rFonts w:hint="default" w:ascii="Times New Roman" w:hAnsi="Times New Roman" w:cs="Times New Roman"/>
                <w:color w:val="0000FF"/>
                <w:spacing w:val="0"/>
                <w:w w:val="100"/>
                <w:position w:val="0"/>
                <w:sz w:val="24"/>
                <w:szCs w:val="24"/>
                <w:highlight w:val="none"/>
                <w:lang w:eastAsia="zh-CN"/>
              </w:rPr>
              <w:t>处理措施可行</w:t>
            </w:r>
            <w:r>
              <w:rPr>
                <w:rFonts w:hint="eastAsia" w:ascii="Times New Roman" w:hAnsi="Times New Roman" w:eastAsia="宋体" w:cs="Times New Roman"/>
                <w:color w:val="0000FF"/>
                <w:spacing w:val="-1"/>
                <w:sz w:val="24"/>
                <w:szCs w:val="24"/>
                <w:lang w:eastAsia="zh-CN"/>
              </w:rPr>
              <w:t>。</w:t>
            </w:r>
          </w:p>
          <w:p>
            <w:pPr>
              <w:pStyle w:val="14"/>
              <w:keepNext w:val="0"/>
              <w:keepLines w:val="0"/>
              <w:pageBreakBefore w:val="0"/>
              <w:widowControl w:val="0"/>
              <w:kinsoku/>
              <w:overflowPunct/>
              <w:topLinePunct w:val="0"/>
              <w:autoSpaceDE/>
              <w:autoSpaceDN/>
              <w:bidi w:val="0"/>
              <w:spacing w:line="360" w:lineRule="auto"/>
              <w:ind w:right="0"/>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1.4</w:t>
            </w:r>
            <w:r>
              <w:rPr>
                <w:b/>
                <w:bCs/>
                <w:color w:val="000000" w:themeColor="text1"/>
                <w:sz w:val="24"/>
                <w14:textFill>
                  <w14:solidFill>
                    <w14:schemeClr w14:val="tx1"/>
                  </w14:solidFill>
                </w14:textFill>
              </w:rPr>
              <w:t>监测计划、排放口基本情况</w:t>
            </w:r>
          </w:p>
          <w:p>
            <w:pPr>
              <w:pStyle w:val="14"/>
              <w:keepNext w:val="0"/>
              <w:keepLines w:val="0"/>
              <w:pageBreakBefore w:val="0"/>
              <w:widowControl w:val="0"/>
              <w:kinsoku/>
              <w:overflowPunct/>
              <w:topLinePunct w:val="0"/>
              <w:autoSpaceDE/>
              <w:autoSpaceDN/>
              <w:bidi w:val="0"/>
              <w:spacing w:line="360" w:lineRule="auto"/>
              <w:ind w:right="0" w:firstLine="480" w:firstLineChars="200"/>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根据《排污单位自行监测技术指南总则》（HJ819-2017）中最低监测频次要求，本项目污染源属于非主要污染源，排放口类型为一般排放口。监测计划、排放口基本情况见表4-5。</w:t>
            </w:r>
          </w:p>
          <w:p>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表4-5大气监测计划</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96"/>
              <w:gridCol w:w="586"/>
              <w:gridCol w:w="854"/>
              <w:gridCol w:w="1205"/>
              <w:gridCol w:w="413"/>
              <w:gridCol w:w="354"/>
              <w:gridCol w:w="505"/>
              <w:gridCol w:w="777"/>
              <w:gridCol w:w="1050"/>
              <w:gridCol w:w="532"/>
              <w:gridCol w:w="804"/>
              <w:gridCol w:w="5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05" w:type="pct"/>
                  <w:vMerge w:val="restart"/>
                  <w:tcBorders>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污染源类别</w:t>
                  </w:r>
                </w:p>
              </w:tc>
              <w:tc>
                <w:tcPr>
                  <w:tcW w:w="360" w:type="pct"/>
                  <w:vMerge w:val="restart"/>
                  <w:tcBorders>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污染物名称</w:t>
                  </w:r>
                </w:p>
              </w:tc>
              <w:tc>
                <w:tcPr>
                  <w:tcW w:w="525" w:type="pct"/>
                  <w:vMerge w:val="restart"/>
                  <w:tcBorders>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排污口编号及名称</w:t>
                  </w:r>
                </w:p>
              </w:tc>
              <w:tc>
                <w:tcPr>
                  <w:tcW w:w="2001" w:type="pct"/>
                  <w:gridSpan w:val="5"/>
                  <w:tcBorders>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排放口设置情况</w:t>
                  </w:r>
                </w:p>
              </w:tc>
              <w:tc>
                <w:tcPr>
                  <w:tcW w:w="645" w:type="pct"/>
                  <w:tcBorders>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排放标准</w:t>
                  </w:r>
                </w:p>
              </w:tc>
              <w:tc>
                <w:tcPr>
                  <w:tcW w:w="1162" w:type="pct"/>
                  <w:gridSpan w:val="3"/>
                  <w:tcBorders>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监测要求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05" w:type="pct"/>
                  <w:vMerge w:val="continue"/>
                  <w:tcBorders>
                    <w:bottom w:val="single" w:color="000000" w:sz="4" w:space="0"/>
                    <w:tl2br w:val="nil"/>
                    <w:tr2bl w:val="nil"/>
                  </w:tcBorders>
                  <w:vAlign w:val="center"/>
                </w:tcPr>
                <w:p>
                  <w:pPr>
                    <w:jc w:val="center"/>
                    <w:rPr>
                      <w:b/>
                      <w:bCs/>
                      <w:color w:val="000000" w:themeColor="text1"/>
                      <w:szCs w:val="21"/>
                      <w14:textFill>
                        <w14:solidFill>
                          <w14:schemeClr w14:val="tx1"/>
                        </w14:solidFill>
                      </w14:textFill>
                    </w:rPr>
                  </w:pPr>
                </w:p>
              </w:tc>
              <w:tc>
                <w:tcPr>
                  <w:tcW w:w="360" w:type="pct"/>
                  <w:vMerge w:val="continue"/>
                  <w:tcBorders>
                    <w:bottom w:val="single" w:color="000000" w:sz="4" w:space="0"/>
                    <w:tl2br w:val="nil"/>
                    <w:tr2bl w:val="nil"/>
                  </w:tcBorders>
                  <w:vAlign w:val="center"/>
                </w:tcPr>
                <w:p>
                  <w:pPr>
                    <w:jc w:val="center"/>
                    <w:rPr>
                      <w:b/>
                      <w:bCs/>
                      <w:color w:val="000000" w:themeColor="text1"/>
                      <w:szCs w:val="21"/>
                      <w14:textFill>
                        <w14:solidFill>
                          <w14:schemeClr w14:val="tx1"/>
                        </w14:solidFill>
                      </w14:textFill>
                    </w:rPr>
                  </w:pPr>
                </w:p>
              </w:tc>
              <w:tc>
                <w:tcPr>
                  <w:tcW w:w="525" w:type="pct"/>
                  <w:vMerge w:val="continue"/>
                  <w:tcBorders>
                    <w:bottom w:val="single" w:color="000000" w:sz="4" w:space="0"/>
                    <w:tl2br w:val="nil"/>
                    <w:tr2bl w:val="nil"/>
                  </w:tcBorders>
                  <w:vAlign w:val="center"/>
                </w:tcPr>
                <w:p>
                  <w:pPr>
                    <w:jc w:val="center"/>
                    <w:rPr>
                      <w:b/>
                      <w:bCs/>
                      <w:color w:val="000000" w:themeColor="text1"/>
                      <w:szCs w:val="21"/>
                      <w14:textFill>
                        <w14:solidFill>
                          <w14:schemeClr w14:val="tx1"/>
                        </w14:solidFill>
                      </w14:textFill>
                    </w:rPr>
                  </w:pPr>
                </w:p>
              </w:tc>
              <w:tc>
                <w:tcPr>
                  <w:tcW w:w="741"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排气筒地理坐标</w:t>
                  </w:r>
                </w:p>
              </w:tc>
              <w:tc>
                <w:tcPr>
                  <w:tcW w:w="253"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高度m</w:t>
                  </w:r>
                </w:p>
              </w:tc>
              <w:tc>
                <w:tcPr>
                  <w:tcW w:w="217"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内径m</w:t>
                  </w:r>
                </w:p>
              </w:tc>
              <w:tc>
                <w:tcPr>
                  <w:tcW w:w="310"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温度</w:t>
                  </w:r>
                </w:p>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°C</w:t>
                  </w:r>
                </w:p>
              </w:tc>
              <w:tc>
                <w:tcPr>
                  <w:tcW w:w="477"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类型</w:t>
                  </w:r>
                </w:p>
              </w:tc>
              <w:tc>
                <w:tcPr>
                  <w:tcW w:w="645" w:type="pct"/>
                  <w:tcBorders>
                    <w:bottom w:val="single" w:color="000000" w:sz="4" w:space="0"/>
                    <w:tl2br w:val="nil"/>
                    <w:tr2bl w:val="nil"/>
                  </w:tcBorders>
                  <w:vAlign w:val="center"/>
                </w:tcPr>
                <w:p>
                  <w:pPr>
                    <w:pStyle w:val="31"/>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浓度限值（mg/</w:t>
                  </w:r>
                  <w:r>
                    <w:rPr>
                      <w:rFonts w:ascii="Times New Roman" w:hAnsi="Times New Roman" w:cs="Times New Roman"/>
                      <w:b/>
                      <w:bCs/>
                      <w:color w:val="000000" w:themeColor="text1"/>
                      <w:sz w:val="24"/>
                      <w14:textFill>
                        <w14:solidFill>
                          <w14:schemeClr w14:val="tx1"/>
                        </w14:solidFill>
                      </w14:textFill>
                    </w:rPr>
                    <w:t>m</w:t>
                  </w:r>
                  <w:r>
                    <w:rPr>
                      <w:rFonts w:ascii="Times New Roman" w:hAnsi="Times New Roman" w:cs="Times New Roman"/>
                      <w:b/>
                      <w:bCs/>
                      <w:color w:val="000000" w:themeColor="text1"/>
                      <w:sz w:val="24"/>
                      <w:vertAlign w:val="superscript"/>
                      <w14:textFill>
                        <w14:solidFill>
                          <w14:schemeClr w14:val="tx1"/>
                        </w14:solidFill>
                      </w14:textFill>
                    </w:rPr>
                    <w:t>3</w:t>
                  </w:r>
                  <w:r>
                    <w:rPr>
                      <w:rFonts w:hint="eastAsia" w:ascii="Times New Roman" w:hAnsi="Times New Roman" w:cs="Times New Roman"/>
                      <w:b/>
                      <w:bCs/>
                      <w:color w:val="000000" w:themeColor="text1"/>
                      <w:sz w:val="24"/>
                      <w:vertAlign w:val="baseline"/>
                      <w:lang w:eastAsia="zh-CN"/>
                      <w14:textFill>
                        <w14:solidFill>
                          <w14:schemeClr w14:val="tx1"/>
                        </w14:solidFill>
                      </w14:textFill>
                    </w:rPr>
                    <w:t>）</w:t>
                  </w:r>
                </w:p>
              </w:tc>
              <w:tc>
                <w:tcPr>
                  <w:tcW w:w="327"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监测点位</w:t>
                  </w:r>
                </w:p>
              </w:tc>
              <w:tc>
                <w:tcPr>
                  <w:tcW w:w="494"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监测因子</w:t>
                  </w:r>
                </w:p>
              </w:tc>
              <w:tc>
                <w:tcPr>
                  <w:tcW w:w="340" w:type="pct"/>
                  <w:tcBorders>
                    <w:bottom w:val="single" w:color="000000" w:sz="4" w:space="0"/>
                    <w:tl2br w:val="nil"/>
                    <w:tr2bl w:val="nil"/>
                  </w:tcBorders>
                  <w:vAlign w:val="center"/>
                </w:tcPr>
                <w:p>
                  <w:pPr>
                    <w:pStyle w:val="31"/>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05" w:type="pct"/>
                  <w:vMerge w:val="restart"/>
                  <w:tcBorders>
                    <w:top w:val="single" w:color="000000" w:sz="4" w:space="0"/>
                    <w:left w:val="nil"/>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有组织</w:t>
                  </w:r>
                </w:p>
              </w:tc>
              <w:tc>
                <w:tcPr>
                  <w:tcW w:w="360"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颗粒物</w:t>
                  </w:r>
                  <w:r>
                    <w:rPr>
                      <w:rFonts w:hint="eastAsia" w:ascii="Times New Roman" w:hAnsi="Times New Roman" w:cs="Times New Roman"/>
                      <w:color w:val="000000" w:themeColor="text1"/>
                      <w:szCs w:val="21"/>
                      <w:lang w:val="en-US" w:eastAsia="zh-CN"/>
                      <w14:textFill>
                        <w14:solidFill>
                          <w14:schemeClr w14:val="tx1"/>
                        </w14:solidFill>
                      </w14:textFill>
                    </w:rPr>
                    <w:t>、非甲烷总烃</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w:t>
                  </w:r>
                  <w:r>
                    <w:rPr>
                      <w:rFonts w:ascii="Times New Roman" w:hAnsi="Times New Roman" w:cs="Times New Roman"/>
                      <w:color w:val="000000" w:themeColor="text1"/>
                      <w:szCs w:val="21"/>
                      <w:lang w:val="en-US"/>
                      <w14:textFill>
                        <w14:solidFill>
                          <w14:schemeClr w14:val="tx1"/>
                        </w14:solidFill>
                      </w14:textFill>
                    </w:rPr>
                    <w:t>1</w:t>
                  </w:r>
                </w:p>
              </w:tc>
              <w:tc>
                <w:tcPr>
                  <w:tcW w:w="741"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87.238738°</w:t>
                  </w:r>
                </w:p>
                <w:p>
                  <w:pPr>
                    <w:pStyle w:val="30"/>
                    <w:ind w:left="0" w:leftChars="0" w:firstLine="0" w:firstLineChars="0"/>
                    <w:jc w:val="center"/>
                    <w:rPr>
                      <w:rFonts w:hint="default"/>
                      <w:lang w:val="en-US" w:eastAsia="zh-CN"/>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43.871321°</w:t>
                  </w:r>
                </w:p>
              </w:tc>
              <w:tc>
                <w:tcPr>
                  <w:tcW w:w="253"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21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0.5</w:t>
                  </w:r>
                </w:p>
              </w:tc>
              <w:tc>
                <w:tcPr>
                  <w:tcW w:w="310"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一般排放口</w:t>
                  </w:r>
                </w:p>
              </w:tc>
              <w:tc>
                <w:tcPr>
                  <w:tcW w:w="64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120</w:t>
                  </w:r>
                </w:p>
              </w:tc>
              <w:tc>
                <w:tcPr>
                  <w:tcW w:w="32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排气筒</w:t>
                  </w:r>
                </w:p>
              </w:tc>
              <w:tc>
                <w:tcPr>
                  <w:tcW w:w="494"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颗粒物</w:t>
                  </w:r>
                </w:p>
                <w:p>
                  <w:pPr>
                    <w:pStyle w:val="31"/>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非甲烷总烃</w:t>
                  </w:r>
                </w:p>
              </w:tc>
              <w:tc>
                <w:tcPr>
                  <w:tcW w:w="340" w:type="pct"/>
                  <w:tcBorders>
                    <w:top w:val="single" w:color="000000" w:sz="4" w:space="0"/>
                    <w:left w:val="single" w:color="000000" w:sz="4" w:space="0"/>
                    <w:bottom w:val="single" w:color="000000" w:sz="4" w:space="0"/>
                    <w:right w:val="nil"/>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05" w:type="pct"/>
                  <w:vMerge w:val="continue"/>
                  <w:tcBorders>
                    <w:left w:val="nil"/>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p>
              </w:tc>
              <w:tc>
                <w:tcPr>
                  <w:tcW w:w="360"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颗粒物</w:t>
                  </w:r>
                  <w:r>
                    <w:rPr>
                      <w:rFonts w:hint="eastAsia" w:ascii="Times New Roman" w:hAnsi="Times New Roman" w:cs="Times New Roman"/>
                      <w:color w:val="000000" w:themeColor="text1"/>
                      <w:szCs w:val="21"/>
                      <w:lang w:val="en-US" w:eastAsia="zh-CN"/>
                      <w14:textFill>
                        <w14:solidFill>
                          <w14:schemeClr w14:val="tx1"/>
                        </w14:solidFill>
                      </w14:textFill>
                    </w:rPr>
                    <w:t>、非甲烷总烃</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741"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cs="Times New Roman"/>
                      <w:b w:val="0"/>
                      <w:bCs/>
                      <w:color w:val="000000" w:themeColor="text1"/>
                      <w:sz w:val="21"/>
                      <w:lang w:val="en-US" w:eastAsia="zh-CN"/>
                      <w14:textFill>
                        <w14:solidFill>
                          <w14:schemeClr w14:val="tx1"/>
                        </w14:solidFill>
                      </w14:textFill>
                    </w:rPr>
                  </w:pPr>
                  <w:r>
                    <w:rPr>
                      <w:rFonts w:hint="eastAsia" w:cs="Times New Roman"/>
                      <w:b w:val="0"/>
                      <w:bCs/>
                      <w:color w:val="000000" w:themeColor="text1"/>
                      <w:sz w:val="21"/>
                      <w:lang w:val="en-US" w:eastAsia="zh-CN"/>
                      <w14:textFill>
                        <w14:solidFill>
                          <w14:schemeClr w14:val="tx1"/>
                        </w14:solidFill>
                      </w14:textFill>
                    </w:rPr>
                    <w:t>87.239478</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p>
                  <w:pPr>
                    <w:pStyle w:val="30"/>
                    <w:ind w:left="0" w:leftChars="0" w:firstLine="0" w:firstLineChars="0"/>
                    <w:jc w:val="center"/>
                    <w:rPr>
                      <w:rFonts w:hint="default"/>
                      <w:lang w:val="en-US" w:eastAsia="zh-CN"/>
                    </w:rPr>
                  </w:pPr>
                  <w:r>
                    <w:rPr>
                      <w:rFonts w:hint="eastAsia" w:cs="Times New Roman"/>
                      <w:b w:val="0"/>
                      <w:bCs/>
                      <w:color w:val="000000" w:themeColor="text1"/>
                      <w:sz w:val="21"/>
                      <w:lang w:val="en-US" w:eastAsia="zh-CN"/>
                      <w14:textFill>
                        <w14:solidFill>
                          <w14:schemeClr w14:val="tx1"/>
                        </w14:solidFill>
                      </w14:textFill>
                    </w:rPr>
                    <w:t>43.870778</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253"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21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0.5</w:t>
                  </w:r>
                </w:p>
              </w:tc>
              <w:tc>
                <w:tcPr>
                  <w:tcW w:w="310"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一般排放口</w:t>
                  </w:r>
                </w:p>
              </w:tc>
              <w:tc>
                <w:tcPr>
                  <w:tcW w:w="64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120</w:t>
                  </w:r>
                </w:p>
              </w:tc>
              <w:tc>
                <w:tcPr>
                  <w:tcW w:w="32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排气筒</w:t>
                  </w:r>
                </w:p>
              </w:tc>
              <w:tc>
                <w:tcPr>
                  <w:tcW w:w="494"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颗粒物</w:t>
                  </w:r>
                </w:p>
                <w:p>
                  <w:pPr>
                    <w:pStyle w:val="31"/>
                    <w:jc w:val="cente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非甲烷总烃</w:t>
                  </w:r>
                </w:p>
              </w:tc>
              <w:tc>
                <w:tcPr>
                  <w:tcW w:w="340" w:type="pct"/>
                  <w:tcBorders>
                    <w:top w:val="single" w:color="000000" w:sz="4" w:space="0"/>
                    <w:left w:val="single" w:color="000000" w:sz="4" w:space="0"/>
                    <w:bottom w:val="single" w:color="000000" w:sz="4" w:space="0"/>
                    <w:right w:val="nil"/>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305" w:type="pct"/>
                  <w:vMerge w:val="restart"/>
                  <w:tcBorders>
                    <w:top w:val="single" w:color="000000" w:sz="4" w:space="0"/>
                    <w:left w:val="nil"/>
                    <w:right w:val="single" w:color="000000" w:sz="4" w:space="0"/>
                  </w:tcBorders>
                  <w:vAlign w:val="center"/>
                </w:tcPr>
                <w:p>
                  <w:pPr>
                    <w:pStyle w:val="31"/>
                    <w:jc w:val="center"/>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无</w:t>
                  </w:r>
                  <w:r>
                    <w:rPr>
                      <w:rFonts w:ascii="Times New Roman" w:hAnsi="Times New Roman" w:cs="Times New Roman"/>
                      <w:color w:val="000000" w:themeColor="text1"/>
                      <w:szCs w:val="21"/>
                      <w14:textFill>
                        <w14:solidFill>
                          <w14:schemeClr w14:val="tx1"/>
                        </w14:solidFill>
                      </w14:textFill>
                    </w:rPr>
                    <w:t>组织</w:t>
                  </w:r>
                </w:p>
                <w:p>
                  <w:pPr>
                    <w:pStyle w:val="31"/>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360" w:type="pc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颗粒物</w:t>
                  </w:r>
                </w:p>
              </w:tc>
              <w:tc>
                <w:tcPr>
                  <w:tcW w:w="525"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在厂界四周设置监控点</w:t>
                  </w:r>
                </w:p>
              </w:tc>
              <w:tc>
                <w:tcPr>
                  <w:tcW w:w="741"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53"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17"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310"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477"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4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p>
              </w:tc>
              <w:tc>
                <w:tcPr>
                  <w:tcW w:w="327"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厂界四周</w:t>
                  </w:r>
                </w:p>
              </w:tc>
              <w:tc>
                <w:tcPr>
                  <w:tcW w:w="494" w:type="pct"/>
                  <w:vMerge w:val="restart"/>
                  <w:tcBorders>
                    <w:top w:val="single" w:color="000000" w:sz="4" w:space="0"/>
                    <w:left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颗粒物</w:t>
                  </w:r>
                </w:p>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非甲烷总烃</w:t>
                  </w:r>
                </w:p>
              </w:tc>
              <w:tc>
                <w:tcPr>
                  <w:tcW w:w="340" w:type="pct"/>
                  <w:vMerge w:val="restart"/>
                  <w:tcBorders>
                    <w:top w:val="single" w:color="000000" w:sz="4" w:space="0"/>
                    <w:left w:val="single" w:color="000000" w:sz="4" w:space="0"/>
                    <w:right w:val="nil"/>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半年/次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305" w:type="pct"/>
                  <w:vMerge w:val="continue"/>
                  <w:tcBorders>
                    <w:left w:val="nil"/>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p>
              </w:tc>
              <w:tc>
                <w:tcPr>
                  <w:tcW w:w="360" w:type="pct"/>
                  <w:tcBorders>
                    <w:left w:val="single" w:color="000000" w:sz="4" w:space="0"/>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525" w:type="pct"/>
                  <w:vMerge w:val="continue"/>
                  <w:tcBorders>
                    <w:left w:val="single" w:color="000000" w:sz="4" w:space="0"/>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p>
              </w:tc>
              <w:tc>
                <w:tcPr>
                  <w:tcW w:w="741" w:type="pct"/>
                  <w:vMerge w:val="continue"/>
                  <w:tcBorders>
                    <w:left w:val="single" w:color="000000" w:sz="4" w:space="0"/>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p>
              </w:tc>
              <w:tc>
                <w:tcPr>
                  <w:tcW w:w="253" w:type="pct"/>
                  <w:vMerge w:val="continue"/>
                  <w:tcBorders>
                    <w:left w:val="single" w:color="000000" w:sz="4" w:space="0"/>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p>
              </w:tc>
              <w:tc>
                <w:tcPr>
                  <w:tcW w:w="217" w:type="pct"/>
                  <w:vMerge w:val="continue"/>
                  <w:tcBorders>
                    <w:left w:val="single" w:color="000000" w:sz="4" w:space="0"/>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p>
              </w:tc>
              <w:tc>
                <w:tcPr>
                  <w:tcW w:w="310" w:type="pct"/>
                  <w:vMerge w:val="continue"/>
                  <w:tcBorders>
                    <w:left w:val="single" w:color="000000" w:sz="4" w:space="0"/>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p>
              </w:tc>
              <w:tc>
                <w:tcPr>
                  <w:tcW w:w="477" w:type="pct"/>
                  <w:vMerge w:val="continue"/>
                  <w:tcBorders>
                    <w:left w:val="single" w:color="000000" w:sz="4" w:space="0"/>
                    <w:bottom w:val="single" w:color="000000" w:sz="4" w:space="0"/>
                    <w:right w:val="single" w:color="000000" w:sz="4" w:space="0"/>
                  </w:tcBorders>
                  <w:vAlign w:val="center"/>
                </w:tcPr>
                <w:p>
                  <w:pPr>
                    <w:pStyle w:val="31"/>
                    <w:jc w:val="center"/>
                    <w:rPr>
                      <w:color w:val="000000" w:themeColor="text1"/>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4.0</w:t>
                  </w:r>
                </w:p>
              </w:tc>
              <w:tc>
                <w:tcPr>
                  <w:tcW w:w="327" w:type="pct"/>
                  <w:vMerge w:val="continue"/>
                  <w:tcBorders>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p>
              </w:tc>
              <w:tc>
                <w:tcPr>
                  <w:tcW w:w="494" w:type="pct"/>
                  <w:vMerge w:val="continue"/>
                  <w:tcBorders>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p>
              </w:tc>
              <w:tc>
                <w:tcPr>
                  <w:tcW w:w="340" w:type="pct"/>
                  <w:vMerge w:val="continue"/>
                  <w:tcBorders>
                    <w:left w:val="single" w:color="000000" w:sz="4" w:space="0"/>
                    <w:bottom w:val="single" w:color="000000" w:sz="4" w:space="0"/>
                    <w:right w:val="nil"/>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05" w:type="pct"/>
                  <w:vMerge w:val="continue"/>
                  <w:tcBorders>
                    <w:top w:val="single" w:color="000000" w:sz="4" w:space="0"/>
                    <w:left w:val="nil"/>
                    <w:bottom w:val="single" w:color="000000" w:sz="4" w:space="0"/>
                    <w:right w:val="single" w:color="000000" w:sz="4" w:space="0"/>
                  </w:tcBorders>
                  <w:vAlign w:val="center"/>
                </w:tcPr>
                <w:p>
                  <w:pPr>
                    <w:pStyle w:val="31"/>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360"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非甲烷总烃</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厂区设置监控点</w:t>
                  </w:r>
                </w:p>
              </w:tc>
              <w:tc>
                <w:tcPr>
                  <w:tcW w:w="741"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53"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1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310"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47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45"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w:t>
                  </w:r>
                </w:p>
              </w:tc>
              <w:tc>
                <w:tcPr>
                  <w:tcW w:w="327"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厂内</w:t>
                  </w:r>
                </w:p>
              </w:tc>
              <w:tc>
                <w:tcPr>
                  <w:tcW w:w="494" w:type="pct"/>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非甲烷总烃</w:t>
                  </w:r>
                </w:p>
              </w:tc>
              <w:tc>
                <w:tcPr>
                  <w:tcW w:w="340" w:type="pct"/>
                  <w:tcBorders>
                    <w:top w:val="single" w:color="000000" w:sz="4" w:space="0"/>
                    <w:left w:val="single" w:color="000000" w:sz="4" w:space="0"/>
                    <w:bottom w:val="single" w:color="000000" w:sz="4" w:space="0"/>
                    <w:right w:val="nil"/>
                  </w:tcBorders>
                  <w:vAlign w:val="center"/>
                </w:tcPr>
                <w:p>
                  <w:pPr>
                    <w:pStyle w:val="31"/>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1次/年</w:t>
                  </w:r>
                </w:p>
              </w:tc>
            </w:tr>
          </w:tbl>
          <w:p>
            <w:pPr>
              <w:spacing w:line="360" w:lineRule="auto"/>
              <w:rPr>
                <w:color w:val="0000FF"/>
                <w:sz w:val="24"/>
              </w:rPr>
            </w:pPr>
            <w:r>
              <w:rPr>
                <w:b/>
                <w:bCs/>
                <w:color w:val="0000FF"/>
                <w:sz w:val="24"/>
              </w:rPr>
              <w:t>1.</w:t>
            </w:r>
            <w:r>
              <w:rPr>
                <w:rFonts w:hint="eastAsia"/>
                <w:b/>
                <w:bCs/>
                <w:color w:val="0000FF"/>
                <w:sz w:val="24"/>
                <w:lang w:val="en-US" w:eastAsia="zh-CN"/>
              </w:rPr>
              <w:t>5</w:t>
            </w:r>
            <w:r>
              <w:rPr>
                <w:b/>
                <w:bCs/>
                <w:color w:val="0000FF"/>
                <w:sz w:val="24"/>
              </w:rPr>
              <w:t>环境影响分析</w:t>
            </w:r>
          </w:p>
          <w:p>
            <w:pPr>
              <w:spacing w:line="360" w:lineRule="auto"/>
              <w:ind w:firstLine="480" w:firstLineChars="200"/>
              <w:rPr>
                <w:rFonts w:hint="eastAsia" w:ascii="Times New Roman" w:hAnsi="Times New Roman" w:eastAsia="宋体" w:cs="Times New Roman"/>
                <w:color w:val="0000FF"/>
                <w:kern w:val="0"/>
                <w:sz w:val="24"/>
                <w:lang w:eastAsia="zh-CN" w:bidi="ar"/>
              </w:rPr>
            </w:pPr>
            <w:r>
              <w:rPr>
                <w:rFonts w:hint="eastAsia" w:ascii="Times New Roman" w:hAnsi="Times New Roman" w:eastAsia="宋体" w:cs="Times New Roman"/>
                <w:color w:val="0000FF"/>
                <w:kern w:val="0"/>
                <w:sz w:val="24"/>
                <w:lang w:eastAsia="zh-CN" w:bidi="ar"/>
              </w:rPr>
              <w:t>本项目厂界外500米范围内无自然保护区、风景名胜区、文化区，不存在环境空气保护目标。</w:t>
            </w:r>
          </w:p>
          <w:p>
            <w:pPr>
              <w:spacing w:line="360" w:lineRule="auto"/>
              <w:ind w:firstLine="480" w:firstLineChars="200"/>
              <w:rPr>
                <w:rFonts w:hint="eastAsia" w:ascii="Times New Roman" w:hAnsi="Times New Roman" w:eastAsia="宋体" w:cs="Times New Roman"/>
                <w:color w:val="0000FF"/>
                <w:spacing w:val="-1"/>
                <w:sz w:val="24"/>
                <w:szCs w:val="24"/>
                <w:lang w:eastAsia="zh-CN"/>
              </w:rPr>
            </w:pPr>
            <w:r>
              <w:rPr>
                <w:rFonts w:hint="default" w:ascii="Times New Roman" w:hAnsi="Times New Roman" w:eastAsia="宋体" w:cs="Times New Roman"/>
                <w:color w:val="0000FF"/>
                <w:sz w:val="24"/>
                <w:szCs w:val="24"/>
                <w:highlight w:val="none"/>
                <w:lang w:val="en-US" w:eastAsia="zh-CN"/>
              </w:rPr>
              <w:t>喷塑工序产生有组织颗粒物</w:t>
            </w:r>
            <w:r>
              <w:rPr>
                <w:rFonts w:hint="eastAsia" w:ascii="Times New Roman" w:hAnsi="Times New Roman" w:cs="Times New Roman"/>
                <w:color w:val="0000FF"/>
                <w:sz w:val="24"/>
                <w:szCs w:val="24"/>
                <w:highlight w:val="none"/>
                <w:lang w:val="en-US" w:eastAsia="zh-CN"/>
              </w:rPr>
              <w:t>排放量为0.07</w:t>
            </w:r>
            <w:r>
              <w:rPr>
                <w:rFonts w:hint="eastAsia" w:cs="Times New Roman"/>
                <w:color w:val="0000FF"/>
                <w:sz w:val="24"/>
                <w:szCs w:val="24"/>
                <w:highlight w:val="none"/>
                <w:lang w:val="en-US" w:eastAsia="zh-CN"/>
              </w:rPr>
              <w:t>4</w:t>
            </w:r>
            <w:r>
              <w:rPr>
                <w:rFonts w:hint="default" w:ascii="Times New Roman" w:hAnsi="Times New Roman" w:eastAsia="宋体" w:cs="Times New Roman"/>
                <w:color w:val="0000FF"/>
                <w:sz w:val="24"/>
                <w:szCs w:val="24"/>
                <w:highlight w:val="none"/>
                <w:lang w:val="en-US" w:eastAsia="zh-CN"/>
              </w:rPr>
              <w:t>t/a</w:t>
            </w:r>
            <w:r>
              <w:rPr>
                <w:rFonts w:hint="eastAsia" w:ascii="Times New Roman" w:hAnsi="Times New Roman" w:cs="Times New Roman"/>
                <w:color w:val="0000FF"/>
                <w:sz w:val="24"/>
                <w:szCs w:val="24"/>
                <w:highlight w:val="none"/>
                <w:lang w:val="en-US" w:eastAsia="zh-CN"/>
              </w:rPr>
              <w:t>，排放速率为0.03</w:t>
            </w:r>
            <w:r>
              <w:rPr>
                <w:rFonts w:hint="eastAsia" w:cs="Times New Roman"/>
                <w:color w:val="0000FF"/>
                <w:sz w:val="24"/>
                <w:szCs w:val="24"/>
                <w:highlight w:val="none"/>
                <w:lang w:val="en-US" w:eastAsia="zh-CN"/>
              </w:rPr>
              <w:t>08</w:t>
            </w:r>
            <w:r>
              <w:rPr>
                <w:rFonts w:hint="default" w:ascii="Times New Roman" w:hAnsi="Times New Roman" w:eastAsia="宋体" w:cs="Times New Roman"/>
                <w:color w:val="0000FF"/>
                <w:sz w:val="24"/>
                <w:szCs w:val="24"/>
                <w:highlight w:val="none"/>
                <w:lang w:val="en-US" w:eastAsia="zh-CN"/>
              </w:rPr>
              <w:t>kg/h</w:t>
            </w:r>
            <w:r>
              <w:rPr>
                <w:rFonts w:hint="eastAsia" w:ascii="Times New Roman" w:hAnsi="Times New Roman" w:cs="Times New Roman"/>
                <w:color w:val="0000FF"/>
                <w:sz w:val="24"/>
                <w:szCs w:val="24"/>
                <w:highlight w:val="none"/>
                <w:lang w:val="en-US" w:eastAsia="zh-CN"/>
              </w:rPr>
              <w:t>，排放浓度为10.</w:t>
            </w:r>
            <w:r>
              <w:rPr>
                <w:rFonts w:hint="eastAsia" w:cs="Times New Roman"/>
                <w:color w:val="0000FF"/>
                <w:sz w:val="24"/>
                <w:szCs w:val="24"/>
                <w:highlight w:val="none"/>
                <w:lang w:val="en-US" w:eastAsia="zh-CN"/>
              </w:rPr>
              <w:t>3</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eastAsia" w:eastAsia="宋体" w:cs="Times New Roman"/>
                <w:color w:val="0000FF"/>
                <w:sz w:val="24"/>
                <w:szCs w:val="24"/>
                <w:highlight w:val="none"/>
                <w:lang w:val="en-US" w:eastAsia="zh-CN"/>
              </w:rPr>
              <w:t>，排放</w:t>
            </w:r>
            <w:r>
              <w:rPr>
                <w:rFonts w:hint="default" w:ascii="Times New Roman" w:hAnsi="Times New Roman" w:eastAsia="宋体" w:cs="Times New Roman"/>
                <w:color w:val="0000FF"/>
                <w:sz w:val="24"/>
                <w:szCs w:val="24"/>
                <w:highlight w:val="none"/>
                <w:lang w:val="en-US" w:eastAsia="zh-CN"/>
              </w:rPr>
              <w:t>浓度</w:t>
            </w:r>
            <w:r>
              <w:rPr>
                <w:rFonts w:hint="eastAsia" w:eastAsia="宋体" w:cs="Times New Roman"/>
                <w:color w:val="0000FF"/>
                <w:sz w:val="24"/>
                <w:szCs w:val="24"/>
                <w:highlight w:val="none"/>
                <w:lang w:val="en-US" w:eastAsia="zh-CN"/>
              </w:rPr>
              <w:t>及速率</w:t>
            </w:r>
            <w:r>
              <w:rPr>
                <w:rFonts w:hint="default" w:ascii="Times New Roman" w:hAnsi="Times New Roman" w:eastAsia="宋体" w:cs="Times New Roman"/>
                <w:color w:val="0000FF"/>
                <w:sz w:val="24"/>
                <w:szCs w:val="24"/>
                <w:highlight w:val="none"/>
                <w:lang w:val="en-US" w:eastAsia="zh-CN"/>
              </w:rPr>
              <w:t>满足</w:t>
            </w:r>
            <w:r>
              <w:rPr>
                <w:rFonts w:hint="default" w:ascii="Times New Roman" w:hAnsi="Times New Roman" w:eastAsia="宋体" w:cs="Times New Roman"/>
                <w:color w:val="0000FF"/>
                <w:spacing w:val="-3"/>
                <w:sz w:val="24"/>
                <w:szCs w:val="24"/>
                <w:highlight w:val="none"/>
              </w:rPr>
              <w:t>《大气污染物综合排放标准》（GB16297-1996）</w:t>
            </w:r>
            <w:r>
              <w:rPr>
                <w:rFonts w:hint="default" w:ascii="Times New Roman" w:hAnsi="Times New Roman" w:eastAsia="宋体" w:cs="Times New Roman"/>
                <w:color w:val="0000FF"/>
                <w:sz w:val="24"/>
                <w:highlight w:val="none"/>
              </w:rPr>
              <w:t>相应标准（</w:t>
            </w:r>
            <w:r>
              <w:rPr>
                <w:rFonts w:hint="default" w:ascii="Times New Roman" w:hAnsi="Times New Roman" w:eastAsia="宋体" w:cs="Times New Roman"/>
                <w:color w:val="0000FF"/>
                <w:sz w:val="24"/>
                <w:highlight w:val="none"/>
                <w:lang w:val="en-US" w:eastAsia="zh-CN"/>
              </w:rPr>
              <w:t>颗粒物</w:t>
            </w:r>
            <w:r>
              <w:rPr>
                <w:rFonts w:hint="eastAsia" w:eastAsia="宋体" w:cs="Times New Roman"/>
                <w:color w:val="0000FF"/>
                <w:sz w:val="24"/>
                <w:highlight w:val="none"/>
                <w:lang w:val="en-US" w:eastAsia="zh-CN"/>
              </w:rPr>
              <w:t>：</w:t>
            </w:r>
            <w:r>
              <w:rPr>
                <w:rFonts w:hint="default" w:ascii="Times New Roman" w:hAnsi="Times New Roman" w:eastAsia="宋体" w:cs="Times New Roman"/>
                <w:color w:val="0000FF"/>
                <w:sz w:val="24"/>
                <w:highlight w:val="none"/>
                <w:lang w:val="en-US" w:eastAsia="zh-CN"/>
              </w:rPr>
              <w:t>120</w:t>
            </w:r>
            <w:r>
              <w:rPr>
                <w:rFonts w:hint="default" w:ascii="Times New Roman" w:hAnsi="Times New Roman" w:eastAsia="宋体" w:cs="Times New Roman"/>
                <w:bCs/>
                <w:color w:val="0000FF"/>
                <w:sz w:val="24"/>
                <w:highlight w:val="none"/>
              </w:rPr>
              <w:t>mg/m</w:t>
            </w:r>
            <w:r>
              <w:rPr>
                <w:rFonts w:hint="default" w:ascii="Times New Roman" w:hAnsi="Times New Roman" w:eastAsia="宋体" w:cs="Times New Roman"/>
                <w:bCs/>
                <w:color w:val="0000FF"/>
                <w:sz w:val="24"/>
                <w:highlight w:val="none"/>
                <w:vertAlign w:val="superscript"/>
              </w:rPr>
              <w:t>3</w:t>
            </w:r>
            <w:r>
              <w:rPr>
                <w:rFonts w:hint="eastAsia" w:eastAsia="宋体" w:cs="Times New Roman"/>
                <w:bCs/>
                <w:color w:val="0000FF"/>
                <w:sz w:val="24"/>
                <w:highlight w:val="none"/>
                <w:vertAlign w:val="baseline"/>
                <w:lang w:eastAsia="zh-CN"/>
              </w:rPr>
              <w:t>、</w:t>
            </w:r>
            <w:r>
              <w:rPr>
                <w:rFonts w:hint="eastAsia" w:cs="Times New Roman"/>
                <w:color w:val="0000FF"/>
                <w:sz w:val="24"/>
                <w:highlight w:val="none"/>
                <w:lang w:val="en-US" w:eastAsia="zh-CN"/>
              </w:rPr>
              <w:t>3.5</w:t>
            </w:r>
            <w:r>
              <w:rPr>
                <w:rFonts w:hint="default" w:ascii="Times New Roman" w:hAnsi="Times New Roman" w:eastAsia="宋体" w:cs="Times New Roman"/>
                <w:color w:val="0000FF"/>
                <w:sz w:val="24"/>
                <w:szCs w:val="24"/>
                <w:highlight w:val="none"/>
                <w:lang w:val="en-US" w:eastAsia="zh-CN"/>
              </w:rPr>
              <w:t>kg/h</w:t>
            </w:r>
            <w:r>
              <w:rPr>
                <w:rFonts w:hint="default" w:ascii="Times New Roman" w:hAnsi="Times New Roman" w:eastAsia="宋体" w:cs="Times New Roman"/>
                <w:color w:val="0000FF"/>
                <w:sz w:val="24"/>
                <w:highlight w:val="none"/>
              </w:rPr>
              <w:t>）</w:t>
            </w:r>
            <w:r>
              <w:rPr>
                <w:rFonts w:hint="eastAsia" w:eastAsia="宋体" w:cs="Times New Roman"/>
                <w:color w:val="0000FF"/>
                <w:sz w:val="24"/>
                <w:highlight w:val="none"/>
                <w:lang w:eastAsia="zh-CN"/>
              </w:rPr>
              <w:t>；抛丸工序产生的</w:t>
            </w:r>
            <w:r>
              <w:rPr>
                <w:rFonts w:hint="eastAsia" w:ascii="Times New Roman" w:hAnsi="Times New Roman" w:cs="Times New Roman"/>
                <w:color w:val="0000FF"/>
                <w:sz w:val="24"/>
                <w:szCs w:val="24"/>
                <w:highlight w:val="none"/>
                <w:lang w:val="en-US" w:eastAsia="zh-CN"/>
              </w:rPr>
              <w:t>有组织颗粒物排放量为0.059</w:t>
            </w:r>
            <w:r>
              <w:rPr>
                <w:rFonts w:hint="default" w:ascii="Times New Roman" w:hAnsi="Times New Roman" w:eastAsia="宋体" w:cs="Times New Roman"/>
                <w:color w:val="0000FF"/>
                <w:sz w:val="24"/>
                <w:szCs w:val="24"/>
                <w:highlight w:val="none"/>
                <w:lang w:val="en-US" w:eastAsia="zh-CN"/>
              </w:rPr>
              <w:t>t/a</w:t>
            </w:r>
            <w:r>
              <w:rPr>
                <w:rFonts w:hint="eastAsia" w:ascii="Times New Roman" w:hAnsi="Times New Roman" w:cs="Times New Roman"/>
                <w:color w:val="0000FF"/>
                <w:sz w:val="24"/>
                <w:szCs w:val="24"/>
                <w:highlight w:val="none"/>
                <w:lang w:val="en-US" w:eastAsia="zh-CN"/>
              </w:rPr>
              <w:t>，排放速率为0.0246</w:t>
            </w:r>
            <w:r>
              <w:rPr>
                <w:rFonts w:hint="default" w:ascii="Times New Roman" w:hAnsi="Times New Roman" w:eastAsia="宋体" w:cs="Times New Roman"/>
                <w:color w:val="0000FF"/>
                <w:sz w:val="24"/>
                <w:szCs w:val="24"/>
                <w:highlight w:val="none"/>
                <w:lang w:val="en-US" w:eastAsia="zh-CN"/>
              </w:rPr>
              <w:t>kg/h</w:t>
            </w:r>
            <w:r>
              <w:rPr>
                <w:rFonts w:hint="eastAsia" w:ascii="Times New Roman" w:hAnsi="Times New Roman" w:cs="Times New Roman"/>
                <w:color w:val="0000FF"/>
                <w:sz w:val="24"/>
                <w:szCs w:val="24"/>
                <w:highlight w:val="none"/>
                <w:lang w:val="en-US" w:eastAsia="zh-CN"/>
              </w:rPr>
              <w:t>，排放浓度为8.</w:t>
            </w:r>
            <w:r>
              <w:rPr>
                <w:rFonts w:hint="eastAsia" w:cs="Times New Roman"/>
                <w:color w:val="0000FF"/>
                <w:sz w:val="24"/>
                <w:szCs w:val="24"/>
                <w:highlight w:val="none"/>
                <w:lang w:val="en-US" w:eastAsia="zh-CN"/>
              </w:rPr>
              <w:t>2</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eastAsia" w:eastAsia="宋体" w:cs="Times New Roman"/>
                <w:color w:val="0000FF"/>
                <w:sz w:val="24"/>
                <w:szCs w:val="24"/>
                <w:highlight w:val="none"/>
                <w:vertAlign w:val="superscript"/>
                <w:lang w:val="en-US" w:eastAsia="zh-CN"/>
              </w:rPr>
              <w:t>，</w:t>
            </w:r>
            <w:r>
              <w:rPr>
                <w:rFonts w:hint="eastAsia" w:eastAsia="宋体" w:cs="Times New Roman"/>
                <w:color w:val="0000FF"/>
                <w:sz w:val="24"/>
                <w:szCs w:val="24"/>
                <w:highlight w:val="none"/>
                <w:lang w:val="en-US" w:eastAsia="zh-CN"/>
              </w:rPr>
              <w:t>排放</w:t>
            </w:r>
            <w:r>
              <w:rPr>
                <w:rFonts w:hint="default" w:ascii="Times New Roman" w:hAnsi="Times New Roman" w:eastAsia="宋体" w:cs="Times New Roman"/>
                <w:color w:val="0000FF"/>
                <w:sz w:val="24"/>
                <w:szCs w:val="24"/>
                <w:highlight w:val="none"/>
                <w:lang w:val="en-US" w:eastAsia="zh-CN"/>
              </w:rPr>
              <w:t>浓度</w:t>
            </w:r>
            <w:r>
              <w:rPr>
                <w:rFonts w:hint="eastAsia" w:eastAsia="宋体" w:cs="Times New Roman"/>
                <w:color w:val="0000FF"/>
                <w:sz w:val="24"/>
                <w:szCs w:val="24"/>
                <w:highlight w:val="none"/>
                <w:lang w:val="en-US" w:eastAsia="zh-CN"/>
              </w:rPr>
              <w:t>及速率</w:t>
            </w:r>
            <w:r>
              <w:rPr>
                <w:rFonts w:hint="default" w:ascii="Times New Roman" w:hAnsi="Times New Roman" w:eastAsia="宋体" w:cs="Times New Roman"/>
                <w:color w:val="0000FF"/>
                <w:sz w:val="24"/>
                <w:szCs w:val="24"/>
                <w:highlight w:val="none"/>
                <w:lang w:val="en-US" w:eastAsia="zh-CN"/>
              </w:rPr>
              <w:t>满足</w:t>
            </w:r>
            <w:r>
              <w:rPr>
                <w:rFonts w:hint="default" w:ascii="Times New Roman" w:hAnsi="Times New Roman" w:eastAsia="宋体" w:cs="Times New Roman"/>
                <w:color w:val="0000FF"/>
                <w:spacing w:val="-3"/>
                <w:sz w:val="24"/>
                <w:szCs w:val="24"/>
                <w:highlight w:val="none"/>
              </w:rPr>
              <w:t>《大气污染物综合排放标准》（GB16297-1996）</w:t>
            </w:r>
            <w:r>
              <w:rPr>
                <w:rFonts w:hint="default" w:ascii="Times New Roman" w:hAnsi="Times New Roman" w:eastAsia="宋体" w:cs="Times New Roman"/>
                <w:color w:val="0000FF"/>
                <w:sz w:val="24"/>
                <w:highlight w:val="none"/>
              </w:rPr>
              <w:t>相应标准（</w:t>
            </w:r>
            <w:r>
              <w:rPr>
                <w:rFonts w:hint="default" w:ascii="Times New Roman" w:hAnsi="Times New Roman" w:eastAsia="宋体" w:cs="Times New Roman"/>
                <w:color w:val="0000FF"/>
                <w:sz w:val="24"/>
                <w:highlight w:val="none"/>
                <w:lang w:val="en-US" w:eastAsia="zh-CN"/>
              </w:rPr>
              <w:t>颗粒物</w:t>
            </w:r>
            <w:r>
              <w:rPr>
                <w:rFonts w:hint="eastAsia" w:eastAsia="宋体" w:cs="Times New Roman"/>
                <w:color w:val="0000FF"/>
                <w:sz w:val="24"/>
                <w:highlight w:val="none"/>
                <w:lang w:val="en-US" w:eastAsia="zh-CN"/>
              </w:rPr>
              <w:t>：</w:t>
            </w:r>
            <w:r>
              <w:rPr>
                <w:rFonts w:hint="default" w:ascii="Times New Roman" w:hAnsi="Times New Roman" w:eastAsia="宋体" w:cs="Times New Roman"/>
                <w:color w:val="0000FF"/>
                <w:sz w:val="24"/>
                <w:highlight w:val="none"/>
                <w:lang w:val="en-US" w:eastAsia="zh-CN"/>
              </w:rPr>
              <w:t>120</w:t>
            </w:r>
            <w:r>
              <w:rPr>
                <w:rFonts w:hint="default" w:ascii="Times New Roman" w:hAnsi="Times New Roman" w:eastAsia="宋体" w:cs="Times New Roman"/>
                <w:bCs/>
                <w:color w:val="0000FF"/>
                <w:sz w:val="24"/>
                <w:highlight w:val="none"/>
              </w:rPr>
              <w:t>mg/m</w:t>
            </w:r>
            <w:r>
              <w:rPr>
                <w:rFonts w:hint="default" w:ascii="Times New Roman" w:hAnsi="Times New Roman" w:eastAsia="宋体" w:cs="Times New Roman"/>
                <w:bCs/>
                <w:color w:val="0000FF"/>
                <w:sz w:val="24"/>
                <w:highlight w:val="none"/>
                <w:vertAlign w:val="superscript"/>
              </w:rPr>
              <w:t>3</w:t>
            </w:r>
            <w:r>
              <w:rPr>
                <w:rFonts w:hint="eastAsia" w:eastAsia="宋体" w:cs="Times New Roman"/>
                <w:bCs/>
                <w:color w:val="0000FF"/>
                <w:sz w:val="24"/>
                <w:highlight w:val="none"/>
                <w:vertAlign w:val="baseline"/>
                <w:lang w:eastAsia="zh-CN"/>
              </w:rPr>
              <w:t>、</w:t>
            </w:r>
            <w:r>
              <w:rPr>
                <w:rFonts w:hint="eastAsia" w:cs="Times New Roman"/>
                <w:color w:val="0000FF"/>
                <w:sz w:val="24"/>
                <w:highlight w:val="none"/>
                <w:lang w:val="en-US" w:eastAsia="zh-CN"/>
              </w:rPr>
              <w:t>3.5</w:t>
            </w:r>
            <w:r>
              <w:rPr>
                <w:rFonts w:hint="default" w:ascii="Times New Roman" w:hAnsi="Times New Roman" w:eastAsia="宋体" w:cs="Times New Roman"/>
                <w:color w:val="0000FF"/>
                <w:sz w:val="24"/>
                <w:szCs w:val="24"/>
                <w:highlight w:val="none"/>
                <w:lang w:val="en-US" w:eastAsia="zh-CN"/>
              </w:rPr>
              <w:t>kg/h</w:t>
            </w:r>
            <w:r>
              <w:rPr>
                <w:rFonts w:hint="default" w:ascii="Times New Roman" w:hAnsi="Times New Roman" w:eastAsia="宋体" w:cs="Times New Roman"/>
                <w:color w:val="0000FF"/>
                <w:sz w:val="24"/>
                <w:highlight w:val="none"/>
              </w:rPr>
              <w:t>）</w:t>
            </w:r>
            <w:r>
              <w:rPr>
                <w:rFonts w:hint="eastAsia" w:cs="Times New Roman"/>
                <w:color w:val="0000FF"/>
                <w:sz w:val="24"/>
                <w:highlight w:val="none"/>
                <w:lang w:eastAsia="zh-CN"/>
              </w:rPr>
              <w:t>。</w:t>
            </w:r>
            <w:r>
              <w:rPr>
                <w:rFonts w:hint="eastAsia" w:ascii="Times New Roman" w:hAnsi="Times New Roman" w:eastAsia="宋体" w:cs="Times New Roman"/>
                <w:color w:val="0000FF"/>
                <w:spacing w:val="-3"/>
                <w:sz w:val="24"/>
                <w:szCs w:val="24"/>
                <w:highlight w:val="none"/>
                <w:lang w:val="en-US" w:eastAsia="zh-CN"/>
              </w:rPr>
              <w:t>烘干固化工序</w:t>
            </w:r>
            <w:r>
              <w:rPr>
                <w:rFonts w:hint="eastAsia" w:eastAsia="宋体" w:cs="Times New Roman"/>
                <w:color w:val="0000FF"/>
                <w:spacing w:val="-3"/>
                <w:sz w:val="24"/>
                <w:szCs w:val="24"/>
                <w:highlight w:val="none"/>
                <w:lang w:val="en-US" w:eastAsia="zh-CN"/>
              </w:rPr>
              <w:t>产生的</w:t>
            </w:r>
            <w:r>
              <w:rPr>
                <w:rFonts w:hint="eastAsia" w:ascii="Times New Roman" w:hAnsi="Times New Roman" w:eastAsia="宋体" w:cs="Times New Roman"/>
                <w:color w:val="0000FF"/>
                <w:spacing w:val="-1"/>
                <w:sz w:val="24"/>
                <w:szCs w:val="24"/>
                <w:lang w:val="en-US" w:eastAsia="zh-CN"/>
              </w:rPr>
              <w:t>有组织</w:t>
            </w:r>
            <w:r>
              <w:rPr>
                <w:rFonts w:hint="eastAsia" w:ascii="宋体" w:hAnsi="宋体" w:cs="宋体"/>
                <w:b w:val="0"/>
                <w:bCs w:val="0"/>
                <w:color w:val="0000FF"/>
                <w:sz w:val="24"/>
                <w:szCs w:val="24"/>
                <w:lang w:val="en-US" w:eastAsia="zh-CN"/>
              </w:rPr>
              <w:t>非甲烷总烃</w:t>
            </w:r>
            <w:r>
              <w:rPr>
                <w:rFonts w:hint="default" w:ascii="Times New Roman" w:hAnsi="Times New Roman" w:eastAsia="宋体" w:cs="Times New Roman"/>
                <w:color w:val="0000FF"/>
                <w:spacing w:val="-1"/>
                <w:sz w:val="24"/>
                <w:szCs w:val="24"/>
              </w:rPr>
              <w:t>排放量为</w:t>
            </w:r>
            <w:r>
              <w:rPr>
                <w:rFonts w:hint="eastAsia" w:ascii="Times New Roman" w:hAnsi="Times New Roman" w:eastAsia="宋体" w:cs="Times New Roman"/>
                <w:color w:val="0000FF"/>
                <w:spacing w:val="-1"/>
                <w:sz w:val="24"/>
                <w:szCs w:val="24"/>
                <w:lang w:val="en-US" w:eastAsia="zh-CN"/>
              </w:rPr>
              <w:t>0.00</w:t>
            </w:r>
            <w:r>
              <w:rPr>
                <w:rFonts w:hint="eastAsia" w:ascii="Times New Roman" w:hAnsi="Times New Roman" w:cs="Times New Roman"/>
                <w:color w:val="0000FF"/>
                <w:spacing w:val="-1"/>
                <w:sz w:val="24"/>
                <w:szCs w:val="24"/>
                <w:lang w:val="en-US" w:eastAsia="zh-CN"/>
              </w:rPr>
              <w:t>36</w:t>
            </w:r>
            <w:r>
              <w:rPr>
                <w:rFonts w:hint="default" w:ascii="Times New Roman" w:hAnsi="Times New Roman" w:eastAsia="宋体" w:cs="Times New Roman"/>
                <w:color w:val="0000FF"/>
                <w:spacing w:val="-1"/>
                <w:sz w:val="24"/>
                <w:szCs w:val="24"/>
              </w:rPr>
              <w:t>t/a</w:t>
            </w:r>
            <w:r>
              <w:rPr>
                <w:rFonts w:hint="eastAsia" w:ascii="Times New Roman" w:hAnsi="Times New Roman" w:eastAsia="宋体" w:cs="Times New Roman"/>
                <w:color w:val="0000FF"/>
                <w:spacing w:val="-1"/>
                <w:sz w:val="24"/>
                <w:szCs w:val="24"/>
                <w:lang w:val="en-US" w:eastAsia="zh-CN"/>
              </w:rPr>
              <w:t>，</w:t>
            </w:r>
            <w:r>
              <w:rPr>
                <w:rFonts w:hint="default" w:ascii="Times New Roman" w:hAnsi="Times New Roman" w:eastAsia="宋体" w:cs="Times New Roman"/>
                <w:color w:val="0000FF"/>
                <w:spacing w:val="-1"/>
                <w:sz w:val="24"/>
                <w:szCs w:val="24"/>
              </w:rPr>
              <w:t>排放速率为</w:t>
            </w:r>
            <w:r>
              <w:rPr>
                <w:rFonts w:hint="default" w:ascii="Times New Roman" w:hAnsi="Times New Roman" w:eastAsia="宋体" w:cs="Times New Roman"/>
                <w:color w:val="0000FF"/>
                <w:spacing w:val="-1"/>
                <w:sz w:val="24"/>
                <w:szCs w:val="24"/>
                <w:lang w:val="en-US" w:eastAsia="zh-CN"/>
              </w:rPr>
              <w:t>0.00</w:t>
            </w:r>
            <w:r>
              <w:rPr>
                <w:rFonts w:hint="eastAsia" w:ascii="Times New Roman" w:hAnsi="Times New Roman" w:eastAsia="宋体" w:cs="Times New Roman"/>
                <w:color w:val="0000FF"/>
                <w:spacing w:val="-1"/>
                <w:sz w:val="24"/>
                <w:szCs w:val="24"/>
                <w:lang w:val="en-US" w:eastAsia="zh-CN"/>
              </w:rPr>
              <w:t>1</w:t>
            </w:r>
            <w:r>
              <w:rPr>
                <w:rFonts w:hint="eastAsia" w:ascii="Times New Roman" w:hAnsi="Times New Roman" w:cs="Times New Roman"/>
                <w:color w:val="0000FF"/>
                <w:spacing w:val="-1"/>
                <w:sz w:val="24"/>
                <w:szCs w:val="24"/>
                <w:lang w:val="en-US" w:eastAsia="zh-CN"/>
              </w:rPr>
              <w:t>5</w:t>
            </w:r>
            <w:r>
              <w:rPr>
                <w:rFonts w:hint="default" w:ascii="Times New Roman" w:hAnsi="Times New Roman" w:eastAsia="宋体" w:cs="Times New Roman"/>
                <w:color w:val="0000FF"/>
                <w:spacing w:val="-1"/>
                <w:sz w:val="24"/>
                <w:szCs w:val="24"/>
              </w:rPr>
              <w:t>kg/h</w:t>
            </w:r>
            <w:r>
              <w:rPr>
                <w:rFonts w:hint="eastAsia" w:ascii="Times New Roman" w:hAnsi="Times New Roman" w:eastAsia="宋体" w:cs="Times New Roman"/>
                <w:color w:val="0000FF"/>
                <w:spacing w:val="-1"/>
                <w:sz w:val="24"/>
                <w:szCs w:val="24"/>
                <w:lang w:eastAsia="zh-CN"/>
              </w:rPr>
              <w:t>，</w:t>
            </w:r>
            <w:r>
              <w:rPr>
                <w:rFonts w:hint="default" w:ascii="Times New Roman" w:hAnsi="Times New Roman" w:eastAsia="宋体" w:cs="Times New Roman"/>
                <w:color w:val="0000FF"/>
                <w:spacing w:val="-1"/>
                <w:sz w:val="24"/>
                <w:szCs w:val="24"/>
              </w:rPr>
              <w:t>排放浓度为0.</w:t>
            </w:r>
            <w:r>
              <w:rPr>
                <w:rFonts w:hint="eastAsia" w:ascii="Times New Roman" w:hAnsi="Times New Roman" w:cs="Times New Roman"/>
                <w:color w:val="0000FF"/>
                <w:spacing w:val="-1"/>
                <w:sz w:val="24"/>
                <w:szCs w:val="24"/>
                <w:lang w:val="en-US" w:eastAsia="zh-CN"/>
              </w:rPr>
              <w:t>5</w:t>
            </w:r>
            <w:r>
              <w:rPr>
                <w:rFonts w:hint="default" w:ascii="Times New Roman" w:hAnsi="Times New Roman" w:eastAsia="宋体" w:cs="Times New Roman"/>
                <w:color w:val="0000FF"/>
                <w:spacing w:val="-1"/>
                <w:sz w:val="24"/>
                <w:szCs w:val="24"/>
              </w:rPr>
              <w:t>mg/m</w:t>
            </w:r>
            <w:r>
              <w:rPr>
                <w:rFonts w:hint="default" w:ascii="Times New Roman" w:hAnsi="Times New Roman" w:eastAsia="宋体" w:cs="Times New Roman"/>
                <w:color w:val="0000FF"/>
                <w:spacing w:val="-1"/>
                <w:sz w:val="24"/>
                <w:szCs w:val="24"/>
                <w:vertAlign w:val="superscript"/>
                <w:lang w:val="en-US" w:eastAsia="zh-CN"/>
              </w:rPr>
              <w:t>3</w:t>
            </w:r>
            <w:r>
              <w:rPr>
                <w:rFonts w:hint="eastAsia" w:eastAsia="宋体" w:cs="Times New Roman"/>
                <w:color w:val="0000FF"/>
                <w:spacing w:val="-1"/>
                <w:sz w:val="24"/>
                <w:szCs w:val="24"/>
                <w:vertAlign w:val="baseline"/>
                <w:lang w:val="en-US" w:eastAsia="zh-CN"/>
              </w:rPr>
              <w:t>，</w:t>
            </w:r>
            <w:r>
              <w:rPr>
                <w:rFonts w:hint="default" w:ascii="Times New Roman" w:hAnsi="Times New Roman" w:eastAsia="宋体" w:cs="Times New Roman"/>
                <w:color w:val="0000FF"/>
                <w:spacing w:val="-1"/>
                <w:sz w:val="24"/>
                <w:szCs w:val="24"/>
              </w:rPr>
              <w:t>排放浓度</w:t>
            </w:r>
            <w:r>
              <w:rPr>
                <w:rFonts w:hint="eastAsia" w:eastAsia="宋体" w:cs="Times New Roman"/>
                <w:color w:val="0000FF"/>
                <w:spacing w:val="-1"/>
                <w:sz w:val="24"/>
                <w:szCs w:val="24"/>
                <w:lang w:eastAsia="zh-CN"/>
              </w:rPr>
              <w:t>及速率</w:t>
            </w:r>
            <w:r>
              <w:rPr>
                <w:rFonts w:hint="default" w:ascii="Times New Roman" w:hAnsi="Times New Roman" w:eastAsia="宋体" w:cs="Times New Roman"/>
                <w:color w:val="0000FF"/>
                <w:spacing w:val="-1"/>
                <w:sz w:val="24"/>
                <w:szCs w:val="24"/>
              </w:rPr>
              <w:t>满足《大气污染物综合排放标准》(GB16297-1996</w:t>
            </w:r>
            <w:r>
              <w:rPr>
                <w:rFonts w:hint="eastAsia" w:ascii="Times New Roman" w:hAnsi="Times New Roman" w:cs="Times New Roman"/>
                <w:color w:val="0000FF"/>
                <w:spacing w:val="-1"/>
                <w:sz w:val="24"/>
                <w:szCs w:val="24"/>
                <w:lang w:eastAsia="zh-CN"/>
              </w:rPr>
              <w:t>）</w:t>
            </w:r>
            <w:r>
              <w:rPr>
                <w:rFonts w:hint="default" w:ascii="Times New Roman" w:hAnsi="Times New Roman" w:eastAsia="宋体" w:cs="Times New Roman"/>
                <w:color w:val="0000FF"/>
                <w:spacing w:val="-1"/>
                <w:sz w:val="24"/>
                <w:szCs w:val="24"/>
                <w:lang w:val="en-US" w:eastAsia="zh-CN"/>
              </w:rPr>
              <w:t>中</w:t>
            </w:r>
            <w:r>
              <w:rPr>
                <w:rFonts w:hint="default" w:ascii="Times New Roman" w:hAnsi="Times New Roman" w:eastAsia="宋体" w:cs="Times New Roman"/>
                <w:color w:val="0000FF"/>
                <w:spacing w:val="-1"/>
                <w:sz w:val="24"/>
                <w:szCs w:val="24"/>
              </w:rPr>
              <w:t>相应标准（非甲烷总烃</w:t>
            </w:r>
            <w:r>
              <w:rPr>
                <w:rFonts w:hint="eastAsia" w:eastAsia="宋体" w:cs="Times New Roman"/>
                <w:color w:val="0000FF"/>
                <w:spacing w:val="-1"/>
                <w:sz w:val="24"/>
                <w:szCs w:val="24"/>
                <w:lang w:eastAsia="zh-CN"/>
              </w:rPr>
              <w:t>：</w:t>
            </w:r>
            <w:r>
              <w:rPr>
                <w:rFonts w:hint="default" w:ascii="Times New Roman" w:hAnsi="Times New Roman" w:eastAsia="宋体" w:cs="Times New Roman"/>
                <w:color w:val="0000FF"/>
                <w:spacing w:val="-1"/>
                <w:sz w:val="24"/>
                <w:szCs w:val="24"/>
                <w:lang w:val="en-US" w:eastAsia="zh-CN"/>
              </w:rPr>
              <w:t>120</w:t>
            </w:r>
            <w:r>
              <w:rPr>
                <w:rFonts w:hint="default" w:ascii="Times New Roman" w:hAnsi="Times New Roman" w:eastAsia="宋体" w:cs="Times New Roman"/>
                <w:color w:val="0000FF"/>
                <w:spacing w:val="-1"/>
                <w:sz w:val="24"/>
                <w:szCs w:val="24"/>
              </w:rPr>
              <w:t>mg/m</w:t>
            </w:r>
            <w:r>
              <w:rPr>
                <w:rFonts w:hint="default" w:ascii="Times New Roman" w:hAnsi="Times New Roman" w:eastAsia="宋体" w:cs="Times New Roman"/>
                <w:color w:val="0000FF"/>
                <w:spacing w:val="-1"/>
                <w:sz w:val="24"/>
                <w:szCs w:val="24"/>
                <w:vertAlign w:val="superscript"/>
              </w:rPr>
              <w:t>3</w:t>
            </w:r>
            <w:r>
              <w:rPr>
                <w:rFonts w:hint="eastAsia" w:eastAsia="宋体" w:cs="Times New Roman"/>
                <w:color w:val="0000FF"/>
                <w:spacing w:val="-1"/>
                <w:sz w:val="24"/>
                <w:szCs w:val="24"/>
                <w:vertAlign w:val="baseline"/>
                <w:lang w:eastAsia="zh-CN"/>
              </w:rPr>
              <w:t>、</w:t>
            </w:r>
            <w:r>
              <w:rPr>
                <w:rFonts w:hint="eastAsia" w:cs="Times New Roman"/>
                <w:color w:val="0000FF"/>
                <w:sz w:val="24"/>
                <w:highlight w:val="none"/>
                <w:lang w:val="en-US" w:eastAsia="zh-CN"/>
              </w:rPr>
              <w:t>10</w:t>
            </w:r>
            <w:r>
              <w:rPr>
                <w:rFonts w:hint="default" w:ascii="Times New Roman" w:hAnsi="Times New Roman" w:eastAsia="宋体" w:cs="Times New Roman"/>
                <w:color w:val="0000FF"/>
                <w:sz w:val="24"/>
                <w:szCs w:val="24"/>
                <w:highlight w:val="none"/>
                <w:lang w:val="en-US" w:eastAsia="zh-CN"/>
              </w:rPr>
              <w:t>kg/h</w:t>
            </w:r>
            <w:r>
              <w:rPr>
                <w:rFonts w:hint="default" w:ascii="Times New Roman" w:hAnsi="Times New Roman" w:eastAsia="宋体" w:cs="Times New Roman"/>
                <w:color w:val="0000FF"/>
                <w:spacing w:val="-1"/>
                <w:sz w:val="24"/>
                <w:szCs w:val="24"/>
              </w:rPr>
              <w:t>）</w:t>
            </w:r>
            <w:r>
              <w:rPr>
                <w:rFonts w:hint="eastAsia" w:ascii="Times New Roman" w:hAnsi="Times New Roman" w:eastAsia="宋体" w:cs="Times New Roman"/>
                <w:color w:val="0000FF"/>
                <w:spacing w:val="-1"/>
                <w:sz w:val="24"/>
                <w:szCs w:val="24"/>
                <w:lang w:eastAsia="zh-CN"/>
              </w:rPr>
              <w:t>。</w:t>
            </w:r>
          </w:p>
          <w:p>
            <w:pPr>
              <w:spacing w:line="360" w:lineRule="auto"/>
              <w:ind w:firstLine="480" w:firstLineChars="200"/>
              <w:rPr>
                <w:rFonts w:hint="eastAsia" w:ascii="Times New Roman" w:hAnsi="Times New Roman" w:eastAsia="宋体" w:cs="Times New Roman"/>
                <w:color w:val="0000FF"/>
                <w:kern w:val="0"/>
                <w:sz w:val="24"/>
                <w:lang w:eastAsia="zh-CN" w:bidi="ar"/>
              </w:rPr>
            </w:pPr>
            <w:r>
              <w:rPr>
                <w:rFonts w:hint="eastAsia" w:ascii="Times New Roman" w:hAnsi="Times New Roman" w:eastAsia="宋体" w:cs="Times New Roman"/>
                <w:color w:val="0000FF"/>
                <w:kern w:val="0"/>
                <w:sz w:val="24"/>
                <w:lang w:val="en-US" w:eastAsia="zh-CN" w:bidi="ar"/>
              </w:rPr>
              <w:t>综上所述</w:t>
            </w:r>
            <w:r>
              <w:rPr>
                <w:rFonts w:hint="eastAsia" w:ascii="Times New Roman" w:hAnsi="Times New Roman" w:eastAsia="宋体" w:cs="Times New Roman"/>
                <w:color w:val="0000FF"/>
                <w:kern w:val="0"/>
                <w:sz w:val="24"/>
                <w:lang w:eastAsia="zh-CN" w:bidi="ar"/>
              </w:rPr>
              <w:t>，</w:t>
            </w:r>
            <w:r>
              <w:rPr>
                <w:rFonts w:hint="eastAsia" w:hAnsi="宋体" w:cs="宋体"/>
                <w:b w:val="0"/>
                <w:bCs w:val="0"/>
                <w:color w:val="0000FF"/>
                <w:sz w:val="24"/>
                <w:szCs w:val="24"/>
                <w:lang w:val="en-US" w:eastAsia="zh-CN"/>
              </w:rPr>
              <w:t>各污染物排放浓度均能达标排放，</w:t>
            </w:r>
            <w:r>
              <w:rPr>
                <w:rFonts w:hint="eastAsia" w:ascii="Times New Roman" w:hAnsi="Times New Roman" w:eastAsia="宋体" w:cs="Times New Roman"/>
                <w:color w:val="0000FF"/>
                <w:kern w:val="0"/>
                <w:sz w:val="24"/>
                <w:lang w:eastAsia="zh-CN" w:bidi="ar"/>
              </w:rPr>
              <w:t>本项目运营期对周围大气环境影响不大。</w:t>
            </w:r>
          </w:p>
          <w:p>
            <w:pPr>
              <w:pStyle w:val="4"/>
              <w:rPr>
                <w:b/>
                <w:bCs/>
                <w:color w:val="auto"/>
                <w:sz w:val="24"/>
              </w:rPr>
            </w:pPr>
            <w:r>
              <w:rPr>
                <w:b/>
                <w:bCs/>
                <w:color w:val="auto"/>
                <w:sz w:val="24"/>
              </w:rPr>
              <w:t>2.废水</w:t>
            </w:r>
          </w:p>
          <w:p>
            <w:pPr>
              <w:pStyle w:val="36"/>
              <w:spacing w:line="360" w:lineRule="auto"/>
              <w:ind w:firstLine="480" w:firstLineChars="200"/>
              <w:rPr>
                <w:rFonts w:ascii="宋体" w:hAnsi="宋体" w:eastAsia="宋体" w:cs="宋体"/>
                <w:sz w:val="24"/>
                <w:szCs w:val="24"/>
              </w:rPr>
            </w:pPr>
            <w:r>
              <w:rPr>
                <w:rFonts w:ascii="宋体" w:hAnsi="宋体" w:eastAsia="宋体" w:cs="宋体"/>
                <w:sz w:val="24"/>
                <w:szCs w:val="24"/>
              </w:rPr>
              <w:t>本项目运营期间</w:t>
            </w:r>
            <w:r>
              <w:rPr>
                <w:rFonts w:hint="eastAsia" w:ascii="宋体" w:hAnsi="宋体" w:eastAsia="宋体" w:cs="宋体"/>
                <w:sz w:val="24"/>
                <w:szCs w:val="24"/>
                <w:lang w:eastAsia="zh-CN"/>
              </w:rPr>
              <w:t>生产不用水，无生产废水产生</w:t>
            </w:r>
            <w:r>
              <w:rPr>
                <w:rFonts w:ascii="宋体" w:hAnsi="宋体" w:eastAsia="宋体" w:cs="宋体"/>
                <w:sz w:val="24"/>
                <w:szCs w:val="24"/>
              </w:rPr>
              <w:t>，项目不新增劳动定员，无新增生活污水产生。</w:t>
            </w:r>
          </w:p>
          <w:p>
            <w:pPr>
              <w:pStyle w:val="36"/>
              <w:spacing w:line="360" w:lineRule="auto"/>
              <w:ind w:firstLine="480" w:firstLineChars="200"/>
              <w:rPr>
                <w:rFonts w:hint="default" w:ascii="Times New Roman" w:hAnsi="宋体" w:eastAsia="宋体" w:cs="宋体"/>
                <w:b w:val="0"/>
                <w:bCs w:val="0"/>
                <w:color w:val="0000FF"/>
                <w:kern w:val="2"/>
                <w:sz w:val="24"/>
                <w:szCs w:val="24"/>
                <w:lang w:val="en-US" w:eastAsia="zh-CN" w:bidi="ar-SA"/>
              </w:rPr>
            </w:pPr>
            <w:r>
              <w:rPr>
                <w:rFonts w:hint="default" w:ascii="Times New Roman" w:hAnsi="宋体" w:eastAsia="宋体" w:cs="宋体"/>
                <w:b w:val="0"/>
                <w:bCs w:val="0"/>
                <w:color w:val="0000FF"/>
                <w:kern w:val="2"/>
                <w:sz w:val="24"/>
                <w:szCs w:val="24"/>
                <w:lang w:val="en-US" w:eastAsia="zh-CN" w:bidi="ar-SA"/>
              </w:rPr>
              <w:t>新疆双剑农机制造有限公司</w:t>
            </w:r>
            <w:r>
              <w:rPr>
                <w:rFonts w:hint="eastAsia" w:ascii="Times New Roman" w:hAnsi="宋体" w:eastAsia="宋体" w:cs="宋体"/>
                <w:b w:val="0"/>
                <w:bCs w:val="0"/>
                <w:color w:val="0000FF"/>
                <w:kern w:val="2"/>
                <w:sz w:val="24"/>
                <w:szCs w:val="24"/>
                <w:lang w:val="en-US" w:eastAsia="zh-CN" w:bidi="ar-SA"/>
              </w:rPr>
              <w:t>原有生产项目生产不用水，主要为生活污水，排放量为2550</w:t>
            </w:r>
            <w:r>
              <w:rPr>
                <w:rFonts w:hint="default" w:ascii="Times New Roman" w:hAnsi="宋体" w:eastAsia="宋体" w:cs="宋体"/>
                <w:b w:val="0"/>
                <w:bCs w:val="0"/>
                <w:color w:val="0000FF"/>
                <w:kern w:val="2"/>
                <w:sz w:val="24"/>
                <w:szCs w:val="24"/>
                <w:lang w:val="en-US" w:eastAsia="zh-CN" w:bidi="ar-SA"/>
              </w:rPr>
              <w:t>m</w:t>
            </w:r>
            <w:r>
              <w:rPr>
                <w:rFonts w:hint="default" w:ascii="Times New Roman" w:hAnsi="宋体" w:eastAsia="宋体" w:cs="宋体"/>
                <w:b w:val="0"/>
                <w:bCs w:val="0"/>
                <w:color w:val="0000FF"/>
                <w:kern w:val="2"/>
                <w:sz w:val="24"/>
                <w:szCs w:val="24"/>
                <w:vertAlign w:val="superscript"/>
                <w:lang w:val="en-US" w:eastAsia="zh-CN" w:bidi="ar-SA"/>
              </w:rPr>
              <w:t>3</w:t>
            </w:r>
            <w:r>
              <w:rPr>
                <w:rFonts w:hint="eastAsia" w:ascii="Times New Roman" w:hAnsi="宋体" w:eastAsia="宋体" w:cs="宋体"/>
                <w:b w:val="0"/>
                <w:bCs w:val="0"/>
                <w:color w:val="0000FF"/>
                <w:kern w:val="2"/>
                <w:sz w:val="24"/>
                <w:szCs w:val="24"/>
                <w:lang w:val="en-US" w:eastAsia="zh-CN" w:bidi="ar-SA"/>
              </w:rPr>
              <w:t>/a，排入城市污水管网，最终排入昌吉市第二污水处理厂。</w:t>
            </w:r>
          </w:p>
          <w:p>
            <w:pPr>
              <w:spacing w:line="360" w:lineRule="auto"/>
              <w:rPr>
                <w:b/>
                <w:bCs/>
                <w:color w:val="auto"/>
                <w:sz w:val="24"/>
              </w:rPr>
            </w:pPr>
            <w:r>
              <w:rPr>
                <w:b/>
                <w:bCs/>
                <w:color w:val="auto"/>
                <w:sz w:val="24"/>
              </w:rPr>
              <w:t>3.噪声</w:t>
            </w:r>
          </w:p>
          <w:p>
            <w:pPr>
              <w:autoSpaceDE w:val="0"/>
              <w:autoSpaceDN w:val="0"/>
              <w:spacing w:line="360" w:lineRule="auto"/>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3.1噪声源</w:t>
            </w:r>
          </w:p>
          <w:p>
            <w:pPr>
              <w:overflowPunct w:val="0"/>
              <w:adjustRightInd w:val="0"/>
              <w:snapToGrid w:val="0"/>
              <w:spacing w:line="360" w:lineRule="auto"/>
              <w:ind w:firstLine="480" w:firstLineChars="200"/>
              <w:rPr>
                <w:color w:val="000000" w:themeColor="text1"/>
                <w:sz w:val="24"/>
                <w14:textFill>
                  <w14:solidFill>
                    <w14:schemeClr w14:val="tx1"/>
                  </w14:solidFill>
                </w14:textFill>
              </w:rPr>
            </w:pPr>
            <w:r>
              <w:rPr>
                <w:rFonts w:ascii="Times New Roman" w:hAnsi="Times New Roman" w:eastAsia="宋体" w:cs="Times New Roman"/>
                <w:color w:val="000000" w:themeColor="text1"/>
                <w:kern w:val="2"/>
                <w:sz w:val="24"/>
                <w:szCs w:val="32"/>
                <w:lang w:val="en-US" w:eastAsia="zh-CN" w:bidi="ar-SA"/>
                <w14:textFill>
                  <w14:solidFill>
                    <w14:schemeClr w14:val="tx1"/>
                  </w14:solidFill>
                </w14:textFill>
              </w:rPr>
              <w:t>本项目的噪声源主要为</w:t>
            </w:r>
            <w:r>
              <w:rPr>
                <w:rFonts w:hint="eastAsia" w:cs="Times New Roman"/>
                <w:color w:val="000000" w:themeColor="text1"/>
                <w:kern w:val="2"/>
                <w:sz w:val="24"/>
                <w:szCs w:val="32"/>
                <w:lang w:val="en-US" w:eastAsia="zh-CN" w:bidi="ar-SA"/>
                <w14:textFill>
                  <w14:solidFill>
                    <w14:schemeClr w14:val="tx1"/>
                  </w14:solidFill>
                </w14:textFill>
              </w:rPr>
              <w:t>切割机、焊接机、抛丸机</w:t>
            </w:r>
            <w:r>
              <w:rPr>
                <w:rFonts w:ascii="Times New Roman" w:hAnsi="Times New Roman" w:eastAsia="宋体" w:cs="Times New Roman"/>
                <w:color w:val="000000" w:themeColor="text1"/>
                <w:kern w:val="2"/>
                <w:sz w:val="24"/>
                <w:szCs w:val="32"/>
                <w:lang w:val="en-US" w:eastAsia="zh-CN" w:bidi="ar-SA"/>
                <w14:textFill>
                  <w14:solidFill>
                    <w14:schemeClr w14:val="tx1"/>
                  </w14:solidFill>
                </w14:textFill>
              </w:rPr>
              <w:t>等，</w:t>
            </w:r>
            <w:r>
              <w:rPr>
                <w:color w:val="000000" w:themeColor="text1"/>
                <w:sz w:val="24"/>
                <w14:textFill>
                  <w14:solidFill>
                    <w14:schemeClr w14:val="tx1"/>
                  </w14:solidFill>
                </w14:textFill>
              </w:rPr>
              <w:t>主要噪声源强见表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autoSpaceDE w:val="0"/>
              <w:autoSpaceDN w:val="0"/>
              <w:adjustRightInd w:val="0"/>
              <w:snapToGrid w:val="0"/>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 xml:space="preserve">6  </w:t>
            </w:r>
            <w:r>
              <w:rPr>
                <w:rFonts w:ascii="宋体" w:hAnsi="宋体" w:eastAsia="宋体" w:cs="Times New Roman"/>
                <w:b/>
                <w:bCs/>
                <w:color w:val="000000" w:themeColor="text1"/>
                <w:sz w:val="21"/>
                <w:szCs w:val="21"/>
                <w:lang w:eastAsia="zh-CN"/>
                <w14:textFill>
                  <w14:solidFill>
                    <w14:schemeClr w14:val="tx1"/>
                  </w14:solidFill>
                </w14:textFill>
              </w:rPr>
              <w:t>工业企业噪声源强调查清单</w:t>
            </w:r>
          </w:p>
          <w:tbl>
            <w:tblPr>
              <w:tblStyle w:val="23"/>
              <w:tblW w:w="84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2"/>
              <w:gridCol w:w="735"/>
              <w:gridCol w:w="559"/>
              <w:gridCol w:w="327"/>
              <w:gridCol w:w="300"/>
              <w:gridCol w:w="355"/>
              <w:gridCol w:w="300"/>
              <w:gridCol w:w="368"/>
              <w:gridCol w:w="368"/>
              <w:gridCol w:w="382"/>
              <w:gridCol w:w="314"/>
              <w:gridCol w:w="286"/>
              <w:gridCol w:w="300"/>
              <w:gridCol w:w="300"/>
              <w:gridCol w:w="246"/>
              <w:gridCol w:w="313"/>
              <w:gridCol w:w="355"/>
              <w:gridCol w:w="300"/>
              <w:gridCol w:w="327"/>
              <w:gridCol w:w="273"/>
              <w:gridCol w:w="286"/>
              <w:gridCol w:w="273"/>
              <w:gridCol w:w="300"/>
              <w:gridCol w:w="300"/>
              <w:gridCol w:w="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exact"/>
                <w:jc w:val="center"/>
              </w:trPr>
              <w:tc>
                <w:tcPr>
                  <w:tcW w:w="3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bookmarkStart w:id="2" w:name="PT_6"/>
                  <w:r>
                    <w:rPr>
                      <w:rFonts w:ascii="Times New Roman" w:hAnsi="Times New Roman" w:eastAsia="宋体" w:cs="Times New Roman"/>
                      <w:b/>
                      <w:color w:val="000000" w:themeColor="text1"/>
                      <w:sz w:val="18"/>
                      <w:szCs w:val="18"/>
                      <w14:textFill>
                        <w14:solidFill>
                          <w14:schemeClr w14:val="tx1"/>
                        </w14:solidFill>
                      </w14:textFill>
                    </w:rPr>
                    <w:t>序号</w:t>
                  </w:r>
                </w:p>
              </w:tc>
              <w:tc>
                <w:tcPr>
                  <w:tcW w:w="7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声源名称</w:t>
                  </w:r>
                </w:p>
              </w:tc>
              <w:tc>
                <w:tcPr>
                  <w:tcW w:w="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lang w:eastAsia="zh-CN"/>
                      <w14:textFill>
                        <w14:solidFill>
                          <w14:schemeClr w14:val="tx1"/>
                        </w14:solidFill>
                      </w14:textFill>
                    </w:rPr>
                  </w:pPr>
                  <w:r>
                    <w:rPr>
                      <w:rFonts w:ascii="Times New Roman" w:hAnsi="Times New Roman" w:eastAsia="宋体" w:cs="Times New Roman"/>
                      <w:b/>
                      <w:color w:val="000000" w:themeColor="text1"/>
                      <w:sz w:val="18"/>
                      <w:szCs w:val="18"/>
                      <w:lang w:eastAsia="zh-CN"/>
                      <w14:textFill>
                        <w14:solidFill>
                          <w14:schemeClr w14:val="tx1"/>
                        </w14:solidFill>
                      </w14:textFill>
                    </w:rPr>
                    <w:t>声</w:t>
                  </w:r>
                  <w:r>
                    <w:rPr>
                      <w:rFonts w:hint="eastAsia" w:ascii="Times New Roman" w:hAnsi="Times New Roman" w:eastAsia="宋体" w:cs="Times New Roman"/>
                      <w:b/>
                      <w:color w:val="000000" w:themeColor="text1"/>
                      <w:sz w:val="18"/>
                      <w:szCs w:val="18"/>
                      <w:lang w:eastAsia="zh-CN"/>
                      <w14:textFill>
                        <w14:solidFill>
                          <w14:schemeClr w14:val="tx1"/>
                        </w14:solidFill>
                      </w14:textFill>
                    </w:rPr>
                    <w:t>源源</w:t>
                  </w:r>
                  <w:r>
                    <w:rPr>
                      <w:rFonts w:ascii="Times New Roman" w:hAnsi="Times New Roman" w:eastAsia="宋体" w:cs="Times New Roman"/>
                      <w:b/>
                      <w:color w:val="000000" w:themeColor="text1"/>
                      <w:sz w:val="18"/>
                      <w:szCs w:val="18"/>
                      <w:lang w:eastAsia="zh-CN"/>
                      <w14:textFill>
                        <w14:solidFill>
                          <w14:schemeClr w14:val="tx1"/>
                        </w14:solidFill>
                      </w14:textFill>
                    </w:rPr>
                    <w:t>强</w:t>
                  </w:r>
                </w:p>
              </w:tc>
              <w:tc>
                <w:tcPr>
                  <w:tcW w:w="32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声源控制措施</w:t>
                  </w:r>
                </w:p>
              </w:tc>
              <w:tc>
                <w:tcPr>
                  <w:tcW w:w="95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空间相对位置/m</w:t>
                  </w:r>
                </w:p>
              </w:tc>
              <w:tc>
                <w:tcPr>
                  <w:tcW w:w="143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距室内边界距离/m</w:t>
                  </w:r>
                </w:p>
              </w:tc>
              <w:tc>
                <w:tcPr>
                  <w:tcW w:w="113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室内边界声级/dB(A)</w:t>
                  </w:r>
                </w:p>
              </w:tc>
              <w:tc>
                <w:tcPr>
                  <w:tcW w:w="3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运行时段</w:t>
                  </w:r>
                </w:p>
              </w:tc>
              <w:tc>
                <w:tcPr>
                  <w:tcW w:w="125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建筑物插入损失 / dB(A)</w:t>
                  </w:r>
                  <w:bookmarkStart w:id="3" w:name="PT_10"/>
                  <w:bookmarkEnd w:id="3"/>
                </w:p>
              </w:tc>
              <w:tc>
                <w:tcPr>
                  <w:tcW w:w="1391"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b/>
                      <w:bCs w:val="0"/>
                      <w:color w:val="000000" w:themeColor="text1"/>
                      <w:sz w:val="18"/>
                      <w:szCs w:val="18"/>
                      <w14:textFill>
                        <w14:solidFill>
                          <w14:schemeClr w14:val="tx1"/>
                        </w14:solidFill>
                      </w14:textFill>
                    </w:rPr>
                  </w:pPr>
                  <w:r>
                    <w:rPr>
                      <w:rFonts w:ascii="Times New Roman" w:hAnsi="Times New Roman" w:eastAsia="宋体" w:cs="Times New Roman"/>
                      <w:b/>
                      <w:bCs w:val="0"/>
                      <w:color w:val="000000" w:themeColor="text1"/>
                      <w:sz w:val="18"/>
                      <w:szCs w:val="18"/>
                      <w14:textFill>
                        <w14:solidFill>
                          <w14:schemeClr w14:val="tx1"/>
                        </w14:solidFill>
                      </w14:textFill>
                    </w:rPr>
                    <w:t>建筑物外噪声声压级/dB(A)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12"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735"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p>
              </w:tc>
              <w:tc>
                <w:tcPr>
                  <w:tcW w:w="55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声功率级/dB(A)</w:t>
                  </w:r>
                </w:p>
              </w:tc>
              <w:tc>
                <w:tcPr>
                  <w:tcW w:w="32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X</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Y</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Z</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38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24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313"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32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23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1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p>
              </w:tc>
              <w:tc>
                <w:tcPr>
                  <w:tcW w:w="73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激光切割机</w:t>
                  </w:r>
                </w:p>
              </w:tc>
              <w:tc>
                <w:tcPr>
                  <w:tcW w:w="55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7</w:t>
                  </w:r>
                  <w:r>
                    <w:rPr>
                      <w:rFonts w:ascii="Arial" w:hAnsi="Arial" w:eastAsia="Arial" w:cs="Arial"/>
                      <w:color w:val="000000" w:themeColor="text1"/>
                      <w:sz w:val="18"/>
                      <w:szCs w:val="18"/>
                      <w14:textFill>
                        <w14:solidFill>
                          <w14:schemeClr w14:val="tx1"/>
                        </w14:solidFill>
                      </w14:textFill>
                    </w:rPr>
                    <w:t>5</w:t>
                  </w:r>
                </w:p>
              </w:tc>
              <w:tc>
                <w:tcPr>
                  <w:tcW w:w="327" w:type="dxa"/>
                  <w:vMerge w:val="restar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减震、隔声、选用低噪声的设备</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41.5</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13.8</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110</w:t>
                  </w:r>
                  <w:r>
                    <w:rPr>
                      <w:rFonts w:hint="eastAsia" w:ascii="Arial" w:hAnsi="Arial" w:eastAsia="Arial" w:cs="Arial"/>
                      <w:color w:val="000000" w:themeColor="text1"/>
                      <w:sz w:val="18"/>
                      <w:szCs w:val="18"/>
                      <w:lang w:val="en-US" w:eastAsia="zh-CN"/>
                      <w14:textFill>
                        <w14:solidFill>
                          <w14:schemeClr w14:val="tx1"/>
                        </w14:solidFill>
                      </w14:textFill>
                    </w:rPr>
                    <w:t>.6</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85</w:t>
                  </w:r>
                  <w:r>
                    <w:rPr>
                      <w:rFonts w:hint="eastAsia" w:ascii="Arial" w:hAnsi="Arial" w:eastAsia="Arial" w:cs="Arial"/>
                      <w:color w:val="000000" w:themeColor="text1"/>
                      <w:sz w:val="18"/>
                      <w:szCs w:val="18"/>
                      <w:lang w:val="en-US" w:eastAsia="zh-CN"/>
                      <w14:textFill>
                        <w14:solidFill>
                          <w14:schemeClr w14:val="tx1"/>
                        </w14:solidFill>
                      </w14:textFill>
                    </w:rPr>
                    <w:t>.3</w:t>
                  </w:r>
                </w:p>
              </w:tc>
              <w:tc>
                <w:tcPr>
                  <w:tcW w:w="38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81</w:t>
                  </w:r>
                  <w:r>
                    <w:rPr>
                      <w:rFonts w:hint="eastAsia" w:ascii="Arial" w:hAnsi="Arial" w:eastAsia="Arial" w:cs="Arial"/>
                      <w:color w:val="000000" w:themeColor="text1"/>
                      <w:sz w:val="18"/>
                      <w:szCs w:val="18"/>
                      <w:lang w:val="en-US" w:eastAsia="zh-CN"/>
                      <w14:textFill>
                        <w14:solidFill>
                          <w14:schemeClr w14:val="tx1"/>
                        </w14:solidFill>
                      </w14:textFill>
                    </w:rPr>
                    <w:t>.4</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85</w:t>
                  </w:r>
                  <w:r>
                    <w:rPr>
                      <w:rFonts w:hint="eastAsia" w:ascii="Arial" w:hAnsi="Arial" w:eastAsia="Arial" w:cs="Arial"/>
                      <w:color w:val="000000" w:themeColor="text1"/>
                      <w:sz w:val="18"/>
                      <w:szCs w:val="18"/>
                      <w:lang w:val="en-US" w:eastAsia="zh-CN"/>
                      <w14:textFill>
                        <w14:solidFill>
                          <w14:schemeClr w14:val="tx1"/>
                        </w14:solidFill>
                      </w14:textFill>
                    </w:rPr>
                    <w:t>.3</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24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13" w:type="dxa"/>
                  <w:vMerge w:val="restar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昼间</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2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3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31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w:t>
                  </w:r>
                </w:p>
              </w:tc>
              <w:tc>
                <w:tcPr>
                  <w:tcW w:w="73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数控等离子/火焰切割机</w:t>
                  </w:r>
                </w:p>
              </w:tc>
              <w:tc>
                <w:tcPr>
                  <w:tcW w:w="55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7</w:t>
                  </w:r>
                  <w:r>
                    <w:rPr>
                      <w:rFonts w:ascii="Arial" w:hAnsi="Arial" w:eastAsia="Arial" w:cs="Arial"/>
                      <w:color w:val="000000" w:themeColor="text1"/>
                      <w:sz w:val="18"/>
                      <w:szCs w:val="18"/>
                      <w14:textFill>
                        <w14:solidFill>
                          <w14:schemeClr w14:val="tx1"/>
                        </w14:solidFill>
                      </w14:textFill>
                    </w:rPr>
                    <w:t>5</w:t>
                  </w:r>
                </w:p>
              </w:tc>
              <w:tc>
                <w:tcPr>
                  <w:tcW w:w="32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70.6</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-0.8</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112</w:t>
                  </w:r>
                  <w:r>
                    <w:rPr>
                      <w:rFonts w:hint="eastAsia" w:ascii="Arial" w:hAnsi="Arial" w:eastAsia="Arial" w:cs="Arial"/>
                      <w:color w:val="000000" w:themeColor="text1"/>
                      <w:sz w:val="18"/>
                      <w:szCs w:val="18"/>
                      <w:lang w:val="en-US" w:eastAsia="zh-CN"/>
                      <w14:textFill>
                        <w14:solidFill>
                          <w14:schemeClr w14:val="tx1"/>
                        </w14:solidFill>
                      </w14:textFill>
                    </w:rPr>
                    <w:t>.3</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88</w:t>
                  </w:r>
                  <w:r>
                    <w:rPr>
                      <w:rFonts w:hint="eastAsia" w:ascii="Arial" w:hAnsi="Arial" w:eastAsia="Arial" w:cs="Arial"/>
                      <w:color w:val="000000" w:themeColor="text1"/>
                      <w:sz w:val="18"/>
                      <w:szCs w:val="18"/>
                      <w:lang w:val="en-US" w:eastAsia="zh-CN"/>
                      <w14:textFill>
                        <w14:solidFill>
                          <w14:schemeClr w14:val="tx1"/>
                        </w14:solidFill>
                      </w14:textFill>
                    </w:rPr>
                    <w:t>.1</w:t>
                  </w:r>
                </w:p>
              </w:tc>
              <w:tc>
                <w:tcPr>
                  <w:tcW w:w="38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82</w:t>
                  </w:r>
                  <w:r>
                    <w:rPr>
                      <w:rFonts w:hint="eastAsia" w:ascii="Arial" w:hAnsi="Arial" w:eastAsia="Arial" w:cs="Arial"/>
                      <w:color w:val="000000" w:themeColor="text1"/>
                      <w:sz w:val="18"/>
                      <w:szCs w:val="18"/>
                      <w:lang w:val="en-US" w:eastAsia="zh-CN"/>
                      <w14:textFill>
                        <w14:solidFill>
                          <w14:schemeClr w14:val="tx1"/>
                        </w14:solidFill>
                      </w14:textFill>
                    </w:rPr>
                    <w:t>.5</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84</w:t>
                  </w:r>
                  <w:r>
                    <w:rPr>
                      <w:rFonts w:hint="eastAsia" w:ascii="Arial" w:hAnsi="Arial" w:eastAsia="Arial" w:cs="Arial"/>
                      <w:color w:val="000000" w:themeColor="text1"/>
                      <w:sz w:val="18"/>
                      <w:szCs w:val="18"/>
                      <w:lang w:val="en-US" w:eastAsia="zh-CN"/>
                      <w14:textFill>
                        <w14:solidFill>
                          <w14:schemeClr w14:val="tx1"/>
                        </w14:solidFill>
                      </w14:textFill>
                    </w:rPr>
                    <w:t>.2</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24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313"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2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23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1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w:t>
                  </w:r>
                </w:p>
              </w:tc>
              <w:tc>
                <w:tcPr>
                  <w:tcW w:w="73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摇臂钻</w:t>
                  </w:r>
                </w:p>
              </w:tc>
              <w:tc>
                <w:tcPr>
                  <w:tcW w:w="55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eastAsia="宋体"/>
                      <w:color w:val="000000" w:themeColor="text1"/>
                      <w:sz w:val="18"/>
                      <w:szCs w:val="18"/>
                      <w:lang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7</w:t>
                  </w:r>
                  <w:r>
                    <w:rPr>
                      <w:rFonts w:ascii="Arial" w:hAnsi="Arial" w:eastAsia="Arial" w:cs="Arial"/>
                      <w:color w:val="000000" w:themeColor="text1"/>
                      <w:sz w:val="18"/>
                      <w:szCs w:val="18"/>
                      <w14:textFill>
                        <w14:solidFill>
                          <w14:schemeClr w14:val="tx1"/>
                        </w14:solidFill>
                      </w14:textFill>
                    </w:rPr>
                    <w:t>5</w:t>
                  </w:r>
                </w:p>
              </w:tc>
              <w:tc>
                <w:tcPr>
                  <w:tcW w:w="32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41.5</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13.8</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107</w:t>
                  </w:r>
                  <w:r>
                    <w:rPr>
                      <w:rFonts w:hint="eastAsia" w:ascii="Arial" w:hAnsi="Arial" w:eastAsia="Arial" w:cs="Arial"/>
                      <w:color w:val="000000" w:themeColor="text1"/>
                      <w:sz w:val="18"/>
                      <w:szCs w:val="18"/>
                      <w:lang w:val="en-US" w:eastAsia="zh-CN"/>
                      <w14:textFill>
                        <w14:solidFill>
                          <w14:schemeClr w14:val="tx1"/>
                        </w14:solidFill>
                      </w14:textFill>
                    </w:rPr>
                    <w:t>.5</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85</w:t>
                  </w:r>
                  <w:r>
                    <w:rPr>
                      <w:rFonts w:hint="eastAsia" w:ascii="Arial" w:hAnsi="Arial" w:eastAsia="Arial" w:cs="Arial"/>
                      <w:color w:val="000000" w:themeColor="text1"/>
                      <w:sz w:val="18"/>
                      <w:szCs w:val="18"/>
                      <w:lang w:val="en-US" w:eastAsia="zh-CN"/>
                      <w14:textFill>
                        <w14:solidFill>
                          <w14:schemeClr w14:val="tx1"/>
                        </w14:solidFill>
                      </w14:textFill>
                    </w:rPr>
                    <w:t>.3</w:t>
                  </w:r>
                </w:p>
              </w:tc>
              <w:tc>
                <w:tcPr>
                  <w:tcW w:w="38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78</w:t>
                  </w:r>
                  <w:r>
                    <w:rPr>
                      <w:rFonts w:hint="eastAsia" w:ascii="Arial" w:hAnsi="Arial" w:eastAsia="Arial" w:cs="Arial"/>
                      <w:color w:val="000000" w:themeColor="text1"/>
                      <w:sz w:val="18"/>
                      <w:szCs w:val="18"/>
                      <w:lang w:val="en-US" w:eastAsia="zh-CN"/>
                      <w14:textFill>
                        <w14:solidFill>
                          <w14:schemeClr w14:val="tx1"/>
                        </w14:solidFill>
                      </w14:textFill>
                    </w:rPr>
                    <w:t>.7</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78</w:t>
                  </w:r>
                  <w:r>
                    <w:rPr>
                      <w:rFonts w:hint="eastAsia" w:ascii="Arial" w:hAnsi="Arial" w:eastAsia="Arial" w:cs="Arial"/>
                      <w:color w:val="000000" w:themeColor="text1"/>
                      <w:sz w:val="18"/>
                      <w:szCs w:val="18"/>
                      <w:lang w:val="en-US" w:eastAsia="zh-CN"/>
                      <w14:textFill>
                        <w14:solidFill>
                          <w14:schemeClr w14:val="tx1"/>
                        </w14:solidFill>
                      </w14:textFill>
                    </w:rPr>
                    <w:t>.7</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24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13"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2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3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1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w:t>
                  </w:r>
                </w:p>
              </w:tc>
              <w:tc>
                <w:tcPr>
                  <w:tcW w:w="73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二保焊接机</w:t>
                  </w:r>
                </w:p>
              </w:tc>
              <w:tc>
                <w:tcPr>
                  <w:tcW w:w="55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eastAsia="宋体"/>
                      <w:color w:val="000000" w:themeColor="text1"/>
                      <w:sz w:val="18"/>
                      <w:szCs w:val="18"/>
                      <w:lang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7</w:t>
                  </w:r>
                  <w:r>
                    <w:rPr>
                      <w:rFonts w:ascii="Arial" w:hAnsi="Arial" w:eastAsia="Arial" w:cs="Arial"/>
                      <w:color w:val="000000" w:themeColor="text1"/>
                      <w:sz w:val="18"/>
                      <w:szCs w:val="18"/>
                      <w14:textFill>
                        <w14:solidFill>
                          <w14:schemeClr w14:val="tx1"/>
                        </w14:solidFill>
                      </w14:textFill>
                    </w:rPr>
                    <w:t>5</w:t>
                  </w:r>
                </w:p>
              </w:tc>
              <w:tc>
                <w:tcPr>
                  <w:tcW w:w="32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70.6</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-0.8</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107</w:t>
                  </w:r>
                  <w:r>
                    <w:rPr>
                      <w:rFonts w:hint="eastAsia" w:ascii="Arial" w:hAnsi="Arial" w:eastAsia="Arial" w:cs="Arial"/>
                      <w:color w:val="000000" w:themeColor="text1"/>
                      <w:sz w:val="18"/>
                      <w:szCs w:val="18"/>
                      <w:lang w:val="en-US" w:eastAsia="zh-CN"/>
                      <w14:textFill>
                        <w14:solidFill>
                          <w14:schemeClr w14:val="tx1"/>
                        </w14:solidFill>
                      </w14:textFill>
                    </w:rPr>
                    <w:t>.5</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85</w:t>
                  </w:r>
                  <w:r>
                    <w:rPr>
                      <w:rFonts w:hint="eastAsia" w:ascii="Arial" w:hAnsi="Arial" w:eastAsia="Arial" w:cs="Arial"/>
                      <w:color w:val="000000" w:themeColor="text1"/>
                      <w:sz w:val="18"/>
                      <w:szCs w:val="18"/>
                      <w:lang w:val="en-US" w:eastAsia="zh-CN"/>
                      <w14:textFill>
                        <w14:solidFill>
                          <w14:schemeClr w14:val="tx1"/>
                        </w14:solidFill>
                      </w14:textFill>
                    </w:rPr>
                    <w:t>.3</w:t>
                  </w:r>
                </w:p>
              </w:tc>
              <w:tc>
                <w:tcPr>
                  <w:tcW w:w="38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78</w:t>
                  </w:r>
                  <w:r>
                    <w:rPr>
                      <w:rFonts w:hint="eastAsia" w:ascii="Arial" w:hAnsi="Arial" w:eastAsia="Arial" w:cs="Arial"/>
                      <w:color w:val="000000" w:themeColor="text1"/>
                      <w:sz w:val="18"/>
                      <w:szCs w:val="18"/>
                      <w:lang w:val="en-US" w:eastAsia="zh-CN"/>
                      <w14:textFill>
                        <w14:solidFill>
                          <w14:schemeClr w14:val="tx1"/>
                        </w14:solidFill>
                      </w14:textFill>
                    </w:rPr>
                    <w:t>.7</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78</w:t>
                  </w:r>
                  <w:r>
                    <w:rPr>
                      <w:rFonts w:hint="eastAsia" w:ascii="Arial" w:hAnsi="Arial" w:eastAsia="Arial" w:cs="Arial"/>
                      <w:color w:val="000000" w:themeColor="text1"/>
                      <w:sz w:val="18"/>
                      <w:szCs w:val="18"/>
                      <w:lang w:val="en-US" w:eastAsia="zh-CN"/>
                      <w14:textFill>
                        <w14:solidFill>
                          <w14:schemeClr w14:val="tx1"/>
                        </w14:solidFill>
                      </w14:textFill>
                    </w:rPr>
                    <w:t>.7</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24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13"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2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3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1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w:t>
                  </w:r>
                </w:p>
              </w:tc>
              <w:tc>
                <w:tcPr>
                  <w:tcW w:w="73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抛丸机</w:t>
                  </w:r>
                </w:p>
              </w:tc>
              <w:tc>
                <w:tcPr>
                  <w:tcW w:w="55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75</w:t>
                  </w:r>
                </w:p>
              </w:tc>
              <w:tc>
                <w:tcPr>
                  <w:tcW w:w="32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97.2</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107</w:t>
                  </w:r>
                  <w:r>
                    <w:rPr>
                      <w:rFonts w:hint="eastAsia" w:ascii="Arial" w:hAnsi="Arial" w:eastAsia="Arial" w:cs="Arial"/>
                      <w:color w:val="000000" w:themeColor="text1"/>
                      <w:sz w:val="18"/>
                      <w:szCs w:val="18"/>
                      <w:lang w:val="en-US" w:eastAsia="zh-CN"/>
                      <w14:textFill>
                        <w14:solidFill>
                          <w14:schemeClr w14:val="tx1"/>
                        </w14:solidFill>
                      </w14:textFill>
                    </w:rPr>
                    <w:t>.5</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Arial" w:hAnsi="Arial" w:eastAsia="Arial" w:cs="Arial"/>
                      <w:color w:val="000000" w:themeColor="text1"/>
                      <w:sz w:val="18"/>
                      <w:szCs w:val="18"/>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86</w:t>
                  </w:r>
                </w:p>
              </w:tc>
              <w:tc>
                <w:tcPr>
                  <w:tcW w:w="38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78</w:t>
                  </w:r>
                  <w:r>
                    <w:rPr>
                      <w:rFonts w:hint="eastAsia" w:ascii="Arial" w:hAnsi="Arial" w:eastAsia="Arial" w:cs="Arial"/>
                      <w:color w:val="000000" w:themeColor="text1"/>
                      <w:sz w:val="18"/>
                      <w:szCs w:val="18"/>
                      <w:lang w:val="en-US" w:eastAsia="zh-CN"/>
                      <w14:textFill>
                        <w14:solidFill>
                          <w14:schemeClr w14:val="tx1"/>
                        </w14:solidFill>
                      </w14:textFill>
                    </w:rPr>
                    <w:t>.7</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Arial" w:hAnsi="Arial" w:eastAsia="Arial" w:cs="Arial"/>
                      <w:color w:val="000000" w:themeColor="text1"/>
                      <w:sz w:val="18"/>
                      <w:szCs w:val="18"/>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76</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24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59.2</w:t>
                  </w:r>
                </w:p>
              </w:tc>
              <w:tc>
                <w:tcPr>
                  <w:tcW w:w="313"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2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18.2</w:t>
                  </w:r>
                </w:p>
              </w:tc>
              <w:tc>
                <w:tcPr>
                  <w:tcW w:w="23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1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w:t>
                  </w:r>
                </w:p>
              </w:tc>
              <w:tc>
                <w:tcPr>
                  <w:tcW w:w="73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t>喷塑烘干</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设备</w:t>
                  </w:r>
                </w:p>
              </w:tc>
              <w:tc>
                <w:tcPr>
                  <w:tcW w:w="55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75</w:t>
                  </w:r>
                </w:p>
              </w:tc>
              <w:tc>
                <w:tcPr>
                  <w:tcW w:w="32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97.2</w:t>
                  </w: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114</w:t>
                  </w:r>
                  <w:r>
                    <w:rPr>
                      <w:rFonts w:hint="eastAsia" w:ascii="Arial" w:hAnsi="Arial" w:eastAsia="Arial" w:cs="Arial"/>
                      <w:color w:val="000000" w:themeColor="text1"/>
                      <w:sz w:val="18"/>
                      <w:szCs w:val="18"/>
                      <w:lang w:val="en-US" w:eastAsia="zh-CN"/>
                      <w14:textFill>
                        <w14:solidFill>
                          <w14:schemeClr w14:val="tx1"/>
                        </w14:solidFill>
                      </w14:textFill>
                    </w:rPr>
                    <w:t>.1</w:t>
                  </w:r>
                </w:p>
              </w:tc>
              <w:tc>
                <w:tcPr>
                  <w:tcW w:w="36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Arial" w:hAnsi="Arial" w:eastAsia="Arial" w:cs="Arial"/>
                      <w:color w:val="000000" w:themeColor="text1"/>
                      <w:sz w:val="18"/>
                      <w:szCs w:val="18"/>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93</w:t>
                  </w:r>
                </w:p>
              </w:tc>
              <w:tc>
                <w:tcPr>
                  <w:tcW w:w="38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Arial" w:hAnsi="Arial" w:eastAsia="Arial" w:cs="Arial"/>
                      <w:color w:val="000000" w:themeColor="text1"/>
                      <w:sz w:val="18"/>
                      <w:szCs w:val="18"/>
                      <w:lang w:val="en-US"/>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87</w:t>
                  </w:r>
                  <w:r>
                    <w:rPr>
                      <w:rFonts w:hint="eastAsia" w:ascii="Arial" w:hAnsi="Arial" w:eastAsia="Arial" w:cs="Arial"/>
                      <w:color w:val="000000" w:themeColor="text1"/>
                      <w:sz w:val="18"/>
                      <w:szCs w:val="18"/>
                      <w:lang w:val="en-US" w:eastAsia="zh-CN"/>
                      <w14:textFill>
                        <w14:solidFill>
                          <w14:schemeClr w14:val="tx1"/>
                        </w14:solidFill>
                      </w14:textFill>
                    </w:rPr>
                    <w:t>.1</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Arial" w:hAnsi="Arial" w:eastAsia="Arial" w:cs="Arial"/>
                      <w:color w:val="000000" w:themeColor="text1"/>
                      <w:sz w:val="18"/>
                      <w:szCs w:val="18"/>
                      <w14:textFill>
                        <w14:solidFill>
                          <w14:schemeClr w14:val="tx1"/>
                        </w14:solidFill>
                      </w14:textFill>
                    </w:rPr>
                  </w:pPr>
                  <w:r>
                    <w:rPr>
                      <w:rFonts w:hint="default" w:ascii="Arial" w:hAnsi="Arial" w:eastAsia="Arial" w:cs="Arial"/>
                      <w:color w:val="000000" w:themeColor="text1"/>
                      <w:sz w:val="18"/>
                      <w:szCs w:val="18"/>
                      <w:lang w:val="en-US" w:eastAsia="zh-CN"/>
                      <w14:textFill>
                        <w14:solidFill>
                          <w14:schemeClr w14:val="tx1"/>
                        </w14:solidFill>
                      </w14:textFill>
                    </w:rPr>
                    <w:t>89</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24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64.2</w:t>
                  </w:r>
                </w:p>
              </w:tc>
              <w:tc>
                <w:tcPr>
                  <w:tcW w:w="313"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p>
              </w:tc>
              <w:tc>
                <w:tcPr>
                  <w:tcW w:w="355"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32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41.0</w:t>
                  </w:r>
                </w:p>
              </w:tc>
              <w:tc>
                <w:tcPr>
                  <w:tcW w:w="28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27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30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23.2</w:t>
                  </w:r>
                </w:p>
              </w:tc>
              <w:tc>
                <w:tcPr>
                  <w:tcW w:w="23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p>
              </w:tc>
            </w:tr>
            <w:bookmarkEnd w:id="2"/>
          </w:tbl>
          <w:p>
            <w:pPr>
              <w:spacing w:line="360" w:lineRule="auto"/>
              <w:rPr>
                <w:b/>
                <w:bCs/>
                <w:color w:val="auto"/>
                <w:sz w:val="24"/>
              </w:rPr>
            </w:pPr>
            <w:r>
              <w:rPr>
                <w:b/>
                <w:bCs/>
                <w:color w:val="auto"/>
                <w:sz w:val="24"/>
              </w:rPr>
              <w:t>3.2预测方法</w:t>
            </w:r>
          </w:p>
          <w:p>
            <w:pPr>
              <w:spacing w:line="360" w:lineRule="auto"/>
              <w:ind w:firstLine="480" w:firstLineChars="200"/>
              <w:rPr>
                <w:color w:val="auto"/>
                <w:sz w:val="24"/>
              </w:rPr>
            </w:pPr>
            <w:r>
              <w:rPr>
                <w:color w:val="auto"/>
                <w:sz w:val="24"/>
              </w:rPr>
              <w:t>噪声源布置较为集中，其对厂界外的声环境影响采取《环境影响评价技术导则 声环境》（HJ2.4-20</w:t>
            </w:r>
            <w:r>
              <w:rPr>
                <w:rFonts w:hint="eastAsia"/>
                <w:color w:val="auto"/>
                <w:sz w:val="24"/>
                <w:lang w:val="en-US" w:eastAsia="zh-CN"/>
              </w:rPr>
              <w:t>21</w:t>
            </w:r>
            <w:r>
              <w:rPr>
                <w:color w:val="auto"/>
                <w:sz w:val="24"/>
              </w:rPr>
              <w:t>）中的噪声预测模式。由于在声波传播的过程中，通过距离衰减、空气吸收衰减到达厂界外，故实际衰减量要低于其预测衰减量，即实际噪声值将略低于其预测值。</w:t>
            </w:r>
          </w:p>
          <w:p>
            <w:pPr>
              <w:spacing w:line="360" w:lineRule="auto"/>
              <w:rPr>
                <w:b/>
                <w:bCs/>
                <w:color w:val="auto"/>
                <w:sz w:val="24"/>
              </w:rPr>
            </w:pPr>
            <w:r>
              <w:rPr>
                <w:b/>
                <w:bCs/>
                <w:color w:val="auto"/>
                <w:sz w:val="24"/>
              </w:rPr>
              <w:t>3.3噪声排放标准</w:t>
            </w:r>
          </w:p>
          <w:p>
            <w:pPr>
              <w:spacing w:line="360" w:lineRule="auto"/>
              <w:ind w:firstLine="480" w:firstLineChars="200"/>
              <w:rPr>
                <w:color w:val="auto"/>
                <w:sz w:val="24"/>
              </w:rPr>
            </w:pPr>
            <w:r>
              <w:rPr>
                <w:color w:val="auto"/>
                <w:sz w:val="24"/>
              </w:rPr>
              <w:t>厂界噪声标准采用《工业企业厂界环境噪声排放标准》（GB12348-2008）中的</w:t>
            </w:r>
            <w:r>
              <w:rPr>
                <w:rFonts w:hint="eastAsia"/>
                <w:color w:val="auto"/>
                <w:sz w:val="24"/>
                <w:lang w:val="en-US" w:eastAsia="zh-CN"/>
              </w:rPr>
              <w:t>3</w:t>
            </w:r>
            <w:r>
              <w:rPr>
                <w:color w:val="auto"/>
                <w:sz w:val="24"/>
              </w:rPr>
              <w:t>类标准，其标准值见表4-</w:t>
            </w:r>
            <w:r>
              <w:rPr>
                <w:rFonts w:hint="eastAsia"/>
                <w:color w:val="auto"/>
                <w:sz w:val="24"/>
                <w:lang w:val="en-US" w:eastAsia="zh-CN"/>
              </w:rPr>
              <w:t>7</w:t>
            </w:r>
            <w:r>
              <w:rPr>
                <w:color w:val="auto"/>
                <w:sz w:val="24"/>
              </w:rPr>
              <w:t>。</w:t>
            </w:r>
          </w:p>
          <w:p>
            <w:pPr>
              <w:autoSpaceDE w:val="0"/>
              <w:autoSpaceDN w:val="0"/>
              <w:adjustRightInd w:val="0"/>
              <w:snapToGrid w:val="0"/>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表4-</w:t>
            </w:r>
            <w:r>
              <w:rPr>
                <w:rFonts w:hint="eastAsia" w:cs="Times New Roman"/>
                <w:b/>
                <w:bCs/>
                <w:color w:val="auto"/>
                <w:lang w:val="en-US" w:eastAsia="zh-CN"/>
              </w:rPr>
              <w:t>7</w:t>
            </w:r>
            <w:r>
              <w:rPr>
                <w:rFonts w:ascii="Times New Roman" w:hAnsi="Times New Roman" w:eastAsia="宋体" w:cs="Times New Roman"/>
                <w:b/>
                <w:bCs/>
                <w:color w:val="auto"/>
              </w:rPr>
              <w:t xml:space="preserve">    噪声评价标准    单位：dB（A）</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179"/>
              <w:gridCol w:w="1044"/>
              <w:gridCol w:w="1044"/>
              <w:gridCol w:w="10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79" w:type="dxa"/>
                  <w:noWrap w:val="0"/>
                  <w:vAlign w:val="center"/>
                </w:tcPr>
                <w:p>
                  <w:pPr>
                    <w:jc w:val="center"/>
                    <w:rPr>
                      <w:b/>
                      <w:bCs/>
                      <w:color w:val="auto"/>
                      <w:szCs w:val="21"/>
                    </w:rPr>
                  </w:pPr>
                  <w:r>
                    <w:rPr>
                      <w:b/>
                      <w:bCs/>
                      <w:color w:val="auto"/>
                      <w:szCs w:val="21"/>
                    </w:rPr>
                    <w:t>采用标准</w:t>
                  </w:r>
                </w:p>
              </w:tc>
              <w:tc>
                <w:tcPr>
                  <w:tcW w:w="1044" w:type="dxa"/>
                  <w:noWrap w:val="0"/>
                  <w:vAlign w:val="center"/>
                </w:tcPr>
                <w:p>
                  <w:pPr>
                    <w:jc w:val="center"/>
                    <w:rPr>
                      <w:b/>
                      <w:bCs/>
                      <w:color w:val="auto"/>
                      <w:szCs w:val="21"/>
                    </w:rPr>
                  </w:pPr>
                  <w:r>
                    <w:rPr>
                      <w:b/>
                      <w:bCs/>
                      <w:color w:val="auto"/>
                      <w:szCs w:val="21"/>
                    </w:rPr>
                    <w:t>类别</w:t>
                  </w:r>
                </w:p>
              </w:tc>
              <w:tc>
                <w:tcPr>
                  <w:tcW w:w="1044" w:type="dxa"/>
                  <w:noWrap w:val="0"/>
                  <w:vAlign w:val="center"/>
                </w:tcPr>
                <w:p>
                  <w:pPr>
                    <w:jc w:val="center"/>
                    <w:rPr>
                      <w:b/>
                      <w:bCs/>
                      <w:color w:val="auto"/>
                      <w:szCs w:val="21"/>
                    </w:rPr>
                  </w:pPr>
                  <w:r>
                    <w:rPr>
                      <w:b/>
                      <w:bCs/>
                      <w:color w:val="auto"/>
                      <w:szCs w:val="21"/>
                    </w:rPr>
                    <w:t>昼间</w:t>
                  </w:r>
                </w:p>
              </w:tc>
              <w:tc>
                <w:tcPr>
                  <w:tcW w:w="1044" w:type="dxa"/>
                  <w:noWrap w:val="0"/>
                  <w:vAlign w:val="center"/>
                </w:tcPr>
                <w:p>
                  <w:pPr>
                    <w:jc w:val="center"/>
                    <w:rPr>
                      <w:b/>
                      <w:bCs/>
                      <w:color w:val="auto"/>
                      <w:szCs w:val="21"/>
                    </w:rPr>
                  </w:pPr>
                  <w:r>
                    <w:rPr>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79" w:type="dxa"/>
                  <w:noWrap w:val="0"/>
                  <w:vAlign w:val="center"/>
                </w:tcPr>
                <w:p>
                  <w:pPr>
                    <w:jc w:val="center"/>
                    <w:rPr>
                      <w:color w:val="auto"/>
                      <w:szCs w:val="21"/>
                    </w:rPr>
                  </w:pPr>
                  <w:r>
                    <w:rPr>
                      <w:color w:val="auto"/>
                      <w:szCs w:val="21"/>
                    </w:rPr>
                    <w:t>《工业企业厂界环境噪声排放标准》（GB12348-2008）中的</w:t>
                  </w:r>
                  <w:r>
                    <w:rPr>
                      <w:rFonts w:hint="eastAsia"/>
                      <w:color w:val="auto"/>
                      <w:szCs w:val="21"/>
                      <w:lang w:val="en-US" w:eastAsia="zh-CN"/>
                    </w:rPr>
                    <w:t>3</w:t>
                  </w:r>
                  <w:r>
                    <w:rPr>
                      <w:color w:val="auto"/>
                      <w:szCs w:val="21"/>
                    </w:rPr>
                    <w:t>类标准</w:t>
                  </w:r>
                </w:p>
              </w:tc>
              <w:tc>
                <w:tcPr>
                  <w:tcW w:w="1044" w:type="dxa"/>
                  <w:noWrap w:val="0"/>
                  <w:vAlign w:val="center"/>
                </w:tcPr>
                <w:p>
                  <w:pPr>
                    <w:jc w:val="center"/>
                    <w:rPr>
                      <w:rFonts w:hint="eastAsia" w:eastAsia="宋体"/>
                      <w:color w:val="auto"/>
                      <w:szCs w:val="21"/>
                      <w:lang w:eastAsia="zh-CN"/>
                    </w:rPr>
                  </w:pPr>
                  <w:r>
                    <w:rPr>
                      <w:rFonts w:hint="eastAsia"/>
                      <w:color w:val="auto"/>
                      <w:szCs w:val="21"/>
                      <w:lang w:val="en-US" w:eastAsia="zh-CN"/>
                    </w:rPr>
                    <w:t>3</w:t>
                  </w:r>
                </w:p>
              </w:tc>
              <w:tc>
                <w:tcPr>
                  <w:tcW w:w="1044" w:type="dxa"/>
                  <w:noWrap w:val="0"/>
                  <w:vAlign w:val="center"/>
                </w:tcPr>
                <w:p>
                  <w:pPr>
                    <w:jc w:val="center"/>
                    <w:rPr>
                      <w:rFonts w:hint="eastAsia"/>
                      <w:color w:val="auto"/>
                      <w:szCs w:val="21"/>
                    </w:rPr>
                  </w:pPr>
                  <w:r>
                    <w:rPr>
                      <w:color w:val="auto"/>
                      <w:szCs w:val="21"/>
                    </w:rPr>
                    <w:t>6</w:t>
                  </w:r>
                  <w:r>
                    <w:rPr>
                      <w:rFonts w:hint="eastAsia"/>
                      <w:color w:val="auto"/>
                      <w:szCs w:val="21"/>
                      <w:lang w:val="en-US" w:eastAsia="zh-CN"/>
                    </w:rPr>
                    <w:t>5</w:t>
                  </w:r>
                </w:p>
              </w:tc>
              <w:tc>
                <w:tcPr>
                  <w:tcW w:w="1044" w:type="dxa"/>
                  <w:noWrap w:val="0"/>
                  <w:vAlign w:val="center"/>
                </w:tcPr>
                <w:p>
                  <w:pPr>
                    <w:jc w:val="center"/>
                    <w:rPr>
                      <w:rFonts w:hint="default" w:eastAsia="宋体"/>
                      <w:color w:val="auto"/>
                      <w:szCs w:val="21"/>
                      <w:lang w:val="en-US" w:eastAsia="zh-CN"/>
                    </w:rPr>
                  </w:pPr>
                  <w:r>
                    <w:rPr>
                      <w:rFonts w:hint="eastAsia"/>
                      <w:color w:val="auto"/>
                      <w:szCs w:val="21"/>
                      <w:lang w:val="en-US" w:eastAsia="zh-CN"/>
                    </w:rPr>
                    <w:t>55</w:t>
                  </w:r>
                </w:p>
              </w:tc>
            </w:tr>
          </w:tbl>
          <w:p>
            <w:pPr>
              <w:spacing w:line="480" w:lineRule="exact"/>
              <w:rPr>
                <w:b/>
                <w:bCs/>
                <w:color w:val="auto"/>
                <w:sz w:val="24"/>
              </w:rPr>
            </w:pPr>
            <w:r>
              <w:rPr>
                <w:rFonts w:hint="eastAsia"/>
                <w:b/>
                <w:bCs/>
                <w:color w:val="auto"/>
                <w:sz w:val="24"/>
                <w:lang w:val="en-US" w:eastAsia="zh-CN"/>
              </w:rPr>
              <w:t>3.4</w:t>
            </w:r>
            <w:r>
              <w:rPr>
                <w:b/>
                <w:bCs/>
                <w:color w:val="auto"/>
                <w:sz w:val="24"/>
              </w:rPr>
              <w:t>噪声影响预测模式</w:t>
            </w:r>
          </w:p>
          <w:p>
            <w:pPr>
              <w:spacing w:line="480" w:lineRule="exact"/>
              <w:ind w:firstLine="480" w:firstLineChars="200"/>
              <w:rPr>
                <w:color w:val="auto"/>
              </w:rPr>
            </w:pPr>
            <w:r>
              <w:rPr>
                <w:rFonts w:hint="eastAsia" w:ascii="Times New Roman" w:hAnsi="Times New Roman" w:eastAsia="宋体" w:cs="Times New Roman"/>
                <w:color w:val="auto"/>
                <w:spacing w:val="0"/>
                <w:position w:val="0"/>
                <w:sz w:val="24"/>
                <w:highlight w:val="none"/>
                <w:lang w:val="en-US" w:eastAsia="zh-CN"/>
              </w:rPr>
              <w:t>根据项目设备的噪声排放特点，按照《环境影响评价技术导则 声环境》</w:t>
            </w:r>
            <w:r>
              <w:rPr>
                <w:rFonts w:hint="default" w:ascii="Times New Roman" w:hAnsi="Times New Roman" w:eastAsia="宋体" w:cs="Times New Roman"/>
                <w:color w:val="auto"/>
                <w:spacing w:val="0"/>
                <w:position w:val="0"/>
                <w:sz w:val="24"/>
                <w:highlight w:val="none"/>
                <w:lang w:val="en-US" w:eastAsia="zh-CN"/>
              </w:rPr>
              <w:t xml:space="preserve">HJ2.4-2021 </w:t>
            </w:r>
            <w:r>
              <w:rPr>
                <w:rFonts w:hint="eastAsia" w:ascii="Times New Roman" w:hAnsi="Times New Roman" w:eastAsia="宋体" w:cs="Times New Roman"/>
                <w:color w:val="auto"/>
                <w:spacing w:val="0"/>
                <w:position w:val="0"/>
                <w:sz w:val="24"/>
                <w:highlight w:val="none"/>
                <w:lang w:val="en-US" w:eastAsia="zh-CN"/>
              </w:rPr>
              <w:t>的要求，选择点声源预测模式预测噪声源排放噪声随距离的衰减变化规律</w:t>
            </w:r>
            <w:r>
              <w:rPr>
                <w:rFonts w:hint="eastAsia" w:ascii="宋体" w:hAnsi="宋体" w:eastAsia="宋体" w:cs="宋体"/>
                <w:color w:val="auto"/>
                <w:kern w:val="0"/>
                <w:sz w:val="24"/>
                <w:szCs w:val="24"/>
                <w:lang w:val="en-US" w:eastAsia="zh-CN" w:bidi="ar"/>
              </w:rPr>
              <w:t>。</w:t>
            </w:r>
          </w:p>
          <w:p>
            <w:pPr>
              <w:spacing w:line="480" w:lineRule="exact"/>
              <w:ind w:firstLine="480" w:firstLineChars="200"/>
              <w:rPr>
                <w:rFonts w:hint="eastAsia" w:hAnsi="宋体"/>
                <w:color w:val="auto"/>
                <w:sz w:val="24"/>
                <w:lang w:eastAsia="zh-CN"/>
              </w:rPr>
            </w:pPr>
            <w:r>
              <w:rPr>
                <w:rFonts w:hint="eastAsia" w:hAnsi="宋体"/>
                <w:color w:val="auto"/>
                <w:sz w:val="24"/>
                <w:lang w:eastAsia="zh-CN"/>
              </w:rPr>
              <w:t>计算出所有室内声源在围护结构处产生的 i 倍频带叠加声压级：</w:t>
            </w:r>
          </w:p>
          <w:p>
            <w:pPr>
              <w:spacing w:line="480" w:lineRule="exact"/>
              <w:ind w:firstLine="420" w:firstLineChars="200"/>
              <w:rPr>
                <w:rFonts w:hint="eastAsia" w:ascii="Times New Roman" w:hAnsi="宋体" w:eastAsia="宋体" w:cs="Times New Roman"/>
                <w:color w:val="auto"/>
                <w:sz w:val="24"/>
                <w:lang w:eastAsia="zh-CN"/>
              </w:rPr>
            </w:pPr>
            <w:r>
              <w:rPr>
                <w:color w:val="auto"/>
              </w:rPr>
              <w:drawing>
                <wp:anchor distT="0" distB="0" distL="114300" distR="114300" simplePos="0" relativeHeight="251659264" behindDoc="0" locked="0" layoutInCell="1" allowOverlap="1">
                  <wp:simplePos x="0" y="0"/>
                  <wp:positionH relativeFrom="column">
                    <wp:posOffset>1149985</wp:posOffset>
                  </wp:positionH>
                  <wp:positionV relativeFrom="paragraph">
                    <wp:posOffset>67945</wp:posOffset>
                  </wp:positionV>
                  <wp:extent cx="2571750" cy="523875"/>
                  <wp:effectExtent l="0" t="0" r="0" b="7620"/>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2571750" cy="523875"/>
                          </a:xfrm>
                          <a:prstGeom prst="rect">
                            <a:avLst/>
                          </a:prstGeom>
                          <a:noFill/>
                          <a:ln>
                            <a:noFill/>
                          </a:ln>
                        </pic:spPr>
                      </pic:pic>
                    </a:graphicData>
                  </a:graphic>
                </wp:anchor>
              </w:drawing>
            </w:r>
            <w:r>
              <w:rPr>
                <w:rFonts w:hint="eastAsia" w:ascii="Times New Roman" w:hAnsi="宋体" w:eastAsia="宋体" w:cs="Times New Roman"/>
                <w:color w:val="auto"/>
                <w:sz w:val="24"/>
                <w:lang w:eastAsia="zh-CN"/>
              </w:rPr>
              <w:t>式中：L</w:t>
            </w:r>
            <w:r>
              <w:rPr>
                <w:rFonts w:hint="eastAsia" w:ascii="Times New Roman" w:hAnsi="宋体" w:eastAsia="宋体" w:cs="Times New Roman"/>
                <w:color w:val="auto"/>
                <w:sz w:val="24"/>
                <w:vertAlign w:val="subscript"/>
                <w:lang w:eastAsia="zh-CN"/>
              </w:rPr>
              <w:t>p1i</w:t>
            </w:r>
            <w:r>
              <w:rPr>
                <w:rFonts w:hint="eastAsia" w:ascii="Times New Roman" w:hAnsi="宋体" w:eastAsia="宋体" w:cs="Times New Roman"/>
                <w:color w:val="auto"/>
                <w:sz w:val="24"/>
                <w:lang w:eastAsia="zh-CN"/>
              </w:rPr>
              <w:t>（T）—靠近围护结构处室内N个声源i倍频带的叠加声压级，dB；</w:t>
            </w:r>
          </w:p>
          <w:p>
            <w:pPr>
              <w:spacing w:line="480" w:lineRule="exact"/>
              <w:ind w:firstLine="480" w:firstLineChars="200"/>
              <w:rPr>
                <w:rFonts w:hint="eastAsia" w:hAnsi="宋体"/>
                <w:color w:val="auto"/>
                <w:sz w:val="24"/>
                <w:lang w:eastAsia="zh-CN"/>
              </w:rPr>
            </w:pPr>
            <w:r>
              <w:rPr>
                <w:rFonts w:hint="eastAsia" w:hAnsi="宋体"/>
                <w:color w:val="auto"/>
                <w:sz w:val="24"/>
                <w:lang w:eastAsia="zh-CN"/>
              </w:rPr>
              <w:t>无指向性点声源几何发散衰减的基本公式是：</w:t>
            </w:r>
          </w:p>
          <w:p>
            <w:pPr>
              <w:pStyle w:val="22"/>
              <w:ind w:left="0" w:leftChars="0" w:firstLine="0" w:firstLineChars="0"/>
              <w:jc w:val="center"/>
              <w:rPr>
                <w:rFonts w:hint="eastAsia"/>
                <w:color w:val="auto"/>
                <w:lang w:eastAsia="zh-CN"/>
              </w:rPr>
            </w:pPr>
            <w:r>
              <w:rPr>
                <w:color w:val="auto"/>
              </w:rPr>
              <w:drawing>
                <wp:inline distT="0" distB="0" distL="114300" distR="114300">
                  <wp:extent cx="2247900" cy="419100"/>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5"/>
                          <a:stretch>
                            <a:fillRect/>
                          </a:stretch>
                        </pic:blipFill>
                        <pic:spPr>
                          <a:xfrm>
                            <a:off x="0" y="0"/>
                            <a:ext cx="2247900" cy="419100"/>
                          </a:xfrm>
                          <a:prstGeom prst="rect">
                            <a:avLst/>
                          </a:prstGeom>
                          <a:noFill/>
                          <a:ln>
                            <a:noFill/>
                          </a:ln>
                        </pic:spPr>
                      </pic:pic>
                    </a:graphicData>
                  </a:graphic>
                </wp:inline>
              </w:drawing>
            </w:r>
          </w:p>
          <w:p>
            <w:pPr>
              <w:spacing w:line="480" w:lineRule="exact"/>
              <w:ind w:firstLine="480" w:firstLineChars="200"/>
              <w:rPr>
                <w:rFonts w:hint="eastAsia" w:ascii="Times New Roman" w:hAnsi="宋体" w:eastAsia="宋体" w:cs="Times New Roman"/>
                <w:color w:val="auto"/>
                <w:sz w:val="24"/>
                <w:lang w:eastAsia="zh-CN"/>
              </w:rPr>
            </w:pPr>
            <w:r>
              <w:rPr>
                <w:rFonts w:hint="eastAsia" w:ascii="Times New Roman" w:hAnsi="宋体" w:eastAsia="宋体" w:cs="Times New Roman"/>
                <w:color w:val="auto"/>
                <w:sz w:val="24"/>
                <w:lang w:val="en-US" w:eastAsia="zh-CN"/>
              </w:rPr>
              <w:t>式中：</w:t>
            </w:r>
            <w:r>
              <w:rPr>
                <w:rFonts w:hint="default" w:ascii="Times New Roman" w:hAnsi="宋体" w:eastAsia="宋体" w:cs="Times New Roman"/>
                <w:color w:val="auto"/>
                <w:sz w:val="24"/>
                <w:lang w:val="en-US" w:eastAsia="zh-CN"/>
              </w:rPr>
              <w:t>Lp</w:t>
            </w:r>
            <w:r>
              <w:rPr>
                <w:rFonts w:hint="eastAsia" w:ascii="Times New Roman" w:hAnsi="宋体" w:eastAsia="宋体" w:cs="Times New Roman"/>
                <w:color w:val="auto"/>
                <w:sz w:val="24"/>
                <w:lang w:val="en-US" w:eastAsia="zh-CN"/>
              </w:rPr>
              <w:t>（</w:t>
            </w:r>
            <w:r>
              <w:rPr>
                <w:rFonts w:hint="default" w:ascii="Times New Roman" w:hAnsi="宋体" w:eastAsia="宋体" w:cs="Times New Roman"/>
                <w:color w:val="auto"/>
                <w:sz w:val="24"/>
                <w:lang w:val="en-US" w:eastAsia="zh-CN"/>
              </w:rPr>
              <w:t>r</w:t>
            </w:r>
            <w:r>
              <w:rPr>
                <w:rFonts w:hint="eastAsia" w:ascii="Times New Roman" w:hAnsi="宋体" w:eastAsia="宋体" w:cs="Times New Roman"/>
                <w:color w:val="auto"/>
                <w:sz w:val="24"/>
                <w:lang w:val="en-US" w:eastAsia="zh-CN"/>
              </w:rPr>
              <w:t>）</w:t>
            </w:r>
            <w:r>
              <w:rPr>
                <w:rFonts w:hint="default" w:ascii="Times New Roman" w:hAnsi="宋体" w:eastAsia="宋体" w:cs="Times New Roman"/>
                <w:color w:val="auto"/>
                <w:sz w:val="24"/>
                <w:lang w:val="en-US" w:eastAsia="zh-CN"/>
              </w:rPr>
              <w:t>—</w:t>
            </w:r>
            <w:r>
              <w:rPr>
                <w:rFonts w:hint="eastAsia" w:ascii="Times New Roman" w:hAnsi="宋体" w:eastAsia="宋体" w:cs="Times New Roman"/>
                <w:color w:val="auto"/>
                <w:sz w:val="24"/>
                <w:lang w:val="en-US" w:eastAsia="zh-CN"/>
              </w:rPr>
              <w:t>预测点处声压级，</w:t>
            </w:r>
            <w:r>
              <w:rPr>
                <w:rFonts w:hint="default" w:ascii="Times New Roman" w:hAnsi="宋体" w:eastAsia="宋体" w:cs="Times New Roman"/>
                <w:color w:val="auto"/>
                <w:sz w:val="24"/>
                <w:lang w:val="en-US" w:eastAsia="zh-CN"/>
              </w:rPr>
              <w:t>dB</w:t>
            </w:r>
            <w:r>
              <w:rPr>
                <w:rFonts w:hint="eastAsia" w:ascii="Times New Roman" w:hAnsi="宋体" w:eastAsia="宋体" w:cs="Times New Roman"/>
                <w:color w:val="auto"/>
                <w:sz w:val="24"/>
                <w:lang w:val="en-US" w:eastAsia="zh-CN"/>
              </w:rPr>
              <w:t xml:space="preserve">； </w:t>
            </w:r>
          </w:p>
          <w:p>
            <w:pPr>
              <w:spacing w:line="480" w:lineRule="exact"/>
              <w:ind w:firstLine="1200" w:firstLineChars="500"/>
              <w:rPr>
                <w:rFonts w:hint="eastAsia" w:ascii="Times New Roman" w:hAnsi="宋体" w:eastAsia="宋体" w:cs="Times New Roman"/>
                <w:color w:val="auto"/>
                <w:sz w:val="24"/>
                <w:lang w:eastAsia="zh-CN"/>
              </w:rPr>
            </w:pPr>
            <w:r>
              <w:rPr>
                <w:rFonts w:hint="default" w:ascii="Times New Roman" w:hAnsi="宋体" w:eastAsia="宋体" w:cs="Times New Roman"/>
                <w:color w:val="auto"/>
                <w:sz w:val="24"/>
                <w:lang w:val="en-US" w:eastAsia="zh-CN"/>
              </w:rPr>
              <w:t>Lp</w:t>
            </w:r>
            <w:r>
              <w:rPr>
                <w:rFonts w:hint="eastAsia" w:ascii="Times New Roman" w:hAnsi="宋体" w:eastAsia="宋体" w:cs="Times New Roman"/>
                <w:color w:val="auto"/>
                <w:sz w:val="24"/>
                <w:lang w:val="en-US" w:eastAsia="zh-CN"/>
              </w:rPr>
              <w:t>（</w:t>
            </w:r>
            <w:r>
              <w:rPr>
                <w:rFonts w:hint="default" w:ascii="Times New Roman" w:hAnsi="宋体" w:eastAsia="宋体" w:cs="Times New Roman"/>
                <w:color w:val="auto"/>
                <w:sz w:val="24"/>
                <w:lang w:val="en-US" w:eastAsia="zh-CN"/>
              </w:rPr>
              <w:t>r</w:t>
            </w:r>
            <w:r>
              <w:rPr>
                <w:rFonts w:hint="default" w:ascii="Times New Roman" w:hAnsi="宋体" w:eastAsia="宋体" w:cs="Times New Roman"/>
                <w:color w:val="auto"/>
                <w:sz w:val="24"/>
                <w:vertAlign w:val="subscript"/>
                <w:lang w:val="en-US" w:eastAsia="zh-CN"/>
              </w:rPr>
              <w:t>0</w:t>
            </w:r>
            <w:r>
              <w:rPr>
                <w:rFonts w:hint="eastAsia" w:ascii="Times New Roman" w:hAnsi="宋体" w:eastAsia="宋体" w:cs="Times New Roman"/>
                <w:color w:val="auto"/>
                <w:sz w:val="24"/>
                <w:lang w:val="en-US" w:eastAsia="zh-CN"/>
              </w:rPr>
              <w:t>）</w:t>
            </w:r>
            <w:r>
              <w:rPr>
                <w:rFonts w:hint="default" w:ascii="Times New Roman" w:hAnsi="宋体" w:eastAsia="宋体" w:cs="Times New Roman"/>
                <w:color w:val="auto"/>
                <w:sz w:val="24"/>
                <w:lang w:val="en-US" w:eastAsia="zh-CN"/>
              </w:rPr>
              <w:t>—</w:t>
            </w:r>
            <w:r>
              <w:rPr>
                <w:rFonts w:hint="eastAsia" w:ascii="Times New Roman" w:hAnsi="宋体" w:eastAsia="宋体" w:cs="Times New Roman"/>
                <w:color w:val="auto"/>
                <w:sz w:val="24"/>
                <w:lang w:val="en-US" w:eastAsia="zh-CN"/>
              </w:rPr>
              <w:t xml:space="preserve">参考位置 </w:t>
            </w:r>
            <w:r>
              <w:rPr>
                <w:rFonts w:hint="default" w:ascii="Times New Roman" w:hAnsi="宋体" w:eastAsia="宋体" w:cs="Times New Roman"/>
                <w:color w:val="auto"/>
                <w:sz w:val="24"/>
                <w:lang w:val="en-US" w:eastAsia="zh-CN"/>
              </w:rPr>
              <w:t>r0</w:t>
            </w:r>
            <w:r>
              <w:rPr>
                <w:rFonts w:hint="eastAsia" w:ascii="Times New Roman" w:hAnsi="宋体" w:eastAsia="宋体" w:cs="Times New Roman"/>
                <w:color w:val="auto"/>
                <w:sz w:val="24"/>
                <w:lang w:val="en-US" w:eastAsia="zh-CN"/>
              </w:rPr>
              <w:t>处的声压级，</w:t>
            </w:r>
            <w:r>
              <w:rPr>
                <w:rFonts w:hint="default" w:ascii="Times New Roman" w:hAnsi="宋体" w:eastAsia="宋体" w:cs="Times New Roman"/>
                <w:color w:val="auto"/>
                <w:sz w:val="24"/>
                <w:lang w:val="en-US" w:eastAsia="zh-CN"/>
              </w:rPr>
              <w:t>dB</w:t>
            </w:r>
            <w:r>
              <w:rPr>
                <w:rFonts w:hint="eastAsia" w:ascii="Times New Roman" w:hAnsi="宋体" w:eastAsia="宋体" w:cs="Times New Roman"/>
                <w:color w:val="auto"/>
                <w:sz w:val="24"/>
                <w:lang w:val="en-US" w:eastAsia="zh-CN"/>
              </w:rPr>
              <w:t xml:space="preserve">； </w:t>
            </w:r>
          </w:p>
          <w:p>
            <w:pPr>
              <w:spacing w:line="480" w:lineRule="exact"/>
              <w:ind w:firstLine="1200" w:firstLineChars="500"/>
              <w:rPr>
                <w:rFonts w:hint="eastAsia" w:ascii="Times New Roman" w:hAnsi="宋体" w:eastAsia="宋体" w:cs="Times New Roman"/>
                <w:color w:val="auto"/>
                <w:sz w:val="24"/>
                <w:lang w:eastAsia="zh-CN"/>
              </w:rPr>
            </w:pPr>
            <w:r>
              <w:rPr>
                <w:rFonts w:hint="default" w:ascii="Times New Roman" w:hAnsi="宋体" w:eastAsia="宋体" w:cs="Times New Roman"/>
                <w:color w:val="auto"/>
                <w:sz w:val="24"/>
                <w:lang w:val="en-US" w:eastAsia="zh-CN"/>
              </w:rPr>
              <w:t>r—</w:t>
            </w:r>
            <w:r>
              <w:rPr>
                <w:rFonts w:hint="eastAsia" w:ascii="Times New Roman" w:hAnsi="宋体" w:eastAsia="宋体" w:cs="Times New Roman"/>
                <w:color w:val="auto"/>
                <w:sz w:val="24"/>
                <w:lang w:val="en-US" w:eastAsia="zh-CN"/>
              </w:rPr>
              <w:t xml:space="preserve">预测点距声源的距离； </w:t>
            </w:r>
          </w:p>
          <w:p>
            <w:pPr>
              <w:spacing w:line="480" w:lineRule="exact"/>
              <w:ind w:firstLine="1200" w:firstLineChars="500"/>
              <w:rPr>
                <w:rFonts w:hint="eastAsia" w:ascii="Times New Roman" w:hAnsi="宋体" w:eastAsia="宋体" w:cs="Times New Roman"/>
                <w:color w:val="auto"/>
                <w:sz w:val="24"/>
                <w:lang w:eastAsia="zh-CN"/>
              </w:rPr>
            </w:pPr>
            <w:r>
              <w:rPr>
                <w:rFonts w:hint="default" w:ascii="Times New Roman" w:hAnsi="宋体" w:eastAsia="宋体" w:cs="Times New Roman"/>
                <w:color w:val="auto"/>
                <w:sz w:val="24"/>
                <w:lang w:val="en-US" w:eastAsia="zh-CN"/>
              </w:rPr>
              <w:t>r</w:t>
            </w:r>
            <w:r>
              <w:rPr>
                <w:rFonts w:hint="default" w:ascii="Times New Roman" w:hAnsi="宋体" w:eastAsia="宋体" w:cs="Times New Roman"/>
                <w:color w:val="auto"/>
                <w:sz w:val="24"/>
                <w:vertAlign w:val="subscript"/>
                <w:lang w:val="en-US" w:eastAsia="zh-CN"/>
              </w:rPr>
              <w:t>0</w:t>
            </w:r>
            <w:r>
              <w:rPr>
                <w:rFonts w:hint="default" w:ascii="Times New Roman" w:hAnsi="宋体" w:eastAsia="宋体" w:cs="Times New Roman"/>
                <w:color w:val="auto"/>
                <w:sz w:val="24"/>
                <w:lang w:val="en-US" w:eastAsia="zh-CN"/>
              </w:rPr>
              <w:t>—</w:t>
            </w:r>
            <w:r>
              <w:rPr>
                <w:rFonts w:hint="eastAsia" w:ascii="Times New Roman" w:hAnsi="宋体" w:eastAsia="宋体" w:cs="Times New Roman"/>
                <w:color w:val="auto"/>
                <w:sz w:val="24"/>
                <w:lang w:val="en-US" w:eastAsia="zh-CN"/>
              </w:rPr>
              <w:t>参考位置距声源的距离；</w:t>
            </w:r>
          </w:p>
          <w:p>
            <w:pPr>
              <w:spacing w:line="480" w:lineRule="exact"/>
              <w:ind w:firstLine="480" w:firstLineChars="200"/>
              <w:rPr>
                <w:color w:val="auto"/>
                <w:sz w:val="24"/>
              </w:rPr>
            </w:pPr>
            <w:r>
              <w:rPr>
                <w:rFonts w:hint="eastAsia" w:hAnsi="宋体"/>
                <w:color w:val="auto"/>
                <w:sz w:val="24"/>
                <w:lang w:eastAsia="zh-CN"/>
              </w:rPr>
              <w:t>噪声</w:t>
            </w:r>
            <w:r>
              <w:rPr>
                <w:rFonts w:hAnsi="宋体"/>
                <w:color w:val="auto"/>
                <w:sz w:val="24"/>
              </w:rPr>
              <w:t>贡献值（</w:t>
            </w:r>
            <w:r>
              <w:rPr>
                <w:i/>
                <w:iCs/>
                <w:color w:val="auto"/>
                <w:sz w:val="24"/>
              </w:rPr>
              <w:t>L</w:t>
            </w:r>
            <w:r>
              <w:rPr>
                <w:i/>
                <w:iCs/>
                <w:color w:val="auto"/>
                <w:sz w:val="24"/>
                <w:vertAlign w:val="subscript"/>
              </w:rPr>
              <w:t>eqg</w:t>
            </w:r>
            <w:r>
              <w:rPr>
                <w:rFonts w:hAnsi="宋体"/>
                <w:color w:val="auto"/>
                <w:sz w:val="24"/>
              </w:rPr>
              <w:t>）计算公式：</w:t>
            </w:r>
          </w:p>
          <w:p>
            <w:pPr>
              <w:spacing w:line="480" w:lineRule="exact"/>
              <w:ind w:firstLine="480" w:firstLineChars="200"/>
              <w:rPr>
                <w:color w:val="auto"/>
                <w:sz w:val="24"/>
              </w:rPr>
            </w:pPr>
            <w:r>
              <w:rPr>
                <w:color w:val="auto"/>
                <w:position w:val="-30"/>
                <w:sz w:val="24"/>
              </w:rPr>
              <w:pict>
                <v:shape id="_x0000_s1026" o:spid="_x0000_s1026" o:spt="75" type="#_x0000_t75" style="position:absolute;left:0pt;margin-left:120.9pt;margin-top:6.65pt;height:37.9pt;width:136.8pt;mso-wrap-distance-bottom:0pt;mso-wrap-distance-top:0pt;z-index:251660288;mso-width-relative:page;mso-height-relative:page;" o:ole="t" filled="f" o:preferrelative="t" stroked="f" coordsize="21600,21600">
                  <v:path/>
                  <v:fill on="f" focussize="0,0"/>
                  <v:stroke on="f" joinstyle="miter"/>
                  <v:imagedata r:id="rId27" o:title=""/>
                  <o:lock v:ext="edit" aspectratio="t"/>
                  <w10:wrap type="topAndBottom"/>
                </v:shape>
                <o:OLEObject Type="Embed" ProgID="Equation.3" ShapeID="_x0000_s1026" DrawAspect="Content" ObjectID="_1468075726" r:id="rId26">
                  <o:LockedField>false</o:LockedField>
                </o:OLEObject>
              </w:pict>
            </w:r>
            <w:r>
              <w:rPr>
                <w:rFonts w:hAnsi="宋体"/>
                <w:color w:val="auto"/>
                <w:sz w:val="24"/>
              </w:rPr>
              <w:t>式中：</w:t>
            </w:r>
          </w:p>
          <w:p>
            <w:pPr>
              <w:spacing w:line="480" w:lineRule="exact"/>
              <w:ind w:firstLine="480" w:firstLineChars="200"/>
              <w:rPr>
                <w:color w:val="auto"/>
                <w:sz w:val="24"/>
              </w:rPr>
            </w:pPr>
            <w:r>
              <w:rPr>
                <w:i/>
                <w:iCs/>
                <w:color w:val="auto"/>
                <w:sz w:val="24"/>
              </w:rPr>
              <w:t>L</w:t>
            </w:r>
            <w:r>
              <w:rPr>
                <w:i/>
                <w:iCs/>
                <w:color w:val="auto"/>
                <w:sz w:val="24"/>
                <w:vertAlign w:val="subscript"/>
              </w:rPr>
              <w:t>eqg</w:t>
            </w:r>
            <w:r>
              <w:rPr>
                <w:color w:val="auto"/>
                <w:sz w:val="24"/>
              </w:rPr>
              <w:t>—</w:t>
            </w:r>
            <w:r>
              <w:rPr>
                <w:rFonts w:hint="eastAsia"/>
                <w:color w:val="auto"/>
                <w:sz w:val="24"/>
                <w:lang w:eastAsia="zh-CN"/>
              </w:rPr>
              <w:t>噪声</w:t>
            </w:r>
            <w:r>
              <w:rPr>
                <w:rFonts w:hAnsi="宋体"/>
                <w:color w:val="auto"/>
                <w:sz w:val="24"/>
              </w:rPr>
              <w:t>贡献值，</w:t>
            </w:r>
            <w:r>
              <w:rPr>
                <w:color w:val="auto"/>
                <w:sz w:val="24"/>
              </w:rPr>
              <w:t>dB</w:t>
            </w:r>
            <w:r>
              <w:rPr>
                <w:rFonts w:hAnsi="宋体"/>
                <w:color w:val="auto"/>
                <w:sz w:val="24"/>
              </w:rPr>
              <w:t>（</w:t>
            </w:r>
            <w:r>
              <w:rPr>
                <w:color w:val="auto"/>
                <w:sz w:val="24"/>
              </w:rPr>
              <w:t>A</w:t>
            </w:r>
            <w:r>
              <w:rPr>
                <w:rFonts w:hAnsi="宋体"/>
                <w:color w:val="auto"/>
                <w:sz w:val="24"/>
              </w:rPr>
              <w:t>）；</w:t>
            </w:r>
          </w:p>
          <w:p>
            <w:pPr>
              <w:spacing w:line="480" w:lineRule="exact"/>
              <w:ind w:firstLine="480" w:firstLineChars="200"/>
              <w:rPr>
                <w:color w:val="auto"/>
                <w:sz w:val="24"/>
              </w:rPr>
            </w:pPr>
            <w:r>
              <w:rPr>
                <w:i/>
                <w:iCs/>
                <w:color w:val="auto"/>
                <w:sz w:val="24"/>
              </w:rPr>
              <w:t>L</w:t>
            </w:r>
            <w:r>
              <w:rPr>
                <w:i/>
                <w:iCs/>
                <w:color w:val="auto"/>
                <w:sz w:val="24"/>
                <w:vertAlign w:val="subscript"/>
              </w:rPr>
              <w:t>Ai</w:t>
            </w:r>
            <w:r>
              <w:rPr>
                <w:color w:val="auto"/>
                <w:sz w:val="24"/>
              </w:rPr>
              <w:t>—</w:t>
            </w:r>
            <w:r>
              <w:rPr>
                <w:i/>
                <w:iCs/>
                <w:color w:val="auto"/>
                <w:sz w:val="24"/>
              </w:rPr>
              <w:t>i</w:t>
            </w:r>
            <w:r>
              <w:rPr>
                <w:rFonts w:hAnsi="宋体"/>
                <w:color w:val="auto"/>
                <w:sz w:val="24"/>
              </w:rPr>
              <w:t>声源在预测点产生的</w:t>
            </w:r>
            <w:r>
              <w:rPr>
                <w:color w:val="auto"/>
                <w:sz w:val="24"/>
              </w:rPr>
              <w:t>A</w:t>
            </w:r>
            <w:r>
              <w:rPr>
                <w:rFonts w:hAnsi="宋体"/>
                <w:color w:val="auto"/>
                <w:sz w:val="24"/>
              </w:rPr>
              <w:t>声级，</w:t>
            </w:r>
            <w:r>
              <w:rPr>
                <w:color w:val="auto"/>
                <w:sz w:val="24"/>
              </w:rPr>
              <w:t>dB</w:t>
            </w:r>
            <w:r>
              <w:rPr>
                <w:rFonts w:hAnsi="宋体"/>
                <w:color w:val="auto"/>
                <w:sz w:val="24"/>
              </w:rPr>
              <w:t>（</w:t>
            </w:r>
            <w:r>
              <w:rPr>
                <w:color w:val="auto"/>
                <w:sz w:val="24"/>
              </w:rPr>
              <w:t>A</w:t>
            </w:r>
            <w:r>
              <w:rPr>
                <w:rFonts w:hAnsi="宋体"/>
                <w:color w:val="auto"/>
                <w:sz w:val="24"/>
              </w:rPr>
              <w:t>）；</w:t>
            </w:r>
          </w:p>
          <w:p>
            <w:pPr>
              <w:spacing w:line="480" w:lineRule="exact"/>
              <w:ind w:firstLine="480" w:firstLineChars="200"/>
              <w:rPr>
                <w:color w:val="auto"/>
                <w:sz w:val="24"/>
              </w:rPr>
            </w:pPr>
            <w:r>
              <w:rPr>
                <w:i/>
                <w:iCs/>
                <w:color w:val="auto"/>
                <w:sz w:val="24"/>
              </w:rPr>
              <w:t>T</w:t>
            </w:r>
            <w:r>
              <w:rPr>
                <w:color w:val="auto"/>
                <w:sz w:val="24"/>
              </w:rPr>
              <w:t>—</w:t>
            </w:r>
            <w:r>
              <w:rPr>
                <w:rFonts w:hAnsi="宋体"/>
                <w:color w:val="auto"/>
                <w:sz w:val="24"/>
              </w:rPr>
              <w:t>预测计算的时间段，</w:t>
            </w:r>
            <w:r>
              <w:rPr>
                <w:color w:val="auto"/>
                <w:sz w:val="24"/>
              </w:rPr>
              <w:t>s</w:t>
            </w:r>
            <w:r>
              <w:rPr>
                <w:rFonts w:hAnsi="宋体"/>
                <w:color w:val="auto"/>
                <w:sz w:val="24"/>
              </w:rPr>
              <w:t>；</w:t>
            </w:r>
          </w:p>
          <w:p>
            <w:pPr>
              <w:spacing w:line="480" w:lineRule="exact"/>
              <w:ind w:firstLine="480" w:firstLineChars="200"/>
              <w:rPr>
                <w:color w:val="auto"/>
                <w:sz w:val="24"/>
              </w:rPr>
            </w:pPr>
            <w:r>
              <w:rPr>
                <w:i/>
                <w:iCs/>
                <w:color w:val="auto"/>
                <w:sz w:val="24"/>
              </w:rPr>
              <w:t>T</w:t>
            </w:r>
            <w:r>
              <w:rPr>
                <w:i/>
                <w:iCs/>
                <w:color w:val="auto"/>
                <w:sz w:val="24"/>
                <w:vertAlign w:val="subscript"/>
              </w:rPr>
              <w:t>i</w:t>
            </w:r>
            <w:r>
              <w:rPr>
                <w:color w:val="auto"/>
                <w:sz w:val="24"/>
              </w:rPr>
              <w:t>—</w:t>
            </w:r>
            <w:r>
              <w:rPr>
                <w:i/>
                <w:iCs/>
                <w:color w:val="auto"/>
                <w:sz w:val="24"/>
              </w:rPr>
              <w:t>i</w:t>
            </w:r>
            <w:r>
              <w:rPr>
                <w:rFonts w:hAnsi="宋体"/>
                <w:color w:val="auto"/>
                <w:sz w:val="24"/>
              </w:rPr>
              <w:t>声源在</w:t>
            </w:r>
            <w:r>
              <w:rPr>
                <w:i/>
                <w:iCs/>
                <w:color w:val="auto"/>
                <w:sz w:val="24"/>
              </w:rPr>
              <w:t>T</w:t>
            </w:r>
            <w:r>
              <w:rPr>
                <w:rFonts w:hAnsi="宋体"/>
                <w:color w:val="auto"/>
                <w:sz w:val="24"/>
              </w:rPr>
              <w:t>时段内的运行时间，</w:t>
            </w:r>
            <w:r>
              <w:rPr>
                <w:color w:val="auto"/>
                <w:sz w:val="24"/>
              </w:rPr>
              <w:t>s</w:t>
            </w:r>
            <w:r>
              <w:rPr>
                <w:rFonts w:hAnsi="宋体"/>
                <w:color w:val="auto"/>
                <w:sz w:val="24"/>
              </w:rPr>
              <w:t>。</w:t>
            </w:r>
          </w:p>
          <w:p>
            <w:pPr>
              <w:autoSpaceDE w:val="0"/>
              <w:autoSpaceDN w:val="0"/>
              <w:adjustRightInd w:val="0"/>
              <w:spacing w:line="360" w:lineRule="auto"/>
              <w:ind w:firstLine="480" w:firstLineChars="200"/>
              <w:jc w:val="left"/>
              <w:outlineLvl w:val="3"/>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产噪设备加设减振基础或减振垫等措施后，噪声能降低噪声级</w:t>
            </w:r>
            <w:r>
              <w:rPr>
                <w:rFonts w:hint="eastAsia" w:ascii="宋体" w:hAnsi="宋体" w:cs="宋体"/>
                <w:color w:val="auto"/>
                <w:kern w:val="2"/>
                <w:sz w:val="24"/>
                <w:szCs w:val="24"/>
                <w:lang w:val="en-US" w:eastAsia="zh-CN" w:bidi="ar-SA"/>
              </w:rPr>
              <w:t>15</w:t>
            </w:r>
            <w:r>
              <w:rPr>
                <w:rFonts w:hint="eastAsia" w:ascii="宋体" w:hAnsi="宋体" w:eastAsia="宋体" w:cs="宋体"/>
                <w:color w:val="auto"/>
                <w:kern w:val="2"/>
                <w:sz w:val="24"/>
                <w:szCs w:val="24"/>
                <w:lang w:val="en-US" w:eastAsia="zh-CN" w:bidi="ar-SA"/>
              </w:rPr>
              <w:t>dB(A)。</w:t>
            </w:r>
            <w:r>
              <w:rPr>
                <w:rFonts w:hint="eastAsia" w:ascii="宋体" w:hAnsi="宋体" w:eastAsia="宋体" w:cs="宋体"/>
                <w:color w:val="auto"/>
                <w:sz w:val="24"/>
                <w:szCs w:val="24"/>
                <w:lang w:val="en-US" w:eastAsia="zh-CN"/>
              </w:rPr>
              <w:t>结合距离衰减，本项目每天</w:t>
            </w:r>
            <w:r>
              <w:rPr>
                <w:rFonts w:hint="eastAsia" w:ascii="宋体" w:hAnsi="宋体" w:cs="宋体"/>
                <w:color w:val="auto"/>
                <w:sz w:val="24"/>
                <w:szCs w:val="24"/>
                <w:lang w:val="en-US" w:eastAsia="zh-CN"/>
              </w:rPr>
              <w:t>昼间</w:t>
            </w:r>
            <w:r>
              <w:rPr>
                <w:rFonts w:hint="eastAsia" w:ascii="宋体" w:hAnsi="宋体" w:eastAsia="宋体" w:cs="宋体"/>
                <w:color w:val="auto"/>
                <w:sz w:val="24"/>
                <w:szCs w:val="24"/>
                <w:lang w:val="en-US" w:eastAsia="zh-CN"/>
              </w:rPr>
              <w:t>运行8小时，运行时对厂界噪声贡献值见表4-</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w:t>
            </w:r>
          </w:p>
          <w:p>
            <w:pPr>
              <w:pStyle w:val="40"/>
              <w:rPr>
                <w:rFonts w:hint="default" w:ascii="Times New Roman" w:hAnsi="Times New Roman" w:eastAsia="宋体" w:cs="Times New Roman"/>
                <w:b/>
                <w:bCs/>
                <w:color w:val="000000" w:themeColor="text1"/>
                <w:spacing w:val="0"/>
                <w:kern w:val="2"/>
                <w:positio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position w:val="0"/>
                <w:sz w:val="21"/>
                <w:szCs w:val="24"/>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spacing w:val="0"/>
                <w:kern w:val="2"/>
                <w:position w:val="0"/>
                <w:sz w:val="21"/>
                <w:szCs w:val="24"/>
                <w:highlight w:val="none"/>
                <w:lang w:val="en-US" w:eastAsia="zh-CN" w:bidi="ar-SA"/>
                <w14:textFill>
                  <w14:solidFill>
                    <w14:schemeClr w14:val="tx1"/>
                  </w14:solidFill>
                </w14:textFill>
              </w:rPr>
              <w:t>4-</w:t>
            </w:r>
            <w:r>
              <w:rPr>
                <w:rFonts w:hint="eastAsia" w:cs="Times New Roman"/>
                <w:b/>
                <w:bCs/>
                <w:color w:val="000000" w:themeColor="text1"/>
                <w:spacing w:val="0"/>
                <w:kern w:val="2"/>
                <w:position w:val="0"/>
                <w:sz w:val="21"/>
                <w:szCs w:val="24"/>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pacing w:val="0"/>
                <w:kern w:val="2"/>
                <w:position w:val="0"/>
                <w:sz w:val="21"/>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pacing w:val="0"/>
                <w:kern w:val="2"/>
                <w:position w:val="0"/>
                <w:sz w:val="21"/>
                <w:szCs w:val="24"/>
                <w:highlight w:val="none"/>
                <w:lang w:val="en-US" w:eastAsia="zh-CN" w:bidi="ar-SA"/>
                <w14:textFill>
                  <w14:solidFill>
                    <w14:schemeClr w14:val="tx1"/>
                  </w14:solidFill>
                </w14:textFill>
              </w:rPr>
              <w:t>厂界噪声贡献值一览表</w:t>
            </w:r>
            <w:r>
              <w:rPr>
                <w:rFonts w:hint="default" w:ascii="Times New Roman" w:hAnsi="Times New Roman" w:eastAsia="宋体" w:cs="Times New Roman"/>
                <w:b/>
                <w:bCs/>
                <w:color w:val="000000" w:themeColor="text1"/>
                <w:spacing w:val="0"/>
                <w:kern w:val="2"/>
                <w:position w:val="0"/>
                <w:sz w:val="21"/>
                <w:szCs w:val="24"/>
                <w:highlight w:val="none"/>
                <w:lang w:val="en-US" w:eastAsia="zh-CN" w:bidi="ar-SA"/>
                <w14:textFill>
                  <w14:solidFill>
                    <w14:schemeClr w14:val="tx1"/>
                  </w14:solidFill>
                </w14:textFill>
              </w:rPr>
              <w:t xml:space="preserve">    单位：dB(A)</w:t>
            </w:r>
          </w:p>
          <w:tbl>
            <w:tblPr>
              <w:tblStyle w:val="24"/>
              <w:tblW w:w="813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859"/>
              <w:gridCol w:w="914"/>
              <w:gridCol w:w="900"/>
              <w:gridCol w:w="900"/>
              <w:gridCol w:w="914"/>
              <w:gridCol w:w="845"/>
              <w:gridCol w:w="859"/>
              <w:gridCol w:w="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vMerge w:val="restart"/>
                  <w:vAlign w:val="center"/>
                </w:tcPr>
                <w:p>
                  <w:pPr>
                    <w:pStyle w:val="40"/>
                    <w:jc w:val="center"/>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厂界噪声</w:t>
                  </w:r>
                </w:p>
              </w:tc>
              <w:tc>
                <w:tcPr>
                  <w:tcW w:w="1773" w:type="dxa"/>
                  <w:gridSpan w:val="2"/>
                  <w:vAlign w:val="center"/>
                </w:tcPr>
                <w:p>
                  <w:pPr>
                    <w:pStyle w:val="53"/>
                    <w:keepNext w:val="0"/>
                    <w:keepLines w:val="0"/>
                    <w:pageBreakBefore w:val="0"/>
                    <w:kinsoku/>
                    <w:wordWrap/>
                    <w:overflowPunct/>
                    <w:topLinePunct w:val="0"/>
                    <w:bidi w:val="0"/>
                    <w:spacing w:line="320" w:lineRule="exact"/>
                    <w:ind w:firstLine="0" w:firstLineChars="0"/>
                    <w:textAlignment w:val="auto"/>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b/>
                      <w:bCs/>
                      <w:color w:val="000000" w:themeColor="text1"/>
                      <w14:textFill>
                        <w14:solidFill>
                          <w14:schemeClr w14:val="tx1"/>
                        </w14:solidFill>
                      </w14:textFill>
                    </w:rPr>
                    <w:t>厂界东</w:t>
                  </w:r>
                </w:p>
              </w:tc>
              <w:tc>
                <w:tcPr>
                  <w:tcW w:w="1800" w:type="dxa"/>
                  <w:gridSpan w:val="2"/>
                  <w:vAlign w:val="center"/>
                </w:tcPr>
                <w:p>
                  <w:pPr>
                    <w:pStyle w:val="53"/>
                    <w:keepNext w:val="0"/>
                    <w:keepLines w:val="0"/>
                    <w:pageBreakBefore w:val="0"/>
                    <w:kinsoku/>
                    <w:wordWrap/>
                    <w:overflowPunct/>
                    <w:topLinePunct w:val="0"/>
                    <w:bidi w:val="0"/>
                    <w:spacing w:line="320" w:lineRule="exact"/>
                    <w:ind w:firstLine="0" w:firstLineChars="0"/>
                    <w:textAlignment w:val="auto"/>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b/>
                      <w:bCs/>
                      <w:color w:val="000000" w:themeColor="text1"/>
                      <w14:textFill>
                        <w14:solidFill>
                          <w14:schemeClr w14:val="tx1"/>
                        </w14:solidFill>
                      </w14:textFill>
                    </w:rPr>
                    <w:t>厂界南</w:t>
                  </w:r>
                </w:p>
              </w:tc>
              <w:tc>
                <w:tcPr>
                  <w:tcW w:w="1759" w:type="dxa"/>
                  <w:gridSpan w:val="2"/>
                  <w:vAlign w:val="center"/>
                </w:tcPr>
                <w:p>
                  <w:pPr>
                    <w:pStyle w:val="53"/>
                    <w:keepNext w:val="0"/>
                    <w:keepLines w:val="0"/>
                    <w:pageBreakBefore w:val="0"/>
                    <w:kinsoku/>
                    <w:wordWrap/>
                    <w:overflowPunct/>
                    <w:topLinePunct w:val="0"/>
                    <w:bidi w:val="0"/>
                    <w:spacing w:line="320" w:lineRule="exact"/>
                    <w:ind w:firstLine="0" w:firstLineChars="0"/>
                    <w:textAlignment w:val="auto"/>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b/>
                      <w:bCs/>
                      <w:color w:val="000000" w:themeColor="text1"/>
                      <w14:textFill>
                        <w14:solidFill>
                          <w14:schemeClr w14:val="tx1"/>
                        </w14:solidFill>
                      </w14:textFill>
                    </w:rPr>
                    <w:t>厂界西</w:t>
                  </w:r>
                </w:p>
              </w:tc>
              <w:tc>
                <w:tcPr>
                  <w:tcW w:w="1681" w:type="dxa"/>
                  <w:gridSpan w:val="2"/>
                  <w:vAlign w:val="center"/>
                </w:tcPr>
                <w:p>
                  <w:pPr>
                    <w:pStyle w:val="53"/>
                    <w:keepNext w:val="0"/>
                    <w:keepLines w:val="0"/>
                    <w:pageBreakBefore w:val="0"/>
                    <w:kinsoku/>
                    <w:wordWrap/>
                    <w:overflowPunct/>
                    <w:topLinePunct w:val="0"/>
                    <w:bidi w:val="0"/>
                    <w:spacing w:line="320" w:lineRule="exact"/>
                    <w:ind w:firstLine="0" w:firstLineChars="0"/>
                    <w:textAlignment w:val="auto"/>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b/>
                      <w:bCs/>
                      <w:color w:val="000000" w:themeColor="text1"/>
                      <w14:textFill>
                        <w14:solidFill>
                          <w14:schemeClr w14:val="tx1"/>
                        </w14:solidFill>
                      </w14:textFill>
                    </w:rPr>
                    <w:t>厂界北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vMerge w:val="continue"/>
                  <w:tcBorders>
                    <w:bottom w:val="single" w:color="auto" w:sz="12" w:space="0"/>
                  </w:tcBorders>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p>
              </w:tc>
              <w:tc>
                <w:tcPr>
                  <w:tcW w:w="859" w:type="dxa"/>
                  <w:tcBorders>
                    <w:bottom w:val="single" w:color="auto" w:sz="12" w:space="0"/>
                  </w:tcBorders>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昼间</w:t>
                  </w:r>
                </w:p>
              </w:tc>
              <w:tc>
                <w:tcPr>
                  <w:tcW w:w="914" w:type="dxa"/>
                  <w:tcBorders>
                    <w:bottom w:val="single" w:color="auto" w:sz="12" w:space="0"/>
                  </w:tcBorders>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夜间</w:t>
                  </w:r>
                </w:p>
              </w:tc>
              <w:tc>
                <w:tcPr>
                  <w:tcW w:w="900" w:type="dxa"/>
                  <w:tcBorders>
                    <w:bottom w:val="single" w:color="auto" w:sz="12" w:space="0"/>
                  </w:tcBorders>
                  <w:vAlign w:val="top"/>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昼间</w:t>
                  </w:r>
                </w:p>
              </w:tc>
              <w:tc>
                <w:tcPr>
                  <w:tcW w:w="900" w:type="dxa"/>
                  <w:tcBorders>
                    <w:bottom w:val="single" w:color="auto" w:sz="12" w:space="0"/>
                  </w:tcBorders>
                  <w:vAlign w:val="top"/>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夜间</w:t>
                  </w:r>
                </w:p>
              </w:tc>
              <w:tc>
                <w:tcPr>
                  <w:tcW w:w="914" w:type="dxa"/>
                  <w:tcBorders>
                    <w:bottom w:val="single" w:color="auto" w:sz="12" w:space="0"/>
                  </w:tcBorders>
                  <w:vAlign w:val="top"/>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昼间</w:t>
                  </w:r>
                </w:p>
              </w:tc>
              <w:tc>
                <w:tcPr>
                  <w:tcW w:w="845" w:type="dxa"/>
                  <w:tcBorders>
                    <w:bottom w:val="single" w:color="auto" w:sz="12" w:space="0"/>
                  </w:tcBorders>
                  <w:vAlign w:val="top"/>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夜间</w:t>
                  </w:r>
                </w:p>
              </w:tc>
              <w:tc>
                <w:tcPr>
                  <w:tcW w:w="859" w:type="dxa"/>
                  <w:tcBorders>
                    <w:bottom w:val="single" w:color="auto" w:sz="12" w:space="0"/>
                  </w:tcBorders>
                  <w:vAlign w:val="top"/>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昼间</w:t>
                  </w:r>
                </w:p>
              </w:tc>
              <w:tc>
                <w:tcPr>
                  <w:tcW w:w="822" w:type="dxa"/>
                  <w:tcBorders>
                    <w:bottom w:val="single" w:color="auto" w:sz="12" w:space="0"/>
                  </w:tcBorders>
                  <w:vAlign w:val="top"/>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tcBorders>
                    <w:top w:val="single" w:color="auto" w:sz="12" w:space="0"/>
                    <w:tl2br w:val="nil"/>
                    <w:tr2bl w:val="nil"/>
                  </w:tcBorders>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贡献值</w:t>
                  </w:r>
                </w:p>
              </w:tc>
              <w:tc>
                <w:tcPr>
                  <w:tcW w:w="859" w:type="dxa"/>
                  <w:tcBorders>
                    <w:top w:val="single" w:color="auto" w:sz="12" w:space="0"/>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42.5</w:t>
                  </w:r>
                </w:p>
              </w:tc>
              <w:tc>
                <w:tcPr>
                  <w:tcW w:w="914" w:type="dxa"/>
                  <w:tcBorders>
                    <w:top w:val="single" w:color="auto" w:sz="12" w:space="0"/>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0</w:t>
                  </w:r>
                </w:p>
              </w:tc>
              <w:tc>
                <w:tcPr>
                  <w:tcW w:w="900" w:type="dxa"/>
                  <w:tcBorders>
                    <w:top w:val="single" w:color="auto" w:sz="12" w:space="0"/>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44.5</w:t>
                  </w:r>
                </w:p>
              </w:tc>
              <w:tc>
                <w:tcPr>
                  <w:tcW w:w="900" w:type="dxa"/>
                  <w:tcBorders>
                    <w:top w:val="single" w:color="auto" w:sz="12" w:space="0"/>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0</w:t>
                  </w:r>
                </w:p>
              </w:tc>
              <w:tc>
                <w:tcPr>
                  <w:tcW w:w="914" w:type="dxa"/>
                  <w:tcBorders>
                    <w:top w:val="single" w:color="auto" w:sz="12" w:space="0"/>
                    <w:tl2br w:val="nil"/>
                    <w:tr2bl w:val="nil"/>
                  </w:tcBorders>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45.3</w:t>
                  </w:r>
                </w:p>
              </w:tc>
              <w:tc>
                <w:tcPr>
                  <w:tcW w:w="845" w:type="dxa"/>
                  <w:tcBorders>
                    <w:top w:val="single" w:color="auto" w:sz="12" w:space="0"/>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0</w:t>
                  </w:r>
                </w:p>
              </w:tc>
              <w:tc>
                <w:tcPr>
                  <w:tcW w:w="859" w:type="dxa"/>
                  <w:tcBorders>
                    <w:top w:val="single" w:color="auto" w:sz="12" w:space="0"/>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b w:val="0"/>
                      <w:bCs w:val="0"/>
                      <w:color w:val="000000" w:themeColor="text1"/>
                      <w:lang w:val="en-US" w:eastAsia="zh-CN"/>
                      <w14:textFill>
                        <w14:solidFill>
                          <w14:schemeClr w14:val="tx1"/>
                        </w14:solidFill>
                      </w14:textFill>
                    </w:rPr>
                    <w:t>45.2</w:t>
                  </w:r>
                </w:p>
              </w:tc>
              <w:tc>
                <w:tcPr>
                  <w:tcW w:w="822" w:type="dxa"/>
                  <w:tcBorders>
                    <w:top w:val="single" w:color="auto" w:sz="12" w:space="0"/>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7" w:type="dxa"/>
                  <w:tcBorders>
                    <w:tl2br w:val="nil"/>
                    <w:tr2bl w:val="nil"/>
                  </w:tcBorders>
                </w:tcPr>
                <w:p>
                  <w:pPr>
                    <w:pStyle w:val="40"/>
                    <w:rPr>
                      <w:rFonts w:hint="default" w:ascii="Times New Roman" w:hAnsi="Times New Roman" w:eastAsia="宋体"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bCs/>
                      <w:color w:val="000000" w:themeColor="text1"/>
                      <w:spacing w:val="0"/>
                      <w:kern w:val="2"/>
                      <w:position w:val="0"/>
                      <w:sz w:val="21"/>
                      <w:szCs w:val="24"/>
                      <w:highlight w:val="none"/>
                      <w:vertAlign w:val="baseline"/>
                      <w:lang w:val="en-US" w:eastAsia="zh-CN" w:bidi="ar-SA"/>
                      <w14:textFill>
                        <w14:solidFill>
                          <w14:schemeClr w14:val="tx1"/>
                        </w14:solidFill>
                      </w14:textFill>
                    </w:rPr>
                    <w:t>标准值</w:t>
                  </w:r>
                </w:p>
              </w:tc>
              <w:tc>
                <w:tcPr>
                  <w:tcW w:w="859" w:type="dxa"/>
                  <w:tcBorders>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65</w:t>
                  </w:r>
                </w:p>
              </w:tc>
              <w:tc>
                <w:tcPr>
                  <w:tcW w:w="914" w:type="dxa"/>
                  <w:tcBorders>
                    <w:tl2br w:val="nil"/>
                    <w:tr2bl w:val="nil"/>
                  </w:tcBorders>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55</w:t>
                  </w:r>
                </w:p>
              </w:tc>
              <w:tc>
                <w:tcPr>
                  <w:tcW w:w="900" w:type="dxa"/>
                  <w:tcBorders>
                    <w:tl2br w:val="nil"/>
                    <w:tr2bl w:val="nil"/>
                  </w:tcBorders>
                  <w:vAlign w:val="top"/>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65</w:t>
                  </w:r>
                </w:p>
              </w:tc>
              <w:tc>
                <w:tcPr>
                  <w:tcW w:w="900" w:type="dxa"/>
                  <w:tcBorders>
                    <w:tl2br w:val="nil"/>
                    <w:tr2bl w:val="nil"/>
                  </w:tcBorders>
                  <w:vAlign w:val="top"/>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55</w:t>
                  </w:r>
                </w:p>
              </w:tc>
              <w:tc>
                <w:tcPr>
                  <w:tcW w:w="914" w:type="dxa"/>
                  <w:tcBorders>
                    <w:tl2br w:val="nil"/>
                    <w:tr2bl w:val="nil"/>
                  </w:tcBorders>
                  <w:vAlign w:val="top"/>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65</w:t>
                  </w:r>
                </w:p>
              </w:tc>
              <w:tc>
                <w:tcPr>
                  <w:tcW w:w="845" w:type="dxa"/>
                  <w:tcBorders>
                    <w:tl2br w:val="nil"/>
                    <w:tr2bl w:val="nil"/>
                  </w:tcBorders>
                  <w:vAlign w:val="top"/>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55</w:t>
                  </w:r>
                </w:p>
              </w:tc>
              <w:tc>
                <w:tcPr>
                  <w:tcW w:w="859" w:type="dxa"/>
                  <w:tcBorders>
                    <w:tl2br w:val="nil"/>
                    <w:tr2bl w:val="nil"/>
                  </w:tcBorders>
                  <w:vAlign w:val="top"/>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65</w:t>
                  </w:r>
                </w:p>
              </w:tc>
              <w:tc>
                <w:tcPr>
                  <w:tcW w:w="822" w:type="dxa"/>
                  <w:tcBorders>
                    <w:tl2br w:val="nil"/>
                    <w:tr2bl w:val="nil"/>
                  </w:tcBorders>
                  <w:vAlign w:val="top"/>
                </w:tcPr>
                <w:p>
                  <w:pPr>
                    <w:pStyle w:val="40"/>
                    <w:rPr>
                      <w:rFonts w:hint="default" w:ascii="Times New Roman" w:hAnsi="Times New Roman" w:eastAsia="宋体"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4"/>
                      <w:highlight w:val="none"/>
                      <w:vertAlign w:val="baseline"/>
                      <w:lang w:val="en-US" w:eastAsia="zh-CN" w:bidi="ar-SA"/>
                      <w14:textFill>
                        <w14:solidFill>
                          <w14:schemeClr w14:val="tx1"/>
                        </w14:solidFill>
                      </w14:textFill>
                    </w:rPr>
                    <w:t>55</w:t>
                  </w:r>
                </w:p>
              </w:tc>
            </w:tr>
          </w:tbl>
          <w:p>
            <w:pPr>
              <w:pageBreakBefore w:val="0"/>
              <w:shd w:val="clear"/>
              <w:bidi w:val="0"/>
              <w:spacing w:beforeAutospacing="0" w:afterAutospacing="0" w:line="360" w:lineRule="auto"/>
              <w:ind w:right="0" w:rightChars="0" w:firstLine="480" w:firstLineChars="200"/>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由上表可知</w:t>
            </w:r>
            <w:r>
              <w:rPr>
                <w:rFonts w:hint="eastAsia" w:cs="Times New Roman"/>
                <w:color w:val="auto"/>
                <w:spacing w:val="0"/>
                <w:position w:val="0"/>
                <w:sz w:val="24"/>
                <w:highlight w:val="none"/>
                <w:lang w:eastAsia="zh-CN"/>
              </w:rPr>
              <w:t>，</w:t>
            </w:r>
            <w:r>
              <w:rPr>
                <w:rFonts w:hint="eastAsia" w:ascii="宋体" w:hAnsi="宋体" w:eastAsia="宋体" w:cs="宋体"/>
                <w:color w:val="auto"/>
                <w:sz w:val="24"/>
                <w:szCs w:val="24"/>
                <w:lang w:val="en-US" w:eastAsia="zh-CN"/>
              </w:rPr>
              <w:t>经采取以上降噪措施及距离衰减后，厂界昼间噪声贡献值在42.</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～45.</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dB（A</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之间，夜间不生产，厂界夜间噪声贡献值为0dB</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A</w:t>
            </w:r>
            <w:r>
              <w:rPr>
                <w:rFonts w:hint="eastAsia" w:ascii="宋体" w:hAnsi="宋体" w:cs="宋体"/>
                <w:color w:val="auto"/>
                <w:sz w:val="24"/>
                <w:szCs w:val="24"/>
                <w:lang w:val="en-US" w:eastAsia="zh-CN"/>
              </w:rPr>
              <w:t>）</w:t>
            </w:r>
            <w:r>
              <w:rPr>
                <w:rFonts w:hint="default" w:ascii="Times New Roman" w:hAnsi="Times New Roman" w:cs="Times New Roman"/>
                <w:color w:val="auto"/>
                <w:spacing w:val="0"/>
                <w:position w:val="0"/>
                <w:sz w:val="24"/>
                <w:highlight w:val="none"/>
              </w:rPr>
              <w:t>厂界噪声贡献值均能满足《工业企业厂界环境噪声排放标准》（GB12348-2008）</w:t>
            </w:r>
            <w:r>
              <w:rPr>
                <w:rFonts w:hint="eastAsia" w:cs="Times New Roman"/>
                <w:color w:val="auto"/>
                <w:spacing w:val="0"/>
                <w:position w:val="0"/>
                <w:sz w:val="24"/>
                <w:highlight w:val="none"/>
                <w:lang w:val="en-US" w:eastAsia="zh-CN"/>
              </w:rPr>
              <w:t>3</w:t>
            </w:r>
            <w:r>
              <w:rPr>
                <w:rFonts w:hint="default" w:ascii="Times New Roman" w:hAnsi="Times New Roman" w:cs="Times New Roman"/>
                <w:color w:val="auto"/>
                <w:spacing w:val="0"/>
                <w:position w:val="0"/>
                <w:sz w:val="24"/>
                <w:highlight w:val="none"/>
              </w:rPr>
              <w:t>类排放限值昼间≤6</w:t>
            </w:r>
            <w:r>
              <w:rPr>
                <w:rFonts w:hint="eastAsia" w:cs="Times New Roman"/>
                <w:color w:val="auto"/>
                <w:spacing w:val="0"/>
                <w:position w:val="0"/>
                <w:sz w:val="24"/>
                <w:highlight w:val="none"/>
                <w:lang w:val="en-US" w:eastAsia="zh-CN"/>
              </w:rPr>
              <w:t>5</w:t>
            </w:r>
            <w:r>
              <w:rPr>
                <w:rFonts w:hint="default" w:ascii="Times New Roman" w:hAnsi="Times New Roman" w:cs="Times New Roman"/>
                <w:color w:val="auto"/>
                <w:spacing w:val="0"/>
                <w:position w:val="0"/>
                <w:sz w:val="24"/>
                <w:highlight w:val="none"/>
              </w:rPr>
              <w:t>dB(A)，夜间≤55dB</w:t>
            </w:r>
            <w:r>
              <w:rPr>
                <w:rFonts w:hint="eastAsia" w:cs="Times New Roman"/>
                <w:color w:val="auto"/>
                <w:spacing w:val="0"/>
                <w:position w:val="0"/>
                <w:sz w:val="24"/>
                <w:highlight w:val="none"/>
                <w:lang w:eastAsia="zh-CN"/>
              </w:rPr>
              <w:t>（</w:t>
            </w:r>
            <w:r>
              <w:rPr>
                <w:rFonts w:hint="default" w:ascii="Times New Roman" w:hAnsi="Times New Roman" w:cs="Times New Roman"/>
                <w:color w:val="auto"/>
                <w:spacing w:val="0"/>
                <w:position w:val="0"/>
                <w:sz w:val="24"/>
                <w:highlight w:val="none"/>
              </w:rPr>
              <w:t>A</w:t>
            </w:r>
            <w:r>
              <w:rPr>
                <w:rFonts w:hint="eastAsia" w:cs="Times New Roman"/>
                <w:color w:val="auto"/>
                <w:spacing w:val="0"/>
                <w:position w:val="0"/>
                <w:sz w:val="24"/>
                <w:highlight w:val="none"/>
                <w:lang w:eastAsia="zh-CN"/>
              </w:rPr>
              <w:t>）</w:t>
            </w:r>
            <w:r>
              <w:rPr>
                <w:rFonts w:hint="default" w:ascii="Times New Roman" w:hAnsi="Times New Roman" w:cs="Times New Roman"/>
                <w:color w:val="auto"/>
                <w:spacing w:val="0"/>
                <w:position w:val="0"/>
                <w:sz w:val="24"/>
                <w:highlight w:val="none"/>
              </w:rPr>
              <w:t>要求。根据预测结果，本项目运营后产生的噪声对周围环境的影响不大。</w:t>
            </w:r>
          </w:p>
          <w:p>
            <w:pPr>
              <w:pageBreakBefore w:val="0"/>
              <w:shd w:val="clear"/>
              <w:bidi w:val="0"/>
              <w:spacing w:beforeAutospacing="0" w:afterAutospacing="0" w:line="360" w:lineRule="auto"/>
              <w:ind w:left="0" w:leftChars="0" w:right="0" w:rightChars="0" w:firstLine="480" w:firstLineChars="200"/>
              <w:jc w:val="left"/>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综上所述，建设项目噪声排放对周围的环境影响较小，噪声防治措施可行。企业在生产过程中应注意加强设备噪声治理，在项目设备安装过程中应重视减震工程的设计及施工质量。确保厂界噪声达标，不影响周边环境。</w:t>
            </w:r>
          </w:p>
          <w:p>
            <w:pPr>
              <w:pageBreakBefore w:val="0"/>
              <w:shd w:val="clear"/>
              <w:topLinePunct/>
              <w:bidi w:val="0"/>
              <w:spacing w:beforeAutospacing="0" w:afterAutospacing="0" w:line="360" w:lineRule="auto"/>
              <w:ind w:left="0" w:leftChars="0" w:right="0" w:rightChars="0" w:firstLine="480" w:firstLineChars="200"/>
              <w:jc w:val="left"/>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为进一步减小运营过程中噪声对工作人员的影响，建设单位拟采取如下措施：</w:t>
            </w:r>
          </w:p>
          <w:p>
            <w:pPr>
              <w:pageBreakBefore w:val="0"/>
              <w:shd w:val="clear"/>
              <w:topLinePunct/>
              <w:bidi w:val="0"/>
              <w:spacing w:beforeAutospacing="0" w:afterAutospacing="0" w:line="360" w:lineRule="auto"/>
              <w:ind w:left="0" w:leftChars="0" w:right="0" w:rightChars="0" w:firstLine="480" w:firstLineChars="200"/>
              <w:jc w:val="left"/>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（1）加强设备维护，对各机械设备及运输车辆进行定期检查、维护以及维修，及时更换一些破损零部件，确保机械设备正常运转，减少非正常生产噪声；</w:t>
            </w:r>
          </w:p>
          <w:p>
            <w:pPr>
              <w:pageBreakBefore w:val="0"/>
              <w:shd w:val="clear"/>
              <w:topLinePunct/>
              <w:bidi w:val="0"/>
              <w:spacing w:beforeAutospacing="0" w:afterAutospacing="0" w:line="360" w:lineRule="auto"/>
              <w:ind w:left="0" w:leftChars="0" w:right="0" w:rightChars="0" w:firstLine="480" w:firstLineChars="200"/>
              <w:jc w:val="left"/>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（2）加强职工劳动保护，高噪声接触岗位要求职工佩戴耳罩，采用轮岗制度减少职工对高噪声接触时间。</w:t>
            </w:r>
          </w:p>
          <w:p>
            <w:pPr>
              <w:pageBreakBefore w:val="0"/>
              <w:shd w:val="clear"/>
              <w:topLinePunct/>
              <w:bidi w:val="0"/>
              <w:spacing w:beforeAutospacing="0" w:afterAutospacing="0" w:line="360" w:lineRule="auto"/>
              <w:ind w:left="0" w:leftChars="0" w:right="0" w:rightChars="0" w:firstLine="480" w:firstLineChars="200"/>
              <w:jc w:val="left"/>
              <w:rPr>
                <w:rFonts w:hint="default" w:ascii="Times New Roman" w:hAnsi="Times New Roman" w:cs="Times New Roman"/>
                <w:color w:val="auto"/>
                <w:spacing w:val="0"/>
                <w:position w:val="0"/>
                <w:sz w:val="24"/>
                <w:highlight w:val="none"/>
              </w:rPr>
            </w:pPr>
            <w:r>
              <w:rPr>
                <w:rFonts w:hint="default" w:ascii="Times New Roman" w:hAnsi="Times New Roman" w:cs="Times New Roman"/>
                <w:color w:val="auto"/>
                <w:spacing w:val="0"/>
                <w:position w:val="0"/>
                <w:sz w:val="24"/>
                <w:highlight w:val="none"/>
              </w:rPr>
              <w:t>（3）高噪声设备采取集中控制，采取密闭隔离、减振等措施。</w:t>
            </w:r>
          </w:p>
          <w:p>
            <w:pPr>
              <w:pageBreakBefore w:val="0"/>
              <w:shd w:val="clear"/>
              <w:topLinePunct/>
              <w:bidi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position w:val="0"/>
                <w:sz w:val="24"/>
                <w:highlight w:val="none"/>
              </w:rPr>
            </w:pPr>
            <w:r>
              <w:rPr>
                <w:rFonts w:hint="default" w:ascii="Times New Roman" w:hAnsi="Times New Roman" w:eastAsia="宋体" w:cs="Times New Roman"/>
                <w:color w:val="auto"/>
                <w:spacing w:val="0"/>
                <w:position w:val="0"/>
                <w:sz w:val="24"/>
                <w:highlight w:val="none"/>
                <w:lang w:eastAsia="zh-CN"/>
              </w:rPr>
              <w:t>（</w:t>
            </w:r>
            <w:r>
              <w:rPr>
                <w:rFonts w:hint="eastAsia" w:cs="Times New Roman"/>
                <w:color w:val="auto"/>
                <w:spacing w:val="0"/>
                <w:position w:val="0"/>
                <w:sz w:val="24"/>
                <w:highlight w:val="none"/>
                <w:lang w:val="en-US" w:eastAsia="zh-CN"/>
              </w:rPr>
              <w:t>4</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产品及原料运输应安排在白天进行，在车辆经过道路两旁住户时，应尽量减少鸣笛次数；尽量不安排在夜间进行运输作业，避免噪声扰民。</w:t>
            </w:r>
          </w:p>
          <w:p>
            <w:pPr>
              <w:pageBreakBefore w:val="0"/>
              <w:shd w:val="clear"/>
              <w:topLinePunct/>
              <w:bidi w:val="0"/>
              <w:spacing w:beforeAutospacing="0" w:afterAutospacing="0" w:line="360" w:lineRule="auto"/>
              <w:ind w:left="0" w:leftChars="0" w:right="0" w:rightChars="0" w:firstLine="480" w:firstLineChars="200"/>
              <w:jc w:val="left"/>
              <w:rPr>
                <w:lang w:val="en-US" w:eastAsia="zh-CN"/>
              </w:rPr>
            </w:pPr>
            <w:r>
              <w:rPr>
                <w:rFonts w:hint="default" w:ascii="Times New Roman" w:hAnsi="Times New Roman" w:eastAsia="宋体" w:cs="Times New Roman"/>
                <w:color w:val="auto"/>
                <w:spacing w:val="0"/>
                <w:position w:val="0"/>
                <w:sz w:val="24"/>
                <w:highlight w:val="none"/>
                <w:lang w:eastAsia="zh-CN"/>
              </w:rPr>
              <w:t>（</w:t>
            </w:r>
            <w:r>
              <w:rPr>
                <w:rFonts w:hint="eastAsia" w:cs="Times New Roman"/>
                <w:color w:val="auto"/>
                <w:spacing w:val="0"/>
                <w:position w:val="0"/>
                <w:sz w:val="24"/>
                <w:highlight w:val="none"/>
                <w:lang w:val="en-US" w:eastAsia="zh-CN"/>
              </w:rPr>
              <w:t>5</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加强职工环保意识教育，提倡文明生产，防止人为噪声；强化行车管理制度，设置降噪标准，严禁鸣号，进入厂区低速行驶，最大限度减少流动噪声源。</w:t>
            </w:r>
          </w:p>
          <w:p>
            <w:pPr>
              <w:topLinePunct/>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5</w:t>
            </w:r>
            <w:r>
              <w:rPr>
                <w:rFonts w:hint="eastAsia"/>
                <w:b/>
                <w:bCs/>
                <w:color w:val="000000" w:themeColor="text1"/>
                <w:sz w:val="24"/>
                <w14:textFill>
                  <w14:solidFill>
                    <w14:schemeClr w14:val="tx1"/>
                  </w14:solidFill>
                </w14:textFill>
              </w:rPr>
              <w:t>排污口设置及监测计划</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根据《排污单位自行监测技术指南总则》(HJ819-2017)，本项目噪声监测要求见表</w:t>
            </w:r>
            <w:r>
              <w:rPr>
                <w:rFonts w:hint="eastAsia"/>
                <w:color w:val="000000" w:themeColor="text1"/>
                <w:sz w:val="24"/>
                <w:szCs w:val="32"/>
                <w14:textFill>
                  <w14:solidFill>
                    <w14:schemeClr w14:val="tx1"/>
                  </w14:solidFill>
                </w14:textFill>
              </w:rPr>
              <w:t>4-</w:t>
            </w:r>
            <w:r>
              <w:rPr>
                <w:rFonts w:hint="eastAsia"/>
                <w:color w:val="000000" w:themeColor="text1"/>
                <w:sz w:val="24"/>
                <w:szCs w:val="32"/>
                <w:lang w:val="en-US" w:eastAsia="zh-CN"/>
                <w14:textFill>
                  <w14:solidFill>
                    <w14:schemeClr w14:val="tx1"/>
                  </w14:solidFill>
                </w14:textFill>
              </w:rPr>
              <w:t>9</w:t>
            </w:r>
            <w:r>
              <w:rPr>
                <w:color w:val="000000" w:themeColor="text1"/>
                <w:sz w:val="24"/>
                <w:szCs w:val="32"/>
                <w14:textFill>
                  <w14:solidFill>
                    <w14:schemeClr w14:val="tx1"/>
                  </w14:solidFill>
                </w14:textFill>
              </w:rPr>
              <w:t>。</w:t>
            </w:r>
          </w:p>
          <w:p>
            <w:pPr>
              <w:topLinePunct/>
              <w:ind w:firstLine="422" w:firstLineChars="20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9</w:t>
            </w:r>
            <w:r>
              <w:rPr>
                <w:rFonts w:hint="eastAsia"/>
                <w:b/>
                <w:bCs/>
                <w:color w:val="000000" w:themeColor="text1"/>
                <w14:textFill>
                  <w14:solidFill>
                    <w14:schemeClr w14:val="tx1"/>
                  </w14:solidFill>
                </w14:textFill>
              </w:rPr>
              <w:t>项目噪声监测计划表</w:t>
            </w:r>
          </w:p>
          <w:tbl>
            <w:tblPr>
              <w:tblStyle w:val="23"/>
              <w:tblW w:w="85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138"/>
              <w:gridCol w:w="1704"/>
              <w:gridCol w:w="1227"/>
              <w:gridCol w:w="3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844" w:type="pct"/>
                  <w:tcBorders>
                    <w:top w:val="single" w:color="auto" w:sz="12" w:space="0"/>
                    <w:bottom w:val="single" w:color="auto" w:sz="12"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污染物类别</w:t>
                  </w:r>
                </w:p>
              </w:tc>
              <w:tc>
                <w:tcPr>
                  <w:tcW w:w="666" w:type="pct"/>
                  <w:tcBorders>
                    <w:top w:val="single" w:color="auto" w:sz="12" w:space="0"/>
                    <w:bottom w:val="single" w:color="auto" w:sz="12"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997" w:type="pct"/>
                  <w:tcBorders>
                    <w:top w:val="single" w:color="auto" w:sz="12" w:space="0"/>
                    <w:left w:val="single" w:color="auto" w:sz="4" w:space="0"/>
                    <w:bottom w:val="single" w:color="auto" w:sz="12"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监测因子</w:t>
                  </w:r>
                </w:p>
              </w:tc>
              <w:tc>
                <w:tcPr>
                  <w:tcW w:w="718" w:type="pct"/>
                  <w:tcBorders>
                    <w:top w:val="single" w:color="auto" w:sz="12" w:space="0"/>
                    <w:left w:val="single" w:color="auto" w:sz="4" w:space="0"/>
                    <w:bottom w:val="single" w:color="auto" w:sz="12"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监测频次</w:t>
                  </w:r>
                </w:p>
              </w:tc>
              <w:tc>
                <w:tcPr>
                  <w:tcW w:w="1773" w:type="pct"/>
                  <w:tcBorders>
                    <w:top w:val="single" w:color="auto" w:sz="12" w:space="0"/>
                    <w:left w:val="single" w:color="auto" w:sz="4" w:space="0"/>
                    <w:bottom w:val="single" w:color="auto" w:sz="12" w:space="0"/>
                    <w:right w:val="nil"/>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4" w:type="pct"/>
                  <w:tcBorders>
                    <w:top w:val="single" w:color="auto" w:sz="12" w:space="0"/>
                    <w:bottom w:val="single" w:color="auto" w:sz="12" w:space="0"/>
                    <w:right w:val="single" w:color="auto" w:sz="4" w:space="0"/>
                  </w:tcBorders>
                  <w:vAlign w:val="center"/>
                </w:tcPr>
                <w:p>
                  <w:pPr>
                    <w:jc w:val="center"/>
                    <w:rPr>
                      <w:rFonts w:ascii="Times New Roman" w:hAnsi="Times New Roman" w:eastAsia="宋体" w:cs="Times New Roman"/>
                      <w:color w:val="000000" w:themeColor="text1"/>
                      <w:szCs w:val="21"/>
                      <w:lang w:val="zh-TW" w:eastAsia="zh-TW"/>
                      <w14:textFill>
                        <w14:solidFill>
                          <w14:schemeClr w14:val="tx1"/>
                        </w14:solidFill>
                      </w14:textFill>
                    </w:rPr>
                  </w:pPr>
                  <w:r>
                    <w:rPr>
                      <w:rFonts w:ascii="Times New Roman" w:hAnsi="Times New Roman" w:eastAsia="宋体" w:cs="Times New Roman"/>
                      <w:color w:val="000000" w:themeColor="text1"/>
                      <w:szCs w:val="21"/>
                      <w:lang w:val="zh-TW" w:eastAsia="zh-TW"/>
                      <w14:textFill>
                        <w14:solidFill>
                          <w14:schemeClr w14:val="tx1"/>
                        </w14:solidFill>
                      </w14:textFill>
                    </w:rPr>
                    <w:t>噪声</w:t>
                  </w:r>
                </w:p>
              </w:tc>
              <w:tc>
                <w:tcPr>
                  <w:tcW w:w="666" w:type="pct"/>
                  <w:tcBorders>
                    <w:top w:val="single" w:color="auto" w:sz="12" w:space="0"/>
                    <w:bottom w:val="single" w:color="auto" w:sz="12" w:space="0"/>
                  </w:tcBorders>
                  <w:vAlign w:val="center"/>
                </w:tcPr>
                <w:p>
                  <w:pPr>
                    <w:jc w:val="center"/>
                    <w:rPr>
                      <w:rFonts w:ascii="Times New Roman" w:hAnsi="Times New Roman" w:eastAsia="宋体" w:cs="Times New Roman"/>
                      <w:color w:val="000000" w:themeColor="text1"/>
                      <w:szCs w:val="21"/>
                      <w:lang w:val="zh-TW" w:eastAsia="zh-TW"/>
                      <w14:textFill>
                        <w14:solidFill>
                          <w14:schemeClr w14:val="tx1"/>
                        </w14:solidFill>
                      </w14:textFill>
                    </w:rPr>
                  </w:pPr>
                  <w:r>
                    <w:rPr>
                      <w:rFonts w:ascii="Times New Roman" w:hAnsi="Times New Roman" w:eastAsia="宋体" w:cs="Times New Roman"/>
                      <w:color w:val="000000" w:themeColor="text1"/>
                      <w:szCs w:val="21"/>
                      <w:lang w:val="zh-TW" w:eastAsia="zh-TW"/>
                      <w14:textFill>
                        <w14:solidFill>
                          <w14:schemeClr w14:val="tx1"/>
                        </w14:solidFill>
                      </w14:textFill>
                    </w:rPr>
                    <w:t>厂界</w:t>
                  </w:r>
                </w:p>
              </w:tc>
              <w:tc>
                <w:tcPr>
                  <w:tcW w:w="997" w:type="pct"/>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color w:val="000000" w:themeColor="text1"/>
                      <w:szCs w:val="21"/>
                      <w:lang w:val="zh-TW" w:eastAsia="zh-TW"/>
                      <w14:textFill>
                        <w14:solidFill>
                          <w14:schemeClr w14:val="tx1"/>
                        </w14:solidFill>
                      </w14:textFill>
                    </w:rPr>
                  </w:pPr>
                  <w:r>
                    <w:rPr>
                      <w:rFonts w:ascii="Times New Roman" w:hAnsi="Times New Roman" w:eastAsia="宋体" w:cs="Times New Roman"/>
                      <w:color w:val="000000" w:themeColor="text1"/>
                      <w:szCs w:val="21"/>
                      <w:lang w:val="zh-TW" w:eastAsia="zh-TW"/>
                      <w14:textFill>
                        <w14:solidFill>
                          <w14:schemeClr w14:val="tx1"/>
                        </w14:solidFill>
                      </w14:textFill>
                    </w:rPr>
                    <w:t>连续等效A声级</w:t>
                  </w:r>
                </w:p>
              </w:tc>
              <w:tc>
                <w:tcPr>
                  <w:tcW w:w="718" w:type="pct"/>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color w:val="000000" w:themeColor="text1"/>
                      <w:szCs w:val="21"/>
                      <w:lang w:val="zh-TW" w:eastAsia="zh-TW"/>
                      <w14:textFill>
                        <w14:solidFill>
                          <w14:schemeClr w14:val="tx1"/>
                        </w14:solidFill>
                      </w14:textFill>
                    </w:rPr>
                  </w:pPr>
                  <w:r>
                    <w:rPr>
                      <w:rFonts w:ascii="Times New Roman" w:hAnsi="Times New Roman" w:eastAsia="宋体" w:cs="Times New Roman"/>
                      <w:color w:val="000000" w:themeColor="text1"/>
                      <w:szCs w:val="21"/>
                      <w:lang w:val="zh-TW" w:eastAsia="zh-TW"/>
                      <w14:textFill>
                        <w14:solidFill>
                          <w14:schemeClr w14:val="tx1"/>
                        </w14:solidFill>
                      </w14:textFill>
                    </w:rPr>
                    <w:t>1次/季度</w:t>
                  </w:r>
                </w:p>
              </w:tc>
              <w:tc>
                <w:tcPr>
                  <w:tcW w:w="1773" w:type="pct"/>
                  <w:tcBorders>
                    <w:top w:val="single" w:color="auto" w:sz="12" w:space="0"/>
                    <w:left w:val="single" w:color="auto" w:sz="4" w:space="0"/>
                    <w:bottom w:val="single" w:color="auto" w:sz="12" w:space="0"/>
                    <w:right w:val="nil"/>
                  </w:tcBorders>
                  <w:vAlign w:val="center"/>
                </w:tcPr>
                <w:p>
                  <w:pPr>
                    <w:jc w:val="center"/>
                    <w:rPr>
                      <w:rFonts w:ascii="Times New Roman" w:hAnsi="Times New Roman" w:eastAsia="宋体" w:cs="Times New Roman"/>
                      <w:color w:val="000000" w:themeColor="text1"/>
                      <w:szCs w:val="21"/>
                      <w:lang w:val="zh-TW" w:eastAsia="zh-TW"/>
                      <w14:textFill>
                        <w14:solidFill>
                          <w14:schemeClr w14:val="tx1"/>
                        </w14:solidFill>
                      </w14:textFill>
                    </w:rPr>
                  </w:pPr>
                  <w:r>
                    <w:rPr>
                      <w:rFonts w:ascii="Times New Roman" w:hAnsi="Times New Roman" w:eastAsia="宋体" w:cs="Times New Roman"/>
                      <w:color w:val="000000" w:themeColor="text1"/>
                      <w:szCs w:val="21"/>
                      <w:lang w:val="zh-TW" w:eastAsia="zh-TW"/>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szCs w:val="21"/>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zh-TW" w:eastAsia="zh-TW"/>
                      <w14:textFill>
                        <w14:solidFill>
                          <w14:schemeClr w14:val="tx1"/>
                        </w14:solidFill>
                      </w14:textFill>
                    </w:rPr>
                    <w:t>类</w:t>
                  </w:r>
                </w:p>
              </w:tc>
            </w:tr>
          </w:tbl>
          <w:p>
            <w:pPr>
              <w:pStyle w:val="4"/>
              <w:rPr>
                <w:b/>
                <w:bCs/>
                <w:color w:val="auto"/>
                <w:sz w:val="24"/>
              </w:rPr>
            </w:pPr>
            <w:r>
              <w:rPr>
                <w:b/>
                <w:bCs/>
                <w:color w:val="auto"/>
                <w:sz w:val="24"/>
              </w:rPr>
              <w:t>4.固体废物</w:t>
            </w:r>
          </w:p>
          <w:p>
            <w:pPr>
              <w:pStyle w:val="57"/>
              <w:tabs>
                <w:tab w:val="left" w:pos="1892"/>
              </w:tabs>
              <w:spacing w:line="360" w:lineRule="auto"/>
              <w:ind w:left="0" w:firstLine="0"/>
              <w:jc w:val="left"/>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lang w:val="en-US"/>
                <w14:textFill>
                  <w14:solidFill>
                    <w14:schemeClr w14:val="tx1"/>
                  </w14:solidFill>
                </w14:textFill>
              </w:rPr>
              <w:t>4.1</w:t>
            </w:r>
            <w:r>
              <w:rPr>
                <w:rFonts w:ascii="Times New Roman" w:hAnsi="Times New Roman" w:cs="Times New Roman"/>
                <w:b/>
                <w:bCs/>
                <w:color w:val="000000" w:themeColor="text1"/>
                <w:sz w:val="24"/>
                <w14:textFill>
                  <w14:solidFill>
                    <w14:schemeClr w14:val="tx1"/>
                  </w14:solidFill>
                </w14:textFill>
              </w:rPr>
              <w:t>固废产出情况</w:t>
            </w:r>
          </w:p>
          <w:p>
            <w:pPr>
              <w:pStyle w:val="57"/>
              <w:tabs>
                <w:tab w:val="left" w:pos="1892"/>
              </w:tabs>
              <w:spacing w:line="360" w:lineRule="auto"/>
              <w:ind w:left="0" w:firstLine="480" w:firstLineChars="200"/>
              <w:jc w:val="left"/>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营运期固废分为一般</w:t>
            </w:r>
            <w:r>
              <w:rPr>
                <w:rFonts w:hint="eastAsia" w:ascii="Times New Roman" w:hAnsi="Times New Roman" w:cs="Times New Roman"/>
                <w:color w:val="000000" w:themeColor="text1"/>
                <w:spacing w:val="0"/>
                <w:w w:val="100"/>
                <w:position w:val="0"/>
                <w:sz w:val="24"/>
                <w:szCs w:val="24"/>
                <w:highlight w:val="none"/>
                <w:lang w:eastAsia="zh-CN"/>
                <w14:textFill>
                  <w14:solidFill>
                    <w14:schemeClr w14:val="tx1"/>
                  </w14:solidFill>
                </w14:textFill>
              </w:rPr>
              <w:t>工业</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固废和</w:t>
            </w:r>
            <w:r>
              <w:rPr>
                <w:rFonts w:hint="eastAsia" w:ascii="Times New Roman" w:hAnsi="Times New Roman" w:cs="Times New Roman"/>
                <w:color w:val="000000" w:themeColor="text1"/>
                <w:spacing w:val="0"/>
                <w:w w:val="100"/>
                <w:position w:val="0"/>
                <w:sz w:val="24"/>
                <w:szCs w:val="24"/>
                <w:highlight w:val="none"/>
                <w:lang w:eastAsia="zh-CN"/>
                <w14:textFill>
                  <w14:solidFill>
                    <w14:schemeClr w14:val="tx1"/>
                  </w14:solidFill>
                </w14:textFill>
              </w:rPr>
              <w:t>危险固废</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w:t>
            </w:r>
          </w:p>
          <w:p>
            <w:pPr>
              <w:pageBreakBefore w:val="0"/>
              <w:shd w:val="clear"/>
              <w:bidi w:val="0"/>
              <w:spacing w:beforeAutospacing="0" w:afterAutospacing="0" w:line="360" w:lineRule="auto"/>
              <w:ind w:left="0" w:leftChars="0" w:right="0" w:rightChars="0" w:firstLine="480" w:firstLineChars="200"/>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）一般</w:t>
            </w: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工业</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固废</w:t>
            </w:r>
          </w:p>
          <w:p>
            <w:pPr>
              <w:pStyle w:val="43"/>
              <w:keepNext w:val="0"/>
              <w:keepLines w:val="0"/>
              <w:pageBreakBefore w:val="0"/>
              <w:widowControl w:val="0"/>
              <w:kinsoku/>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kern w:val="2"/>
                <w:sz w:val="24"/>
                <w:szCs w:val="24"/>
                <w:highlight w:val="none"/>
                <w:lang w:val="en-US" w:eastAsia="zh-CN" w:bidi="ar-SA"/>
              </w:rPr>
              <w:t>喷塑工序除尘器收集尘：</w:t>
            </w:r>
          </w:p>
          <w:p>
            <w:pPr>
              <w:pStyle w:val="43"/>
              <w:keepNext w:val="0"/>
              <w:keepLines w:val="0"/>
              <w:pageBreakBefore w:val="0"/>
              <w:widowControl w:val="0"/>
              <w:kinsoku/>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本项目喷粉工序布袋除尘器收集到的</w:t>
            </w:r>
            <w:r>
              <w:rPr>
                <w:rFonts w:hint="eastAsia" w:ascii="Times New Roman" w:hAnsi="Times New Roman" w:cs="Times New Roman"/>
                <w:color w:val="auto"/>
                <w:kern w:val="2"/>
                <w:sz w:val="24"/>
                <w:szCs w:val="24"/>
                <w:highlight w:val="none"/>
                <w:lang w:val="en-US" w:eastAsia="zh-CN" w:bidi="ar-SA"/>
              </w:rPr>
              <w:t>粉</w:t>
            </w:r>
            <w:r>
              <w:rPr>
                <w:rFonts w:hint="default" w:ascii="Times New Roman" w:hAnsi="Times New Roman" w:eastAsia="宋体" w:cs="Times New Roman"/>
                <w:color w:val="auto"/>
                <w:kern w:val="2"/>
                <w:sz w:val="24"/>
                <w:szCs w:val="24"/>
                <w:highlight w:val="none"/>
                <w:lang w:val="en-US" w:eastAsia="zh-CN" w:bidi="ar-SA"/>
              </w:rPr>
              <w:t>尘为</w:t>
            </w:r>
            <w:r>
              <w:rPr>
                <w:rFonts w:hint="eastAsia" w:ascii="Times New Roman" w:hAnsi="Times New Roman" w:cs="Times New Roman"/>
                <w:color w:val="auto"/>
                <w:kern w:val="2"/>
                <w:sz w:val="24"/>
                <w:szCs w:val="24"/>
                <w:highlight w:val="none"/>
                <w:lang w:val="en-US" w:eastAsia="zh-CN" w:bidi="ar-SA"/>
              </w:rPr>
              <w:t>1.425</w:t>
            </w:r>
            <w:r>
              <w:rPr>
                <w:rFonts w:hint="default" w:ascii="Times New Roman" w:hAnsi="Times New Roman" w:eastAsia="宋体" w:cs="Times New Roman"/>
                <w:color w:val="auto"/>
                <w:kern w:val="2"/>
                <w:sz w:val="24"/>
                <w:szCs w:val="24"/>
                <w:highlight w:val="none"/>
                <w:lang w:val="en-US" w:eastAsia="zh-CN" w:bidi="ar-SA"/>
              </w:rPr>
              <w:t>t/a，收集到的灰尘成分及颜色与原料相同，喷粉过程为物理过程，不影响环氧树脂粉末理化性质，经布袋除尘器集中收集后作为原料重新作为喷粉原料使用。</w:t>
            </w:r>
          </w:p>
          <w:p>
            <w:pPr>
              <w:pStyle w:val="43"/>
              <w:keepNext w:val="0"/>
              <w:keepLines w:val="0"/>
              <w:pageBreakBefore w:val="0"/>
              <w:widowControl w:val="0"/>
              <w:kinsoku/>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kern w:val="2"/>
                <w:sz w:val="24"/>
                <w:szCs w:val="24"/>
                <w:highlight w:val="none"/>
                <w:lang w:val="en-US" w:eastAsia="zh-CN" w:bidi="ar-SA"/>
              </w:rPr>
              <w:t>废塑粉滤芯及塑化废渣</w:t>
            </w:r>
          </w:p>
          <w:p>
            <w:pPr>
              <w:pStyle w:val="43"/>
              <w:keepNext w:val="0"/>
              <w:keepLines w:val="0"/>
              <w:pageBreakBefore w:val="0"/>
              <w:widowControl w:val="0"/>
              <w:kinsoku/>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项目喷塑工段使用塑粉滤芯年限过长及遗漏被塑化的废渣，属于一般工业固废，交由一般固废处置单位处置，产生量较少，综合产生量约0.01t/a。</w:t>
            </w:r>
          </w:p>
          <w:p>
            <w:pPr>
              <w:pStyle w:val="58"/>
              <w:pageBreakBefore w:val="0"/>
              <w:shd w:val="clear"/>
              <w:bidi w:val="0"/>
              <w:snapToGrid w:val="0"/>
              <w:spacing w:beforeAutospacing="0" w:afterAutospacing="0"/>
              <w:ind w:right="0" w:rightChars="0"/>
              <w:rPr>
                <w:rFonts w:hint="default" w:ascii="宋体" w:hAnsi="宋体" w:eastAsia="宋体" w:cs="宋体"/>
                <w:color w:val="0000FF"/>
                <w:kern w:val="0"/>
                <w:sz w:val="24"/>
                <w:szCs w:val="24"/>
                <w:lang w:val="en-US" w:eastAsia="zh-CN" w:bidi="ar"/>
              </w:rPr>
            </w:pPr>
            <w:r>
              <w:rPr>
                <w:rFonts w:hint="default" w:ascii="宋体" w:hAnsi="宋体" w:eastAsia="宋体" w:cs="宋体"/>
                <w:color w:val="0000FF"/>
                <w:kern w:val="0"/>
                <w:sz w:val="24"/>
                <w:szCs w:val="24"/>
                <w:lang w:val="en-US" w:eastAsia="zh-CN" w:bidi="ar"/>
              </w:rPr>
              <w:t>③</w:t>
            </w:r>
            <w:r>
              <w:rPr>
                <w:rFonts w:hint="eastAsia" w:ascii="宋体" w:hAnsi="宋体" w:eastAsia="宋体" w:cs="宋体"/>
                <w:color w:val="0000FF"/>
                <w:kern w:val="0"/>
                <w:sz w:val="24"/>
                <w:szCs w:val="24"/>
                <w:lang w:val="en-US" w:eastAsia="zh-CN" w:bidi="ar"/>
              </w:rPr>
              <w:t>抛丸工序除尘器收集尘</w:t>
            </w:r>
          </w:p>
          <w:p>
            <w:pPr>
              <w:pStyle w:val="58"/>
              <w:pageBreakBefore w:val="0"/>
              <w:shd w:val="clear"/>
              <w:bidi w:val="0"/>
              <w:snapToGrid w:val="0"/>
              <w:spacing w:beforeAutospacing="0" w:afterAutospacing="0"/>
              <w:ind w:right="0" w:rightChars="0"/>
              <w:rPr>
                <w:rFonts w:hint="eastAsia" w:ascii="宋体" w:hAnsi="宋体" w:eastAsia="宋体" w:cs="宋体"/>
                <w:color w:val="0000FF"/>
                <w:kern w:val="0"/>
                <w:sz w:val="24"/>
                <w:szCs w:val="24"/>
                <w:lang w:val="en-US" w:eastAsia="zh-CN" w:bidi="ar"/>
              </w:rPr>
            </w:pPr>
            <w:r>
              <w:rPr>
                <w:rFonts w:hint="default" w:ascii="宋体" w:hAnsi="宋体" w:eastAsia="宋体" w:cs="宋体"/>
                <w:color w:val="0000FF"/>
                <w:kern w:val="0"/>
                <w:sz w:val="24"/>
                <w:szCs w:val="24"/>
                <w:lang w:val="en-US" w:eastAsia="zh-CN" w:bidi="ar"/>
              </w:rPr>
              <w:t>本项目</w:t>
            </w:r>
            <w:r>
              <w:rPr>
                <w:rFonts w:hint="eastAsia" w:ascii="宋体" w:hAnsi="宋体" w:eastAsia="宋体" w:cs="宋体"/>
                <w:color w:val="0000FF"/>
                <w:kern w:val="0"/>
                <w:sz w:val="24"/>
                <w:szCs w:val="24"/>
                <w:lang w:val="en-US" w:eastAsia="zh-CN" w:bidi="ar"/>
              </w:rPr>
              <w:t>抛丸</w:t>
            </w:r>
            <w:r>
              <w:rPr>
                <w:rFonts w:hint="default" w:ascii="宋体" w:hAnsi="宋体" w:eastAsia="宋体" w:cs="宋体"/>
                <w:color w:val="0000FF"/>
                <w:kern w:val="0"/>
                <w:sz w:val="24"/>
                <w:szCs w:val="24"/>
                <w:lang w:val="en-US" w:eastAsia="zh-CN" w:bidi="ar"/>
              </w:rPr>
              <w:t>工序布袋除尘器收集到的</w:t>
            </w:r>
            <w:r>
              <w:rPr>
                <w:rFonts w:hint="eastAsia" w:ascii="宋体" w:hAnsi="宋体" w:eastAsia="宋体" w:cs="宋体"/>
                <w:color w:val="0000FF"/>
                <w:kern w:val="0"/>
                <w:sz w:val="24"/>
                <w:szCs w:val="24"/>
                <w:lang w:val="en-US" w:eastAsia="zh-CN" w:bidi="ar"/>
              </w:rPr>
              <w:t>粉</w:t>
            </w:r>
            <w:r>
              <w:rPr>
                <w:rFonts w:hint="default" w:ascii="宋体" w:hAnsi="宋体" w:eastAsia="宋体" w:cs="宋体"/>
                <w:color w:val="0000FF"/>
                <w:kern w:val="0"/>
                <w:sz w:val="24"/>
                <w:szCs w:val="24"/>
                <w:lang w:val="en-US" w:eastAsia="zh-CN" w:bidi="ar"/>
              </w:rPr>
              <w:t>尘为</w:t>
            </w:r>
            <w:r>
              <w:rPr>
                <w:rFonts w:hint="eastAsia" w:ascii="宋体" w:hAnsi="宋体" w:eastAsia="宋体" w:cs="宋体"/>
                <w:color w:val="0000FF"/>
                <w:kern w:val="0"/>
                <w:sz w:val="24"/>
                <w:szCs w:val="24"/>
                <w:lang w:val="en-US" w:eastAsia="zh-CN" w:bidi="ar"/>
              </w:rPr>
              <w:t>1.131</w:t>
            </w:r>
            <w:r>
              <w:rPr>
                <w:rFonts w:hint="default" w:ascii="宋体" w:hAnsi="宋体" w:eastAsia="宋体" w:cs="宋体"/>
                <w:color w:val="0000FF"/>
                <w:kern w:val="0"/>
                <w:sz w:val="24"/>
                <w:szCs w:val="24"/>
                <w:lang w:val="en-US" w:eastAsia="zh-CN" w:bidi="ar"/>
              </w:rPr>
              <w:t>t/a，收集到的</w:t>
            </w:r>
            <w:r>
              <w:rPr>
                <w:rFonts w:hint="eastAsia" w:ascii="宋体" w:hAnsi="宋体" w:eastAsia="宋体" w:cs="宋体"/>
                <w:color w:val="0000FF"/>
                <w:kern w:val="0"/>
                <w:sz w:val="24"/>
                <w:szCs w:val="24"/>
                <w:lang w:val="en-US" w:eastAsia="zh-CN" w:bidi="ar"/>
              </w:rPr>
              <w:t>粉尘作为一般固废暂存，统一交由一般固废处置单位处置。</w:t>
            </w:r>
          </w:p>
          <w:p>
            <w:pPr>
              <w:pStyle w:val="43"/>
              <w:keepNext w:val="0"/>
              <w:keepLines w:val="0"/>
              <w:pageBreakBefore w:val="0"/>
              <w:widowControl w:val="0"/>
              <w:kinsoku/>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val="0"/>
                <w:bCs w:val="0"/>
                <w:color w:val="auto"/>
                <w:sz w:val="24"/>
              </w:rPr>
            </w:pP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b w:val="0"/>
                <w:bCs w:val="0"/>
                <w:color w:val="auto"/>
                <w:sz w:val="24"/>
                <w:szCs w:val="24"/>
                <w:lang w:val="en-US" w:eastAsia="zh-CN"/>
              </w:rPr>
              <w:t>危险废物</w:t>
            </w:r>
          </w:p>
          <w:p>
            <w:pPr>
              <w:pStyle w:val="41"/>
              <w:pageBreakBefore w:val="0"/>
              <w:overflowPunct/>
              <w:topLinePunct w:val="0"/>
              <w:bidi w:val="0"/>
              <w:ind w:left="0" w:leftChars="0" w:right="0"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①废机油：项目设备保养维修过程会产生废机油，机油损耗5%时需更换机油，产生量约0.2吨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年。这一部分固体废物为危险固体废物，根据《国家危险废物名录》（2021版），该废物类别为HW08废矿物油与含矿物油废物，废物代码为900-249-08，其他生产、销售、使用过程中产生的废矿物油及含矿物油废物。暂存于厂区危废暂存间内，定期委托有资质单位统一清运。</w:t>
            </w:r>
          </w:p>
          <w:p>
            <w:pPr>
              <w:pStyle w:val="41"/>
              <w:keepNext w:val="0"/>
              <w:keepLines w:val="0"/>
              <w:pageBreakBefore w:val="0"/>
              <w:widowControl w:val="0"/>
              <w:kinsoku/>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废活性炭</w:t>
            </w:r>
          </w:p>
          <w:p>
            <w:pPr>
              <w:pStyle w:val="43"/>
              <w:keepNext w:val="0"/>
              <w:keepLines w:val="0"/>
              <w:pageBreakBefore w:val="0"/>
              <w:widowControl w:val="0"/>
              <w:kinsoku/>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pacing w:val="0"/>
                <w:kern w:val="2"/>
                <w:sz w:val="24"/>
                <w:szCs w:val="24"/>
                <w:lang w:val="en-GB" w:eastAsia="zh-CN"/>
              </w:rPr>
              <w:t>活性炭吸附一定量的废气后会饱和，环评要求企业定期更换活性炭。根据资料显示，按3kg活性炭可吸附1kg有机废气计。本项目</w:t>
            </w:r>
            <w:r>
              <w:rPr>
                <w:rFonts w:hint="eastAsia"/>
                <w:color w:val="auto"/>
                <w:spacing w:val="0"/>
                <w:kern w:val="2"/>
                <w:sz w:val="24"/>
                <w:szCs w:val="24"/>
                <w:lang w:val="en-US" w:eastAsia="zh-CN"/>
              </w:rPr>
              <w:t>有组织</w:t>
            </w:r>
            <w:r>
              <w:rPr>
                <w:rFonts w:hint="eastAsia"/>
                <w:color w:val="auto"/>
                <w:spacing w:val="0"/>
                <w:kern w:val="2"/>
                <w:sz w:val="24"/>
                <w:szCs w:val="24"/>
                <w:lang w:val="en-GB" w:eastAsia="zh-CN"/>
              </w:rPr>
              <w:t>有机废气</w:t>
            </w:r>
            <w:r>
              <w:rPr>
                <w:rFonts w:hint="eastAsia"/>
                <w:color w:val="auto"/>
                <w:spacing w:val="0"/>
                <w:kern w:val="2"/>
                <w:sz w:val="24"/>
                <w:szCs w:val="24"/>
                <w:lang w:val="en-US" w:eastAsia="zh-CN"/>
              </w:rPr>
              <w:t>产生量为0.006</w:t>
            </w:r>
            <w:r>
              <w:rPr>
                <w:rFonts w:hint="eastAsia"/>
                <w:color w:val="auto"/>
                <w:spacing w:val="0"/>
                <w:kern w:val="2"/>
                <w:sz w:val="24"/>
                <w:szCs w:val="24"/>
                <w:lang w:val="en-GB" w:eastAsia="zh-CN"/>
              </w:rPr>
              <w:t>t</w:t>
            </w:r>
            <w:r>
              <w:rPr>
                <w:rFonts w:hint="eastAsia"/>
                <w:color w:val="auto"/>
                <w:spacing w:val="0"/>
                <w:kern w:val="2"/>
                <w:sz w:val="24"/>
                <w:szCs w:val="24"/>
                <w:lang w:val="en-US" w:eastAsia="zh-CN"/>
              </w:rPr>
              <w:t>/a</w:t>
            </w:r>
            <w:r>
              <w:rPr>
                <w:rFonts w:hint="eastAsia"/>
                <w:color w:val="auto"/>
                <w:spacing w:val="0"/>
                <w:kern w:val="2"/>
                <w:sz w:val="24"/>
                <w:szCs w:val="24"/>
                <w:lang w:val="en-GB" w:eastAsia="zh-CN"/>
              </w:rPr>
              <w:t>，</w:t>
            </w:r>
            <w:r>
              <w:rPr>
                <w:rFonts w:hint="eastAsia"/>
                <w:color w:val="auto"/>
                <w:spacing w:val="0"/>
                <w:kern w:val="2"/>
                <w:sz w:val="24"/>
                <w:szCs w:val="24"/>
                <w:lang w:val="en-US" w:eastAsia="zh-CN"/>
              </w:rPr>
              <w:t>活性炭处理效率为18％，</w:t>
            </w:r>
            <w:r>
              <w:rPr>
                <w:rFonts w:hint="eastAsia"/>
                <w:color w:val="auto"/>
                <w:spacing w:val="0"/>
                <w:kern w:val="2"/>
                <w:sz w:val="24"/>
                <w:szCs w:val="24"/>
                <w:lang w:val="en-GB" w:eastAsia="zh-CN"/>
              </w:rPr>
              <w:t>则</w:t>
            </w:r>
            <w:r>
              <w:rPr>
                <w:rFonts w:hint="eastAsia"/>
                <w:color w:val="auto"/>
                <w:spacing w:val="0"/>
                <w:kern w:val="2"/>
                <w:sz w:val="24"/>
                <w:szCs w:val="24"/>
                <w:lang w:val="en-US" w:eastAsia="zh-CN"/>
              </w:rPr>
              <w:t>活性炭处理有机废气量0.00108t/a，则</w:t>
            </w:r>
            <w:r>
              <w:rPr>
                <w:rFonts w:hint="eastAsia"/>
                <w:color w:val="auto"/>
                <w:spacing w:val="0"/>
                <w:kern w:val="2"/>
                <w:sz w:val="24"/>
                <w:szCs w:val="24"/>
                <w:lang w:val="en-GB" w:eastAsia="zh-CN"/>
              </w:rPr>
              <w:t>废活性炭产生量为</w:t>
            </w:r>
            <w:r>
              <w:rPr>
                <w:rFonts w:hint="eastAsia"/>
                <w:color w:val="auto"/>
                <w:spacing w:val="0"/>
                <w:kern w:val="2"/>
                <w:sz w:val="24"/>
                <w:szCs w:val="24"/>
                <w:lang w:val="en-US" w:eastAsia="zh-CN"/>
              </w:rPr>
              <w:t>0.00324</w:t>
            </w:r>
            <w:r>
              <w:rPr>
                <w:rFonts w:hint="eastAsia"/>
                <w:color w:val="auto"/>
                <w:spacing w:val="0"/>
                <w:kern w:val="2"/>
                <w:sz w:val="24"/>
                <w:szCs w:val="24"/>
                <w:lang w:val="en-GB" w:eastAsia="zh-CN"/>
              </w:rPr>
              <w:t>t/a。活性炭更换周期为一年一次，充装时采用颗粒活性炭作为吸附剂时，其碘值不宜低于800mg/g；采用蜂窝活性炭作为吸附剂时，其碘值不宜低于650mg/g；采用活性炭纤维作为吸附剂时，其比表面积不低于1100m</w:t>
            </w:r>
            <w:r>
              <w:rPr>
                <w:rFonts w:hint="eastAsia"/>
                <w:color w:val="auto"/>
                <w:spacing w:val="0"/>
                <w:kern w:val="2"/>
                <w:sz w:val="24"/>
                <w:szCs w:val="24"/>
                <w:vertAlign w:val="superscript"/>
                <w:lang w:val="en-GB" w:eastAsia="zh-CN"/>
              </w:rPr>
              <w:t>2</w:t>
            </w:r>
            <w:r>
              <w:rPr>
                <w:rFonts w:hint="eastAsia"/>
                <w:color w:val="auto"/>
                <w:spacing w:val="0"/>
                <w:kern w:val="2"/>
                <w:sz w:val="24"/>
                <w:szCs w:val="24"/>
                <w:lang w:val="en-GB" w:eastAsia="zh-CN"/>
              </w:rPr>
              <w:t>/g（BET法）。</w:t>
            </w:r>
            <w:r>
              <w:rPr>
                <w:rFonts w:hint="default" w:ascii="Times New Roman" w:hAnsi="Times New Roman" w:eastAsia="宋体" w:cs="Times New Roman"/>
                <w:bCs/>
                <w:color w:val="auto"/>
                <w:sz w:val="24"/>
              </w:rPr>
              <w:t>根据《国家危险废物名录（2021版）》其属于危险废物，危险废物类别为HW49，危险废物代码：900-039-49（</w:t>
            </w:r>
            <w:r>
              <w:rPr>
                <w:rFonts w:hint="eastAsia" w:ascii="宋体" w:hAnsi="宋体" w:cs="宋体"/>
                <w:b w:val="0"/>
                <w:bCs w:val="0"/>
                <w:sz w:val="24"/>
                <w:szCs w:val="24"/>
                <w:lang w:val="en-US" w:eastAsia="zh-CN"/>
              </w:rPr>
              <w:t>非甲烷总烃</w:t>
            </w:r>
            <w:r>
              <w:rPr>
                <w:rFonts w:hint="default" w:ascii="Times New Roman" w:hAnsi="Times New Roman" w:eastAsia="宋体" w:cs="Times New Roman"/>
                <w:bCs/>
                <w:color w:val="auto"/>
                <w:sz w:val="24"/>
              </w:rPr>
              <w:t>治理过程产生的废活性炭），活性炭彻底失去活性后暂存于厂区危废暂存间内，定期委托有资质单位处置。</w:t>
            </w:r>
          </w:p>
          <w:p>
            <w:pPr>
              <w:spacing w:line="360" w:lineRule="auto"/>
              <w:rPr>
                <w:b/>
                <w:bCs/>
                <w:color w:val="auto"/>
                <w:sz w:val="24"/>
              </w:rPr>
            </w:pPr>
            <w:r>
              <w:rPr>
                <w:b/>
                <w:bCs/>
                <w:color w:val="auto"/>
                <w:sz w:val="24"/>
              </w:rPr>
              <w:t>4.2固废环境管理要求及措施</w:t>
            </w:r>
          </w:p>
          <w:p>
            <w:pPr>
              <w:pStyle w:val="58"/>
              <w:pageBreakBefore w:val="0"/>
              <w:shd w:val="clear"/>
              <w:bidi w:val="0"/>
              <w:snapToGrid w:val="0"/>
              <w:spacing w:beforeAutospacing="0" w:afterAutospacing="0"/>
              <w:ind w:right="0" w:rightChars="0"/>
              <w:rPr>
                <w:rFonts w:hint="eastAsia"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（1）一般工业固废</w:t>
            </w:r>
          </w:p>
          <w:p>
            <w:pPr>
              <w:pStyle w:val="58"/>
              <w:pageBreakBefore w:val="0"/>
              <w:shd w:val="clear"/>
              <w:bidi w:val="0"/>
              <w:snapToGrid w:val="0"/>
              <w:spacing w:beforeAutospacing="0" w:afterAutospacing="0"/>
              <w:ind w:right="0" w:rightChars="0"/>
              <w:rPr>
                <w:rFonts w:hint="default" w:ascii="宋体" w:hAnsi="宋体" w:eastAsia="宋体" w:cs="宋体"/>
                <w:color w:val="0000FF"/>
                <w:kern w:val="0"/>
                <w:sz w:val="24"/>
                <w:szCs w:val="24"/>
                <w:lang w:val="en-US" w:eastAsia="zh-CN" w:bidi="ar"/>
              </w:rPr>
            </w:pPr>
            <w:r>
              <w:rPr>
                <w:rFonts w:hint="default" w:ascii="宋体" w:hAnsi="宋体" w:eastAsia="宋体" w:cs="宋体"/>
                <w:color w:val="0000FF"/>
                <w:kern w:val="0"/>
                <w:sz w:val="24"/>
                <w:szCs w:val="24"/>
                <w:lang w:val="en-US" w:eastAsia="zh-CN" w:bidi="ar"/>
              </w:rPr>
              <w:t>本项目产生的一般固体废物分类收集于一般固废暂存处后再定期处置，制定一般工业固体废物管理台账，对环境影响较小。要求一般固废暂存</w:t>
            </w:r>
            <w:r>
              <w:rPr>
                <w:rFonts w:hint="eastAsia" w:ascii="宋体" w:hAnsi="宋体" w:eastAsia="宋体" w:cs="宋体"/>
                <w:color w:val="0000FF"/>
                <w:kern w:val="0"/>
                <w:sz w:val="24"/>
                <w:szCs w:val="24"/>
                <w:lang w:val="en-US" w:eastAsia="zh-CN" w:bidi="ar"/>
              </w:rPr>
              <w:t>点</w:t>
            </w:r>
            <w:r>
              <w:rPr>
                <w:rFonts w:hint="default" w:ascii="宋体" w:hAnsi="宋体" w:eastAsia="宋体" w:cs="宋体"/>
                <w:color w:val="0000FF"/>
                <w:kern w:val="0"/>
                <w:sz w:val="24"/>
                <w:szCs w:val="24"/>
                <w:lang w:val="en-US" w:eastAsia="zh-CN" w:bidi="ar"/>
              </w:rPr>
              <w:t>应参照《一般工业固体废物贮存和填埋污染控制标准》（GB18599-2020）相关要求规范化建设，应满足如下要求：</w:t>
            </w:r>
          </w:p>
          <w:p>
            <w:pPr>
              <w:pStyle w:val="58"/>
              <w:pageBreakBefore w:val="0"/>
              <w:shd w:val="clear"/>
              <w:bidi w:val="0"/>
              <w:snapToGrid w:val="0"/>
              <w:spacing w:beforeAutospacing="0" w:afterAutospacing="0"/>
              <w:ind w:right="0" w:rightChars="0"/>
              <w:rPr>
                <w:rFonts w:hint="default" w:ascii="宋体" w:hAnsi="宋体" w:eastAsia="宋体" w:cs="宋体"/>
                <w:color w:val="0000FF"/>
                <w:kern w:val="0"/>
                <w:sz w:val="24"/>
                <w:szCs w:val="24"/>
                <w:lang w:val="en-US" w:eastAsia="zh-CN" w:bidi="ar"/>
              </w:rPr>
            </w:pPr>
            <w:r>
              <w:rPr>
                <w:rFonts w:hint="default" w:ascii="宋体" w:hAnsi="宋体" w:eastAsia="宋体" w:cs="宋体"/>
                <w:color w:val="0000FF"/>
                <w:kern w:val="0"/>
                <w:sz w:val="24"/>
                <w:szCs w:val="24"/>
                <w:lang w:val="en-US" w:eastAsia="zh-CN" w:bidi="ar"/>
              </w:rPr>
              <w:t>①地面应采取硬化措施并满足承载力要求，必要时采取相应措施防止地基下沉；</w:t>
            </w:r>
          </w:p>
          <w:p>
            <w:pPr>
              <w:pStyle w:val="58"/>
              <w:pageBreakBefore w:val="0"/>
              <w:shd w:val="clear"/>
              <w:bidi w:val="0"/>
              <w:snapToGrid w:val="0"/>
              <w:spacing w:beforeAutospacing="0" w:afterAutospacing="0"/>
              <w:ind w:right="0" w:rightChars="0"/>
              <w:rPr>
                <w:rFonts w:hint="default" w:ascii="宋体" w:hAnsi="宋体" w:eastAsia="宋体" w:cs="宋体"/>
                <w:color w:val="0000FF"/>
                <w:kern w:val="0"/>
                <w:sz w:val="24"/>
                <w:szCs w:val="24"/>
                <w:lang w:val="en-US" w:eastAsia="zh-CN" w:bidi="ar"/>
              </w:rPr>
            </w:pPr>
            <w:r>
              <w:rPr>
                <w:rFonts w:hint="default" w:ascii="宋体" w:hAnsi="宋体" w:eastAsia="宋体" w:cs="宋体"/>
                <w:color w:val="0000FF"/>
                <w:kern w:val="0"/>
                <w:sz w:val="24"/>
                <w:szCs w:val="24"/>
                <w:lang w:val="en-US" w:eastAsia="zh-CN" w:bidi="ar"/>
              </w:rPr>
              <w:t>②要求设置必要的防风、防雨、防晒措施；</w:t>
            </w:r>
          </w:p>
          <w:p>
            <w:pPr>
              <w:pStyle w:val="58"/>
              <w:pageBreakBefore w:val="0"/>
              <w:shd w:val="clear"/>
              <w:bidi w:val="0"/>
              <w:snapToGrid w:val="0"/>
              <w:spacing w:beforeAutospacing="0" w:afterAutospacing="0"/>
              <w:ind w:right="0" w:rightChars="0"/>
              <w:rPr>
                <w:rFonts w:hint="default" w:ascii="宋体" w:hAnsi="宋体" w:eastAsia="宋体" w:cs="宋体"/>
                <w:color w:val="0000FF"/>
                <w:kern w:val="0"/>
                <w:sz w:val="24"/>
                <w:szCs w:val="24"/>
                <w:lang w:val="en-US" w:eastAsia="zh-CN" w:bidi="ar"/>
              </w:rPr>
            </w:pPr>
            <w:r>
              <w:rPr>
                <w:rFonts w:hint="default" w:ascii="宋体" w:hAnsi="宋体" w:eastAsia="宋体" w:cs="宋体"/>
                <w:color w:val="0000FF"/>
                <w:kern w:val="0"/>
                <w:sz w:val="24"/>
                <w:szCs w:val="24"/>
                <w:lang w:val="en-US" w:eastAsia="zh-CN" w:bidi="ar"/>
              </w:rPr>
              <w:t>③按《环境保护图形标识固体废物贮存（处置）场》（GB15562.2-1995）要求设置环境保护图形标志。</w:t>
            </w:r>
          </w:p>
          <w:p>
            <w:pPr>
              <w:pStyle w:val="58"/>
              <w:pageBreakBefore w:val="0"/>
              <w:shd w:val="clear"/>
              <w:bidi w:val="0"/>
              <w:snapToGrid w:val="0"/>
              <w:spacing w:beforeAutospacing="0" w:afterAutospacing="0"/>
              <w:ind w:right="0" w:rightChars="0"/>
              <w:rPr>
                <w:rFonts w:hint="default" w:ascii="宋体" w:hAnsi="宋体" w:eastAsia="宋体" w:cs="宋体"/>
                <w:color w:val="0000FF"/>
                <w:kern w:val="0"/>
                <w:sz w:val="24"/>
                <w:szCs w:val="24"/>
                <w:lang w:val="en-US" w:eastAsia="zh-CN" w:bidi="ar"/>
              </w:rPr>
            </w:pPr>
            <w:r>
              <w:rPr>
                <w:rFonts w:hint="default" w:ascii="宋体" w:hAnsi="宋体" w:eastAsia="宋体" w:cs="宋体"/>
                <w:color w:val="0000FF"/>
                <w:kern w:val="0"/>
                <w:sz w:val="24"/>
                <w:szCs w:val="24"/>
                <w:lang w:val="en-US" w:eastAsia="zh-CN" w:bidi="ar"/>
              </w:rPr>
              <w:t>建设单位严格按照《一般工业固体废物贮存和填埋污染控制标准》（GB18599-2020）对固体废物进行处理处置。</w:t>
            </w:r>
          </w:p>
          <w:p>
            <w:pPr>
              <w:pStyle w:val="58"/>
              <w:pageBreakBefore w:val="0"/>
              <w:shd w:val="clear"/>
              <w:bidi w:val="0"/>
              <w:snapToGrid w:val="0"/>
              <w:spacing w:beforeAutospacing="0" w:afterAutospacing="0"/>
              <w:ind w:left="0" w:leftChars="0" w:right="0" w:rightChars="0" w:firstLine="420"/>
              <w:rPr>
                <w:rFonts w:hint="eastAsia" w:ascii="Times New Roman" w:hAnsi="Times New Roman" w:cs="Times New Roman"/>
                <w:color w:val="auto"/>
                <w:spacing w:val="0"/>
                <w:position w:val="0"/>
                <w:sz w:val="24"/>
                <w:szCs w:val="24"/>
                <w:highlight w:val="none"/>
                <w:lang w:eastAsia="zh-CN"/>
              </w:rPr>
            </w:pPr>
            <w:r>
              <w:rPr>
                <w:rFonts w:hint="eastAsia" w:ascii="Times New Roman" w:hAnsi="Times New Roman" w:cs="Times New Roman"/>
                <w:color w:val="auto"/>
                <w:spacing w:val="0"/>
                <w:position w:val="0"/>
                <w:sz w:val="24"/>
                <w:szCs w:val="24"/>
                <w:highlight w:val="none"/>
                <w:lang w:eastAsia="zh-CN"/>
              </w:rPr>
              <w:t>（</w:t>
            </w:r>
            <w:r>
              <w:rPr>
                <w:rFonts w:hint="eastAsia" w:ascii="Times New Roman" w:hAnsi="Times New Roman" w:cs="Times New Roman"/>
                <w:color w:val="auto"/>
                <w:spacing w:val="0"/>
                <w:position w:val="0"/>
                <w:sz w:val="24"/>
                <w:szCs w:val="24"/>
                <w:highlight w:val="none"/>
                <w:lang w:val="en-US" w:eastAsia="zh-CN"/>
              </w:rPr>
              <w:t>2</w:t>
            </w:r>
            <w:r>
              <w:rPr>
                <w:rFonts w:hint="eastAsia" w:ascii="Times New Roman" w:hAnsi="Times New Roman" w:cs="Times New Roman"/>
                <w:color w:val="auto"/>
                <w:spacing w:val="0"/>
                <w:position w:val="0"/>
                <w:sz w:val="24"/>
                <w:szCs w:val="24"/>
                <w:highlight w:val="none"/>
                <w:lang w:eastAsia="zh-CN"/>
              </w:rPr>
              <w:t>）危险废物</w:t>
            </w:r>
          </w:p>
          <w:p>
            <w:pPr>
              <w:pStyle w:val="58"/>
              <w:pageBreakBefore w:val="0"/>
              <w:shd w:val="clear"/>
              <w:bidi w:val="0"/>
              <w:snapToGrid w:val="0"/>
              <w:spacing w:beforeAutospacing="0" w:afterAutospacing="0"/>
              <w:ind w:right="0" w:rightChars="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本项目废机油、废活性炭严格按照《危险废物贮存污染控制标准》（</w:t>
            </w:r>
            <w:r>
              <w:rPr>
                <w:rFonts w:hint="default" w:ascii="Times New Roman" w:hAnsi="Times New Roman" w:eastAsia="宋体" w:cs="Times New Roman"/>
                <w:color w:val="000000"/>
                <w:kern w:val="0"/>
                <w:sz w:val="24"/>
                <w:szCs w:val="24"/>
                <w:lang w:val="en-US" w:eastAsia="zh-CN" w:bidi="ar"/>
              </w:rPr>
              <w:t>GB18597-2023</w:t>
            </w:r>
            <w:r>
              <w:rPr>
                <w:rFonts w:hint="eastAsia" w:ascii="宋体" w:hAnsi="宋体" w:eastAsia="宋体" w:cs="宋体"/>
                <w:color w:val="000000"/>
                <w:kern w:val="0"/>
                <w:sz w:val="24"/>
                <w:szCs w:val="24"/>
                <w:lang w:val="en-US" w:eastAsia="zh-CN" w:bidi="ar"/>
              </w:rPr>
              <w:t>）要求处置。产生后暂存于厂区拟</w:t>
            </w:r>
            <w:r>
              <w:rPr>
                <w:rFonts w:hint="eastAsia" w:ascii="宋体" w:hAnsi="宋体" w:cs="宋体"/>
                <w:color w:val="000000"/>
                <w:kern w:val="0"/>
                <w:sz w:val="24"/>
                <w:szCs w:val="24"/>
                <w:lang w:val="en-US" w:eastAsia="zh-CN" w:bidi="ar"/>
              </w:rPr>
              <w:t>改</w:t>
            </w:r>
            <w:r>
              <w:rPr>
                <w:rFonts w:hint="eastAsia" w:ascii="宋体" w:hAnsi="宋体" w:eastAsia="宋体" w:cs="宋体"/>
                <w:color w:val="000000"/>
                <w:kern w:val="0"/>
                <w:sz w:val="24"/>
                <w:szCs w:val="24"/>
                <w:lang w:val="en-US" w:eastAsia="zh-CN" w:bidi="ar"/>
              </w:rPr>
              <w:t>建设的危废暂存间（</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0m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），定期交由持有危险废物经营许可证的单位处置。</w:t>
            </w:r>
          </w:p>
          <w:p>
            <w:pPr>
              <w:pStyle w:val="58"/>
              <w:pageBreakBefore w:val="0"/>
              <w:shd w:val="clear"/>
              <w:bidi w:val="0"/>
              <w:snapToGrid w:val="0"/>
              <w:spacing w:beforeAutospacing="0" w:afterAutospacing="0"/>
              <w:ind w:left="0" w:leftChars="0" w:right="0" w:rightChars="0" w:firstLine="0" w:firstLineChars="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 xml:space="preserve">4.3危险废物贮存设施污染控制要求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为防止危险废物污染地下水和土壤环境，严格按照《危险废物贮存污染控 制标准》（</w:t>
            </w:r>
            <w:r>
              <w:rPr>
                <w:rFonts w:hint="default" w:ascii="Times New Roman" w:hAnsi="Times New Roman" w:eastAsia="宋体" w:cs="Times New Roman"/>
                <w:color w:val="000000"/>
                <w:kern w:val="0"/>
                <w:sz w:val="24"/>
                <w:szCs w:val="24"/>
                <w:lang w:val="en-US" w:eastAsia="zh-CN" w:bidi="ar"/>
              </w:rPr>
              <w:t>GB18597-2023</w:t>
            </w:r>
            <w:r>
              <w:rPr>
                <w:rFonts w:hint="eastAsia" w:ascii="宋体" w:hAnsi="宋体" w:eastAsia="宋体" w:cs="宋体"/>
                <w:color w:val="000000"/>
                <w:kern w:val="0"/>
                <w:sz w:val="24"/>
                <w:szCs w:val="24"/>
                <w:lang w:val="en-US" w:eastAsia="zh-CN" w:bidi="ar"/>
              </w:rPr>
              <w:t xml:space="preserve">）要求设置危险废物暂存间，具体要求如下：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）贮存设施应根据危险废物的形态、物理化学性质、包装形式和污染物迁移途径，采取必要的防风、防晒、防雨、防漏、防渗、防腐以及其他环境 污染防治措施，不应露天堆放危险废物。</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贮存设施应根据危险废物的类别、数量、形态、物理化学性质和污染防治等要求设置必要的贮存分区，避免不相容的危险废物接触、混合。本项目危废暂存间分为废润滑油贮存区、废活性炭贮存区、废催化剂贮存区废润滑油采用桶装，密封，贮存区下方设置托盘，防</w:t>
            </w:r>
            <w:r>
              <w:rPr>
                <w:rFonts w:hint="eastAsia" w:ascii="宋体" w:hAnsi="宋体" w:cs="宋体"/>
                <w:color w:val="000000"/>
                <w:kern w:val="0"/>
                <w:sz w:val="24"/>
                <w:szCs w:val="24"/>
                <w:lang w:val="en-US" w:eastAsia="zh-CN" w:bidi="ar"/>
              </w:rPr>
              <w:t>止</w:t>
            </w:r>
            <w:r>
              <w:rPr>
                <w:rFonts w:hint="eastAsia" w:ascii="宋体" w:hAnsi="宋体" w:eastAsia="宋体" w:cs="宋体"/>
                <w:color w:val="000000"/>
                <w:kern w:val="0"/>
                <w:sz w:val="24"/>
                <w:szCs w:val="24"/>
                <w:lang w:val="en-US" w:eastAsia="zh-CN" w:bidi="ar"/>
              </w:rPr>
              <w:t>溢流，各贮存区按照《危险废物识别标志设置技术规范》（</w:t>
            </w:r>
            <w:r>
              <w:rPr>
                <w:rFonts w:hint="default" w:ascii="Times New Roman" w:hAnsi="Times New Roman" w:eastAsia="宋体" w:cs="Times New Roman"/>
                <w:color w:val="000000"/>
                <w:kern w:val="0"/>
                <w:sz w:val="24"/>
                <w:szCs w:val="24"/>
                <w:lang w:val="en-US" w:eastAsia="zh-CN" w:bidi="ar"/>
              </w:rPr>
              <w:t>HJ 1276</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 xml:space="preserve">）的要求设置识别标志。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）贮存设施或贮存分区内地面、墙面裙脚、堵截泄漏的围堰、接触危险废物的隔板和墙体等应采用坚固的材料建造，表面无裂缝。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）贮存设施地面与裙脚应采取表面防渗措施；表面防渗材料应与所接 触的物料或污染物相容，可采用抗渗混凝土、高密度聚乙烯膜、钠基膨润土防 水毯或其他防渗性能等效的材料。贮存的危险废物直接接触地面的，还应进行基础防渗，防渗层为至少</w:t>
            </w:r>
            <w:r>
              <w:rPr>
                <w:rFonts w:hint="default" w:ascii="Times New Roman" w:hAnsi="Times New Roman" w:eastAsia="宋体" w:cs="Times New Roman"/>
                <w:color w:val="000000"/>
                <w:kern w:val="0"/>
                <w:sz w:val="24"/>
                <w:szCs w:val="24"/>
                <w:lang w:val="en-US" w:eastAsia="zh-CN" w:bidi="ar"/>
              </w:rPr>
              <w:t>1m</w:t>
            </w:r>
            <w:r>
              <w:rPr>
                <w:rFonts w:hint="eastAsia" w:ascii="宋体" w:hAnsi="宋体" w:eastAsia="宋体" w:cs="宋体"/>
                <w:color w:val="000000"/>
                <w:kern w:val="0"/>
                <w:sz w:val="24"/>
                <w:szCs w:val="24"/>
                <w:lang w:val="en-US" w:eastAsia="zh-CN" w:bidi="ar"/>
              </w:rPr>
              <w:t>厚黏土层（渗透系数不大于</w:t>
            </w:r>
            <w:r>
              <w:rPr>
                <w:rFonts w:hint="default" w:ascii="Times New Roman" w:hAnsi="Times New Roman" w:eastAsia="宋体"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vertAlign w:val="superscript"/>
                <w:lang w:val="en-US" w:eastAsia="zh-CN" w:bidi="ar"/>
              </w:rPr>
              <w:t>-7</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cm/s</w:t>
            </w:r>
            <w:r>
              <w:rPr>
                <w:rFonts w:hint="eastAsia" w:ascii="宋体" w:hAnsi="宋体" w:eastAsia="宋体" w:cs="宋体"/>
                <w:color w:val="000000"/>
                <w:kern w:val="0"/>
                <w:sz w:val="24"/>
                <w:szCs w:val="24"/>
                <w:lang w:val="en-US" w:eastAsia="zh-CN" w:bidi="ar"/>
              </w:rPr>
              <w:t>），或至少</w:t>
            </w:r>
            <w:r>
              <w:rPr>
                <w:rFonts w:hint="default" w:ascii="Times New Roman" w:hAnsi="Times New Roman" w:eastAsia="宋体" w:cs="Times New Roman"/>
                <w:color w:val="000000"/>
                <w:kern w:val="0"/>
                <w:sz w:val="24"/>
                <w:szCs w:val="24"/>
                <w:lang w:val="en-US" w:eastAsia="zh-CN" w:bidi="ar"/>
              </w:rPr>
              <w:t>2 mm</w:t>
            </w:r>
            <w:r>
              <w:rPr>
                <w:rFonts w:hint="eastAsia" w:ascii="宋体" w:hAnsi="宋体" w:eastAsia="宋体" w:cs="宋体"/>
                <w:color w:val="000000"/>
                <w:kern w:val="0"/>
                <w:sz w:val="24"/>
                <w:szCs w:val="24"/>
                <w:lang w:val="en-US" w:eastAsia="zh-CN" w:bidi="ar"/>
              </w:rPr>
              <w:t>厚高密度聚乙烯膜等人工防渗材料（渗透系数不大于</w:t>
            </w:r>
            <w:r>
              <w:rPr>
                <w:rFonts w:hint="default" w:ascii="Times New Roman" w:hAnsi="Times New Roman" w:eastAsia="宋体"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vertAlign w:val="superscript"/>
                <w:lang w:val="en-US" w:eastAsia="zh-CN" w:bidi="ar"/>
              </w:rPr>
              <w:t>-10</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cm/s</w:t>
            </w:r>
            <w:r>
              <w:rPr>
                <w:rFonts w:hint="eastAsia" w:ascii="宋体" w:hAnsi="宋体" w:eastAsia="宋体" w:cs="宋体"/>
                <w:color w:val="000000"/>
                <w:kern w:val="0"/>
                <w:sz w:val="24"/>
                <w:szCs w:val="24"/>
                <w:lang w:val="en-US" w:eastAsia="zh-CN" w:bidi="ar"/>
              </w:rPr>
              <w:t xml:space="preserve">），或其他防渗性能等效的材料。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）同一贮存设施宜采用相同的防渗、防腐工艺（包括防渗、防腐结构或材料），防渗、防腐材料应覆盖所有可能与废物及其渗滤液、渗漏液等接触的构筑物表面；采用不同防渗、防腐工艺应分别建设贮存分区。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）贮存设施应采取技术和管理措施防止无关人员进入。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）贮存库内不同贮存分区之间应采取隔离措施。隔离措施可根据危险 废物特性采用过道、隔板或 隔墙等方式。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）在贮存库内或通过贮存分区方式贮存液态危险废物的，应具有液体 泄漏堵截设施，堵截设施最小容积不应低于对应贮存区域最大液态废物容器容 积或液态废物总储量</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（二者取较大者）；用于贮存可能产生渗滤液的危险 废物的贮存库或贮存分区应设计渗滤液收集设施，收集设施容积应满足渗滤液 的收集要求。</w:t>
            </w:r>
          </w:p>
          <w:p>
            <w:pPr>
              <w:pStyle w:val="58"/>
              <w:pageBreakBefore w:val="0"/>
              <w:shd w:val="clear"/>
              <w:bidi w:val="0"/>
              <w:snapToGrid w:val="0"/>
              <w:spacing w:beforeAutospacing="0" w:afterAutospacing="0"/>
              <w:ind w:left="0" w:leftChars="0" w:right="0" w:rightChars="0" w:firstLine="0" w:firstLineChars="0"/>
              <w:rPr>
                <w:rFonts w:hint="eastAsia"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 xml:space="preserve">4.4 </w:t>
            </w:r>
            <w:r>
              <w:rPr>
                <w:rFonts w:hint="eastAsia" w:ascii="Times New Roman" w:hAnsi="Times New Roman" w:eastAsia="宋体" w:cs="Times New Roman"/>
                <w:b/>
                <w:bCs/>
                <w:snapToGrid w:val="0"/>
                <w:color w:val="auto"/>
                <w:kern w:val="0"/>
                <w:sz w:val="24"/>
                <w:szCs w:val="21"/>
                <w:lang w:val="en-US" w:eastAsia="zh-CN" w:bidi="ar-SA"/>
              </w:rPr>
              <w:t xml:space="preserve">危险暂存间运行环境管理要求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按照《危险废物贮存污染控制标准》（</w:t>
            </w:r>
            <w:r>
              <w:rPr>
                <w:rFonts w:hint="default" w:ascii="Times New Roman" w:hAnsi="Times New Roman" w:eastAsia="宋体" w:cs="Times New Roman"/>
                <w:color w:val="000000"/>
                <w:kern w:val="0"/>
                <w:sz w:val="24"/>
                <w:szCs w:val="24"/>
                <w:lang w:val="en-US" w:eastAsia="zh-CN" w:bidi="ar"/>
              </w:rPr>
              <w:t>GB18597-2023</w:t>
            </w:r>
            <w:r>
              <w:rPr>
                <w:rFonts w:hint="eastAsia" w:ascii="宋体" w:hAnsi="宋体" w:eastAsia="宋体" w:cs="宋体"/>
                <w:color w:val="000000"/>
                <w:kern w:val="0"/>
                <w:sz w:val="24"/>
                <w:szCs w:val="24"/>
                <w:lang w:val="en-US" w:eastAsia="zh-CN" w:bidi="ar"/>
              </w:rPr>
              <w:t xml:space="preserve">）要求对危废暂存间 运行进行管理，具体要求如下：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）危险废物存入贮存设施前应对危险废物类别和特性与危险废物标签 等危险废物识别标志的一致性进行核验，不一致的或类别、特性不明的不应存 入。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）应定期检查危险废物的贮存状况，及时清理贮存设施地面，更换破损泄漏的危险废物贮存容器和包装物，保证堆存危险废物的防雨、防风、防扬 尘等设施功能完好。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）作业设备及车辆等结束作业离开贮存设施时，应对其残留的危险废 物进行清理，清理的废物或清洗废水应收集处理。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）贮存设施运行期间，应按国家有关标准和规定建立危险废物管理台 账并保存。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）贮存设施所有者或运营者应建立贮存设施环境管理制度、管理人员 岗位职责制度、设施运行操作制度、人员岗位培训制度等。</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）贮存设施所有者或运营者应依据国家土壤和地下水污染防治的有关 规定，结合贮存设施特点建立土壤和地下水污染隐患排查制度，并定期开展隐 患排查；发现隐患应及时采取措施消除隐患，并建立档案。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）贮存设施所有者或运营者应建立贮存设施全部档案，包括设计、施 工、验收、运行、监测和环境应急等，应按国家有关档案管理的法律法规进行 整理和归档。 </w:t>
            </w:r>
          </w:p>
          <w:p>
            <w:pPr>
              <w:pStyle w:val="58"/>
              <w:pageBreakBefore w:val="0"/>
              <w:shd w:val="clear"/>
              <w:bidi w:val="0"/>
              <w:snapToGrid w:val="0"/>
              <w:spacing w:beforeAutospacing="0" w:afterAutospacing="0"/>
              <w:ind w:left="0" w:leftChars="0" w:right="0" w:rightChars="0" w:firstLine="0" w:firstLineChars="0"/>
              <w:rPr>
                <w:rFonts w:hint="eastAsia"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 xml:space="preserve">4.5 </w:t>
            </w:r>
            <w:r>
              <w:rPr>
                <w:rFonts w:hint="eastAsia" w:ascii="Times New Roman" w:hAnsi="Times New Roman" w:eastAsia="宋体" w:cs="Times New Roman"/>
                <w:b/>
                <w:bCs/>
                <w:snapToGrid w:val="0"/>
                <w:color w:val="auto"/>
                <w:kern w:val="0"/>
                <w:sz w:val="24"/>
                <w:szCs w:val="21"/>
                <w:lang w:val="en-US" w:eastAsia="zh-CN" w:bidi="ar-SA"/>
              </w:rPr>
              <w:t xml:space="preserve">危险废物运输过程环境管理要求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本评价建议建设单位危险废物运输转移过程按照《危险废物收集贮存运输 技术规范》（</w:t>
            </w:r>
            <w:r>
              <w:rPr>
                <w:rFonts w:hint="default" w:ascii="Times New Roman" w:hAnsi="Times New Roman" w:eastAsia="宋体" w:cs="Times New Roman"/>
                <w:color w:val="000000"/>
                <w:kern w:val="0"/>
                <w:sz w:val="24"/>
                <w:szCs w:val="24"/>
                <w:lang w:val="en-US" w:eastAsia="zh-CN" w:bidi="ar"/>
              </w:rPr>
              <w:t>HJ2025-2012</w:t>
            </w:r>
            <w:r>
              <w:rPr>
                <w:rFonts w:hint="eastAsia" w:ascii="宋体" w:hAnsi="宋体" w:eastAsia="宋体" w:cs="宋体"/>
                <w:color w:val="000000"/>
                <w:kern w:val="0"/>
                <w:sz w:val="24"/>
                <w:szCs w:val="24"/>
                <w:lang w:val="en-US" w:eastAsia="zh-CN" w:bidi="ar"/>
              </w:rPr>
              <w:t xml:space="preserve">）要求：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）委托有危险废物经营许可证的单位进行收集运输，在收集运输危险 废物时，应根据危险废物经营许可证核发的有关规定建立相应的规章制度和污 染防治措施，包括危险废物分析管理制度、安全管理制度、污染防治措施等。</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）危险废物转移过程按《危险废物转移管理办法》执行。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）危险废物运输时应按腐蚀性、毒性、易燃性、反应性、和感染性等危险特性对危险废物进行分类、包装并设置相应的标志及标签。 </w:t>
            </w:r>
          </w:p>
          <w:p>
            <w:pPr>
              <w:pStyle w:val="58"/>
              <w:pageBreakBefore w:val="0"/>
              <w:shd w:val="clear"/>
              <w:bidi w:val="0"/>
              <w:snapToGrid w:val="0"/>
              <w:spacing w:beforeAutospacing="0" w:afterAutospacing="0"/>
              <w:ind w:left="0" w:leftChars="0" w:right="0" w:righ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）本评价建议危险废物道路运输符合《道路危险货物运输管理规定》 （交通运输部令〔</w:t>
            </w:r>
            <w:r>
              <w:rPr>
                <w:rFonts w:hint="default" w:ascii="Times New Roman" w:hAnsi="Times New Roman" w:eastAsia="宋体" w:cs="Times New Roman"/>
                <w:color w:val="000000"/>
                <w:kern w:val="0"/>
                <w:sz w:val="24"/>
                <w:szCs w:val="24"/>
                <w:lang w:val="en-US" w:eastAsia="zh-CN" w:bidi="ar"/>
              </w:rPr>
              <w:t>2019</w:t>
            </w:r>
            <w:r>
              <w:rPr>
                <w:rFonts w:hint="eastAsia" w:ascii="宋体" w:hAnsi="宋体" w:eastAsia="宋体" w:cs="宋体"/>
                <w:color w:val="000000"/>
                <w:kern w:val="0"/>
                <w:sz w:val="24"/>
                <w:szCs w:val="24"/>
                <w:lang w:val="en-US" w:eastAsia="zh-CN" w:bidi="ar"/>
              </w:rPr>
              <w:t xml:space="preserve">〕第 </w:t>
            </w:r>
            <w:r>
              <w:rPr>
                <w:rFonts w:hint="default" w:ascii="Times New Roman" w:hAnsi="Times New Roman" w:eastAsia="宋体" w:cs="Times New Roman"/>
                <w:color w:val="000000"/>
                <w:kern w:val="0"/>
                <w:sz w:val="24"/>
                <w:szCs w:val="24"/>
                <w:lang w:val="en-US" w:eastAsia="zh-CN" w:bidi="ar"/>
              </w:rPr>
              <w:t xml:space="preserve">42 </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 xml:space="preserve">JT/T617 </w:t>
            </w:r>
            <w:r>
              <w:rPr>
                <w:rFonts w:hint="eastAsia" w:ascii="宋体" w:hAnsi="宋体" w:eastAsia="宋体" w:cs="宋体"/>
                <w:color w:val="000000"/>
                <w:kern w:val="0"/>
                <w:sz w:val="24"/>
                <w:szCs w:val="24"/>
                <w:lang w:val="en-US" w:eastAsia="zh-CN" w:bidi="ar"/>
              </w:rPr>
              <w:t>执行，运输路线尽量避开村庄、 居民小区、学校等环境敏感点，减轻对其影响。</w:t>
            </w:r>
          </w:p>
          <w:p>
            <w:pPr>
              <w:pStyle w:val="58"/>
              <w:pageBreakBefore w:val="0"/>
              <w:shd w:val="clear"/>
              <w:bidi w:val="0"/>
              <w:snapToGrid w:val="0"/>
              <w:spacing w:beforeAutospacing="0" w:afterAutospacing="0"/>
              <w:ind w:left="0" w:leftChars="0" w:right="0" w:rightChars="0" w:firstLine="0" w:firstLineChars="0"/>
              <w:rPr>
                <w:rFonts w:hint="eastAsia" w:ascii="Times New Roman" w:hAnsi="Times New Roman" w:eastAsia="宋体" w:cs="Times New Roman"/>
                <w:b/>
                <w:bCs/>
                <w:snapToGrid w:val="0"/>
                <w:color w:val="0000FF"/>
                <w:kern w:val="0"/>
                <w:sz w:val="24"/>
                <w:szCs w:val="21"/>
                <w:lang w:val="en-US" w:eastAsia="zh-CN" w:bidi="ar-SA"/>
              </w:rPr>
            </w:pPr>
            <w:r>
              <w:rPr>
                <w:rFonts w:hint="eastAsia" w:ascii="Times New Roman" w:hAnsi="Times New Roman" w:eastAsia="宋体" w:cs="Times New Roman"/>
                <w:b/>
                <w:bCs/>
                <w:snapToGrid w:val="0"/>
                <w:color w:val="0000FF"/>
                <w:kern w:val="0"/>
                <w:sz w:val="24"/>
                <w:szCs w:val="21"/>
                <w:lang w:val="en-US" w:eastAsia="zh-CN" w:bidi="ar-SA"/>
              </w:rPr>
              <w:t>4.6危险废物环境管理计划</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default" w:ascii="宋体" w:hAnsi="宋体" w:cs="宋体"/>
                <w:color w:val="0000FF"/>
                <w:kern w:val="0"/>
                <w:sz w:val="24"/>
                <w:szCs w:val="24"/>
                <w:lang w:val="en-US" w:eastAsia="zh-CN" w:bidi="ar"/>
              </w:rPr>
              <w:t>按照《危险废物管理计划合管理台账制定技术导则》（GB18597-2023）及时在线填报危废管理计划、推翻设置并及时填写危险废物管理台账。具体要求如下：</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（1）</w:t>
            </w:r>
            <w:r>
              <w:rPr>
                <w:rFonts w:hint="default" w:ascii="宋体" w:hAnsi="宋体" w:cs="宋体"/>
                <w:color w:val="0000FF"/>
                <w:kern w:val="0"/>
                <w:sz w:val="24"/>
                <w:szCs w:val="24"/>
                <w:lang w:val="en-US" w:eastAsia="zh-CN" w:bidi="ar"/>
              </w:rPr>
              <w:t>建立固废防治责任制度：建设单位按要求建立、健全污染环境防治责任制度，明确责任人。负责人熟悉危险废物管理相关法规、制度、标准、规范。</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（2）</w:t>
            </w:r>
            <w:r>
              <w:rPr>
                <w:rFonts w:hint="default" w:ascii="宋体" w:hAnsi="宋体" w:cs="宋体"/>
                <w:color w:val="0000FF"/>
                <w:kern w:val="0"/>
                <w:sz w:val="24"/>
                <w:szCs w:val="24"/>
                <w:lang w:val="en-US" w:eastAsia="zh-CN" w:bidi="ar"/>
              </w:rPr>
              <w:t>制定危险废物管理计划：按要求制定危险废物管理计划，计划涵盖危险废物的产生环节、种类、危害特性、产生量、利用处置方式并报环保部门备案，如发生重大改变及时申报。</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（3）</w:t>
            </w:r>
            <w:r>
              <w:rPr>
                <w:rFonts w:hint="default" w:ascii="宋体" w:hAnsi="宋体" w:cs="宋体"/>
                <w:color w:val="0000FF"/>
                <w:kern w:val="0"/>
                <w:sz w:val="24"/>
                <w:szCs w:val="24"/>
                <w:lang w:val="en-US" w:eastAsia="zh-CN" w:bidi="ar"/>
              </w:rPr>
              <w:t>建立申报登记制度：如实地向所在地县级以上地方人民政府环境保护行政主管部门申报危险废物的种类、产生量、流向、贮存、处置等有关资料。</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（4）</w:t>
            </w:r>
            <w:r>
              <w:rPr>
                <w:rFonts w:hint="default" w:ascii="宋体" w:hAnsi="宋体" w:cs="宋体"/>
                <w:color w:val="0000FF"/>
                <w:kern w:val="0"/>
                <w:sz w:val="24"/>
                <w:szCs w:val="24"/>
                <w:lang w:val="en-US" w:eastAsia="zh-CN" w:bidi="ar"/>
              </w:rPr>
              <w:t>固废的暂存制度：项目产生的危险废物贮存执行《危险废物贮存污染控制标准》（GB18597-2023）及《危险废物收集储存运输技术规范》（HJ2025-2012）中相关规定要求，根据危险废物的包装、贮存设施的选址、设计、运行、安全防护、监测和关闭等要求进行合理的贮存。</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（5）</w:t>
            </w:r>
            <w:r>
              <w:rPr>
                <w:rFonts w:hint="default" w:ascii="宋体" w:hAnsi="宋体" w:cs="宋体"/>
                <w:color w:val="0000FF"/>
                <w:kern w:val="0"/>
                <w:sz w:val="24"/>
                <w:szCs w:val="24"/>
                <w:lang w:val="en-US" w:eastAsia="zh-CN" w:bidi="ar"/>
              </w:rPr>
              <w:t>产生危险废物的单位应建立危险废物管理台账，落实危险废物管理台账记录的责任人，明确工作职责，并对危险废物管理台账的真实性、准确性和完整性负法律责任。</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（6）</w:t>
            </w:r>
            <w:r>
              <w:rPr>
                <w:rFonts w:hint="default" w:ascii="宋体" w:hAnsi="宋体" w:cs="宋体"/>
                <w:color w:val="0000FF"/>
                <w:kern w:val="0"/>
                <w:sz w:val="24"/>
                <w:szCs w:val="24"/>
                <w:lang w:val="en-US" w:eastAsia="zh-CN" w:bidi="ar"/>
              </w:rPr>
              <w:t>产生危险废物的单位应根据危险废物产生、贮存、利用、处置等环节的动态流向，如实建立各环节的危险废物管理台账，记录内容参见附录 B。</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（7）</w:t>
            </w:r>
            <w:r>
              <w:rPr>
                <w:rFonts w:hint="default" w:ascii="宋体" w:hAnsi="宋体" w:cs="宋体"/>
                <w:color w:val="0000FF"/>
                <w:kern w:val="0"/>
                <w:sz w:val="24"/>
                <w:szCs w:val="24"/>
                <w:lang w:val="en-US" w:eastAsia="zh-CN" w:bidi="ar"/>
              </w:rPr>
              <w:t>危险废物管理台账分为电子管理台账和纸质管理台账两种形式。产生危险废物的单位可通过国家危险废物信息管理系统、企业自建信息管理系统或第三方平台等方式记录电子管理台账。</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cs="宋体"/>
                <w:color w:val="0000FF"/>
                <w:kern w:val="0"/>
                <w:sz w:val="24"/>
                <w:szCs w:val="24"/>
                <w:lang w:val="en-US" w:eastAsia="zh-CN" w:bidi="ar"/>
              </w:rPr>
              <w:t>（8）</w:t>
            </w:r>
            <w:r>
              <w:rPr>
                <w:rFonts w:hint="default" w:ascii="宋体" w:hAnsi="宋体" w:cs="宋体"/>
                <w:color w:val="0000FF"/>
                <w:kern w:val="0"/>
                <w:sz w:val="24"/>
                <w:szCs w:val="24"/>
                <w:lang w:val="en-US" w:eastAsia="zh-CN" w:bidi="ar"/>
              </w:rPr>
              <w:t>记录内容：</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default" w:ascii="宋体" w:hAnsi="宋体" w:cs="宋体"/>
                <w:color w:val="0000FF"/>
                <w:kern w:val="0"/>
                <w:sz w:val="24"/>
                <w:szCs w:val="24"/>
                <w:lang w:val="en-US" w:eastAsia="zh-CN" w:bidi="ar"/>
              </w:rPr>
              <w:t>①危险废物产生环节，应记录产生批次编码、产生时间、危险废物名称、危险废物类别、危险废(HJ 1259—20226)物代码、产生量、计量单位、容器/包装编码、容器/包装类型、容器/包装数量、产生危险废物设施编码、产生部门经办人、去向等。</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default" w:ascii="宋体" w:hAnsi="宋体" w:cs="宋体"/>
                <w:color w:val="0000FF"/>
                <w:kern w:val="0"/>
                <w:sz w:val="24"/>
                <w:szCs w:val="24"/>
                <w:lang w:val="en-US" w:eastAsia="zh-CN" w:bidi="ar"/>
              </w:rPr>
              <w:t>②危险废物入库环节，应记录入库批次编码、入库时间、容器/包装编码、容器/包装类型、容器/包装数量、危险废物名称、危险废物类别、危险废物代码、入库量、计量单位、贮存设施编码、贮存设 施类型、运送部门经办人、贮存部门经办人、产生批次编码等。</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default" w:ascii="宋体" w:hAnsi="宋体" w:cs="宋体"/>
                <w:color w:val="0000FF"/>
                <w:kern w:val="0"/>
                <w:sz w:val="24"/>
                <w:szCs w:val="24"/>
                <w:lang w:val="en-US" w:eastAsia="zh-CN" w:bidi="ar"/>
              </w:rPr>
              <w:t>③危险废物出库环节，应记录出库批次编码、出库时间、容器/包装编码、容器/包装类型、容器/ 包装数量、危险废物名称、危险废物类别、危险废物代码、出库量、计量单位、贮存设施编码、贮存设 施类型、出库部门经办人、运送部门经办人、入库批次编码、去向等。</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④</w:t>
            </w:r>
            <w:r>
              <w:rPr>
                <w:rFonts w:hint="default" w:ascii="宋体" w:hAnsi="宋体" w:cs="宋体"/>
                <w:color w:val="0000FF"/>
                <w:kern w:val="0"/>
                <w:sz w:val="24"/>
                <w:szCs w:val="24"/>
                <w:lang w:val="en-US" w:eastAsia="zh-CN" w:bidi="ar"/>
              </w:rPr>
              <w:t>危险废物自行利用/处置环节，应记录自行利用/处置批次编码、自行利用/处置时间、容器/包装编码、容器/包装类型、容器/包装数量、危险废物名称、危险废物类别、危险废物代码、自行利用/处置 量、计量单位、自行利用/处置设施编码、自行利用/处置方式、自行利用/处置完毕时间、自行利用/处置部门经办人、产生批次编码/出库批次编码等。</w:t>
            </w:r>
          </w:p>
          <w:p>
            <w:pPr>
              <w:pStyle w:val="58"/>
              <w:pageBreakBefore w:val="0"/>
              <w:shd w:val="clear"/>
              <w:bidi w:val="0"/>
              <w:snapToGrid w:val="0"/>
              <w:spacing w:beforeAutospacing="0" w:afterAutospacing="0"/>
              <w:ind w:right="0" w:rightChars="0"/>
              <w:rPr>
                <w:rFonts w:hint="default" w:ascii="宋体" w:hAnsi="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⑤</w:t>
            </w:r>
            <w:r>
              <w:rPr>
                <w:rFonts w:hint="default" w:ascii="宋体" w:hAnsi="宋体" w:cs="宋体"/>
                <w:color w:val="0000FF"/>
                <w:kern w:val="0"/>
                <w:sz w:val="24"/>
                <w:szCs w:val="24"/>
                <w:lang w:val="en-US" w:eastAsia="zh-CN" w:bidi="ar"/>
              </w:rPr>
              <w:t>危险废物委外利用/处置环节，应记录委外利用/处置批次编码、出厂时间、容器/包装编码、容器/包装类型、容器/包装数量、危险废物名称、危险废物类别、危险废物代码、委外利用/处置量、计量 单位、利用/处置方式、接收单位类型、利用/处置单位名称、许可证编码/出口核准通知单编号、产生批次编码/出库批次编码等。</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spacing w:val="-13"/>
                <w:sz w:val="24"/>
                <w:szCs w:val="24"/>
                <w:highlight w:val="none"/>
                <w:lang w:val="en-US" w:eastAsia="zh-CN"/>
              </w:rPr>
            </w:pPr>
            <w:r>
              <w:rPr>
                <w:b/>
                <w:bCs/>
                <w:color w:val="auto"/>
                <w:sz w:val="24"/>
              </w:rPr>
              <w:t>5.</w:t>
            </w:r>
            <w:r>
              <w:rPr>
                <w:rFonts w:hint="eastAsia" w:ascii="Times New Roman" w:hAnsi="Times New Roman" w:eastAsia="宋体" w:cs="Times New Roman"/>
                <w:b/>
                <w:bCs/>
                <w:color w:val="auto"/>
                <w:spacing w:val="-13"/>
                <w:sz w:val="24"/>
                <w:szCs w:val="24"/>
                <w:highlight w:val="none"/>
                <w:lang w:val="en-US" w:eastAsia="zh-CN"/>
              </w:rPr>
              <w:t>建设项目“三本</w:t>
            </w:r>
            <w:r>
              <w:rPr>
                <w:rFonts w:hint="eastAsia" w:cs="Times New Roman"/>
                <w:b/>
                <w:bCs/>
                <w:color w:val="auto"/>
                <w:spacing w:val="-13"/>
                <w:sz w:val="24"/>
                <w:szCs w:val="24"/>
                <w:highlight w:val="none"/>
                <w:lang w:val="en-US" w:eastAsia="zh-CN"/>
              </w:rPr>
              <w:t>账</w:t>
            </w:r>
            <w:r>
              <w:rPr>
                <w:rFonts w:hint="eastAsia" w:ascii="Times New Roman" w:hAnsi="Times New Roman" w:eastAsia="宋体" w:cs="Times New Roman"/>
                <w:b/>
                <w:bCs/>
                <w:color w:val="auto"/>
                <w:spacing w:val="-13"/>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68" w:firstLineChars="200"/>
              <w:jc w:val="both"/>
              <w:textAlignment w:val="auto"/>
              <w:rPr>
                <w:rStyle w:val="59"/>
                <w:rFonts w:hint="eastAsia" w:ascii="Times New Roman" w:hAnsi="Times New Roman" w:eastAsia="宋体" w:cs="Times New Roman"/>
                <w:color w:val="auto"/>
                <w:spacing w:val="0"/>
                <w:sz w:val="24"/>
                <w:szCs w:val="24"/>
                <w:highlight w:val="none"/>
                <w:lang w:val="en-US" w:eastAsia="zh-CN"/>
              </w:rPr>
            </w:pPr>
            <w:r>
              <w:rPr>
                <w:rFonts w:hint="eastAsia" w:ascii="宋体" w:hAnsi="宋体" w:eastAsia="宋体" w:cs="宋体"/>
                <w:color w:val="auto"/>
                <w:spacing w:val="-3"/>
                <w:sz w:val="24"/>
                <w:szCs w:val="24"/>
                <w:highlight w:val="none"/>
              </w:rPr>
              <w:t>本</w:t>
            </w:r>
            <w:r>
              <w:rPr>
                <w:rFonts w:ascii="宋体" w:hAnsi="宋体" w:eastAsia="宋体" w:cs="宋体"/>
                <w:color w:val="auto"/>
                <w:spacing w:val="-3"/>
                <w:sz w:val="24"/>
                <w:szCs w:val="24"/>
                <w:highlight w:val="none"/>
              </w:rPr>
              <w:t>项目</w:t>
            </w:r>
            <w:r>
              <w:rPr>
                <w:rFonts w:hint="eastAsia" w:ascii="宋体" w:hAnsi="宋体" w:eastAsia="宋体" w:cs="宋体"/>
                <w:color w:val="auto"/>
                <w:spacing w:val="-3"/>
                <w:sz w:val="24"/>
                <w:szCs w:val="24"/>
                <w:highlight w:val="none"/>
              </w:rPr>
              <w:t>完全</w:t>
            </w:r>
            <w:r>
              <w:rPr>
                <w:rFonts w:ascii="宋体" w:hAnsi="宋体" w:eastAsia="宋体" w:cs="宋体"/>
                <w:color w:val="auto"/>
                <w:spacing w:val="-3"/>
                <w:sz w:val="24"/>
                <w:szCs w:val="24"/>
                <w:highlight w:val="none"/>
              </w:rPr>
              <w:t>建成后，污染物产生、削减、排放“三本</w:t>
            </w:r>
            <w:r>
              <w:rPr>
                <w:rFonts w:hint="eastAsia" w:ascii="宋体" w:hAnsi="宋体" w:cs="宋体"/>
                <w:color w:val="auto"/>
                <w:spacing w:val="-3"/>
                <w:sz w:val="24"/>
                <w:szCs w:val="24"/>
                <w:highlight w:val="none"/>
                <w:lang w:eastAsia="zh-CN"/>
              </w:rPr>
              <w:t>账</w:t>
            </w:r>
            <w:r>
              <w:rPr>
                <w:rFonts w:ascii="宋体" w:hAnsi="宋体" w:eastAsia="宋体" w:cs="宋体"/>
                <w:color w:val="auto"/>
                <w:spacing w:val="-71"/>
                <w:sz w:val="24"/>
                <w:szCs w:val="24"/>
                <w:highlight w:val="none"/>
              </w:rPr>
              <w:t xml:space="preserve"> </w:t>
            </w:r>
            <w:r>
              <w:rPr>
                <w:rFonts w:ascii="宋体" w:hAnsi="宋体" w:eastAsia="宋体" w:cs="宋体"/>
                <w:color w:val="auto"/>
                <w:spacing w:val="-3"/>
                <w:sz w:val="24"/>
                <w:szCs w:val="24"/>
                <w:highlight w:val="none"/>
              </w:rPr>
              <w:t>”情况见</w:t>
            </w:r>
            <w:r>
              <w:rPr>
                <w:rFonts w:hint="eastAsia" w:ascii="宋体" w:hAnsi="宋体" w:eastAsia="宋体" w:cs="宋体"/>
                <w:color w:val="auto"/>
                <w:spacing w:val="-3"/>
                <w:sz w:val="24"/>
                <w:szCs w:val="24"/>
                <w:highlight w:val="none"/>
              </w:rPr>
              <w:t>下</w:t>
            </w:r>
            <w:r>
              <w:rPr>
                <w:rFonts w:hint="eastAsia" w:ascii="宋体" w:hAnsi="宋体" w:cs="宋体"/>
                <w:color w:val="auto"/>
                <w:spacing w:val="-3"/>
                <w:sz w:val="24"/>
                <w:szCs w:val="24"/>
                <w:highlight w:val="none"/>
                <w:lang w:eastAsia="zh-CN"/>
              </w:rPr>
              <w:t>。</w:t>
            </w:r>
          </w:p>
          <w:p>
            <w:pPr>
              <w:topLinePunct/>
              <w:ind w:firstLine="422" w:firstLineChars="20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 4</w:t>
            </w:r>
            <w:r>
              <w:rPr>
                <w:rFonts w:hint="eastAsia"/>
                <w:b/>
                <w:bCs/>
                <w:color w:val="000000" w:themeColor="text1"/>
                <w:lang w:val="en-US" w:eastAsia="zh-CN"/>
                <w14:textFill>
                  <w14:solidFill>
                    <w14:schemeClr w14:val="tx1"/>
                  </w14:solidFill>
                </w14:textFill>
              </w:rPr>
              <w:t>-10</w:t>
            </w:r>
            <w:r>
              <w:rPr>
                <w:rFonts w:hint="eastAsia"/>
                <w:b/>
                <w:bCs/>
                <w:color w:val="000000" w:themeColor="text1"/>
                <w14:textFill>
                  <w14:solidFill>
                    <w14:schemeClr w14:val="tx1"/>
                  </w14:solidFill>
                </w14:textFill>
              </w:rPr>
              <w:t xml:space="preserve">    建设项目“三本</w:t>
            </w:r>
            <w:r>
              <w:rPr>
                <w:rFonts w:hint="eastAsia"/>
                <w:b/>
                <w:bCs/>
                <w:color w:val="000000" w:themeColor="text1"/>
                <w:lang w:eastAsia="zh-CN"/>
                <w14:textFill>
                  <w14:solidFill>
                    <w14:schemeClr w14:val="tx1"/>
                  </w14:solidFill>
                </w14:textFill>
              </w:rPr>
              <w:t>账</w:t>
            </w:r>
            <w:r>
              <w:rPr>
                <w:rFonts w:hint="eastAsia"/>
                <w:b/>
                <w:bCs/>
                <w:color w:val="000000" w:themeColor="text1"/>
                <w14:textFill>
                  <w14:solidFill>
                    <w14:schemeClr w14:val="tx1"/>
                  </w14:solidFill>
                </w14:textFill>
              </w:rPr>
              <w:t xml:space="preserve"> ”统计表（t/a）</w:t>
            </w:r>
          </w:p>
          <w:p>
            <w:pPr>
              <w:spacing w:line="16" w:lineRule="exact"/>
              <w:rPr>
                <w:color w:val="auto"/>
                <w:highlight w:val="none"/>
              </w:rPr>
            </w:pPr>
          </w:p>
          <w:tbl>
            <w:tblPr>
              <w:tblStyle w:val="23"/>
              <w:tblW w:w="81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296"/>
              <w:gridCol w:w="1183"/>
              <w:gridCol w:w="1167"/>
              <w:gridCol w:w="932"/>
              <w:gridCol w:w="1259"/>
              <w:gridCol w:w="12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038" w:type="dxa"/>
                  <w:tcBorders>
                    <w:tl2br w:val="single" w:color="auto" w:sz="4" w:space="0"/>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right"/>
                    <w:rPr>
                      <w:rFonts w:hint="eastAsia" w:ascii="宋体" w:hAnsi="宋体" w:eastAsia="宋体" w:cs="宋体"/>
                      <w:b/>
                      <w:bCs/>
                      <w:snapToGrid w:val="0"/>
                      <w:color w:val="auto"/>
                      <w:spacing w:val="-6"/>
                      <w:kern w:val="21"/>
                      <w:sz w:val="21"/>
                      <w:szCs w:val="21"/>
                      <w:highlight w:val="none"/>
                    </w:rPr>
                  </w:pPr>
                  <w:r>
                    <w:rPr>
                      <w:rFonts w:hint="eastAsia" w:ascii="宋体" w:hAnsi="宋体" w:eastAsia="宋体" w:cs="宋体"/>
                      <w:b/>
                      <w:bCs/>
                      <w:snapToGrid w:val="0"/>
                      <w:color w:val="auto"/>
                      <w:spacing w:val="-6"/>
                      <w:kern w:val="21"/>
                      <w:sz w:val="21"/>
                      <w:szCs w:val="21"/>
                      <w:highlight w:val="none"/>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left"/>
                    <w:rPr>
                      <w:rFonts w:hint="eastAsia" w:ascii="宋体" w:hAnsi="宋体" w:eastAsia="宋体" w:cs="宋体"/>
                      <w:b/>
                      <w:bCs/>
                      <w:snapToGrid w:val="0"/>
                      <w:color w:val="auto"/>
                      <w:spacing w:val="-6"/>
                      <w:kern w:val="21"/>
                      <w:sz w:val="21"/>
                      <w:szCs w:val="21"/>
                      <w:highlight w:val="none"/>
                    </w:rPr>
                  </w:pPr>
                  <w:r>
                    <w:rPr>
                      <w:rFonts w:hint="eastAsia" w:ascii="宋体" w:hAnsi="宋体" w:eastAsia="宋体" w:cs="宋体"/>
                      <w:b/>
                      <w:bCs/>
                      <w:snapToGrid w:val="0"/>
                      <w:color w:val="auto"/>
                      <w:spacing w:val="-6"/>
                      <w:kern w:val="21"/>
                      <w:sz w:val="21"/>
                      <w:szCs w:val="21"/>
                      <w:highlight w:val="none"/>
                    </w:rPr>
                    <w:t>分类</w:t>
                  </w:r>
                </w:p>
              </w:tc>
              <w:tc>
                <w:tcPr>
                  <w:tcW w:w="129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6"/>
                      <w:kern w:val="21"/>
                      <w:sz w:val="21"/>
                      <w:szCs w:val="21"/>
                      <w:highlight w:val="none"/>
                    </w:rPr>
                  </w:pPr>
                  <w:r>
                    <w:rPr>
                      <w:rFonts w:hint="eastAsia" w:ascii="宋体" w:hAnsi="宋体" w:eastAsia="宋体" w:cs="宋体"/>
                      <w:b/>
                      <w:bCs/>
                      <w:snapToGrid w:val="0"/>
                      <w:color w:val="auto"/>
                      <w:spacing w:val="-6"/>
                      <w:kern w:val="21"/>
                      <w:sz w:val="21"/>
                      <w:szCs w:val="21"/>
                      <w:highlight w:val="none"/>
                    </w:rPr>
                    <w:t>污染物名称</w:t>
                  </w:r>
                </w:p>
              </w:tc>
              <w:tc>
                <w:tcPr>
                  <w:tcW w:w="1183"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6"/>
                      <w:kern w:val="21"/>
                      <w:sz w:val="21"/>
                      <w:szCs w:val="21"/>
                      <w:highlight w:val="none"/>
                    </w:rPr>
                  </w:pPr>
                  <w:r>
                    <w:rPr>
                      <w:rFonts w:hint="eastAsia" w:ascii="宋体" w:hAnsi="宋体" w:eastAsia="宋体" w:cs="宋体"/>
                      <w:b/>
                      <w:bCs/>
                      <w:snapToGrid w:val="0"/>
                      <w:color w:val="auto"/>
                      <w:spacing w:val="-6"/>
                      <w:kern w:val="21"/>
                      <w:sz w:val="21"/>
                      <w:szCs w:val="21"/>
                      <w:highlight w:val="none"/>
                    </w:rPr>
                    <w:t>现有工程</w:t>
                  </w:r>
                </w:p>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6"/>
                      <w:kern w:val="21"/>
                      <w:sz w:val="21"/>
                      <w:szCs w:val="21"/>
                      <w:highlight w:val="none"/>
                    </w:rPr>
                  </w:pPr>
                  <w:r>
                    <w:rPr>
                      <w:rFonts w:hint="eastAsia" w:ascii="宋体" w:hAnsi="宋体" w:eastAsia="宋体" w:cs="宋体"/>
                      <w:b/>
                      <w:bCs/>
                      <w:snapToGrid w:val="0"/>
                      <w:color w:val="auto"/>
                      <w:spacing w:val="-6"/>
                      <w:kern w:val="21"/>
                      <w:sz w:val="21"/>
                      <w:szCs w:val="21"/>
                      <w:highlight w:val="none"/>
                    </w:rPr>
                    <w:t>排放量</w:t>
                  </w:r>
                </w:p>
              </w:tc>
              <w:tc>
                <w:tcPr>
                  <w:tcW w:w="1167"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6"/>
                      <w:kern w:val="21"/>
                      <w:sz w:val="21"/>
                      <w:szCs w:val="21"/>
                      <w:highlight w:val="none"/>
                    </w:rPr>
                  </w:pPr>
                  <w:r>
                    <w:rPr>
                      <w:rFonts w:hint="eastAsia" w:ascii="宋体" w:hAnsi="宋体" w:eastAsia="宋体" w:cs="宋体"/>
                      <w:b/>
                      <w:bCs/>
                      <w:snapToGrid w:val="0"/>
                      <w:color w:val="auto"/>
                      <w:spacing w:val="-6"/>
                      <w:kern w:val="21"/>
                      <w:sz w:val="21"/>
                      <w:szCs w:val="21"/>
                      <w:highlight w:val="none"/>
                    </w:rPr>
                    <w:t>改扩建工程排放量</w:t>
                  </w:r>
                </w:p>
              </w:tc>
              <w:tc>
                <w:tcPr>
                  <w:tcW w:w="932"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16"/>
                      <w:kern w:val="21"/>
                      <w:sz w:val="21"/>
                      <w:szCs w:val="21"/>
                      <w:highlight w:val="none"/>
                    </w:rPr>
                  </w:pPr>
                  <w:r>
                    <w:rPr>
                      <w:rFonts w:hint="eastAsia" w:ascii="宋体" w:hAnsi="宋体" w:eastAsia="宋体" w:cs="宋体"/>
                      <w:b/>
                      <w:bCs/>
                      <w:snapToGrid w:val="0"/>
                      <w:color w:val="auto"/>
                      <w:spacing w:val="-16"/>
                      <w:kern w:val="21"/>
                      <w:sz w:val="21"/>
                      <w:szCs w:val="21"/>
                      <w:highlight w:val="none"/>
                    </w:rPr>
                    <w:t>削减量</w:t>
                  </w:r>
                </w:p>
              </w:tc>
              <w:tc>
                <w:tcPr>
                  <w:tcW w:w="1259"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16"/>
                      <w:kern w:val="21"/>
                      <w:sz w:val="21"/>
                      <w:szCs w:val="21"/>
                      <w:highlight w:val="none"/>
                    </w:rPr>
                  </w:pPr>
                  <w:r>
                    <w:rPr>
                      <w:rFonts w:hint="eastAsia" w:ascii="宋体" w:hAnsi="宋体" w:eastAsia="宋体" w:cs="宋体"/>
                      <w:b/>
                      <w:bCs/>
                      <w:snapToGrid w:val="0"/>
                      <w:color w:val="auto"/>
                      <w:spacing w:val="-16"/>
                      <w:kern w:val="21"/>
                      <w:sz w:val="21"/>
                      <w:szCs w:val="21"/>
                      <w:highlight w:val="none"/>
                    </w:rPr>
                    <w:t>改扩建完成后</w:t>
                  </w:r>
                </w:p>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16"/>
                      <w:kern w:val="21"/>
                      <w:sz w:val="21"/>
                      <w:szCs w:val="21"/>
                      <w:highlight w:val="none"/>
                    </w:rPr>
                  </w:pPr>
                  <w:r>
                    <w:rPr>
                      <w:rFonts w:hint="eastAsia" w:ascii="宋体" w:hAnsi="宋体" w:eastAsia="宋体" w:cs="宋体"/>
                      <w:b/>
                      <w:bCs/>
                      <w:snapToGrid w:val="0"/>
                      <w:color w:val="auto"/>
                      <w:spacing w:val="-16"/>
                      <w:kern w:val="21"/>
                      <w:sz w:val="21"/>
                      <w:szCs w:val="21"/>
                      <w:highlight w:val="none"/>
                    </w:rPr>
                    <w:t>全厂排放量</w:t>
                  </w:r>
                </w:p>
              </w:tc>
              <w:tc>
                <w:tcPr>
                  <w:tcW w:w="123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b/>
                      <w:bCs/>
                      <w:snapToGrid w:val="0"/>
                      <w:color w:val="auto"/>
                      <w:spacing w:val="-6"/>
                      <w:kern w:val="21"/>
                      <w:sz w:val="21"/>
                      <w:szCs w:val="21"/>
                      <w:highlight w:val="none"/>
                    </w:rPr>
                  </w:pPr>
                  <w:r>
                    <w:rPr>
                      <w:rFonts w:hint="eastAsia" w:ascii="宋体" w:hAnsi="宋体" w:eastAsia="宋体" w:cs="宋体"/>
                      <w:b/>
                      <w:bCs/>
                      <w:snapToGrid w:val="0"/>
                      <w:color w:val="auto"/>
                      <w:spacing w:val="-6"/>
                      <w:kern w:val="21"/>
                      <w:sz w:val="21"/>
                      <w:szCs w:val="21"/>
                      <w:highlight w:val="none"/>
                    </w:rPr>
                    <w:t>变化量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废气</w:t>
                  </w:r>
                </w:p>
              </w:tc>
              <w:tc>
                <w:tcPr>
                  <w:tcW w:w="1296"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w:t>
                  </w:r>
                </w:p>
              </w:tc>
              <w:tc>
                <w:tcPr>
                  <w:tcW w:w="1183"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0.134</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宋体" w:eastAsia="宋体" w:cs="宋体"/>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0.134</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+0.133</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p>
              </w:tc>
              <w:tc>
                <w:tcPr>
                  <w:tcW w:w="1296"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非甲烷总烃</w:t>
                  </w:r>
                </w:p>
              </w:tc>
              <w:tc>
                <w:tcPr>
                  <w:tcW w:w="1183"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0.0045</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0.0045</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+0.0036</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废水</w:t>
                  </w:r>
                </w:p>
              </w:tc>
              <w:tc>
                <w:tcPr>
                  <w:tcW w:w="1296"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COD</w:t>
                  </w:r>
                </w:p>
              </w:tc>
              <w:tc>
                <w:tcPr>
                  <w:tcW w:w="1183"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0.39</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宋体" w:eastAsia="宋体" w:cs="宋体"/>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0.39</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p>
              </w:tc>
              <w:tc>
                <w:tcPr>
                  <w:tcW w:w="1296"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BOD</w:t>
                  </w:r>
                  <w:r>
                    <w:rPr>
                      <w:rFonts w:ascii="Times New Roman" w:hAnsi="Times New Roman" w:eastAsia="宋体" w:cs="Times New Roman"/>
                      <w:color w:val="auto"/>
                      <w:sz w:val="21"/>
                      <w:szCs w:val="21"/>
                      <w:highlight w:val="none"/>
                      <w:vertAlign w:val="subscript"/>
                    </w:rPr>
                    <w:t>5</w:t>
                  </w:r>
                </w:p>
              </w:tc>
              <w:tc>
                <w:tcPr>
                  <w:tcW w:w="1183"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宋体" w:eastAsia="宋体" w:cs="宋体"/>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宋体" w:eastAsia="宋体" w:cs="宋体"/>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0.08</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p>
              </w:tc>
              <w:tc>
                <w:tcPr>
                  <w:tcW w:w="1296"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SS</w:t>
                  </w:r>
                </w:p>
              </w:tc>
              <w:tc>
                <w:tcPr>
                  <w:tcW w:w="1183"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0.38</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0.38</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p>
              </w:tc>
              <w:tc>
                <w:tcPr>
                  <w:tcW w:w="1296"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氨氮</w:t>
                  </w:r>
                </w:p>
              </w:tc>
              <w:tc>
                <w:tcPr>
                  <w:tcW w:w="1183"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0.06</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kinsoku/>
                    <w:wordWrap/>
                    <w:overflowPunct/>
                    <w:topLinePunct w:val="0"/>
                    <w:autoSpaceDE/>
                    <w:autoSpaceDN/>
                    <w:bidi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一般工业固废</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Times New Roman" w:eastAsia="宋体" w:cs="Times New Roman"/>
                      <w:color w:val="auto"/>
                      <w:kern w:val="0"/>
                      <w:sz w:val="21"/>
                      <w:szCs w:val="21"/>
                      <w:highlight w:val="none"/>
                    </w:rPr>
                  </w:pPr>
                  <w:r>
                    <w:rPr>
                      <w:rFonts w:ascii="宋体" w:hAnsi="Times New Roman" w:eastAsia="宋体" w:cs="Times New Roman"/>
                      <w:color w:val="auto"/>
                      <w:kern w:val="0"/>
                      <w:sz w:val="21"/>
                      <w:szCs w:val="21"/>
                      <w:highlight w:val="none"/>
                    </w:rPr>
                    <w:t>生活垃圾</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30</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snapToGrid w:val="0"/>
                      <w:color w:val="auto"/>
                      <w:kern w:val="21"/>
                      <w:sz w:val="21"/>
                      <w:szCs w:val="21"/>
                      <w:highlight w:val="none"/>
                      <w:lang w:val="en-US" w:eastAsia="zh-CN"/>
                    </w:rPr>
                  </w:pPr>
                </w:p>
              </w:tc>
              <w:tc>
                <w:tcPr>
                  <w:tcW w:w="1296"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边角料</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snapToGrid w:val="0"/>
                      <w:color w:val="auto"/>
                      <w:kern w:val="21"/>
                      <w:sz w:val="21"/>
                      <w:szCs w:val="21"/>
                      <w:highlight w:val="none"/>
                      <w:lang w:val="en-US" w:eastAsia="zh-CN"/>
                    </w:rPr>
                  </w:pPr>
                </w:p>
              </w:tc>
              <w:tc>
                <w:tcPr>
                  <w:tcW w:w="1296"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除尘器收集粉尘</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2.556t/a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2.556</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+2.556</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snapToGrid w:val="0"/>
                      <w:color w:val="auto"/>
                      <w:kern w:val="21"/>
                      <w:sz w:val="21"/>
                      <w:szCs w:val="21"/>
                      <w:highlight w:val="none"/>
                      <w:lang w:val="en-US" w:eastAsia="zh-CN"/>
                    </w:rPr>
                  </w:pPr>
                </w:p>
              </w:tc>
              <w:tc>
                <w:tcPr>
                  <w:tcW w:w="1296"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废焊丝</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snapToGrid w:val="0"/>
                      <w:color w:val="auto"/>
                      <w:kern w:val="21"/>
                      <w:sz w:val="21"/>
                      <w:szCs w:val="21"/>
                      <w:highlight w:val="none"/>
                      <w:lang w:val="en-US" w:eastAsia="zh-CN"/>
                    </w:rPr>
                  </w:pPr>
                </w:p>
              </w:tc>
              <w:tc>
                <w:tcPr>
                  <w:tcW w:w="1296"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Times New Roman" w:eastAsia="宋体" w:cs="Times New Roman"/>
                      <w:color w:val="auto"/>
                      <w:kern w:val="0"/>
                      <w:sz w:val="21"/>
                      <w:szCs w:val="21"/>
                      <w:highlight w:val="none"/>
                      <w:lang w:eastAsia="zh-CN"/>
                    </w:rPr>
                  </w:pPr>
                  <w:r>
                    <w:rPr>
                      <w:rFonts w:hint="eastAsia" w:ascii="宋体" w:hAnsi="Times New Roman" w:eastAsia="宋体" w:cs="Times New Roman"/>
                      <w:color w:val="auto"/>
                      <w:kern w:val="0"/>
                      <w:sz w:val="21"/>
                      <w:szCs w:val="21"/>
                      <w:highlight w:val="none"/>
                      <w:lang w:eastAsia="zh-CN"/>
                    </w:rPr>
                    <w:t>废包装材料</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宋体" w:hAnsi="宋体" w:eastAsia="宋体" w:cs="宋体"/>
                      <w:snapToGrid w:val="0"/>
                      <w:color w:val="auto"/>
                      <w:kern w:val="21"/>
                      <w:sz w:val="21"/>
                      <w:szCs w:val="21"/>
                      <w:highlight w:val="none"/>
                    </w:rPr>
                  </w:pPr>
                </w:p>
              </w:tc>
              <w:tc>
                <w:tcPr>
                  <w:tcW w:w="1296" w:type="dxa"/>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废塑粉滤芯及塑化废渣</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0.01</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rPr>
                    <w:t>0.01</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0.01</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03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危险废物</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Times New Roman" w:eastAsia="宋体" w:cs="Times New Roman"/>
                      <w:color w:val="auto"/>
                      <w:kern w:val="0"/>
                      <w:sz w:val="21"/>
                      <w:szCs w:val="21"/>
                      <w:highlight w:val="none"/>
                      <w:lang w:eastAsia="zh-CN"/>
                    </w:rPr>
                  </w:pPr>
                  <w:r>
                    <w:rPr>
                      <w:rFonts w:hint="eastAsia" w:ascii="宋体" w:hAnsi="Times New Roman" w:eastAsia="宋体" w:cs="Times New Roman"/>
                      <w:color w:val="auto"/>
                      <w:kern w:val="0"/>
                      <w:sz w:val="21"/>
                      <w:szCs w:val="21"/>
                      <w:highlight w:val="none"/>
                      <w:lang w:eastAsia="zh-CN"/>
                    </w:rPr>
                    <w:t>废机油</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0.2</w:t>
                  </w:r>
                  <w:r>
                    <w:rPr>
                      <w:rFonts w:hint="eastAsia" w:ascii="Times New Roman" w:hAnsi="Times New Roman" w:eastAsia="宋体" w:cs="Times New Roman"/>
                      <w:color w:val="auto"/>
                      <w:sz w:val="21"/>
                      <w:szCs w:val="21"/>
                      <w:highlight w:val="none"/>
                    </w:rPr>
                    <w:t>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0.2</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s="Times New Roman"/>
                      <w:bCs/>
                      <w:color w:val="auto"/>
                      <w:kern w:val="0"/>
                      <w:sz w:val="21"/>
                      <w:szCs w:val="21"/>
                      <w:highlight w:val="none"/>
                      <w:lang w:val="en-US" w:eastAsia="zh-CN"/>
                    </w:rPr>
                    <w:t>+0.2</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ascii="宋体" w:hAnsi="宋体" w:eastAsia="宋体" w:cs="宋体"/>
                      <w:snapToGrid w:val="0"/>
                      <w:color w:val="auto"/>
                      <w:kern w:val="21"/>
                      <w:sz w:val="21"/>
                      <w:szCs w:val="21"/>
                      <w:highlight w:val="none"/>
                    </w:rPr>
                  </w:pP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Times New Roman" w:eastAsia="宋体" w:cs="Times New Roman"/>
                      <w:color w:val="auto"/>
                      <w:kern w:val="0"/>
                      <w:sz w:val="21"/>
                      <w:szCs w:val="21"/>
                      <w:highlight w:val="none"/>
                      <w:lang w:eastAsia="zh-CN"/>
                    </w:rPr>
                  </w:pPr>
                  <w:r>
                    <w:rPr>
                      <w:rFonts w:hint="eastAsia" w:ascii="宋体" w:hAnsi="Times New Roman" w:eastAsia="宋体" w:cs="Times New Roman"/>
                      <w:color w:val="auto"/>
                      <w:kern w:val="0"/>
                      <w:sz w:val="21"/>
                      <w:szCs w:val="21"/>
                      <w:highlight w:val="none"/>
                      <w:lang w:eastAsia="zh-CN"/>
                    </w:rPr>
                    <w:t>废活性炭</w:t>
                  </w:r>
                </w:p>
              </w:tc>
              <w:tc>
                <w:tcPr>
                  <w:tcW w:w="1183"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167"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rPr>
                    <w:t>0.00324t/a</w:t>
                  </w:r>
                </w:p>
              </w:tc>
              <w:tc>
                <w:tcPr>
                  <w:tcW w:w="932"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12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0.011</w:t>
                  </w:r>
                  <w:r>
                    <w:rPr>
                      <w:rFonts w:hint="eastAsia" w:ascii="Times New Roman" w:hAnsi="Times New Roman" w:eastAsia="宋体" w:cs="Times New Roman"/>
                      <w:color w:val="auto"/>
                      <w:sz w:val="21"/>
                      <w:szCs w:val="21"/>
                      <w:highlight w:val="none"/>
                    </w:rPr>
                    <w:t>t/a</w:t>
                  </w:r>
                </w:p>
              </w:tc>
              <w:tc>
                <w:tcPr>
                  <w:tcW w:w="1236"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s="Times New Roman"/>
                      <w:bCs/>
                      <w:color w:val="auto"/>
                      <w:kern w:val="0"/>
                      <w:sz w:val="21"/>
                      <w:szCs w:val="21"/>
                      <w:highlight w:val="none"/>
                      <w:lang w:val="en-US" w:eastAsia="zh-CN"/>
                    </w:rPr>
                    <w:t>+0.00324</w:t>
                  </w:r>
                  <w:r>
                    <w:rPr>
                      <w:rFonts w:hint="eastAsia" w:ascii="Times New Roman" w:hAnsi="Times New Roman" w:eastAsia="宋体" w:cs="Times New Roman"/>
                      <w:color w:val="auto"/>
                      <w:sz w:val="21"/>
                      <w:szCs w:val="21"/>
                      <w:highlight w:val="none"/>
                    </w:rPr>
                    <w:t>t/a</w:t>
                  </w:r>
                </w:p>
              </w:tc>
            </w:tr>
          </w:tbl>
          <w:p>
            <w:pPr>
              <w:spacing w:line="360" w:lineRule="auto"/>
              <w:rPr>
                <w:b/>
                <w:bCs/>
                <w:color w:val="auto"/>
                <w:sz w:val="24"/>
              </w:rPr>
            </w:pPr>
            <w:r>
              <w:rPr>
                <w:rFonts w:hint="eastAsia"/>
                <w:b/>
                <w:bCs/>
                <w:color w:val="auto"/>
                <w:sz w:val="24"/>
                <w:lang w:val="en-US" w:eastAsia="zh-CN"/>
              </w:rPr>
              <w:t>6.</w:t>
            </w:r>
            <w:r>
              <w:rPr>
                <w:b/>
                <w:bCs/>
                <w:color w:val="auto"/>
                <w:sz w:val="24"/>
              </w:rPr>
              <w:t>地下水、土壤防治措施</w:t>
            </w:r>
          </w:p>
          <w:p>
            <w:pPr>
              <w:spacing w:line="360" w:lineRule="auto"/>
              <w:ind w:firstLine="480" w:firstLineChars="200"/>
              <w:rPr>
                <w:color w:val="auto"/>
                <w:sz w:val="24"/>
                <w:lang w:val="zh-CN"/>
              </w:rPr>
            </w:pPr>
            <w:r>
              <w:rPr>
                <w:color w:val="auto"/>
                <w:sz w:val="24"/>
                <w:lang w:val="zh-CN"/>
              </w:rPr>
              <w:t>根据《环境影响评价技术导则地下水环境》（HJ6010-2016）中附录A确定建设项目所属的地下水环境影响评价项目类别，</w:t>
            </w:r>
            <w:r>
              <w:rPr>
                <w:color w:val="auto"/>
                <w:sz w:val="24"/>
              </w:rPr>
              <w:t>本项目属于</w:t>
            </w:r>
            <w:r>
              <w:rPr>
                <w:rFonts w:hint="eastAsia"/>
                <w:color w:val="auto"/>
                <w:sz w:val="24"/>
              </w:rPr>
              <w:t>K机械、电子</w:t>
            </w:r>
            <w:r>
              <w:rPr>
                <w:color w:val="auto"/>
                <w:sz w:val="24"/>
              </w:rPr>
              <w:t>—</w:t>
            </w:r>
            <w:r>
              <w:rPr>
                <w:rFonts w:hint="eastAsia" w:ascii="宋体" w:hAnsi="宋体" w:eastAsia="宋体" w:cs="宋体"/>
                <w:spacing w:val="-3"/>
                <w:kern w:val="0"/>
                <w:sz w:val="24"/>
                <w:szCs w:val="24"/>
                <w:lang w:val="en-US" w:eastAsia="zh-CN" w:bidi="ar-SA"/>
              </w:rPr>
              <w:t>71、通用、专用设备制造及维修</w:t>
            </w:r>
            <w:r>
              <w:rPr>
                <w:color w:val="auto"/>
                <w:sz w:val="24"/>
              </w:rPr>
              <w:t>—报告表</w:t>
            </w:r>
            <w:r>
              <w:rPr>
                <w:color w:val="auto"/>
                <w:sz w:val="24"/>
                <w:lang w:val="zh-CN"/>
              </w:rPr>
              <w:t>Ⅳ类。本项目地下水环境影响评价类别为Ⅳ类，根据《环境影响评价技术导则地下水环境》（HJ6010-2016）Ⅳ类建设项目可不开展地下水环境影响评价。</w:t>
            </w:r>
          </w:p>
          <w:p>
            <w:pPr>
              <w:spacing w:line="360" w:lineRule="auto"/>
              <w:ind w:firstLine="480" w:firstLineChars="200"/>
              <w:rPr>
                <w:color w:val="auto"/>
                <w:sz w:val="24"/>
              </w:rPr>
            </w:pPr>
            <w:r>
              <w:rPr>
                <w:color w:val="auto"/>
                <w:sz w:val="24"/>
              </w:rPr>
              <w:t>根据项目特点，进行分区并对不同分区采取相应的防渗措施。</w:t>
            </w:r>
          </w:p>
          <w:p>
            <w:pPr>
              <w:spacing w:line="360" w:lineRule="auto"/>
              <w:ind w:firstLine="480" w:firstLineChars="200"/>
              <w:rPr>
                <w:color w:val="auto"/>
                <w:sz w:val="24"/>
              </w:rPr>
            </w:pPr>
            <w:r>
              <w:rPr>
                <w:color w:val="auto"/>
                <w:sz w:val="24"/>
              </w:rPr>
              <w:t>（1）防渗分区</w:t>
            </w:r>
          </w:p>
          <w:p>
            <w:pPr>
              <w:spacing w:line="360" w:lineRule="auto"/>
              <w:ind w:firstLine="480" w:firstLineChars="200"/>
              <w:rPr>
                <w:color w:val="auto"/>
                <w:sz w:val="24"/>
              </w:rPr>
            </w:pPr>
            <w:r>
              <w:rPr>
                <w:color w:val="auto"/>
                <w:sz w:val="24"/>
              </w:rPr>
              <w:t>根据装置、单元的特点和所处的区域及部位，本项目厂区划分为一般污染防治区、简单防渗区。</w:t>
            </w:r>
          </w:p>
          <w:p>
            <w:pPr>
              <w:spacing w:line="360" w:lineRule="auto"/>
              <w:ind w:firstLine="480" w:firstLineChars="200"/>
              <w:rPr>
                <w:color w:val="auto"/>
                <w:sz w:val="24"/>
              </w:rPr>
            </w:pPr>
            <w:r>
              <w:rPr>
                <w:color w:val="auto"/>
                <w:sz w:val="24"/>
              </w:rPr>
              <w:t>一般污染防治区：生产车间。</w:t>
            </w:r>
          </w:p>
          <w:p>
            <w:pPr>
              <w:spacing w:line="360" w:lineRule="auto"/>
              <w:ind w:firstLine="480" w:firstLineChars="200"/>
              <w:rPr>
                <w:color w:val="auto"/>
                <w:sz w:val="24"/>
              </w:rPr>
            </w:pPr>
            <w:r>
              <w:rPr>
                <w:color w:val="auto"/>
                <w:sz w:val="24"/>
              </w:rPr>
              <w:t>简单污染防治区：生活区、进出场道路。</w:t>
            </w:r>
          </w:p>
          <w:p>
            <w:pPr>
              <w:spacing w:line="360" w:lineRule="auto"/>
              <w:ind w:firstLine="480" w:firstLineChars="200"/>
              <w:rPr>
                <w:color w:val="auto"/>
                <w:sz w:val="24"/>
              </w:rPr>
            </w:pPr>
            <w:r>
              <w:rPr>
                <w:color w:val="auto"/>
                <w:sz w:val="24"/>
              </w:rPr>
              <w:t>重点污染防治区：</w:t>
            </w:r>
            <w:r>
              <w:rPr>
                <w:rFonts w:hint="eastAsia"/>
                <w:color w:val="auto"/>
                <w:sz w:val="24"/>
                <w:lang w:eastAsia="zh-CN"/>
              </w:rPr>
              <w:t>危废暂存间</w:t>
            </w:r>
            <w:r>
              <w:rPr>
                <w:color w:val="auto"/>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（2）分区防渗处理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重点防渗区：本项目重点防渗区</w:t>
            </w:r>
            <w:r>
              <w:rPr>
                <w:rFonts w:hint="eastAsia"/>
                <w:color w:val="auto"/>
                <w:sz w:val="24"/>
                <w:lang w:val="en-US" w:eastAsia="zh-CN"/>
              </w:rPr>
              <w:t>为</w:t>
            </w:r>
            <w:r>
              <w:rPr>
                <w:rFonts w:hint="eastAsia"/>
                <w:color w:val="auto"/>
                <w:sz w:val="24"/>
                <w:lang w:eastAsia="zh-CN"/>
              </w:rPr>
              <w:t>危险暂存间；</w:t>
            </w:r>
            <w:r>
              <w:rPr>
                <w:color w:val="auto"/>
                <w:sz w:val="24"/>
              </w:rPr>
              <w:t>防渗方案黏土夯实+2mm厚高密度聚乙烯膜（HDPE）+水泥地面，防渗技术为：等效黏土防渗层Mb≥6.0m，K≤1×10</w:t>
            </w:r>
            <w:r>
              <w:rPr>
                <w:rFonts w:hint="eastAsia"/>
                <w:color w:val="auto"/>
                <w:sz w:val="24"/>
                <w:vertAlign w:val="superscript"/>
                <w:lang w:val="en-US" w:eastAsia="zh-CN"/>
              </w:rPr>
              <w:t>-</w:t>
            </w:r>
            <w:r>
              <w:rPr>
                <w:color w:val="auto"/>
                <w:sz w:val="24"/>
                <w:vertAlign w:val="superscript"/>
              </w:rPr>
              <w:t>10</w:t>
            </w:r>
            <w:r>
              <w:rPr>
                <w:color w:val="auto"/>
                <w:sz w:val="24"/>
              </w:rPr>
              <w:t>cm/s。</w:t>
            </w:r>
          </w:p>
          <w:p>
            <w:pPr>
              <w:spacing w:line="360" w:lineRule="auto"/>
              <w:ind w:firstLine="480" w:firstLineChars="200"/>
              <w:jc w:val="left"/>
              <w:rPr>
                <w:color w:val="auto"/>
                <w:sz w:val="24"/>
              </w:rPr>
            </w:pPr>
            <w:r>
              <w:rPr>
                <w:color w:val="auto"/>
                <w:sz w:val="24"/>
              </w:rPr>
              <w:t>一般防渗区：采用厚度Mb=1.5m，渗透系数K≤10</w:t>
            </w:r>
            <w:r>
              <w:rPr>
                <w:color w:val="auto"/>
                <w:sz w:val="24"/>
                <w:vertAlign w:val="superscript"/>
              </w:rPr>
              <w:t>-7</w:t>
            </w:r>
            <w:r>
              <w:rPr>
                <w:color w:val="auto"/>
                <w:sz w:val="24"/>
              </w:rPr>
              <w:t>cm/s防渗等效的20cm厚P4等级</w:t>
            </w:r>
            <w:r>
              <w:rPr>
                <w:rFonts w:hint="eastAsia"/>
                <w:color w:val="auto"/>
                <w:sz w:val="24"/>
              </w:rPr>
              <w:t>水泥制品</w:t>
            </w:r>
            <w:r>
              <w:rPr>
                <w:color w:val="auto"/>
                <w:sz w:val="24"/>
              </w:rPr>
              <w:t>进行防渗。地面涂1mm厚环氧树脂进行防腐。要求防渗技术要求为：等效黏土防渗层Mb≥1.5m，K≤1×10</w:t>
            </w:r>
            <w:r>
              <w:rPr>
                <w:rFonts w:hint="eastAsia"/>
                <w:color w:val="auto"/>
                <w:sz w:val="24"/>
                <w:vertAlign w:val="superscript"/>
                <w:lang w:val="en-US" w:eastAsia="zh-CN"/>
              </w:rPr>
              <w:t>-</w:t>
            </w:r>
            <w:r>
              <w:rPr>
                <w:color w:val="auto"/>
                <w:sz w:val="24"/>
                <w:vertAlign w:val="superscript"/>
              </w:rPr>
              <w:t>7</w:t>
            </w:r>
            <w:r>
              <w:rPr>
                <w:color w:val="auto"/>
                <w:sz w:val="24"/>
              </w:rPr>
              <w:t>cm/s；或参照GB16889执行。</w:t>
            </w:r>
          </w:p>
          <w:p>
            <w:pPr>
              <w:spacing w:line="360" w:lineRule="auto"/>
              <w:ind w:firstLine="480" w:firstLineChars="200"/>
              <w:jc w:val="left"/>
              <w:rPr>
                <w:rFonts w:hint="default" w:eastAsia="宋体"/>
                <w:color w:val="auto"/>
                <w:sz w:val="24"/>
                <w:lang w:val="en-US" w:eastAsia="zh-CN"/>
              </w:rPr>
            </w:pPr>
            <w:r>
              <w:rPr>
                <w:color w:val="auto"/>
                <w:sz w:val="24"/>
              </w:rPr>
              <w:t>简单污染防治区：硬化地面即可，生活区以及进出</w:t>
            </w:r>
            <w:r>
              <w:rPr>
                <w:rFonts w:hint="eastAsia"/>
                <w:color w:val="auto"/>
                <w:sz w:val="24"/>
                <w:lang w:eastAsia="zh-CN"/>
              </w:rPr>
              <w:t>厂</w:t>
            </w:r>
            <w:r>
              <w:rPr>
                <w:color w:val="auto"/>
                <w:sz w:val="24"/>
              </w:rPr>
              <w:t>道路已依托现有厂区。本项目</w:t>
            </w:r>
            <w:r>
              <w:rPr>
                <w:rFonts w:hint="eastAsia"/>
                <w:color w:val="auto"/>
                <w:sz w:val="24"/>
                <w:lang w:val="en-US" w:eastAsia="zh-CN"/>
              </w:rPr>
              <w:t>各污染区防渗措施见表4-11。</w:t>
            </w:r>
          </w:p>
          <w:p>
            <w:pPr>
              <w:jc w:val="center"/>
              <w:rPr>
                <w:b/>
                <w:bCs/>
                <w:color w:val="auto"/>
                <w:szCs w:val="21"/>
              </w:rPr>
            </w:pPr>
            <w:r>
              <w:rPr>
                <w:b/>
                <w:bCs/>
                <w:color w:val="auto"/>
                <w:szCs w:val="21"/>
              </w:rPr>
              <w:t>表4-1</w:t>
            </w:r>
            <w:r>
              <w:rPr>
                <w:rFonts w:hint="eastAsia"/>
                <w:b/>
                <w:bCs/>
                <w:color w:val="auto"/>
                <w:szCs w:val="21"/>
                <w:lang w:val="en-US" w:eastAsia="zh-CN"/>
              </w:rPr>
              <w:t>1</w:t>
            </w:r>
            <w:r>
              <w:rPr>
                <w:b/>
                <w:bCs/>
                <w:color w:val="auto"/>
                <w:szCs w:val="21"/>
              </w:rPr>
              <w:t>各污染区防渗措施</w:t>
            </w:r>
          </w:p>
          <w:tbl>
            <w:tblPr>
              <w:tblStyle w:val="24"/>
              <w:tblW w:w="82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119"/>
              <w:gridCol w:w="1142"/>
              <w:gridCol w:w="1596"/>
              <w:gridCol w:w="1077"/>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tcBorders>
                    <w:bottom w:val="single" w:color="auto" w:sz="12" w:space="0"/>
                  </w:tcBorders>
                  <w:vAlign w:val="center"/>
                </w:tcPr>
                <w:p>
                  <w:pPr>
                    <w:jc w:val="center"/>
                    <w:rPr>
                      <w:b/>
                      <w:bCs/>
                      <w:color w:val="auto"/>
                      <w:szCs w:val="21"/>
                      <w:lang w:val="zh-TW" w:eastAsia="zh-TW"/>
                    </w:rPr>
                  </w:pPr>
                  <w:r>
                    <w:rPr>
                      <w:b/>
                      <w:bCs/>
                      <w:color w:val="auto"/>
                      <w:szCs w:val="21"/>
                      <w:lang w:val="zh-TW" w:eastAsia="zh-TW"/>
                    </w:rPr>
                    <w:t>场区内</w:t>
                  </w:r>
                </w:p>
                <w:p>
                  <w:pPr>
                    <w:jc w:val="center"/>
                    <w:rPr>
                      <w:b/>
                      <w:bCs/>
                      <w:color w:val="auto"/>
                      <w:szCs w:val="21"/>
                    </w:rPr>
                  </w:pPr>
                  <w:r>
                    <w:rPr>
                      <w:b/>
                      <w:bCs/>
                      <w:color w:val="auto"/>
                      <w:szCs w:val="21"/>
                      <w:lang w:val="zh-TW" w:eastAsia="zh-TW"/>
                    </w:rPr>
                    <w:t>建筑物</w:t>
                  </w:r>
                </w:p>
              </w:tc>
              <w:tc>
                <w:tcPr>
                  <w:tcW w:w="682" w:type="pct"/>
                  <w:tcBorders>
                    <w:bottom w:val="single" w:color="auto" w:sz="12" w:space="0"/>
                  </w:tcBorders>
                  <w:vAlign w:val="center"/>
                </w:tcPr>
                <w:p>
                  <w:pPr>
                    <w:jc w:val="center"/>
                    <w:rPr>
                      <w:b/>
                      <w:bCs/>
                      <w:color w:val="auto"/>
                      <w:szCs w:val="21"/>
                    </w:rPr>
                  </w:pPr>
                  <w:r>
                    <w:rPr>
                      <w:b/>
                      <w:bCs/>
                      <w:color w:val="auto"/>
                      <w:szCs w:val="21"/>
                      <w:lang w:val="zh-TW" w:eastAsia="zh-TW"/>
                    </w:rPr>
                    <w:t>包气带防污性能</w:t>
                  </w:r>
                </w:p>
              </w:tc>
              <w:tc>
                <w:tcPr>
                  <w:tcW w:w="696" w:type="pct"/>
                  <w:tcBorders>
                    <w:bottom w:val="single" w:color="auto" w:sz="12" w:space="0"/>
                  </w:tcBorders>
                  <w:vAlign w:val="center"/>
                </w:tcPr>
                <w:p>
                  <w:pPr>
                    <w:jc w:val="center"/>
                    <w:rPr>
                      <w:b/>
                      <w:bCs/>
                      <w:color w:val="auto"/>
                      <w:szCs w:val="21"/>
                    </w:rPr>
                  </w:pPr>
                  <w:r>
                    <w:rPr>
                      <w:b/>
                      <w:bCs/>
                      <w:color w:val="auto"/>
                      <w:szCs w:val="21"/>
                      <w:lang w:val="zh-TW" w:eastAsia="zh-TW"/>
                    </w:rPr>
                    <w:t>污染控制难易程度</w:t>
                  </w:r>
                </w:p>
              </w:tc>
              <w:tc>
                <w:tcPr>
                  <w:tcW w:w="972" w:type="pct"/>
                  <w:tcBorders>
                    <w:bottom w:val="single" w:color="auto" w:sz="12" w:space="0"/>
                  </w:tcBorders>
                  <w:vAlign w:val="center"/>
                </w:tcPr>
                <w:p>
                  <w:pPr>
                    <w:jc w:val="center"/>
                    <w:rPr>
                      <w:b/>
                      <w:bCs/>
                      <w:color w:val="auto"/>
                      <w:szCs w:val="21"/>
                      <w:lang w:val="zh-TW" w:eastAsia="zh-TW"/>
                    </w:rPr>
                  </w:pPr>
                  <w:r>
                    <w:rPr>
                      <w:b/>
                      <w:bCs/>
                      <w:color w:val="auto"/>
                      <w:szCs w:val="21"/>
                      <w:lang w:val="zh-TW" w:eastAsia="zh-TW"/>
                    </w:rPr>
                    <w:t>污染物类型</w:t>
                  </w:r>
                </w:p>
              </w:tc>
              <w:tc>
                <w:tcPr>
                  <w:tcW w:w="656" w:type="pct"/>
                  <w:tcBorders>
                    <w:bottom w:val="single" w:color="auto" w:sz="12" w:space="0"/>
                  </w:tcBorders>
                  <w:vAlign w:val="center"/>
                </w:tcPr>
                <w:p>
                  <w:pPr>
                    <w:jc w:val="center"/>
                    <w:rPr>
                      <w:b/>
                      <w:bCs/>
                      <w:color w:val="auto"/>
                      <w:szCs w:val="21"/>
                    </w:rPr>
                  </w:pPr>
                  <w:r>
                    <w:rPr>
                      <w:b/>
                      <w:bCs/>
                      <w:color w:val="auto"/>
                      <w:szCs w:val="21"/>
                      <w:lang w:val="zh-TW" w:eastAsia="zh-TW"/>
                    </w:rPr>
                    <w:t>防渗分区</w:t>
                  </w:r>
                </w:p>
              </w:tc>
              <w:tc>
                <w:tcPr>
                  <w:tcW w:w="1151" w:type="pct"/>
                  <w:tcBorders>
                    <w:bottom w:val="single" w:color="auto" w:sz="12" w:space="0"/>
                  </w:tcBorders>
                  <w:vAlign w:val="center"/>
                </w:tcPr>
                <w:p>
                  <w:pPr>
                    <w:widowControl/>
                    <w:jc w:val="center"/>
                    <w:rPr>
                      <w:rFonts w:eastAsiaTheme="minorEastAsia"/>
                      <w:b/>
                      <w:bCs/>
                      <w:color w:val="auto"/>
                      <w:szCs w:val="21"/>
                    </w:rPr>
                  </w:pPr>
                  <w:r>
                    <w:rPr>
                      <w:b/>
                      <w:bCs/>
                      <w:color w:val="auto"/>
                      <w:szCs w:val="21"/>
                      <w:lang w:bidi="ar"/>
                    </w:rPr>
                    <w:t>防渗处理措施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tcBorders>
                    <w:tl2br w:val="nil"/>
                    <w:tr2bl w:val="nil"/>
                  </w:tcBorders>
                  <w:vAlign w:val="center"/>
                </w:tcPr>
                <w:p>
                  <w:pPr>
                    <w:jc w:val="center"/>
                    <w:rPr>
                      <w:rFonts w:hint="eastAsia" w:eastAsia="宋体"/>
                      <w:color w:val="auto"/>
                      <w:szCs w:val="21"/>
                      <w:lang w:eastAsia="zh-CN"/>
                    </w:rPr>
                  </w:pPr>
                  <w:r>
                    <w:rPr>
                      <w:rFonts w:hint="eastAsia"/>
                      <w:color w:val="auto"/>
                      <w:szCs w:val="21"/>
                      <w:lang w:eastAsia="zh-CN"/>
                    </w:rPr>
                    <w:t>危废暂存间</w:t>
                  </w:r>
                </w:p>
              </w:tc>
              <w:tc>
                <w:tcPr>
                  <w:tcW w:w="682"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弱</w:t>
                  </w:r>
                </w:p>
              </w:tc>
              <w:tc>
                <w:tcPr>
                  <w:tcW w:w="696"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lang w:val="zh-TW" w:eastAsia="zh-TW"/>
                    </w:rPr>
                    <w:t>难</w:t>
                  </w:r>
                </w:p>
              </w:tc>
              <w:tc>
                <w:tcPr>
                  <w:tcW w:w="972" w:type="pct"/>
                  <w:tcBorders>
                    <w:tl2br w:val="nil"/>
                    <w:tr2bl w:val="nil"/>
                  </w:tcBorders>
                  <w:vAlign w:val="center"/>
                </w:tcPr>
                <w:p>
                  <w:pPr>
                    <w:jc w:val="center"/>
                    <w:rPr>
                      <w:rFonts w:ascii="Times New Roman" w:hAnsi="Times New Roman" w:eastAsia="宋体" w:cs="Times New Roman"/>
                      <w:color w:val="auto"/>
                      <w:kern w:val="2"/>
                      <w:sz w:val="21"/>
                      <w:szCs w:val="21"/>
                      <w:lang w:val="zh-TW" w:eastAsia="zh-TW" w:bidi="ar-SA"/>
                    </w:rPr>
                  </w:pPr>
                  <w:r>
                    <w:rPr>
                      <w:color w:val="auto"/>
                      <w:szCs w:val="21"/>
                    </w:rPr>
                    <w:t>非</w:t>
                  </w:r>
                  <w:r>
                    <w:rPr>
                      <w:color w:val="auto"/>
                      <w:szCs w:val="21"/>
                      <w:lang w:val="zh-TW" w:eastAsia="zh-TW"/>
                    </w:rPr>
                    <w:t>重金属、持久性有机物污染物</w:t>
                  </w:r>
                  <w:r>
                    <w:rPr>
                      <w:color w:val="auto"/>
                      <w:szCs w:val="21"/>
                    </w:rPr>
                    <w:t>的</w:t>
                  </w:r>
                  <w:r>
                    <w:rPr>
                      <w:color w:val="auto"/>
                      <w:szCs w:val="21"/>
                      <w:lang w:val="zh-TW" w:eastAsia="zh-TW"/>
                    </w:rPr>
                    <w:t>其他类型</w:t>
                  </w:r>
                </w:p>
              </w:tc>
              <w:tc>
                <w:tcPr>
                  <w:tcW w:w="656"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重点防渗</w:t>
                  </w:r>
                </w:p>
              </w:tc>
              <w:tc>
                <w:tcPr>
                  <w:tcW w:w="1151"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等效黏土防渗层Mb≥</w:t>
                  </w:r>
                  <w:r>
                    <w:rPr>
                      <w:rFonts w:hint="eastAsia"/>
                      <w:color w:val="auto"/>
                      <w:szCs w:val="21"/>
                      <w:lang w:val="en-US" w:eastAsia="zh-CN"/>
                    </w:rPr>
                    <w:t>6.0</w:t>
                  </w:r>
                  <w:r>
                    <w:rPr>
                      <w:color w:val="auto"/>
                      <w:szCs w:val="21"/>
                    </w:rPr>
                    <w:t>m，K≤1.0×10</w:t>
                  </w:r>
                  <w:r>
                    <w:rPr>
                      <w:rFonts w:hint="eastAsia"/>
                      <w:color w:val="auto"/>
                      <w:szCs w:val="21"/>
                      <w:vertAlign w:val="superscript"/>
                      <w:lang w:val="en-US" w:eastAsia="zh-CN"/>
                    </w:rPr>
                    <w:t>-10</w:t>
                  </w:r>
                  <w:r>
                    <w:rPr>
                      <w:color w:val="auto"/>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生产区</w:t>
                  </w:r>
                </w:p>
              </w:tc>
              <w:tc>
                <w:tcPr>
                  <w:tcW w:w="682"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弱</w:t>
                  </w:r>
                </w:p>
              </w:tc>
              <w:tc>
                <w:tcPr>
                  <w:tcW w:w="696"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易－</w:t>
                  </w:r>
                  <w:r>
                    <w:rPr>
                      <w:color w:val="auto"/>
                      <w:szCs w:val="21"/>
                      <w:lang w:val="zh-TW" w:eastAsia="zh-TW"/>
                    </w:rPr>
                    <w:t>难</w:t>
                  </w:r>
                </w:p>
              </w:tc>
              <w:tc>
                <w:tcPr>
                  <w:tcW w:w="972" w:type="pct"/>
                  <w:tcBorders>
                    <w:tl2br w:val="nil"/>
                    <w:tr2bl w:val="nil"/>
                  </w:tcBorders>
                  <w:vAlign w:val="center"/>
                </w:tcPr>
                <w:p>
                  <w:pPr>
                    <w:jc w:val="center"/>
                    <w:rPr>
                      <w:rFonts w:ascii="Times New Roman" w:hAnsi="Times New Roman" w:eastAsia="宋体" w:cs="Times New Roman"/>
                      <w:color w:val="auto"/>
                      <w:kern w:val="2"/>
                      <w:sz w:val="21"/>
                      <w:szCs w:val="21"/>
                      <w:lang w:val="zh-TW" w:eastAsia="zh-TW" w:bidi="ar-SA"/>
                    </w:rPr>
                  </w:pPr>
                  <w:r>
                    <w:rPr>
                      <w:color w:val="auto"/>
                      <w:szCs w:val="21"/>
                    </w:rPr>
                    <w:t>非</w:t>
                  </w:r>
                  <w:r>
                    <w:rPr>
                      <w:color w:val="auto"/>
                      <w:szCs w:val="21"/>
                      <w:lang w:val="zh-TW" w:eastAsia="zh-TW"/>
                    </w:rPr>
                    <w:t>重金属、持久性有机物</w:t>
                  </w:r>
                </w:p>
              </w:tc>
              <w:tc>
                <w:tcPr>
                  <w:tcW w:w="656"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一般防渗</w:t>
                  </w:r>
                </w:p>
              </w:tc>
              <w:tc>
                <w:tcPr>
                  <w:tcW w:w="1151"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等效黏土防渗层Mb≥1.5m，K≤1.0×10</w:t>
                  </w:r>
                  <w:r>
                    <w:rPr>
                      <w:rFonts w:hint="eastAsia"/>
                      <w:color w:val="auto"/>
                      <w:szCs w:val="21"/>
                      <w:vertAlign w:val="superscript"/>
                      <w:lang w:val="en-US" w:eastAsia="zh-CN"/>
                    </w:rPr>
                    <w:t>-</w:t>
                  </w:r>
                  <w:r>
                    <w:rPr>
                      <w:color w:val="auto"/>
                      <w:szCs w:val="21"/>
                      <w:vertAlign w:val="superscript"/>
                    </w:rPr>
                    <w:t>7</w:t>
                  </w:r>
                  <w:r>
                    <w:rPr>
                      <w:color w:val="auto"/>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tcBorders>
                    <w:tl2br w:val="nil"/>
                    <w:tr2bl w:val="nil"/>
                  </w:tcBorders>
                  <w:vAlign w:val="center"/>
                </w:tcPr>
                <w:p>
                  <w:pPr>
                    <w:jc w:val="center"/>
                    <w:rPr>
                      <w:color w:val="auto"/>
                      <w:szCs w:val="21"/>
                    </w:rPr>
                  </w:pPr>
                  <w:r>
                    <w:rPr>
                      <w:color w:val="auto"/>
                      <w:szCs w:val="21"/>
                    </w:rPr>
                    <w:t>办公生活区</w:t>
                  </w:r>
                </w:p>
              </w:tc>
              <w:tc>
                <w:tcPr>
                  <w:tcW w:w="682" w:type="pct"/>
                  <w:tcBorders>
                    <w:tl2br w:val="nil"/>
                    <w:tr2bl w:val="nil"/>
                  </w:tcBorders>
                  <w:vAlign w:val="center"/>
                </w:tcPr>
                <w:p>
                  <w:pPr>
                    <w:jc w:val="center"/>
                    <w:rPr>
                      <w:color w:val="auto"/>
                      <w:szCs w:val="21"/>
                    </w:rPr>
                  </w:pPr>
                  <w:r>
                    <w:rPr>
                      <w:color w:val="auto"/>
                      <w:szCs w:val="21"/>
                    </w:rPr>
                    <w:t>弱</w:t>
                  </w:r>
                </w:p>
              </w:tc>
              <w:tc>
                <w:tcPr>
                  <w:tcW w:w="696" w:type="pct"/>
                  <w:tcBorders>
                    <w:tl2br w:val="nil"/>
                    <w:tr2bl w:val="nil"/>
                  </w:tcBorders>
                  <w:vAlign w:val="center"/>
                </w:tcPr>
                <w:p>
                  <w:pPr>
                    <w:jc w:val="center"/>
                    <w:rPr>
                      <w:color w:val="auto"/>
                      <w:szCs w:val="21"/>
                    </w:rPr>
                  </w:pPr>
                  <w:r>
                    <w:rPr>
                      <w:color w:val="auto"/>
                      <w:szCs w:val="21"/>
                    </w:rPr>
                    <w:t>易</w:t>
                  </w:r>
                </w:p>
              </w:tc>
              <w:tc>
                <w:tcPr>
                  <w:tcW w:w="972" w:type="pct"/>
                  <w:tcBorders>
                    <w:tl2br w:val="nil"/>
                    <w:tr2bl w:val="nil"/>
                  </w:tcBorders>
                  <w:vAlign w:val="center"/>
                </w:tcPr>
                <w:p>
                  <w:pPr>
                    <w:jc w:val="center"/>
                    <w:rPr>
                      <w:color w:val="auto"/>
                      <w:szCs w:val="21"/>
                    </w:rPr>
                  </w:pPr>
                  <w:r>
                    <w:rPr>
                      <w:color w:val="auto"/>
                      <w:szCs w:val="21"/>
                      <w:lang w:val="zh-TW" w:eastAsia="zh-TW"/>
                    </w:rPr>
                    <w:t>污染物</w:t>
                  </w:r>
                  <w:r>
                    <w:rPr>
                      <w:color w:val="auto"/>
                      <w:szCs w:val="21"/>
                    </w:rPr>
                    <w:t>的</w:t>
                  </w:r>
                  <w:r>
                    <w:rPr>
                      <w:color w:val="auto"/>
                      <w:szCs w:val="21"/>
                      <w:lang w:val="zh-TW" w:eastAsia="zh-TW"/>
                    </w:rPr>
                    <w:t>其他类型</w:t>
                  </w:r>
                </w:p>
              </w:tc>
              <w:tc>
                <w:tcPr>
                  <w:tcW w:w="656" w:type="pct"/>
                  <w:tcBorders>
                    <w:tl2br w:val="nil"/>
                    <w:tr2bl w:val="nil"/>
                  </w:tcBorders>
                  <w:vAlign w:val="center"/>
                </w:tcPr>
                <w:p>
                  <w:pPr>
                    <w:jc w:val="center"/>
                    <w:rPr>
                      <w:color w:val="auto"/>
                      <w:szCs w:val="21"/>
                    </w:rPr>
                  </w:pPr>
                  <w:r>
                    <w:rPr>
                      <w:color w:val="auto"/>
                      <w:szCs w:val="21"/>
                    </w:rPr>
                    <w:t>简单防渗</w:t>
                  </w:r>
                </w:p>
              </w:tc>
              <w:tc>
                <w:tcPr>
                  <w:tcW w:w="1151" w:type="pct"/>
                  <w:tcBorders>
                    <w:tl2br w:val="nil"/>
                    <w:tr2bl w:val="nil"/>
                  </w:tcBorders>
                  <w:vAlign w:val="center"/>
                </w:tcPr>
                <w:p>
                  <w:pPr>
                    <w:jc w:val="center"/>
                    <w:rPr>
                      <w:color w:val="auto"/>
                      <w:szCs w:val="21"/>
                    </w:rPr>
                  </w:pPr>
                  <w:r>
                    <w:rPr>
                      <w:color w:val="auto"/>
                      <w:szCs w:val="21"/>
                      <w:lang w:val="zh-TW" w:eastAsia="zh-TW"/>
                    </w:rPr>
                    <w:t>一般地面硬化</w:t>
                  </w:r>
                </w:p>
              </w:tc>
            </w:tr>
          </w:tbl>
          <w:p>
            <w:pPr>
              <w:spacing w:line="360" w:lineRule="auto"/>
              <w:ind w:firstLine="480" w:firstLineChars="200"/>
              <w:rPr>
                <w:color w:val="auto"/>
                <w:sz w:val="24"/>
                <w:szCs w:val="20"/>
              </w:rPr>
            </w:pPr>
            <w:r>
              <w:rPr>
                <w:color w:val="auto"/>
                <w:sz w:val="24"/>
                <w:szCs w:val="20"/>
              </w:rPr>
              <w:t>（3）环境影响分析</w:t>
            </w:r>
          </w:p>
          <w:p>
            <w:pPr>
              <w:spacing w:line="360" w:lineRule="auto"/>
              <w:ind w:firstLine="480" w:firstLineChars="200"/>
              <w:rPr>
                <w:color w:val="auto"/>
                <w:sz w:val="24"/>
                <w:szCs w:val="20"/>
              </w:rPr>
            </w:pPr>
            <w:r>
              <w:rPr>
                <w:color w:val="auto"/>
                <w:sz w:val="24"/>
                <w:szCs w:val="20"/>
              </w:rPr>
              <w:t>根据项目特点，厂区进行分区并对不同分区采取相应的防渗措施。项目对可能产生地下水、土壤影响的各项途径均进行有效预防，各项防渗措施可以有效地防止对区域地下水、土壤造成污染。综上所述，项目不会对项目区地下水、土壤环境造成污染影响。</w:t>
            </w:r>
          </w:p>
          <w:p>
            <w:pPr>
              <w:spacing w:line="360" w:lineRule="auto"/>
              <w:rPr>
                <w:b/>
                <w:bCs/>
                <w:color w:val="auto"/>
                <w:sz w:val="24"/>
              </w:rPr>
            </w:pPr>
            <w:r>
              <w:rPr>
                <w:rFonts w:hint="eastAsia"/>
                <w:b/>
                <w:bCs/>
                <w:color w:val="auto"/>
                <w:sz w:val="24"/>
                <w:lang w:val="en-US" w:eastAsia="zh-CN"/>
              </w:rPr>
              <w:t>7</w:t>
            </w:r>
            <w:r>
              <w:rPr>
                <w:b/>
                <w:bCs/>
                <w:color w:val="auto"/>
                <w:sz w:val="24"/>
              </w:rPr>
              <w:t>.环境风险分析</w:t>
            </w:r>
          </w:p>
          <w:p>
            <w:pPr>
              <w:spacing w:line="360" w:lineRule="auto"/>
              <w:rPr>
                <w:b/>
                <w:bCs/>
                <w:color w:val="auto"/>
                <w:sz w:val="24"/>
              </w:rPr>
            </w:pPr>
            <w:r>
              <w:rPr>
                <w:rFonts w:hint="eastAsia"/>
                <w:b/>
                <w:bCs/>
                <w:color w:val="auto"/>
                <w:sz w:val="24"/>
                <w:lang w:val="en-US" w:eastAsia="zh-CN"/>
              </w:rPr>
              <w:t>7</w:t>
            </w:r>
            <w:r>
              <w:rPr>
                <w:b/>
                <w:bCs/>
                <w:color w:val="auto"/>
                <w:sz w:val="24"/>
              </w:rPr>
              <w:t>.1概述</w:t>
            </w:r>
          </w:p>
          <w:p>
            <w:pPr>
              <w:spacing w:line="360" w:lineRule="auto"/>
              <w:ind w:firstLine="480" w:firstLineChars="200"/>
              <w:jc w:val="left"/>
              <w:rPr>
                <w:color w:val="auto"/>
                <w:sz w:val="24"/>
              </w:rPr>
            </w:pPr>
            <w:r>
              <w:rPr>
                <w:color w:val="auto"/>
                <w:sz w:val="24"/>
              </w:rPr>
              <w:t>环境风险分析的目的是分析和预测建设项目潜在</w:t>
            </w:r>
            <w:r>
              <w:rPr>
                <w:rFonts w:hint="eastAsia"/>
                <w:color w:val="auto"/>
                <w:sz w:val="24"/>
                <w:lang w:eastAsia="zh-CN"/>
              </w:rPr>
              <w:t>环境风险</w:t>
            </w:r>
            <w:r>
              <w:rPr>
                <w:color w:val="auto"/>
                <w:sz w:val="24"/>
              </w:rPr>
              <w:t>、有害因素，建设项目建设和运行期间可能发生的突发事件或事故，引起有毒有害易燃易爆等物质泄漏，所造成的人身安全与环境影响和损害程度，提出合理可行的防范、应急与减缓措施，以使事故率、损失和环境影响达到可接受水平。</w:t>
            </w:r>
          </w:p>
          <w:p>
            <w:pPr>
              <w:adjustRightInd w:val="0"/>
              <w:spacing w:line="360" w:lineRule="auto"/>
              <w:jc w:val="left"/>
              <w:rPr>
                <w:b/>
                <w:bCs/>
                <w:color w:val="auto"/>
                <w:sz w:val="24"/>
              </w:rPr>
            </w:pPr>
            <w:r>
              <w:rPr>
                <w:rFonts w:hint="eastAsia"/>
                <w:b/>
                <w:bCs/>
                <w:color w:val="auto"/>
                <w:sz w:val="24"/>
                <w:lang w:val="en-US" w:eastAsia="zh-CN"/>
              </w:rPr>
              <w:t>7</w:t>
            </w:r>
            <w:r>
              <w:rPr>
                <w:b/>
                <w:bCs/>
                <w:color w:val="auto"/>
                <w:sz w:val="24"/>
              </w:rPr>
              <w:t>.2环境风险识别</w:t>
            </w:r>
          </w:p>
          <w:p>
            <w:pPr>
              <w:pStyle w:val="28"/>
              <w:snapToGrid/>
              <w:spacing w:line="360" w:lineRule="auto"/>
              <w:ind w:firstLine="480" w:firstLineChars="200"/>
              <w:jc w:val="left"/>
              <w:rPr>
                <w:rFonts w:ascii="Times New Roman" w:cs="Times New Roman"/>
                <w:b w:val="0"/>
                <w:bCs/>
                <w:color w:val="auto"/>
                <w:szCs w:val="24"/>
              </w:rPr>
            </w:pPr>
            <w:r>
              <w:rPr>
                <w:rFonts w:ascii="Times New Roman" w:cs="Times New Roman"/>
                <w:b w:val="0"/>
                <w:bCs/>
                <w:color w:val="auto"/>
                <w:szCs w:val="24"/>
              </w:rPr>
              <w:t>根据《建设项目环境风险评价技术导则》（HJ169-2018）中规定，根据物质不同的特性，危险物质可分为有毒物质、易燃物质和爆炸性物质三大类，风险评价对项目涉及的物质进行物质危险性判定。本项目运营过程中风险物质主要为</w:t>
            </w:r>
            <w:r>
              <w:rPr>
                <w:rFonts w:hint="eastAsia" w:ascii="Times New Roman" w:cs="Times New Roman"/>
                <w:b w:val="0"/>
                <w:bCs/>
                <w:color w:val="auto"/>
                <w:szCs w:val="24"/>
                <w:lang w:eastAsia="zh-CN"/>
              </w:rPr>
              <w:t>废机油、废活性炭</w:t>
            </w:r>
            <w:r>
              <w:rPr>
                <w:rFonts w:ascii="Times New Roman" w:cs="Times New Roman"/>
                <w:b w:val="0"/>
                <w:bCs/>
                <w:color w:val="auto"/>
                <w:szCs w:val="24"/>
              </w:rPr>
              <w:t>。</w:t>
            </w:r>
          </w:p>
          <w:p>
            <w:pPr>
              <w:pStyle w:val="60"/>
              <w:keepNext w:val="0"/>
              <w:keepLines w:val="0"/>
              <w:pageBreakBefore w:val="0"/>
              <w:widowControl w:val="0"/>
              <w:kinsoku/>
              <w:wordWrap/>
              <w:overflowPunct/>
              <w:topLinePunct w:val="0"/>
              <w:bidi w:val="0"/>
              <w:spacing w:line="360" w:lineRule="auto"/>
              <w:textAlignment w:val="auto"/>
              <w:outlineLvl w:val="0"/>
              <w:rPr>
                <w:rFonts w:hint="eastAsia" w:ascii="宋体" w:hAnsi="宋体" w:eastAsia="宋体" w:cs="宋体"/>
                <w:b/>
                <w:snapToGrid/>
                <w:color w:val="auto"/>
                <w:kern w:val="0"/>
                <w:sz w:val="21"/>
                <w:szCs w:val="21"/>
                <w:highlight w:val="none"/>
                <w:lang w:val="en-US" w:eastAsia="zh-CN" w:bidi="ar-SA"/>
              </w:rPr>
            </w:pPr>
            <w:r>
              <w:rPr>
                <w:b/>
                <w:color w:val="auto"/>
                <w:szCs w:val="22"/>
              </w:rPr>
              <w:t>表4-1</w:t>
            </w:r>
            <w:r>
              <w:rPr>
                <w:rFonts w:hint="eastAsia"/>
                <w:b/>
                <w:color w:val="auto"/>
                <w:szCs w:val="22"/>
                <w:lang w:val="en-US" w:eastAsia="zh-CN"/>
              </w:rPr>
              <w:t xml:space="preserve">2 </w:t>
            </w:r>
            <w:r>
              <w:rPr>
                <w:rFonts w:hint="eastAsia" w:ascii="宋体" w:hAnsi="宋体" w:eastAsia="宋体" w:cs="宋体"/>
                <w:b/>
                <w:snapToGrid/>
                <w:color w:val="auto"/>
                <w:kern w:val="0"/>
                <w:sz w:val="21"/>
                <w:szCs w:val="21"/>
                <w:highlight w:val="none"/>
                <w:lang w:val="en-US" w:eastAsia="zh-CN" w:bidi="ar-SA"/>
              </w:rPr>
              <w:t>机油的理化性质及危险特性表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9"/>
              <w:gridCol w:w="2459"/>
              <w:gridCol w:w="433"/>
              <w:gridCol w:w="2237"/>
              <w:gridCol w:w="2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标识</w:t>
                  </w:r>
                </w:p>
              </w:tc>
              <w:tc>
                <w:tcPr>
                  <w:tcW w:w="5129"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中文名：机油</w:t>
                  </w:r>
                </w:p>
              </w:tc>
              <w:tc>
                <w:tcPr>
                  <w:tcW w:w="243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英文名：lubricating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4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理化性质</w:t>
                  </w: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性状：淡黄色粘稠液体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溶解性：溶于苯，乙醇、乙醚、氯仿、丙酮等多数有机溶剂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4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245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熔点（℃）：/</w:t>
                  </w:r>
                </w:p>
              </w:tc>
              <w:tc>
                <w:tcPr>
                  <w:tcW w:w="2670"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沸点（℃）：－161.5</w:t>
                  </w:r>
                </w:p>
              </w:tc>
              <w:tc>
                <w:tcPr>
                  <w:tcW w:w="243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相对密度（水=1）：934.8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4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245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相对密度（空气-1）：0.85</w:t>
                  </w:r>
                </w:p>
              </w:tc>
              <w:tc>
                <w:tcPr>
                  <w:tcW w:w="2670"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饱和蒸汽压（KPa）：0.13</w:t>
                  </w:r>
                </w:p>
              </w:tc>
              <w:tc>
                <w:tcPr>
                  <w:tcW w:w="243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临界温度（℃）：-82.6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燃烧爆炸危险性</w:t>
                  </w:r>
                </w:p>
              </w:tc>
              <w:tc>
                <w:tcPr>
                  <w:tcW w:w="289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燃烧性：易燃</w:t>
                  </w:r>
                </w:p>
              </w:tc>
              <w:tc>
                <w:tcPr>
                  <w:tcW w:w="4674"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燃烧分解产物：CO、CO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等有毒有害气体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4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289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稳定性：稳定</w:t>
                  </w:r>
                </w:p>
              </w:tc>
              <w:tc>
                <w:tcPr>
                  <w:tcW w:w="4674"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禁忌物：硝酸等强氧化剂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4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危险特性：可燃液体，火灾危险性为丙B类；遇明火、高热可燃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措施：消防人员佩戴防毒面具、穿全身消防服，可在上风向灭火。尽可能将容器从火场移至空旷处。喷水保持火场容器冷却，直至灭火结束。处在火场中的容器若已变色或从安全泄压装置中产生声音，必须立即撤离。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4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对人体危害</w:t>
                  </w: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侵入途径：急性吸入</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健康危害：可出现乏力、头晕、头痛、恶心，严重者可引起油脂性肺炎。慢性接触者，暴露部位可发生油性痤疮和接触性皮炎。可引发神经衰弱综合症，呼吸道和眼刺激症状及慢性油脂性肺炎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急救</w:t>
                  </w: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皮肤接触：脱去污染的衣着，用大量流动清水清洗，就医。</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眼接触：提起眼睑，用流动性清水或生理盐水冲洗，就医。</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吸入：迅速脱离现场至空气新鲜处，保持呼吸畅通，如呼吸困难，给输氧。如呼吸停止，立即进行人工呼吸，就医。</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食用：饮适量温水，催吐，就医。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防护</w:t>
                  </w: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呼吸系统防护：空气中浓度超标时，必须佩戴自吸过滤式防毒面具（半面罩）；紧急事态抢救或者撤离时，应佩戴空气呼吸器。</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眼睛防护：戴化学安全防护眼镜。</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身体防护：穿防毒渗透工作服。</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手防护：戴橡胶耐油手套。</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其他：工作现场严禁吸烟，避免长期反复接触。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泄漏处理</w:t>
                  </w: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迅速撤离</w:t>
                  </w:r>
                  <w:r>
                    <w:rPr>
                      <w:rFonts w:hint="eastAsia" w:cs="Times New Roman"/>
                      <w:color w:val="auto"/>
                      <w:sz w:val="21"/>
                      <w:szCs w:val="21"/>
                      <w:lang w:eastAsia="zh-CN"/>
                    </w:rPr>
                    <w:t>泄漏</w:t>
                  </w:r>
                  <w:r>
                    <w:rPr>
                      <w:rFonts w:hint="default" w:ascii="Times New Roman" w:hAnsi="Times New Roman" w:eastAsia="宋体" w:cs="Times New Roman"/>
                      <w:color w:val="auto"/>
                      <w:sz w:val="21"/>
                      <w:szCs w:val="21"/>
                    </w:rPr>
                    <w:t>污染区人员至安全区，并进行隔离，严格限制出入。切断火源。建议应急处理人员戴自给正式呼吸器，穿防毒服。尽可能切断泄漏源，防止流入下水道、排洪沟等限制性空间。小量泄漏：用砂土或其他不燃材料吸附或吸收，减少挥发。大量泄漏：构筑围堤或挖坑收容。用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贮运</w:t>
                  </w:r>
                </w:p>
              </w:tc>
              <w:tc>
                <w:tcPr>
                  <w:tcW w:w="7566"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储运条件：储存在阴凉、通风的库房。远离火种，热源。应与氧化剂分开存放，切忌混储。配备相应品种和数量的消防器材。储区应备有泄漏应急处理设备和合适的收容材料。</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运输要求：用油罐、油罐车、铁桶、塑料桶等盛装，盛装时切不可装满，要留出必要的安全空间。运输前应先检查包装容器是否完整、密封，运输过程中要确保容器不泄露、不倒塌、不坠落、不损坏。严禁与氧化剂、食用化学品等混装混运。运输车船必须彻底清洗、消毒，否则不得装运其他物品。</w:t>
                  </w:r>
                </w:p>
              </w:tc>
            </w:tr>
          </w:tbl>
          <w:p>
            <w:pPr>
              <w:pStyle w:val="60"/>
              <w:keepNext w:val="0"/>
              <w:keepLines w:val="0"/>
              <w:pageBreakBefore w:val="0"/>
              <w:widowControl w:val="0"/>
              <w:kinsoku/>
              <w:wordWrap/>
              <w:overflowPunct/>
              <w:topLinePunct w:val="0"/>
              <w:bidi w:val="0"/>
              <w:spacing w:line="360" w:lineRule="auto"/>
              <w:textAlignment w:val="auto"/>
              <w:outlineLvl w:val="0"/>
              <w:rPr>
                <w:rFonts w:hint="eastAsia" w:ascii="宋体" w:hAnsi="宋体" w:eastAsia="宋体" w:cs="宋体"/>
                <w:b/>
                <w:snapToGrid/>
                <w:color w:val="auto"/>
                <w:kern w:val="0"/>
                <w:sz w:val="21"/>
                <w:szCs w:val="21"/>
                <w:highlight w:val="none"/>
                <w:lang w:val="en-US" w:eastAsia="zh-CN" w:bidi="ar-SA"/>
              </w:rPr>
            </w:pPr>
            <w:r>
              <w:rPr>
                <w:b/>
                <w:color w:val="auto"/>
                <w:szCs w:val="22"/>
              </w:rPr>
              <w:t>表4-1</w:t>
            </w:r>
            <w:r>
              <w:rPr>
                <w:rFonts w:hint="eastAsia"/>
                <w:b/>
                <w:color w:val="auto"/>
                <w:szCs w:val="22"/>
                <w:lang w:val="en-US" w:eastAsia="zh-CN"/>
              </w:rPr>
              <w:t xml:space="preserve">3 </w:t>
            </w:r>
            <w:r>
              <w:rPr>
                <w:rFonts w:hint="eastAsia" w:ascii="宋体" w:hAnsi="宋体" w:eastAsia="宋体" w:cs="宋体"/>
                <w:b/>
                <w:snapToGrid/>
                <w:color w:val="auto"/>
                <w:kern w:val="0"/>
                <w:sz w:val="21"/>
                <w:szCs w:val="21"/>
                <w:highlight w:val="none"/>
                <w:lang w:val="en-US" w:eastAsia="zh-CN" w:bidi="ar-SA"/>
              </w:rPr>
              <w:t>活性炭的理化性质及危险特性表</w:t>
            </w:r>
          </w:p>
          <w:tbl>
            <w:tblPr>
              <w:tblStyle w:val="23"/>
              <w:tblW w:w="81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89"/>
              <w:gridCol w:w="484"/>
              <w:gridCol w:w="683"/>
              <w:gridCol w:w="488"/>
              <w:gridCol w:w="1064"/>
              <w:gridCol w:w="704"/>
              <w:gridCol w:w="976"/>
              <w:gridCol w:w="689"/>
              <w:gridCol w:w="683"/>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2"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标识</w:t>
                  </w:r>
                </w:p>
              </w:tc>
              <w:tc>
                <w:tcPr>
                  <w:tcW w:w="4112" w:type="dxa"/>
                  <w:gridSpan w:val="6"/>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中文名：</w:t>
                  </w:r>
                  <w:r>
                    <w:rPr>
                      <w:rFonts w:hint="eastAsia" w:ascii="Times New Roman" w:hAnsi="Times New Roman" w:eastAsia="宋体"/>
                      <w:color w:val="auto"/>
                      <w:sz w:val="21"/>
                      <w:szCs w:val="21"/>
                      <w:highlight w:val="none"/>
                      <w:lang w:val="en-US" w:eastAsia="zh-CN"/>
                    </w:rPr>
                    <w:t>活性炭</w:t>
                  </w:r>
                </w:p>
              </w:tc>
              <w:tc>
                <w:tcPr>
                  <w:tcW w:w="3317"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危险货物编号：42521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rPr>
                  </w:pPr>
                </w:p>
              </w:tc>
              <w:tc>
                <w:tcPr>
                  <w:tcW w:w="4112" w:type="dxa"/>
                  <w:gridSpan w:val="6"/>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英文名：</w:t>
                  </w:r>
                  <w:r>
                    <w:rPr>
                      <w:rFonts w:hint="eastAsia" w:ascii="Times New Roman" w:hAnsi="Times New Roman" w:eastAsia="宋体"/>
                      <w:color w:val="auto"/>
                      <w:sz w:val="21"/>
                      <w:szCs w:val="21"/>
                      <w:highlight w:val="none"/>
                      <w:lang w:val="en-US" w:eastAsia="zh-CN"/>
                    </w:rPr>
                    <w:t>Carbon，activated</w:t>
                  </w:r>
                </w:p>
              </w:tc>
              <w:tc>
                <w:tcPr>
                  <w:tcW w:w="3317"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UN编号：1362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rPr>
                  </w:pPr>
                </w:p>
              </w:tc>
              <w:tc>
                <w:tcPr>
                  <w:tcW w:w="1856"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分子式：C</w:t>
                  </w:r>
                </w:p>
              </w:tc>
              <w:tc>
                <w:tcPr>
                  <w:tcW w:w="2256"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分子量：12.0</w:t>
                  </w:r>
                </w:p>
              </w:tc>
              <w:tc>
                <w:tcPr>
                  <w:tcW w:w="3317" w:type="dxa"/>
                  <w:gridSpan w:val="4"/>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CAS号：7440-44-0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02"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rPr>
                  </w:pPr>
                  <w:r>
                    <w:rPr>
                      <w:rFonts w:ascii="Times New Roman" w:hAnsi="Times New Roman" w:eastAsia="宋体"/>
                      <w:b/>
                      <w:bCs/>
                      <w:color w:val="auto"/>
                      <w:sz w:val="21"/>
                      <w:szCs w:val="21"/>
                      <w:highlight w:val="none"/>
                    </w:rPr>
                    <w:t>理化性质</w:t>
                  </w: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外观与性状</w:t>
                  </w:r>
                </w:p>
              </w:tc>
              <w:tc>
                <w:tcPr>
                  <w:tcW w:w="6256" w:type="dxa"/>
                  <w:gridSpan w:val="8"/>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黑色粉末或颗粒</w:t>
                  </w:r>
                  <w:r>
                    <w:rPr>
                      <w:rFonts w:hint="eastAsia"/>
                      <w:color w:val="auto"/>
                      <w:sz w:val="21"/>
                      <w:szCs w:val="21"/>
                      <w:highlight w:val="none"/>
                      <w:lang w:val="en-US" w:eastAsia="zh-CN"/>
                    </w:rPr>
                    <w:t>两种</w:t>
                  </w:r>
                  <w:r>
                    <w:rPr>
                      <w:rFonts w:hint="eastAsia" w:ascii="Times New Roman" w:hAnsi="Times New Roman" w:eastAsia="宋体"/>
                      <w:color w:val="auto"/>
                      <w:sz w:val="21"/>
                      <w:szCs w:val="21"/>
                      <w:highlight w:val="none"/>
                      <w:lang w:val="en-US" w:eastAsia="zh-CN"/>
                    </w:rPr>
                    <w:t>。内部呈极多的孔状物质。主体为无定形的碳，此外还含有二氧化硅、氧化铝、铁等有机成分。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lang w:eastAsia="zh-CN"/>
                    </w:rPr>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溶解性</w:t>
                  </w:r>
                </w:p>
              </w:tc>
              <w:tc>
                <w:tcPr>
                  <w:tcW w:w="6256" w:type="dxa"/>
                  <w:gridSpan w:val="8"/>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不溶于水和任何有机熔剂。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lang w:eastAsia="zh-CN"/>
                    </w:rPr>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熔点（℃）</w:t>
                  </w:r>
                </w:p>
              </w:tc>
              <w:tc>
                <w:tcPr>
                  <w:tcW w:w="2235"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&gt;3500</w:t>
                  </w:r>
                </w:p>
              </w:tc>
              <w:tc>
                <w:tcPr>
                  <w:tcW w:w="2369"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相对密度（水=1）</w:t>
                  </w:r>
                </w:p>
              </w:tc>
              <w:tc>
                <w:tcPr>
                  <w:tcW w:w="165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rPr>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沸点（℃）</w:t>
                  </w:r>
                </w:p>
              </w:tc>
              <w:tc>
                <w:tcPr>
                  <w:tcW w:w="2235"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4000</w:t>
                  </w:r>
                </w:p>
              </w:tc>
              <w:tc>
                <w:tcPr>
                  <w:tcW w:w="2369"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饱和蒸汽压（KPa）</w:t>
                  </w:r>
                </w:p>
              </w:tc>
              <w:tc>
                <w:tcPr>
                  <w:tcW w:w="165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02"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rPr>
                  </w:pPr>
                  <w:r>
                    <w:rPr>
                      <w:rFonts w:ascii="Times New Roman" w:hAnsi="Times New Roman" w:eastAsia="宋体"/>
                      <w:b/>
                      <w:bCs/>
                      <w:color w:val="auto"/>
                      <w:sz w:val="21"/>
                      <w:szCs w:val="21"/>
                      <w:highlight w:val="none"/>
                    </w:rPr>
                    <w:t>燃烧爆炸危险性</w:t>
                  </w: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燃烧性</w:t>
                  </w:r>
                </w:p>
              </w:tc>
              <w:tc>
                <w:tcPr>
                  <w:tcW w:w="2235"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自燃</w:t>
                  </w:r>
                </w:p>
              </w:tc>
              <w:tc>
                <w:tcPr>
                  <w:tcW w:w="2369"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燃烧分解产物</w:t>
                  </w:r>
                </w:p>
              </w:tc>
              <w:tc>
                <w:tcPr>
                  <w:tcW w:w="165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闪点</w:t>
                  </w:r>
                  <w:r>
                    <w:rPr>
                      <w:rFonts w:ascii="Times New Roman" w:hAnsi="Times New Roman" w:eastAsia="宋体"/>
                      <w:color w:val="auto"/>
                      <w:sz w:val="21"/>
                      <w:szCs w:val="21"/>
                      <w:highlight w:val="none"/>
                    </w:rPr>
                    <w:t>（℃）</w:t>
                  </w:r>
                </w:p>
              </w:tc>
              <w:tc>
                <w:tcPr>
                  <w:tcW w:w="2235"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2369"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爆炸上限（g/m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w:t>
                  </w:r>
                </w:p>
              </w:tc>
              <w:tc>
                <w:tcPr>
                  <w:tcW w:w="165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lang w:eastAsia="zh-CN"/>
                    </w:rPr>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自燃温度</w:t>
                  </w:r>
                  <w:r>
                    <w:rPr>
                      <w:rFonts w:ascii="Times New Roman" w:hAnsi="Times New Roman" w:eastAsia="宋体"/>
                      <w:color w:val="auto"/>
                      <w:sz w:val="21"/>
                      <w:szCs w:val="21"/>
                      <w:highlight w:val="none"/>
                    </w:rPr>
                    <w:t>（℃）</w:t>
                  </w:r>
                </w:p>
              </w:tc>
              <w:tc>
                <w:tcPr>
                  <w:tcW w:w="2235"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2369"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爆炸下限（g/m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w:t>
                  </w:r>
                </w:p>
              </w:tc>
              <w:tc>
                <w:tcPr>
                  <w:tcW w:w="165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lang w:eastAsia="zh-CN"/>
                    </w:rPr>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危险特性</w:t>
                  </w:r>
                </w:p>
              </w:tc>
              <w:tc>
                <w:tcPr>
                  <w:tcW w:w="6256" w:type="dxa"/>
                  <w:gridSpan w:val="8"/>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粉尘接触明火有轻度的爆炸性。在空气中易缓慢地发热和自燃。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lang w:eastAsia="zh-CN"/>
                    </w:rPr>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建规火险分级</w:t>
                  </w:r>
                </w:p>
              </w:tc>
              <w:tc>
                <w:tcPr>
                  <w:tcW w:w="1171"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乙</w:t>
                  </w:r>
                </w:p>
              </w:tc>
              <w:tc>
                <w:tcPr>
                  <w:tcW w:w="106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稳定性</w:t>
                  </w:r>
                </w:p>
              </w:tc>
              <w:tc>
                <w:tcPr>
                  <w:tcW w:w="1680"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稳定</w:t>
                  </w:r>
                </w:p>
              </w:tc>
              <w:tc>
                <w:tcPr>
                  <w:tcW w:w="1372"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聚合危害</w:t>
                  </w:r>
                </w:p>
              </w:tc>
              <w:tc>
                <w:tcPr>
                  <w:tcW w:w="96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禁忌物</w:t>
                  </w:r>
                </w:p>
              </w:tc>
              <w:tc>
                <w:tcPr>
                  <w:tcW w:w="6256" w:type="dxa"/>
                  <w:gridSpan w:val="8"/>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color w:val="auto"/>
                      <w:sz w:val="21"/>
                      <w:szCs w:val="21"/>
                      <w:highlight w:val="none"/>
                      <w:lang w:eastAsia="zh-CN"/>
                    </w:rPr>
                  </w:pPr>
                </w:p>
              </w:tc>
              <w:tc>
                <w:tcPr>
                  <w:tcW w:w="1173"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灭火方法</w:t>
                  </w:r>
                </w:p>
              </w:tc>
              <w:tc>
                <w:tcPr>
                  <w:tcW w:w="6256" w:type="dxa"/>
                  <w:gridSpan w:val="8"/>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用泡沫、二氧化碳、干粉、砂土灭火。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2"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毒性及健康危害</w:t>
                  </w:r>
                </w:p>
              </w:tc>
              <w:tc>
                <w:tcPr>
                  <w:tcW w:w="68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侵入途径</w:t>
                  </w:r>
                </w:p>
              </w:tc>
              <w:tc>
                <w:tcPr>
                  <w:tcW w:w="6740" w:type="dxa"/>
                  <w:gridSpan w:val="9"/>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b/>
                      <w:bCs/>
                    </w:rPr>
                  </w:pPr>
                </w:p>
              </w:tc>
              <w:tc>
                <w:tcPr>
                  <w:tcW w:w="68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毒性</w:t>
                  </w:r>
                </w:p>
              </w:tc>
              <w:tc>
                <w:tcPr>
                  <w:tcW w:w="6740" w:type="dxa"/>
                  <w:gridSpan w:val="9"/>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ascii="Times New Roman" w:hAnsi="Times New Roman" w:eastAsia="宋体"/>
                      <w:b/>
                      <w:bCs/>
                      <w:color w:val="auto"/>
                      <w:sz w:val="21"/>
                      <w:szCs w:val="21"/>
                      <w:highlight w:val="none"/>
                      <w:lang w:eastAsia="zh-CN"/>
                    </w:rPr>
                  </w:pPr>
                </w:p>
              </w:tc>
              <w:tc>
                <w:tcPr>
                  <w:tcW w:w="68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健康危害</w:t>
                  </w:r>
                </w:p>
              </w:tc>
              <w:tc>
                <w:tcPr>
                  <w:tcW w:w="6740" w:type="dxa"/>
                  <w:gridSpan w:val="9"/>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属基本无毒的物质，但有时从原料中夹杂无机物，对皮肤、黏膜及呼吸道有一定的刺激。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eastAsia"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急救</w:t>
                  </w:r>
                  <w:r>
                    <w:rPr>
                      <w:rFonts w:hint="eastAsia" w:ascii="Times New Roman" w:hAnsi="Times New Roman" w:eastAsia="宋体"/>
                      <w:b/>
                      <w:bCs/>
                      <w:color w:val="auto"/>
                      <w:sz w:val="21"/>
                      <w:szCs w:val="21"/>
                      <w:highlight w:val="none"/>
                      <w:lang w:val="en-US" w:eastAsia="zh-CN"/>
                    </w:rPr>
                    <w:t>措施</w:t>
                  </w:r>
                </w:p>
              </w:tc>
              <w:tc>
                <w:tcPr>
                  <w:tcW w:w="7429" w:type="dxa"/>
                  <w:gridSpan w:val="10"/>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泄漏</w:t>
                  </w:r>
                  <w:r>
                    <w:rPr>
                      <w:rFonts w:hint="eastAsia" w:ascii="Times New Roman" w:hAnsi="Times New Roman" w:eastAsia="宋体"/>
                      <w:b/>
                      <w:bCs/>
                      <w:color w:val="auto"/>
                      <w:sz w:val="21"/>
                      <w:szCs w:val="21"/>
                      <w:highlight w:val="none"/>
                      <w:lang w:val="en-US" w:eastAsia="zh-CN"/>
                    </w:rPr>
                    <w:t>处置</w:t>
                  </w:r>
                </w:p>
              </w:tc>
              <w:tc>
                <w:tcPr>
                  <w:tcW w:w="7429" w:type="dxa"/>
                  <w:gridSpan w:val="10"/>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用干净的密闭容器收集，运至废弃</w:t>
                  </w:r>
                  <w:r>
                    <w:rPr>
                      <w:rFonts w:hint="eastAsia"/>
                      <w:color w:val="auto"/>
                      <w:sz w:val="21"/>
                      <w:szCs w:val="21"/>
                      <w:highlight w:val="none"/>
                      <w:lang w:val="en-US" w:eastAsia="zh-CN"/>
                    </w:rPr>
                    <w:t>物</w:t>
                  </w:r>
                  <w:r>
                    <w:rPr>
                      <w:rFonts w:hint="eastAsia" w:ascii="Times New Roman" w:hAnsi="Times New Roman" w:eastAsia="宋体"/>
                      <w:color w:val="auto"/>
                      <w:sz w:val="21"/>
                      <w:szCs w:val="21"/>
                      <w:highlight w:val="none"/>
                      <w:lang w:val="en-US" w:eastAsia="zh-CN"/>
                    </w:rPr>
                    <w:t>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0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储运注意事项</w:t>
                  </w:r>
                </w:p>
              </w:tc>
              <w:tc>
                <w:tcPr>
                  <w:tcW w:w="7429" w:type="dxa"/>
                  <w:gridSpan w:val="10"/>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储存于干燥、通风的库房，远离火种、热源，不可与氧化剂共储混运，防止受潮，以避免受潮后积热不散可能发生自燃。如抽查发现有发热现象应及时倒垛散热，防止发生事故。</w:t>
                  </w:r>
                </w:p>
              </w:tc>
            </w:tr>
          </w:tbl>
          <w:p>
            <w:pPr>
              <w:adjustRightInd w:val="0"/>
              <w:spacing w:line="360" w:lineRule="auto"/>
              <w:jc w:val="left"/>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.3环境风险评价的等级</w:t>
            </w:r>
          </w:p>
          <w:p>
            <w:pPr>
              <w:pStyle w:val="61"/>
              <w:tabs>
                <w:tab w:val="left" w:pos="923"/>
              </w:tabs>
              <w:spacing w:line="360" w:lineRule="auto"/>
              <w:outlineLvl w:val="1"/>
              <w:rPr>
                <w:rFonts w:ascii="Times New Roman" w:hAnsi="Times New Roman" w:cs="Times New Roman"/>
                <w:color w:val="000000" w:themeColor="text1"/>
                <w:sz w:val="24"/>
                <w:szCs w:val="24"/>
                <w14:textFill>
                  <w14:solidFill>
                    <w14:schemeClr w14:val="tx1"/>
                  </w14:solidFill>
                </w14:textFill>
              </w:rPr>
            </w:pPr>
            <w:bookmarkStart w:id="4" w:name="_Toc27999"/>
            <w:r>
              <w:rPr>
                <w:rFonts w:hint="eastAsia" w:ascii="Times New Roman" w:hAnsi="Times New Roman" w:cs="Times New Roman"/>
                <w:b/>
                <w:bCs/>
                <w:color w:val="000000" w:themeColor="text1"/>
                <w:sz w:val="24"/>
                <w:szCs w:val="24"/>
                <w:lang w:val="en-US" w:eastAsia="zh-CN"/>
                <w14:textFill>
                  <w14:solidFill>
                    <w14:schemeClr w14:val="tx1"/>
                  </w14:solidFill>
                </w14:textFill>
              </w:rPr>
              <w:t>7.3.1</w:t>
            </w:r>
            <w:r>
              <w:rPr>
                <w:rFonts w:ascii="Times New Roman" w:hAnsi="Times New Roman" w:cs="Times New Roman"/>
                <w:b/>
                <w:bCs/>
                <w:color w:val="000000" w:themeColor="text1"/>
                <w:sz w:val="24"/>
                <w:szCs w:val="24"/>
                <w14:textFill>
                  <w14:solidFill>
                    <w14:schemeClr w14:val="tx1"/>
                  </w14:solidFill>
                </w14:textFill>
              </w:rPr>
              <w:t>风险潜势初判</w:t>
            </w:r>
            <w:bookmarkEnd w:id="4"/>
          </w:p>
          <w:p>
            <w:pPr>
              <w:pStyle w:val="61"/>
              <w:spacing w:line="360" w:lineRule="auto"/>
              <w:ind w:firstLine="482" w:firstLineChars="200"/>
              <w:outlineLvl w:val="2"/>
              <w:rPr>
                <w:rFonts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bidi="en-US"/>
                <w14:textFill>
                  <w14:solidFill>
                    <w14:schemeClr w14:val="tx1"/>
                  </w14:solidFill>
                </w14:textFill>
              </w:rPr>
              <w:t>（1）</w:t>
            </w:r>
            <w:r>
              <w:rPr>
                <w:rFonts w:ascii="Times New Roman" w:hAnsi="Times New Roman" w:cs="Times New Roman"/>
                <w:b/>
                <w:bCs/>
                <w:color w:val="000000" w:themeColor="text1"/>
                <w:sz w:val="24"/>
                <w:szCs w:val="24"/>
                <w14:textFill>
                  <w14:solidFill>
                    <w14:schemeClr w14:val="tx1"/>
                  </w14:solidFill>
                </w14:textFill>
              </w:rPr>
              <w:t>危险物质及工艺系统危害性</w:t>
            </w:r>
            <w:r>
              <w:rPr>
                <w:rFonts w:ascii="Times New Roman" w:hAnsi="Times New Roman" w:cs="Times New Roman"/>
                <w:b/>
                <w:bCs/>
                <w:color w:val="000000" w:themeColor="text1"/>
                <w:sz w:val="24"/>
                <w:szCs w:val="24"/>
                <w:lang w:val="en-US" w:eastAsia="zh-CN" w:bidi="en-US"/>
                <w14:textFill>
                  <w14:solidFill>
                    <w14:schemeClr w14:val="tx1"/>
                  </w14:solidFill>
                </w14:textFill>
              </w:rPr>
              <w:t>（</w:t>
            </w:r>
            <w:r>
              <w:rPr>
                <w:rFonts w:ascii="Times New Roman" w:hAnsi="Times New Roman" w:eastAsia="Times New Roman" w:cs="Times New Roman"/>
                <w:b/>
                <w:bCs/>
                <w:color w:val="000000" w:themeColor="text1"/>
                <w:sz w:val="24"/>
                <w:szCs w:val="24"/>
                <w:lang w:val="en-US" w:eastAsia="zh-CN" w:bidi="en-US"/>
                <w14:textFill>
                  <w14:solidFill>
                    <w14:schemeClr w14:val="tx1"/>
                  </w14:solidFill>
                </w14:textFill>
              </w:rPr>
              <w:t>P</w:t>
            </w:r>
            <w:r>
              <w:rPr>
                <w:rFonts w:ascii="Times New Roman" w:hAnsi="Times New Roman" w:cs="Times New Roman"/>
                <w:b/>
                <w:bCs/>
                <w:color w:val="000000" w:themeColor="text1"/>
                <w:sz w:val="24"/>
                <w:szCs w:val="24"/>
                <w:lang w:val="en-US" w:eastAsia="zh-CN" w:bidi="en-US"/>
                <w14:textFill>
                  <w14:solidFill>
                    <w14:schemeClr w14:val="tx1"/>
                  </w14:solidFill>
                </w14:textFill>
              </w:rPr>
              <w:t>）</w:t>
            </w:r>
            <w:r>
              <w:rPr>
                <w:rFonts w:ascii="Times New Roman" w:hAnsi="Times New Roman" w:cs="Times New Roman"/>
                <w:b/>
                <w:bCs/>
                <w:color w:val="000000" w:themeColor="text1"/>
                <w:sz w:val="24"/>
                <w:szCs w:val="24"/>
                <w14:textFill>
                  <w14:solidFill>
                    <w14:schemeClr w14:val="tx1"/>
                  </w14:solidFill>
                </w14:textFill>
              </w:rPr>
              <w:t>的确定</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按照《建设项目环境风险评价技术导则》（HJ169-2018）附录B，结合各种物质的理化性质及毒理毒性，可识别出本项目的</w:t>
            </w:r>
            <w:r>
              <w:rPr>
                <w:rFonts w:hint="eastAsia" w:ascii="Times New Roman" w:hAnsi="Times New Roman" w:eastAsia="宋体" w:cs="Times New Roman"/>
                <w:color w:val="auto"/>
                <w:kern w:val="2"/>
                <w:sz w:val="24"/>
                <w:szCs w:val="20"/>
                <w:lang w:val="en-US" w:eastAsia="zh-CN" w:bidi="ar-SA"/>
              </w:rPr>
              <w:t>危险物质及临界量。根据下式计算危险物质及临界量的比值Q：</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2173605" cy="708025"/>
                  <wp:effectExtent l="0" t="0" r="17145" b="15875"/>
                  <wp:docPr id="170" name="图片 4" descr="b564658b733577140220b8830d21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 descr="b564658b733577140220b8830d21c88"/>
                          <pic:cNvPicPr>
                            <a:picLocks noChangeAspect="1"/>
                          </pic:cNvPicPr>
                        </pic:nvPicPr>
                        <pic:blipFill>
                          <a:blip r:embed="rId28"/>
                          <a:stretch>
                            <a:fillRect/>
                          </a:stretch>
                        </pic:blipFill>
                        <pic:spPr>
                          <a:xfrm>
                            <a:off x="0" y="0"/>
                            <a:ext cx="2173605" cy="708025"/>
                          </a:xfrm>
                          <a:prstGeom prst="rect">
                            <a:avLst/>
                          </a:prstGeom>
                          <a:noFill/>
                          <a:ln>
                            <a:no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 xml:space="preserve">式中：q1，q2，…，qn——每种危险物质的最大存在总量，t； </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Q1，Q2，…，Qn——每种危险物质的临界量，t。</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当 Q＜1 时，该项目环境风险潜势为Ⅰ。</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当Q≥1时，将Q值划分为：1≤Q＜10；10≤Q＜100；Q≥100。</w:t>
            </w:r>
          </w:p>
          <w:p>
            <w:pPr>
              <w:pStyle w:val="62"/>
              <w:tabs>
                <w:tab w:val="left" w:pos="758"/>
              </w:tabs>
              <w:jc w:val="center"/>
              <w:rPr>
                <w:rFonts w:ascii="Times New Roman" w:hAnsi="Times New Roman" w:cs="Times New Roman"/>
                <w:color w:val="auto"/>
                <w:sz w:val="21"/>
                <w:szCs w:val="21"/>
              </w:rPr>
            </w:pPr>
            <w:r>
              <w:rPr>
                <w:rFonts w:ascii="Times New Roman" w:hAnsi="Times New Roman" w:cs="Times New Roman"/>
                <w:color w:val="auto"/>
                <w:sz w:val="21"/>
                <w:szCs w:val="21"/>
              </w:rPr>
              <w:t>表</w:t>
            </w:r>
            <w:r>
              <w:rPr>
                <w:rFonts w:hint="eastAsia" w:ascii="Times New Roman" w:hAnsi="Times New Roman" w:cs="Times New Roman"/>
                <w:color w:val="auto"/>
                <w:sz w:val="21"/>
                <w:szCs w:val="21"/>
                <w:lang w:val="en-US" w:eastAsia="zh-CN" w:bidi="en-US"/>
              </w:rPr>
              <w:t>4</w:t>
            </w:r>
            <w:r>
              <w:rPr>
                <w:rFonts w:ascii="Times New Roman" w:hAnsi="Times New Roman" w:eastAsia="Times New Roman" w:cs="Times New Roman"/>
                <w:color w:val="auto"/>
                <w:sz w:val="21"/>
                <w:szCs w:val="21"/>
                <w:lang w:val="en-US" w:eastAsia="en-US" w:bidi="en-US"/>
              </w:rPr>
              <w:t>-1</w:t>
            </w:r>
            <w:r>
              <w:rPr>
                <w:rFonts w:hint="eastAsia" w:ascii="Times New Roman" w:hAnsi="Times New Roman" w:cs="Times New Roman"/>
                <w:color w:val="auto"/>
                <w:sz w:val="21"/>
                <w:szCs w:val="21"/>
                <w:lang w:val="en-US" w:eastAsia="zh-CN" w:bidi="en-US"/>
              </w:rPr>
              <w:t>4</w:t>
            </w:r>
            <w:r>
              <w:rPr>
                <w:rFonts w:ascii="Times New Roman" w:hAnsi="Times New Roman" w:cs="Times New Roman"/>
                <w:color w:val="auto"/>
                <w:sz w:val="21"/>
                <w:szCs w:val="21"/>
              </w:rPr>
              <w:t>建设项目</w:t>
            </w:r>
            <w:r>
              <w:rPr>
                <w:rFonts w:ascii="Times New Roman" w:hAnsi="Times New Roman" w:eastAsia="Times New Roman" w:cs="Times New Roman"/>
                <w:color w:val="auto"/>
                <w:sz w:val="21"/>
                <w:szCs w:val="21"/>
                <w:lang w:val="en-US" w:eastAsia="en-US" w:bidi="en-US"/>
              </w:rPr>
              <w:t>Q</w:t>
            </w:r>
            <w:r>
              <w:rPr>
                <w:rFonts w:ascii="Times New Roman" w:hAnsi="Times New Roman" w:cs="Times New Roman"/>
                <w:color w:val="auto"/>
                <w:sz w:val="21"/>
                <w:szCs w:val="21"/>
              </w:rPr>
              <w:t>值确定表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4"/>
              <w:gridCol w:w="1614"/>
              <w:gridCol w:w="1664"/>
              <w:gridCol w:w="1620"/>
              <w:gridCol w:w="16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93" w:type="pct"/>
                  <w:tcBorders>
                    <w:bottom w:val="single" w:color="auto" w:sz="12" w:space="0"/>
                  </w:tcBorders>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eastAsia="zh-CN"/>
                    </w:rPr>
                  </w:pPr>
                  <w:r>
                    <w:rPr>
                      <w:rFonts w:hint="eastAsia" w:ascii="Times New Roman" w:hAnsi="Times New Roman" w:cs="Times New Roman"/>
                      <w:b/>
                      <w:bCs/>
                      <w:color w:val="auto"/>
                      <w:spacing w:val="0"/>
                      <w:w w:val="100"/>
                      <w:position w:val="0"/>
                      <w:sz w:val="21"/>
                      <w:szCs w:val="21"/>
                      <w:highlight w:val="none"/>
                      <w:lang w:eastAsia="zh-CN"/>
                    </w:rPr>
                    <w:t>序号</w:t>
                  </w:r>
                </w:p>
              </w:tc>
              <w:tc>
                <w:tcPr>
                  <w:tcW w:w="993" w:type="pct"/>
                  <w:tcBorders>
                    <w:bottom w:val="single" w:color="auto" w:sz="12" w:space="0"/>
                  </w:tcBorders>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危险物质</w:t>
                  </w:r>
                </w:p>
              </w:tc>
              <w:tc>
                <w:tcPr>
                  <w:tcW w:w="1024" w:type="pct"/>
                  <w:tcBorders>
                    <w:bottom w:val="single" w:color="auto" w:sz="12" w:space="0"/>
                  </w:tcBorders>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cs="Times New Roman"/>
                      <w:b/>
                      <w:bCs/>
                      <w:color w:val="auto"/>
                      <w:spacing w:val="0"/>
                      <w:w w:val="100"/>
                      <w:position w:val="0"/>
                      <w:sz w:val="21"/>
                      <w:szCs w:val="21"/>
                      <w:highlight w:val="none"/>
                    </w:rPr>
                    <w:t>储存量</w:t>
                  </w:r>
                  <w:r>
                    <w:rPr>
                      <w:rFonts w:hint="eastAsia" w:ascii="Times New Roman" w:hAnsi="Times New Roman" w:cs="Times New Roman"/>
                      <w:b/>
                      <w:bCs/>
                      <w:color w:val="auto"/>
                      <w:spacing w:val="0"/>
                      <w:w w:val="100"/>
                      <w:position w:val="0"/>
                      <w:sz w:val="21"/>
                      <w:szCs w:val="21"/>
                      <w:highlight w:val="none"/>
                      <w:lang w:eastAsia="zh-CN"/>
                    </w:rPr>
                    <w:t>（</w:t>
                  </w:r>
                  <w:r>
                    <w:rPr>
                      <w:rFonts w:hint="eastAsia" w:ascii="Times New Roman" w:hAnsi="Times New Roman" w:cs="Times New Roman"/>
                      <w:b/>
                      <w:bCs/>
                      <w:color w:val="auto"/>
                      <w:spacing w:val="0"/>
                      <w:w w:val="100"/>
                      <w:position w:val="0"/>
                      <w:sz w:val="21"/>
                      <w:szCs w:val="21"/>
                      <w:highlight w:val="none"/>
                      <w:lang w:val="en-US" w:eastAsia="zh-CN"/>
                    </w:rPr>
                    <w:t>t</w:t>
                  </w:r>
                  <w:r>
                    <w:rPr>
                      <w:rFonts w:hint="eastAsia" w:ascii="Times New Roman" w:hAnsi="Times New Roman" w:cs="Times New Roman"/>
                      <w:b/>
                      <w:bCs/>
                      <w:color w:val="auto"/>
                      <w:spacing w:val="0"/>
                      <w:w w:val="100"/>
                      <w:position w:val="0"/>
                      <w:sz w:val="21"/>
                      <w:szCs w:val="21"/>
                      <w:highlight w:val="none"/>
                      <w:lang w:eastAsia="zh-CN"/>
                    </w:rPr>
                    <w:t>）</w:t>
                  </w:r>
                </w:p>
              </w:tc>
              <w:tc>
                <w:tcPr>
                  <w:tcW w:w="997" w:type="pct"/>
                  <w:tcBorders>
                    <w:bottom w:val="single" w:color="auto" w:sz="12" w:space="0"/>
                  </w:tcBorders>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临界量</w:t>
                  </w:r>
                  <w:r>
                    <w:rPr>
                      <w:rFonts w:hint="eastAsia" w:ascii="Times New Roman" w:hAnsi="Times New Roman" w:cs="Times New Roman"/>
                      <w:b/>
                      <w:bCs/>
                      <w:color w:val="auto"/>
                      <w:spacing w:val="0"/>
                      <w:w w:val="100"/>
                      <w:position w:val="0"/>
                      <w:sz w:val="21"/>
                      <w:szCs w:val="21"/>
                      <w:highlight w:val="none"/>
                      <w:lang w:eastAsia="zh-CN"/>
                    </w:rPr>
                    <w:t>（</w:t>
                  </w:r>
                  <w:r>
                    <w:rPr>
                      <w:rFonts w:hint="eastAsia" w:ascii="Times New Roman" w:hAnsi="Times New Roman" w:cs="Times New Roman"/>
                      <w:b/>
                      <w:bCs/>
                      <w:color w:val="auto"/>
                      <w:spacing w:val="0"/>
                      <w:w w:val="100"/>
                      <w:position w:val="0"/>
                      <w:sz w:val="21"/>
                      <w:szCs w:val="21"/>
                      <w:highlight w:val="none"/>
                      <w:lang w:val="en-US" w:eastAsia="zh-CN"/>
                    </w:rPr>
                    <w:t>t</w:t>
                  </w:r>
                  <w:r>
                    <w:rPr>
                      <w:rFonts w:hint="eastAsia" w:ascii="Times New Roman" w:hAnsi="Times New Roman" w:cs="Times New Roman"/>
                      <w:b/>
                      <w:bCs/>
                      <w:color w:val="auto"/>
                      <w:spacing w:val="0"/>
                      <w:w w:val="100"/>
                      <w:position w:val="0"/>
                      <w:sz w:val="21"/>
                      <w:szCs w:val="21"/>
                      <w:highlight w:val="none"/>
                      <w:lang w:eastAsia="zh-CN"/>
                    </w:rPr>
                    <w:t>）</w:t>
                  </w:r>
                </w:p>
              </w:tc>
              <w:tc>
                <w:tcPr>
                  <w:tcW w:w="990" w:type="pct"/>
                  <w:tcBorders>
                    <w:bottom w:val="single" w:color="auto" w:sz="12" w:space="0"/>
                  </w:tcBorders>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93"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1</w:t>
                  </w:r>
                </w:p>
              </w:tc>
              <w:tc>
                <w:tcPr>
                  <w:tcW w:w="993"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废机油</w:t>
                  </w:r>
                </w:p>
              </w:tc>
              <w:tc>
                <w:tcPr>
                  <w:tcW w:w="1024"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0.2</w:t>
                  </w:r>
                </w:p>
              </w:tc>
              <w:tc>
                <w:tcPr>
                  <w:tcW w:w="997" w:type="pct"/>
                  <w:noWrap w:val="0"/>
                  <w:vAlign w:val="center"/>
                </w:tcPr>
                <w:p>
                  <w:pPr>
                    <w:pStyle w:val="67"/>
                    <w:widowControl/>
                    <w:adjustRightInd w:val="0"/>
                    <w:ind w:left="0" w:leftChars="0" w:right="0" w:rightChars="0"/>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rPr>
                    <w:t>2500</w:t>
                  </w:r>
                </w:p>
              </w:tc>
              <w:tc>
                <w:tcPr>
                  <w:tcW w:w="990"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0.00008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93"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2</w:t>
                  </w:r>
                </w:p>
              </w:tc>
              <w:tc>
                <w:tcPr>
                  <w:tcW w:w="993"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废活性炭</w:t>
                  </w:r>
                </w:p>
              </w:tc>
              <w:tc>
                <w:tcPr>
                  <w:tcW w:w="1024"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0.00324</w:t>
                  </w:r>
                </w:p>
              </w:tc>
              <w:tc>
                <w:tcPr>
                  <w:tcW w:w="997" w:type="pct"/>
                  <w:noWrap w:val="0"/>
                  <w:vAlign w:val="center"/>
                </w:tcPr>
                <w:p>
                  <w:pPr>
                    <w:pStyle w:val="67"/>
                    <w:widowControl/>
                    <w:adjustRightInd w:val="0"/>
                    <w:ind w:left="0" w:leftChars="0" w:right="0" w:rightChars="0"/>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rPr>
                    <w:t>/</w:t>
                  </w:r>
                </w:p>
              </w:tc>
              <w:tc>
                <w:tcPr>
                  <w:tcW w:w="990" w:type="pct"/>
                  <w:noWrap w:val="0"/>
                  <w:vAlign w:val="center"/>
                </w:tcPr>
                <w:p>
                  <w:pPr>
                    <w:pStyle w:val="63"/>
                    <w:keepNext w:val="0"/>
                    <w:keepLines w:val="0"/>
                    <w:pageBreakBefore w:val="0"/>
                    <w:widowControl w:val="0"/>
                    <w:shd w:val="clear"/>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textAlignment w:val="auto"/>
                    <w:rPr>
                      <w:rFonts w:hint="default"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w:t>
                  </w:r>
                </w:p>
              </w:tc>
            </w:tr>
          </w:tbl>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根据《建设项目环境风险评价技术导则》（HJ169-2018）附录B、附录C确定P等级，经计算，本项目Q值为0.00008，因此Q＜1，该项目环境风险潜势为I。</w:t>
            </w:r>
          </w:p>
          <w:p>
            <w:pPr>
              <w:spacing w:line="360" w:lineRule="auto"/>
              <w:ind w:firstLine="482" w:firstLineChars="200"/>
              <w:rPr>
                <w:b/>
                <w:bCs/>
                <w:color w:val="auto"/>
                <w:sz w:val="24"/>
              </w:rPr>
            </w:pPr>
            <w:r>
              <w:rPr>
                <w:rFonts w:hint="eastAsia"/>
                <w:b/>
                <w:bCs/>
                <w:color w:val="auto"/>
                <w:sz w:val="24"/>
              </w:rPr>
              <w:t>（</w:t>
            </w:r>
            <w:r>
              <w:rPr>
                <w:rFonts w:hint="eastAsia"/>
                <w:b/>
                <w:bCs/>
                <w:color w:val="auto"/>
                <w:sz w:val="24"/>
                <w:lang w:val="en-US" w:eastAsia="zh-CN"/>
              </w:rPr>
              <w:t>2</w:t>
            </w:r>
            <w:r>
              <w:rPr>
                <w:rFonts w:hint="eastAsia"/>
                <w:b/>
                <w:bCs/>
                <w:color w:val="auto"/>
                <w:sz w:val="24"/>
              </w:rPr>
              <w:t>）</w:t>
            </w:r>
            <w:r>
              <w:rPr>
                <w:b/>
                <w:bCs/>
                <w:color w:val="auto"/>
                <w:sz w:val="24"/>
              </w:rPr>
              <w:t>评价等级</w:t>
            </w:r>
          </w:p>
          <w:p>
            <w:pPr>
              <w:snapToGrid w:val="0"/>
              <w:spacing w:line="360" w:lineRule="auto"/>
              <w:ind w:firstLine="480" w:firstLineChars="200"/>
              <w:rPr>
                <w:rFonts w:hint="default" w:ascii="Times New Roman" w:hAnsi="Times New Roman" w:eastAsia="宋体" w:cs="Times New Roman"/>
                <w:color w:val="auto"/>
                <w:kern w:val="2"/>
                <w:sz w:val="24"/>
                <w:szCs w:val="20"/>
                <w:lang w:val="zh-CN" w:eastAsia="zh-CN" w:bidi="ar-SA"/>
              </w:rPr>
            </w:pPr>
            <w:r>
              <w:rPr>
                <w:rFonts w:hint="default" w:ascii="Times New Roman" w:hAnsi="Times New Roman" w:eastAsia="宋体" w:cs="Times New Roman"/>
                <w:color w:val="auto"/>
                <w:kern w:val="2"/>
                <w:sz w:val="24"/>
                <w:szCs w:val="20"/>
                <w:lang w:val="zh-CN" w:eastAsia="zh-CN" w:bidi="ar-SA"/>
              </w:rPr>
              <w:t>根据《建设项目环境风险评价技术导则》（HJ 169-2018），建设项目涉及的物质及工艺系统危险性和所在地的环境敏感性确定环境风险潜势，按照表确定评价工作等级。</w:t>
            </w:r>
          </w:p>
          <w:p>
            <w:pPr>
              <w:pStyle w:val="64"/>
              <w:kinsoku/>
              <w:overflowPunct/>
              <w:bidi w:val="0"/>
              <w:ind w:left="0" w:leftChars="0" w:right="0"/>
              <w:jc w:val="center"/>
              <w:rPr>
                <w:rFonts w:hint="default" w:ascii="Times New Roman" w:hAnsi="Times New Roman" w:eastAsia="宋体" w:cs="Times New Roman"/>
                <w:b/>
                <w:bCs/>
                <w:color w:val="auto"/>
                <w:kern w:val="2"/>
                <w:sz w:val="21"/>
                <w:szCs w:val="21"/>
                <w:lang w:val="en-US" w:eastAsia="zh-CN" w:bidi="en-US"/>
              </w:rPr>
            </w:pPr>
            <w:r>
              <w:rPr>
                <w:rFonts w:hint="default" w:ascii="Times New Roman" w:hAnsi="Times New Roman" w:eastAsia="宋体" w:cs="Times New Roman"/>
                <w:b/>
                <w:bCs/>
                <w:color w:val="auto"/>
                <w:kern w:val="2"/>
                <w:sz w:val="21"/>
                <w:szCs w:val="21"/>
                <w:lang w:val="en-US" w:eastAsia="zh-CN" w:bidi="en-US"/>
              </w:rPr>
              <w:t>表</w:t>
            </w:r>
            <w:r>
              <w:rPr>
                <w:rFonts w:hint="eastAsia" w:ascii="Times New Roman" w:hAnsi="Times New Roman" w:eastAsia="宋体" w:cs="Times New Roman"/>
                <w:b/>
                <w:bCs/>
                <w:color w:val="auto"/>
                <w:kern w:val="2"/>
                <w:sz w:val="21"/>
                <w:szCs w:val="21"/>
                <w:lang w:val="en-US" w:eastAsia="zh-CN" w:bidi="en-US"/>
              </w:rPr>
              <w:t>4-15</w:t>
            </w:r>
            <w:r>
              <w:rPr>
                <w:rFonts w:hint="default" w:ascii="Times New Roman" w:hAnsi="Times New Roman" w:eastAsia="宋体" w:cs="Times New Roman"/>
                <w:b/>
                <w:bCs/>
                <w:color w:val="auto"/>
                <w:kern w:val="2"/>
                <w:sz w:val="21"/>
                <w:szCs w:val="21"/>
                <w:lang w:val="en-US" w:eastAsia="zh-CN" w:bidi="en-US"/>
              </w:rPr>
              <w:t xml:space="preserve">  环境风险评价工作等级划分</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06"/>
              <w:gridCol w:w="1678"/>
              <w:gridCol w:w="1866"/>
              <w:gridCol w:w="1684"/>
              <w:gridCol w:w="16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1506" w:type="dxa"/>
                  <w:tcBorders>
                    <w:tl2br w:val="nil"/>
                    <w:tr2bl w:val="nil"/>
                  </w:tcBorders>
                  <w:noWrap w:val="0"/>
                  <w:vAlign w:val="center"/>
                </w:tcPr>
                <w:p>
                  <w:pPr>
                    <w:pStyle w:val="65"/>
                    <w:kinsoku/>
                    <w:overflowPunct/>
                    <w:bidi w:val="0"/>
                    <w:ind w:left="0" w:leftChars="0" w:right="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环境风险潜势</w:t>
                  </w:r>
                </w:p>
              </w:tc>
              <w:tc>
                <w:tcPr>
                  <w:tcW w:w="1678" w:type="dxa"/>
                  <w:tcBorders>
                    <w:tl2br w:val="nil"/>
                    <w:tr2bl w:val="nil"/>
                  </w:tcBorders>
                  <w:noWrap w:val="0"/>
                  <w:vAlign w:val="center"/>
                </w:tcPr>
                <w:p>
                  <w:pPr>
                    <w:pStyle w:val="65"/>
                    <w:kinsoku/>
                    <w:overflowPunct/>
                    <w:bidi w:val="0"/>
                    <w:ind w:left="0" w:leftChars="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Ⅳ、Ⅳ</w:t>
                  </w:r>
                  <w:r>
                    <w:rPr>
                      <w:rFonts w:hint="default" w:ascii="Times New Roman" w:hAnsi="Times New Roman" w:eastAsia="宋体" w:cs="Times New Roman"/>
                      <w:color w:val="auto"/>
                      <w:highlight w:val="none"/>
                      <w:vertAlign w:val="superscript"/>
                    </w:rPr>
                    <w:t>+</w:t>
                  </w:r>
                </w:p>
              </w:tc>
              <w:tc>
                <w:tcPr>
                  <w:tcW w:w="1866" w:type="dxa"/>
                  <w:tcBorders>
                    <w:tl2br w:val="nil"/>
                    <w:tr2bl w:val="nil"/>
                  </w:tcBorders>
                  <w:noWrap w:val="0"/>
                  <w:vAlign w:val="center"/>
                </w:tcPr>
                <w:p>
                  <w:pPr>
                    <w:pStyle w:val="65"/>
                    <w:kinsoku/>
                    <w:overflowPunct/>
                    <w:bidi w:val="0"/>
                    <w:ind w:left="0" w:leftChars="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684" w:type="dxa"/>
                  <w:tcBorders>
                    <w:tl2br w:val="nil"/>
                    <w:tr2bl w:val="nil"/>
                  </w:tcBorders>
                  <w:noWrap w:val="0"/>
                  <w:vAlign w:val="center"/>
                </w:tcPr>
                <w:p>
                  <w:pPr>
                    <w:pStyle w:val="65"/>
                    <w:kinsoku/>
                    <w:overflowPunct/>
                    <w:bidi w:val="0"/>
                    <w:ind w:left="0" w:leftChars="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Ⅱ</w:t>
                  </w:r>
                </w:p>
              </w:tc>
              <w:tc>
                <w:tcPr>
                  <w:tcW w:w="1684" w:type="dxa"/>
                  <w:tcBorders>
                    <w:tl2br w:val="nil"/>
                    <w:tr2bl w:val="nil"/>
                  </w:tcBorders>
                  <w:noWrap w:val="0"/>
                  <w:vAlign w:val="center"/>
                </w:tcPr>
                <w:p>
                  <w:pPr>
                    <w:pStyle w:val="65"/>
                    <w:kinsoku/>
                    <w:overflowPunct/>
                    <w:bidi w:val="0"/>
                    <w:ind w:left="0" w:leftChars="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1506" w:type="dxa"/>
                  <w:tcBorders>
                    <w:tl2br w:val="nil"/>
                    <w:tr2bl w:val="nil"/>
                  </w:tcBorders>
                  <w:noWrap w:val="0"/>
                  <w:vAlign w:val="center"/>
                </w:tcPr>
                <w:p>
                  <w:pPr>
                    <w:kinsoku/>
                    <w:overflowPunct/>
                    <w:bidi w:val="0"/>
                    <w:spacing w:line="240" w:lineRule="auto"/>
                    <w:ind w:left="0" w:leftChars="0" w:right="0" w:firstLine="0" w:firstLineChars="0"/>
                    <w:jc w:val="left"/>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评价工作等级</w:t>
                  </w:r>
                </w:p>
              </w:tc>
              <w:tc>
                <w:tcPr>
                  <w:tcW w:w="1678" w:type="dxa"/>
                  <w:tcBorders>
                    <w:tl2br w:val="nil"/>
                    <w:tr2bl w:val="nil"/>
                  </w:tcBorders>
                  <w:noWrap w:val="0"/>
                  <w:vAlign w:val="center"/>
                </w:tcPr>
                <w:p>
                  <w:pPr>
                    <w:kinsoku/>
                    <w:overflowPunct/>
                    <w:bidi w:val="0"/>
                    <w:spacing w:line="240" w:lineRule="auto"/>
                    <w:ind w:left="0" w:leftChars="0" w:right="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一</w:t>
                  </w:r>
                </w:p>
              </w:tc>
              <w:tc>
                <w:tcPr>
                  <w:tcW w:w="1866" w:type="dxa"/>
                  <w:tcBorders>
                    <w:tl2br w:val="nil"/>
                    <w:tr2bl w:val="nil"/>
                  </w:tcBorders>
                  <w:noWrap w:val="0"/>
                  <w:vAlign w:val="center"/>
                </w:tcPr>
                <w:p>
                  <w:pPr>
                    <w:kinsoku/>
                    <w:overflowPunct/>
                    <w:bidi w:val="0"/>
                    <w:spacing w:line="240" w:lineRule="auto"/>
                    <w:ind w:left="0" w:leftChars="0" w:right="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二</w:t>
                  </w:r>
                </w:p>
              </w:tc>
              <w:tc>
                <w:tcPr>
                  <w:tcW w:w="1684" w:type="dxa"/>
                  <w:tcBorders>
                    <w:tl2br w:val="nil"/>
                    <w:tr2bl w:val="nil"/>
                  </w:tcBorders>
                  <w:noWrap w:val="0"/>
                  <w:vAlign w:val="center"/>
                </w:tcPr>
                <w:p>
                  <w:pPr>
                    <w:kinsoku/>
                    <w:overflowPunct/>
                    <w:bidi w:val="0"/>
                    <w:spacing w:line="240" w:lineRule="auto"/>
                    <w:ind w:left="0" w:leftChars="0" w:right="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三</w:t>
                  </w:r>
                </w:p>
              </w:tc>
              <w:tc>
                <w:tcPr>
                  <w:tcW w:w="1684" w:type="dxa"/>
                  <w:tcBorders>
                    <w:tl2br w:val="nil"/>
                    <w:tr2bl w:val="nil"/>
                  </w:tcBorders>
                  <w:noWrap w:val="0"/>
                  <w:vAlign w:val="center"/>
                </w:tcPr>
                <w:p>
                  <w:pPr>
                    <w:kinsoku/>
                    <w:overflowPunct/>
                    <w:bidi w:val="0"/>
                    <w:spacing w:line="240" w:lineRule="auto"/>
                    <w:ind w:left="0" w:leftChars="0" w:right="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简单分析a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8418" w:type="dxa"/>
                  <w:gridSpan w:val="5"/>
                  <w:tcBorders>
                    <w:tl2br w:val="nil"/>
                    <w:tr2bl w:val="nil"/>
                  </w:tcBorders>
                  <w:noWrap w:val="0"/>
                  <w:vAlign w:val="center"/>
                </w:tcPr>
                <w:p>
                  <w:pPr>
                    <w:kinsoku/>
                    <w:overflowPunct/>
                    <w:bidi w:val="0"/>
                    <w:spacing w:line="240" w:lineRule="auto"/>
                    <w:ind w:left="0" w:leftChars="0" w:right="0" w:firstLine="0" w:firstLineChars="0"/>
                    <w:jc w:val="left"/>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a是相对于详细评价工作内容而言，在描述危险物质、环境影响途径、环境危害后果、风险防范措施等方面给出定性的说明，详见HJ</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169-2018附录A。</w:t>
                  </w:r>
                </w:p>
              </w:tc>
            </w:tr>
          </w:tbl>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综上所述，新疆双剑农机制造有限公司环境风险潜势为Ⅰ，评价等级为简单分析。</w:t>
            </w:r>
          </w:p>
          <w:p>
            <w:pPr>
              <w:adjustRightInd w:val="0"/>
              <w:spacing w:line="360" w:lineRule="auto"/>
              <w:jc w:val="left"/>
              <w:rPr>
                <w:b/>
                <w:bCs/>
                <w:color w:val="auto"/>
                <w:sz w:val="24"/>
              </w:rPr>
            </w:pPr>
            <w:bookmarkStart w:id="5" w:name="_Toc211656389"/>
            <w:bookmarkStart w:id="6" w:name="_Toc227125768"/>
            <w:bookmarkStart w:id="7" w:name="_Toc209865735"/>
            <w:bookmarkStart w:id="8" w:name="_Toc3908178"/>
            <w:bookmarkStart w:id="9" w:name="_Toc176602255"/>
            <w:bookmarkStart w:id="10" w:name="_Toc210040133"/>
            <w:bookmarkStart w:id="11" w:name="_Toc213761387"/>
            <w:bookmarkStart w:id="12" w:name="_Toc209944846"/>
            <w:bookmarkStart w:id="13" w:name="_Toc335315169"/>
            <w:bookmarkStart w:id="14" w:name="_Toc207703651"/>
            <w:r>
              <w:rPr>
                <w:rFonts w:hint="eastAsia"/>
                <w:b/>
                <w:bCs/>
                <w:color w:val="auto"/>
                <w:sz w:val="24"/>
                <w:lang w:val="en-US" w:eastAsia="zh-CN"/>
              </w:rPr>
              <w:t>7</w:t>
            </w:r>
            <w:r>
              <w:rPr>
                <w:b/>
                <w:bCs/>
                <w:color w:val="auto"/>
                <w:sz w:val="24"/>
              </w:rPr>
              <w:t>.4事故环境风险分析</w:t>
            </w:r>
            <w:bookmarkEnd w:id="5"/>
            <w:bookmarkEnd w:id="6"/>
            <w:bookmarkEnd w:id="7"/>
            <w:bookmarkEnd w:id="8"/>
            <w:bookmarkEnd w:id="9"/>
            <w:bookmarkEnd w:id="10"/>
            <w:bookmarkEnd w:id="11"/>
            <w:bookmarkEnd w:id="12"/>
            <w:bookmarkEnd w:id="13"/>
            <w:bookmarkEnd w:id="14"/>
          </w:p>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本项目可能发生的事故包括：</w:t>
            </w:r>
            <w:r>
              <w:rPr>
                <w:rFonts w:hint="default" w:ascii="Times New Roman" w:hAnsi="Times New Roman" w:eastAsia="宋体" w:cs="Times New Roman"/>
                <w:color w:val="auto"/>
                <w:kern w:val="2"/>
                <w:sz w:val="24"/>
                <w:szCs w:val="20"/>
                <w:lang w:val="en-US" w:eastAsia="zh-CN" w:bidi="ar-SA"/>
              </w:rPr>
              <w:t>①</w:t>
            </w:r>
            <w:r>
              <w:rPr>
                <w:rFonts w:hint="eastAsia" w:cs="Times New Roman"/>
                <w:color w:val="auto"/>
                <w:kern w:val="2"/>
                <w:sz w:val="24"/>
                <w:szCs w:val="20"/>
                <w:lang w:val="en-US" w:eastAsia="zh-CN" w:bidi="ar-SA"/>
              </w:rPr>
              <w:t>废机油、废活性炭</w:t>
            </w:r>
            <w:r>
              <w:rPr>
                <w:rFonts w:hint="eastAsia" w:ascii="Times New Roman" w:hAnsi="Times New Roman" w:eastAsia="宋体" w:cs="Times New Roman"/>
                <w:color w:val="auto"/>
                <w:kern w:val="2"/>
                <w:sz w:val="24"/>
                <w:szCs w:val="20"/>
                <w:lang w:val="en-US" w:eastAsia="zh-CN" w:bidi="ar-SA"/>
              </w:rPr>
              <w:t>泄漏，引起火灾、爆炸风险事故；</w:t>
            </w:r>
            <w:r>
              <w:rPr>
                <w:rFonts w:hint="default" w:ascii="Times New Roman" w:hAnsi="Times New Roman" w:eastAsia="宋体" w:cs="Times New Roman"/>
                <w:color w:val="auto"/>
                <w:kern w:val="2"/>
                <w:sz w:val="24"/>
                <w:szCs w:val="20"/>
                <w:lang w:val="en-US" w:eastAsia="zh-CN" w:bidi="ar-SA"/>
              </w:rPr>
              <w:t>②</w:t>
            </w:r>
            <w:r>
              <w:rPr>
                <w:rFonts w:hint="eastAsia" w:ascii="Times New Roman" w:hAnsi="Times New Roman" w:eastAsia="宋体" w:cs="Times New Roman"/>
                <w:color w:val="auto"/>
                <w:kern w:val="2"/>
                <w:sz w:val="24"/>
                <w:szCs w:val="20"/>
                <w:lang w:val="en-US" w:eastAsia="zh-CN" w:bidi="ar-SA"/>
              </w:rPr>
              <w:t>废气处理设施故障，造成周围环境影响</w:t>
            </w:r>
            <w:r>
              <w:rPr>
                <w:rFonts w:hint="eastAsia" w:ascii="Times New Roman" w:hAnsi="Times New Roman" w:cs="Times New Roman"/>
                <w:color w:val="auto"/>
                <w:kern w:val="2"/>
                <w:sz w:val="24"/>
                <w:szCs w:val="20"/>
                <w:lang w:val="en-US" w:eastAsia="zh-CN" w:bidi="ar-SA"/>
              </w:rPr>
              <w:t>。</w:t>
            </w:r>
          </w:p>
          <w:p>
            <w:pPr>
              <w:adjustRightInd w:val="0"/>
              <w:spacing w:line="360" w:lineRule="auto"/>
              <w:jc w:val="left"/>
              <w:rPr>
                <w:b/>
                <w:bCs/>
                <w:color w:val="auto"/>
                <w:sz w:val="24"/>
              </w:rPr>
            </w:pPr>
            <w:r>
              <w:rPr>
                <w:rFonts w:hint="eastAsia"/>
                <w:b/>
                <w:bCs/>
                <w:color w:val="auto"/>
                <w:sz w:val="24"/>
                <w:lang w:val="en-US" w:eastAsia="zh-CN"/>
              </w:rPr>
              <w:t>7</w:t>
            </w:r>
            <w:r>
              <w:rPr>
                <w:b/>
                <w:bCs/>
                <w:color w:val="auto"/>
                <w:sz w:val="24"/>
              </w:rPr>
              <w:t>.5风险防范措施</w:t>
            </w:r>
          </w:p>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针对上述环境风险，本次评价建议项目采取以下风险防范措施：</w:t>
            </w:r>
          </w:p>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①火灾爆炸事故</w:t>
            </w:r>
          </w:p>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a、全厂消防设计本着“预防为主，防消结合”的原则，立足于火灾自救。对主要设备和重要建筑物均采取防消结合措施。要按照有关要求，设置消防栓和灭火器，有专门的消防人员，做好巡检工作，防患于未然；</w:t>
            </w:r>
          </w:p>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b、防火间距：在总平面布置中，各建筑物构筑物之间的距离应满足有关设计技术规范和建筑设计防火规范的要求。</w:t>
            </w:r>
          </w:p>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c、设备的安全管理：定期对设备进行安全检测，检测内容、时间、人员应有记录保存、安全检测应根据设备的安全性、危险性设定检测频次。</w:t>
            </w:r>
          </w:p>
          <w:p>
            <w:pPr>
              <w:snapToGrid w:val="0"/>
              <w:spacing w:line="360" w:lineRule="auto"/>
              <w:ind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d、各生产区</w:t>
            </w:r>
            <w:r>
              <w:rPr>
                <w:rFonts w:hint="eastAsia" w:cs="Times New Roman"/>
                <w:color w:val="auto"/>
                <w:kern w:val="2"/>
                <w:sz w:val="24"/>
                <w:szCs w:val="20"/>
                <w:lang w:val="en-US" w:eastAsia="zh-CN" w:bidi="ar-SA"/>
              </w:rPr>
              <w:t>保持</w:t>
            </w:r>
            <w:r>
              <w:rPr>
                <w:rFonts w:hint="eastAsia" w:ascii="Times New Roman" w:hAnsi="Times New Roman" w:eastAsia="宋体" w:cs="Times New Roman"/>
                <w:color w:val="auto"/>
                <w:kern w:val="2"/>
                <w:sz w:val="24"/>
                <w:szCs w:val="20"/>
                <w:lang w:val="en-US" w:eastAsia="zh-CN" w:bidi="ar-SA"/>
              </w:rPr>
              <w:t>一定的距离，设有隔离带，设双重管理。生产车间的布局和建筑设计应符合《建筑防火设计规范》及《爆炸和火灾危险环境电力设置设计规范》要求，使用防爆电气照明设备；厂房的防雷接地符合GB50057-94《建筑防雷设计规范》，并在生产车间设置消防系统，达到消防部门的要求。</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0"/>
                <w:lang w:val="en-US" w:eastAsia="zh-CN" w:bidi="ar-SA"/>
              </w:rPr>
              <w:t>e、生产车间管理：区</w:t>
            </w:r>
            <w:r>
              <w:rPr>
                <w:rFonts w:hint="eastAsia" w:ascii="Times New Roman" w:hAnsi="Times New Roman" w:eastAsia="宋体" w:cs="Times New Roman"/>
                <w:color w:val="auto"/>
                <w:kern w:val="2"/>
                <w:sz w:val="24"/>
                <w:szCs w:val="24"/>
                <w:lang w:val="en-US" w:eastAsia="zh-CN" w:bidi="ar-SA"/>
              </w:rPr>
              <w:t>域内严格管控明火的使用，要提出安全措施，厂部履行必要的审批手续。生产车间内电气设备不得任意安装更改，严禁使用临时电线电灯。</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②废气处理设施故障</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企业废气处理设施需设置专门的人员管理，加强对废气处理</w:t>
            </w:r>
            <w:r>
              <w:rPr>
                <w:rFonts w:hint="eastAsia" w:cs="Times New Roman"/>
                <w:color w:val="auto"/>
                <w:kern w:val="2"/>
                <w:sz w:val="24"/>
                <w:szCs w:val="24"/>
                <w:lang w:val="en-US" w:eastAsia="zh-CN" w:bidi="ar-SA"/>
              </w:rPr>
              <w:t>设施</w:t>
            </w:r>
            <w:r>
              <w:rPr>
                <w:rFonts w:hint="eastAsia" w:ascii="Times New Roman" w:hAnsi="Times New Roman" w:eastAsia="宋体" w:cs="Times New Roman"/>
                <w:color w:val="auto"/>
                <w:kern w:val="2"/>
                <w:sz w:val="24"/>
                <w:szCs w:val="24"/>
                <w:lang w:val="en-US" w:eastAsia="zh-CN" w:bidi="ar-SA"/>
              </w:rPr>
              <w:t>、运输管道和排气筒的维护和检修，一旦发现废气</w:t>
            </w:r>
            <w:r>
              <w:rPr>
                <w:rFonts w:hint="eastAsia" w:cs="Times New Roman"/>
                <w:color w:val="auto"/>
                <w:kern w:val="2"/>
                <w:sz w:val="24"/>
                <w:szCs w:val="24"/>
                <w:lang w:val="en-US" w:eastAsia="zh-CN" w:bidi="ar-SA"/>
              </w:rPr>
              <w:t>泄漏</w:t>
            </w:r>
            <w:r>
              <w:rPr>
                <w:rFonts w:hint="eastAsia" w:ascii="Times New Roman" w:hAnsi="Times New Roman" w:eastAsia="宋体" w:cs="Times New Roman"/>
                <w:color w:val="auto"/>
                <w:kern w:val="2"/>
                <w:sz w:val="24"/>
                <w:szCs w:val="24"/>
                <w:lang w:val="en-US" w:eastAsia="zh-CN" w:bidi="ar-SA"/>
              </w:rPr>
              <w:t>立即停产检修，检修完毕方可再投入生产。</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③</w:t>
            </w:r>
            <w:r>
              <w:rPr>
                <w:rFonts w:hint="eastAsia" w:ascii="Times New Roman" w:hAnsi="Times New Roman" w:eastAsia="宋体" w:cs="Times New Roman"/>
                <w:color w:val="auto"/>
                <w:kern w:val="2"/>
                <w:sz w:val="24"/>
                <w:szCs w:val="24"/>
                <w:lang w:val="en-US" w:eastAsia="zh-CN" w:bidi="ar-SA"/>
              </w:rPr>
              <w:t>突发环境事件应急预案</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风险事故发生后，能否迅速</w:t>
            </w:r>
            <w:r>
              <w:rPr>
                <w:rFonts w:hint="eastAsia" w:cs="Times New Roman"/>
                <w:color w:val="auto"/>
                <w:kern w:val="2"/>
                <w:sz w:val="24"/>
                <w:szCs w:val="24"/>
                <w:lang w:val="en-US" w:eastAsia="zh-CN" w:bidi="ar-SA"/>
              </w:rPr>
              <w:t>做出</w:t>
            </w:r>
            <w:r>
              <w:rPr>
                <w:rFonts w:hint="eastAsia" w:ascii="Times New Roman" w:hAnsi="Times New Roman" w:eastAsia="宋体" w:cs="Times New Roman"/>
                <w:color w:val="auto"/>
                <w:kern w:val="2"/>
                <w:sz w:val="24"/>
                <w:szCs w:val="24"/>
                <w:lang w:val="en-US" w:eastAsia="zh-CN" w:bidi="ar-SA"/>
              </w:rPr>
              <w:t>应急反应，对于控制环境污染、减少人员伤亡及经济损失等都起到了关键性作用。根据《建设项目环境风险评价技术导则》（HJ/T169-2018）中的规定和要求，对于本项目可能造成环境风险的突发性事故须制定应急预案原则要求，本环评要求建设单位制定详细的应急预案。</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④环境风险应急体系</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应急系统应与周边企业、园区、昌吉市等区域环境风险应急系统对接联动，实现区域联防联控。项目厂区配备足够的消防、防毒防护设施及应急监测等应急设施和物资。配备应急队伍，能够立即响应，立即汇报，立即事故处置等。</w:t>
            </w:r>
          </w:p>
          <w:p>
            <w:pPr>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综上所述，项目运行过程中只要加强管理，建立健全相应的防范应急措施，在设计、施工、管理及运行中认真落实工程拟采取的安全措施及评价所提出的安全设施和安全对策后，上述风险事故隐患可降至最低。</w:t>
            </w:r>
          </w:p>
          <w:p>
            <w:pPr>
              <w:adjustRightInd w:val="0"/>
              <w:spacing w:line="360" w:lineRule="auto"/>
              <w:jc w:val="left"/>
              <w:rPr>
                <w:b/>
                <w:bCs/>
                <w:color w:val="auto"/>
                <w:sz w:val="24"/>
              </w:rPr>
            </w:pPr>
            <w:r>
              <w:rPr>
                <w:rFonts w:hint="eastAsia"/>
                <w:b/>
                <w:bCs/>
                <w:color w:val="auto"/>
                <w:sz w:val="24"/>
                <w:lang w:val="en-US" w:eastAsia="zh-CN"/>
              </w:rPr>
              <w:t>7</w:t>
            </w:r>
            <w:r>
              <w:rPr>
                <w:b/>
                <w:bCs/>
                <w:color w:val="auto"/>
                <w:sz w:val="24"/>
              </w:rPr>
              <w:t>.6风险应急预案</w:t>
            </w:r>
          </w:p>
          <w:p>
            <w:pPr>
              <w:pStyle w:val="66"/>
              <w:adjustRightInd w:val="0"/>
              <w:snapToGrid w:val="0"/>
              <w:ind w:firstLine="480"/>
              <w:jc w:val="left"/>
              <w:rPr>
                <w:color w:val="auto"/>
              </w:rPr>
            </w:pPr>
            <w:r>
              <w:rPr>
                <w:color w:val="auto"/>
              </w:rPr>
              <w:t>针对以上的分析，建设单位在项目实施后应该建立相应的环境风险事故应急预案。应急预案所要求的基本内容可参照</w:t>
            </w:r>
            <w:r>
              <w:rPr>
                <w:rFonts w:hint="eastAsia"/>
                <w:color w:val="auto"/>
                <w:lang w:eastAsia="zh-CN"/>
              </w:rPr>
              <w:t>表</w:t>
            </w:r>
            <w:r>
              <w:rPr>
                <w:color w:val="auto"/>
              </w:rPr>
              <w:t>中的相关内容。</w:t>
            </w:r>
          </w:p>
          <w:p>
            <w:pPr>
              <w:jc w:val="center"/>
              <w:rPr>
                <w:b/>
                <w:color w:val="auto"/>
                <w:szCs w:val="21"/>
              </w:rPr>
            </w:pPr>
            <w:r>
              <w:rPr>
                <w:b/>
                <w:color w:val="auto"/>
                <w:szCs w:val="21"/>
              </w:rPr>
              <w:t>表4-</w:t>
            </w:r>
            <w:r>
              <w:rPr>
                <w:rFonts w:hint="eastAsia"/>
                <w:b/>
                <w:color w:val="auto"/>
                <w:szCs w:val="21"/>
                <w:lang w:val="en-US" w:eastAsia="zh-CN"/>
              </w:rPr>
              <w:t>16</w:t>
            </w:r>
            <w:r>
              <w:rPr>
                <w:b/>
                <w:color w:val="auto"/>
                <w:szCs w:val="21"/>
              </w:rPr>
              <w:t>应急预案内容</w:t>
            </w:r>
          </w:p>
          <w:tbl>
            <w:tblPr>
              <w:tblStyle w:val="23"/>
              <w:tblW w:w="81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277"/>
              <w:gridCol w:w="5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69" w:type="dxa"/>
                  <w:tcBorders>
                    <w:bottom w:val="single" w:color="auto" w:sz="12" w:space="0"/>
                  </w:tcBorders>
                  <w:vAlign w:val="center"/>
                </w:tcPr>
                <w:p>
                  <w:pPr>
                    <w:jc w:val="center"/>
                    <w:rPr>
                      <w:b/>
                      <w:color w:val="auto"/>
                      <w:szCs w:val="21"/>
                    </w:rPr>
                  </w:pPr>
                  <w:r>
                    <w:rPr>
                      <w:b/>
                      <w:color w:val="auto"/>
                      <w:szCs w:val="21"/>
                    </w:rPr>
                    <w:t>序号</w:t>
                  </w:r>
                </w:p>
              </w:tc>
              <w:tc>
                <w:tcPr>
                  <w:tcW w:w="2277" w:type="dxa"/>
                  <w:tcBorders>
                    <w:bottom w:val="single" w:color="auto" w:sz="12" w:space="0"/>
                  </w:tcBorders>
                  <w:vAlign w:val="center"/>
                </w:tcPr>
                <w:p>
                  <w:pPr>
                    <w:jc w:val="center"/>
                    <w:rPr>
                      <w:b/>
                      <w:color w:val="auto"/>
                      <w:szCs w:val="21"/>
                    </w:rPr>
                  </w:pPr>
                  <w:r>
                    <w:rPr>
                      <w:b/>
                      <w:color w:val="auto"/>
                      <w:szCs w:val="21"/>
                    </w:rPr>
                    <w:t>项目</w:t>
                  </w:r>
                </w:p>
              </w:tc>
              <w:tc>
                <w:tcPr>
                  <w:tcW w:w="5232" w:type="dxa"/>
                  <w:tcBorders>
                    <w:bottom w:val="single" w:color="auto" w:sz="12" w:space="0"/>
                  </w:tcBorders>
                  <w:vAlign w:val="center"/>
                </w:tcPr>
                <w:p>
                  <w:pPr>
                    <w:jc w:val="center"/>
                    <w:rPr>
                      <w:b/>
                      <w:color w:val="auto"/>
                      <w:szCs w:val="21"/>
                    </w:rPr>
                  </w:pPr>
                  <w:r>
                    <w:rPr>
                      <w:b/>
                      <w:color w:val="auto"/>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9" w:type="dxa"/>
                  <w:tcBorders>
                    <w:top w:val="single" w:color="auto" w:sz="12" w:space="0"/>
                  </w:tcBorders>
                  <w:vAlign w:val="center"/>
                </w:tcPr>
                <w:p>
                  <w:pPr>
                    <w:jc w:val="center"/>
                    <w:rPr>
                      <w:bCs/>
                      <w:color w:val="auto"/>
                      <w:szCs w:val="21"/>
                    </w:rPr>
                  </w:pPr>
                  <w:r>
                    <w:rPr>
                      <w:bCs/>
                      <w:color w:val="auto"/>
                      <w:szCs w:val="21"/>
                    </w:rPr>
                    <w:t>1</w:t>
                  </w:r>
                </w:p>
              </w:tc>
              <w:tc>
                <w:tcPr>
                  <w:tcW w:w="2277" w:type="dxa"/>
                  <w:tcBorders>
                    <w:top w:val="single" w:color="auto" w:sz="12" w:space="0"/>
                  </w:tcBorders>
                  <w:vAlign w:val="center"/>
                </w:tcPr>
                <w:p>
                  <w:pPr>
                    <w:jc w:val="center"/>
                    <w:rPr>
                      <w:bCs/>
                      <w:color w:val="auto"/>
                      <w:szCs w:val="21"/>
                    </w:rPr>
                  </w:pPr>
                  <w:r>
                    <w:rPr>
                      <w:bCs/>
                      <w:color w:val="auto"/>
                      <w:szCs w:val="21"/>
                    </w:rPr>
                    <w:t>应急计划区</w:t>
                  </w:r>
                </w:p>
              </w:tc>
              <w:tc>
                <w:tcPr>
                  <w:tcW w:w="5232" w:type="dxa"/>
                  <w:tcBorders>
                    <w:top w:val="single" w:color="auto" w:sz="12" w:space="0"/>
                  </w:tcBorders>
                  <w:vAlign w:val="center"/>
                </w:tcPr>
                <w:p>
                  <w:pPr>
                    <w:jc w:val="left"/>
                    <w:rPr>
                      <w:bCs/>
                      <w:color w:val="auto"/>
                      <w:szCs w:val="21"/>
                    </w:rPr>
                  </w:pPr>
                  <w:r>
                    <w:rPr>
                      <w:bCs/>
                      <w:color w:val="auto"/>
                      <w:szCs w:val="21"/>
                    </w:rPr>
                    <w:t>危险目标（装置区），环境保护目标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69" w:type="dxa"/>
                  <w:vAlign w:val="center"/>
                </w:tcPr>
                <w:p>
                  <w:pPr>
                    <w:jc w:val="center"/>
                    <w:rPr>
                      <w:bCs/>
                      <w:color w:val="auto"/>
                      <w:szCs w:val="21"/>
                    </w:rPr>
                  </w:pPr>
                  <w:r>
                    <w:rPr>
                      <w:bCs/>
                      <w:color w:val="auto"/>
                      <w:szCs w:val="21"/>
                    </w:rPr>
                    <w:t>2</w:t>
                  </w:r>
                </w:p>
              </w:tc>
              <w:tc>
                <w:tcPr>
                  <w:tcW w:w="2277" w:type="dxa"/>
                  <w:vAlign w:val="center"/>
                </w:tcPr>
                <w:p>
                  <w:pPr>
                    <w:jc w:val="center"/>
                    <w:rPr>
                      <w:bCs/>
                      <w:color w:val="auto"/>
                      <w:szCs w:val="21"/>
                    </w:rPr>
                  </w:pPr>
                  <w:r>
                    <w:rPr>
                      <w:bCs/>
                      <w:color w:val="auto"/>
                      <w:szCs w:val="21"/>
                    </w:rPr>
                    <w:t>应急组织机构、人员</w:t>
                  </w:r>
                </w:p>
              </w:tc>
              <w:tc>
                <w:tcPr>
                  <w:tcW w:w="5232" w:type="dxa"/>
                  <w:vAlign w:val="center"/>
                </w:tcPr>
                <w:p>
                  <w:pPr>
                    <w:jc w:val="left"/>
                    <w:rPr>
                      <w:bCs/>
                      <w:color w:val="auto"/>
                      <w:szCs w:val="21"/>
                    </w:rPr>
                  </w:pPr>
                  <w:r>
                    <w:rPr>
                      <w:bCs/>
                      <w:color w:val="auto"/>
                      <w:szCs w:val="21"/>
                    </w:rPr>
                    <w:t>项目区、</w:t>
                  </w:r>
                  <w:r>
                    <w:rPr>
                      <w:rFonts w:hint="eastAsia"/>
                      <w:bCs/>
                      <w:color w:val="auto"/>
                      <w:szCs w:val="21"/>
                      <w:lang w:eastAsia="zh-CN"/>
                    </w:rPr>
                    <w:t>场区应急</w:t>
                  </w:r>
                  <w:r>
                    <w:rPr>
                      <w:bCs/>
                      <w:color w:val="auto"/>
                      <w:szCs w:val="21"/>
                    </w:rPr>
                    <w:t>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69" w:type="dxa"/>
                  <w:vAlign w:val="center"/>
                </w:tcPr>
                <w:p>
                  <w:pPr>
                    <w:jc w:val="center"/>
                    <w:rPr>
                      <w:bCs/>
                      <w:color w:val="auto"/>
                      <w:szCs w:val="21"/>
                    </w:rPr>
                  </w:pPr>
                  <w:r>
                    <w:rPr>
                      <w:bCs/>
                      <w:color w:val="auto"/>
                      <w:szCs w:val="21"/>
                    </w:rPr>
                    <w:t>3</w:t>
                  </w:r>
                </w:p>
              </w:tc>
              <w:tc>
                <w:tcPr>
                  <w:tcW w:w="2277" w:type="dxa"/>
                  <w:vAlign w:val="center"/>
                </w:tcPr>
                <w:p>
                  <w:pPr>
                    <w:jc w:val="center"/>
                    <w:rPr>
                      <w:bCs/>
                      <w:color w:val="auto"/>
                      <w:szCs w:val="21"/>
                    </w:rPr>
                  </w:pPr>
                  <w:r>
                    <w:rPr>
                      <w:bCs/>
                      <w:color w:val="auto"/>
                      <w:szCs w:val="21"/>
                    </w:rPr>
                    <w:t>预案分级响应条件</w:t>
                  </w:r>
                </w:p>
              </w:tc>
              <w:tc>
                <w:tcPr>
                  <w:tcW w:w="5232" w:type="dxa"/>
                  <w:vAlign w:val="center"/>
                </w:tcPr>
                <w:p>
                  <w:pPr>
                    <w:jc w:val="left"/>
                    <w:rPr>
                      <w:bCs/>
                      <w:color w:val="auto"/>
                      <w:szCs w:val="21"/>
                    </w:rPr>
                  </w:pPr>
                  <w:r>
                    <w:rPr>
                      <w:bCs/>
                      <w:color w:val="auto"/>
                      <w:szCs w:val="21"/>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Align w:val="center"/>
                </w:tcPr>
                <w:p>
                  <w:pPr>
                    <w:jc w:val="center"/>
                    <w:rPr>
                      <w:bCs/>
                      <w:color w:val="auto"/>
                      <w:szCs w:val="21"/>
                    </w:rPr>
                  </w:pPr>
                  <w:r>
                    <w:rPr>
                      <w:bCs/>
                      <w:color w:val="auto"/>
                      <w:szCs w:val="21"/>
                    </w:rPr>
                    <w:t>4</w:t>
                  </w:r>
                </w:p>
              </w:tc>
              <w:tc>
                <w:tcPr>
                  <w:tcW w:w="2277" w:type="dxa"/>
                  <w:vAlign w:val="center"/>
                </w:tcPr>
                <w:p>
                  <w:pPr>
                    <w:jc w:val="center"/>
                    <w:rPr>
                      <w:bCs/>
                      <w:color w:val="auto"/>
                      <w:szCs w:val="21"/>
                    </w:rPr>
                  </w:pPr>
                  <w:r>
                    <w:rPr>
                      <w:bCs/>
                      <w:color w:val="auto"/>
                      <w:szCs w:val="21"/>
                    </w:rPr>
                    <w:t>应急救援保障</w:t>
                  </w:r>
                </w:p>
              </w:tc>
              <w:tc>
                <w:tcPr>
                  <w:tcW w:w="5232" w:type="dxa"/>
                  <w:vAlign w:val="center"/>
                </w:tcPr>
                <w:p>
                  <w:pPr>
                    <w:jc w:val="left"/>
                    <w:rPr>
                      <w:bCs/>
                      <w:color w:val="auto"/>
                      <w:szCs w:val="21"/>
                    </w:rPr>
                  </w:pPr>
                  <w:r>
                    <w:rPr>
                      <w:bCs/>
                      <w:color w:val="auto"/>
                      <w:szCs w:val="21"/>
                    </w:rPr>
                    <w:t>应急设施，设备与器材等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9" w:type="dxa"/>
                  <w:vAlign w:val="center"/>
                </w:tcPr>
                <w:p>
                  <w:pPr>
                    <w:jc w:val="center"/>
                    <w:rPr>
                      <w:bCs/>
                      <w:color w:val="auto"/>
                      <w:szCs w:val="21"/>
                    </w:rPr>
                  </w:pPr>
                  <w:r>
                    <w:rPr>
                      <w:bCs/>
                      <w:color w:val="auto"/>
                      <w:szCs w:val="21"/>
                    </w:rPr>
                    <w:t>5</w:t>
                  </w:r>
                </w:p>
              </w:tc>
              <w:tc>
                <w:tcPr>
                  <w:tcW w:w="2277" w:type="dxa"/>
                  <w:vAlign w:val="center"/>
                </w:tcPr>
                <w:p>
                  <w:pPr>
                    <w:jc w:val="center"/>
                    <w:rPr>
                      <w:bCs/>
                      <w:color w:val="auto"/>
                      <w:szCs w:val="21"/>
                    </w:rPr>
                  </w:pPr>
                  <w:r>
                    <w:rPr>
                      <w:bCs/>
                      <w:color w:val="auto"/>
                      <w:szCs w:val="21"/>
                    </w:rPr>
                    <w:t>报警、通讯联络方式</w:t>
                  </w:r>
                </w:p>
              </w:tc>
              <w:tc>
                <w:tcPr>
                  <w:tcW w:w="5232" w:type="dxa"/>
                  <w:vAlign w:val="center"/>
                </w:tcPr>
                <w:p>
                  <w:pPr>
                    <w:jc w:val="left"/>
                    <w:rPr>
                      <w:bCs/>
                      <w:color w:val="auto"/>
                      <w:szCs w:val="21"/>
                    </w:rPr>
                  </w:pPr>
                  <w:r>
                    <w:rPr>
                      <w:bCs/>
                      <w:color w:val="auto"/>
                      <w:szCs w:val="21"/>
                    </w:rPr>
                    <w:t>规定应急状态表的报警通信方式、通知方式和交通保障、管制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69" w:type="dxa"/>
                  <w:vAlign w:val="center"/>
                </w:tcPr>
                <w:p>
                  <w:pPr>
                    <w:jc w:val="center"/>
                    <w:rPr>
                      <w:bCs/>
                      <w:color w:val="auto"/>
                      <w:szCs w:val="21"/>
                    </w:rPr>
                  </w:pPr>
                  <w:r>
                    <w:rPr>
                      <w:bCs/>
                      <w:color w:val="auto"/>
                      <w:szCs w:val="21"/>
                    </w:rPr>
                    <w:t>6</w:t>
                  </w:r>
                </w:p>
              </w:tc>
              <w:tc>
                <w:tcPr>
                  <w:tcW w:w="2277" w:type="dxa"/>
                  <w:vAlign w:val="center"/>
                </w:tcPr>
                <w:p>
                  <w:pPr>
                    <w:jc w:val="center"/>
                    <w:rPr>
                      <w:bCs/>
                      <w:color w:val="auto"/>
                      <w:szCs w:val="21"/>
                    </w:rPr>
                  </w:pPr>
                  <w:r>
                    <w:rPr>
                      <w:bCs/>
                      <w:color w:val="auto"/>
                      <w:szCs w:val="21"/>
                    </w:rPr>
                    <w:t>应急环境监测、抢险、</w:t>
                  </w:r>
                </w:p>
                <w:p>
                  <w:pPr>
                    <w:jc w:val="center"/>
                    <w:rPr>
                      <w:bCs/>
                      <w:color w:val="auto"/>
                      <w:szCs w:val="21"/>
                    </w:rPr>
                  </w:pPr>
                  <w:r>
                    <w:rPr>
                      <w:bCs/>
                      <w:color w:val="auto"/>
                      <w:szCs w:val="21"/>
                    </w:rPr>
                    <w:t>救援及控制措施</w:t>
                  </w:r>
                </w:p>
              </w:tc>
              <w:tc>
                <w:tcPr>
                  <w:tcW w:w="5232" w:type="dxa"/>
                  <w:vAlign w:val="center"/>
                </w:tcPr>
                <w:p>
                  <w:pPr>
                    <w:jc w:val="left"/>
                    <w:rPr>
                      <w:bCs/>
                      <w:color w:val="auto"/>
                      <w:szCs w:val="21"/>
                    </w:rPr>
                  </w:pPr>
                  <w:r>
                    <w:rPr>
                      <w:bCs/>
                      <w:color w:val="auto"/>
                      <w:szCs w:val="21"/>
                    </w:rPr>
                    <w:t>由专业队伍负责对事故现场进行</w:t>
                  </w:r>
                  <w:r>
                    <w:rPr>
                      <w:rFonts w:hint="eastAsia"/>
                      <w:bCs/>
                      <w:color w:val="auto"/>
                      <w:szCs w:val="21"/>
                    </w:rPr>
                    <w:t>侦察</w:t>
                  </w:r>
                  <w:r>
                    <w:rPr>
                      <w:bCs/>
                      <w:color w:val="auto"/>
                      <w:szCs w:val="21"/>
                    </w:rPr>
                    <w:t>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69" w:type="dxa"/>
                  <w:vAlign w:val="center"/>
                </w:tcPr>
                <w:p>
                  <w:pPr>
                    <w:jc w:val="center"/>
                    <w:rPr>
                      <w:bCs/>
                      <w:color w:val="auto"/>
                      <w:szCs w:val="21"/>
                    </w:rPr>
                  </w:pPr>
                  <w:r>
                    <w:rPr>
                      <w:bCs/>
                      <w:color w:val="auto"/>
                      <w:szCs w:val="21"/>
                    </w:rPr>
                    <w:t>7</w:t>
                  </w:r>
                </w:p>
              </w:tc>
              <w:tc>
                <w:tcPr>
                  <w:tcW w:w="2277" w:type="dxa"/>
                  <w:vAlign w:val="center"/>
                </w:tcPr>
                <w:p>
                  <w:pPr>
                    <w:jc w:val="center"/>
                    <w:rPr>
                      <w:bCs/>
                      <w:color w:val="auto"/>
                      <w:szCs w:val="21"/>
                    </w:rPr>
                  </w:pPr>
                  <w:r>
                    <w:rPr>
                      <w:bCs/>
                      <w:color w:val="auto"/>
                      <w:szCs w:val="21"/>
                    </w:rPr>
                    <w:t>应急检测、防护措施、</w:t>
                  </w:r>
                </w:p>
                <w:p>
                  <w:pPr>
                    <w:jc w:val="center"/>
                    <w:rPr>
                      <w:bCs/>
                      <w:color w:val="auto"/>
                      <w:szCs w:val="21"/>
                    </w:rPr>
                  </w:pPr>
                  <w:r>
                    <w:rPr>
                      <w:bCs/>
                      <w:color w:val="auto"/>
                      <w:szCs w:val="21"/>
                    </w:rPr>
                    <w:t>清除泄漏措施和器材</w:t>
                  </w:r>
                </w:p>
              </w:tc>
              <w:tc>
                <w:tcPr>
                  <w:tcW w:w="5232" w:type="dxa"/>
                  <w:vAlign w:val="center"/>
                </w:tcPr>
                <w:p>
                  <w:pPr>
                    <w:jc w:val="left"/>
                    <w:rPr>
                      <w:bCs/>
                      <w:color w:val="auto"/>
                      <w:szCs w:val="21"/>
                    </w:rPr>
                  </w:pPr>
                  <w:r>
                    <w:rPr>
                      <w:bCs/>
                      <w:color w:val="auto"/>
                      <w:szCs w:val="21"/>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69" w:type="dxa"/>
                  <w:vAlign w:val="center"/>
                </w:tcPr>
                <w:p>
                  <w:pPr>
                    <w:jc w:val="center"/>
                    <w:rPr>
                      <w:bCs/>
                      <w:color w:val="auto"/>
                      <w:szCs w:val="21"/>
                    </w:rPr>
                  </w:pPr>
                  <w:r>
                    <w:rPr>
                      <w:bCs/>
                      <w:color w:val="auto"/>
                      <w:szCs w:val="21"/>
                    </w:rPr>
                    <w:t>8</w:t>
                  </w:r>
                </w:p>
              </w:tc>
              <w:tc>
                <w:tcPr>
                  <w:tcW w:w="2277" w:type="dxa"/>
                  <w:vAlign w:val="center"/>
                </w:tcPr>
                <w:p>
                  <w:pPr>
                    <w:jc w:val="center"/>
                    <w:rPr>
                      <w:bCs/>
                      <w:color w:val="auto"/>
                      <w:szCs w:val="21"/>
                    </w:rPr>
                  </w:pPr>
                  <w:r>
                    <w:rPr>
                      <w:bCs/>
                      <w:color w:val="auto"/>
                      <w:szCs w:val="21"/>
                    </w:rPr>
                    <w:t>人员紧急撤离、疏散，应急剂量控制、撤离组织计划</w:t>
                  </w:r>
                </w:p>
              </w:tc>
              <w:tc>
                <w:tcPr>
                  <w:tcW w:w="5232" w:type="dxa"/>
                  <w:vAlign w:val="center"/>
                </w:tcPr>
                <w:p>
                  <w:pPr>
                    <w:jc w:val="left"/>
                    <w:rPr>
                      <w:bCs/>
                      <w:color w:val="auto"/>
                      <w:szCs w:val="21"/>
                    </w:rPr>
                  </w:pPr>
                  <w:r>
                    <w:rPr>
                      <w:bCs/>
                      <w:color w:val="auto"/>
                      <w:szCs w:val="21"/>
                    </w:rPr>
                    <w:t>事故现场、项目区邻近区、受事故影响的区域人员及公众对毒物应急剂量控制规定，撤离组织计划及救护，医疗救护与公众健康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69" w:type="dxa"/>
                  <w:vAlign w:val="center"/>
                </w:tcPr>
                <w:p>
                  <w:pPr>
                    <w:jc w:val="center"/>
                    <w:rPr>
                      <w:bCs/>
                      <w:color w:val="auto"/>
                      <w:szCs w:val="21"/>
                    </w:rPr>
                  </w:pPr>
                  <w:r>
                    <w:rPr>
                      <w:bCs/>
                      <w:color w:val="auto"/>
                      <w:szCs w:val="21"/>
                    </w:rPr>
                    <w:t>9</w:t>
                  </w:r>
                </w:p>
              </w:tc>
              <w:tc>
                <w:tcPr>
                  <w:tcW w:w="2277" w:type="dxa"/>
                  <w:vAlign w:val="center"/>
                </w:tcPr>
                <w:p>
                  <w:pPr>
                    <w:jc w:val="center"/>
                    <w:rPr>
                      <w:bCs/>
                      <w:color w:val="auto"/>
                      <w:szCs w:val="21"/>
                    </w:rPr>
                  </w:pPr>
                  <w:r>
                    <w:rPr>
                      <w:bCs/>
                      <w:color w:val="auto"/>
                      <w:szCs w:val="21"/>
                    </w:rPr>
                    <w:t>事故应急救援关闭程序与恢复措施</w:t>
                  </w:r>
                </w:p>
              </w:tc>
              <w:tc>
                <w:tcPr>
                  <w:tcW w:w="5232" w:type="dxa"/>
                  <w:vAlign w:val="center"/>
                </w:tcPr>
                <w:p>
                  <w:pPr>
                    <w:jc w:val="left"/>
                    <w:rPr>
                      <w:bCs/>
                      <w:color w:val="auto"/>
                      <w:szCs w:val="21"/>
                    </w:rPr>
                  </w:pPr>
                  <w:r>
                    <w:rPr>
                      <w:bCs/>
                      <w:color w:val="auto"/>
                      <w:szCs w:val="21"/>
                    </w:rPr>
                    <w:t>规定应急状态终止程序</w:t>
                  </w:r>
                </w:p>
                <w:p>
                  <w:pPr>
                    <w:jc w:val="left"/>
                    <w:rPr>
                      <w:bCs/>
                      <w:color w:val="auto"/>
                      <w:szCs w:val="21"/>
                    </w:rPr>
                  </w:pPr>
                  <w:r>
                    <w:rPr>
                      <w:bCs/>
                      <w:color w:val="auto"/>
                      <w:szCs w:val="21"/>
                    </w:rPr>
                    <w:t>事故现场</w:t>
                  </w:r>
                  <w:r>
                    <w:rPr>
                      <w:rFonts w:hint="eastAsia"/>
                      <w:bCs/>
                      <w:color w:val="auto"/>
                      <w:szCs w:val="21"/>
                    </w:rPr>
                    <w:t>善后处理</w:t>
                  </w:r>
                  <w:r>
                    <w:rPr>
                      <w:bCs/>
                      <w:color w:val="auto"/>
                      <w:szCs w:val="21"/>
                    </w:rPr>
                    <w:t>，恢复措施</w:t>
                  </w:r>
                </w:p>
                <w:p>
                  <w:pPr>
                    <w:jc w:val="left"/>
                    <w:rPr>
                      <w:bCs/>
                      <w:color w:val="auto"/>
                      <w:szCs w:val="21"/>
                    </w:rPr>
                  </w:pPr>
                  <w:r>
                    <w:rPr>
                      <w:bCs/>
                      <w:color w:val="auto"/>
                      <w:szCs w:val="21"/>
                    </w:rPr>
                    <w:t>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69" w:type="dxa"/>
                  <w:vAlign w:val="center"/>
                </w:tcPr>
                <w:p>
                  <w:pPr>
                    <w:jc w:val="center"/>
                    <w:rPr>
                      <w:bCs/>
                      <w:color w:val="auto"/>
                      <w:szCs w:val="21"/>
                    </w:rPr>
                  </w:pPr>
                  <w:r>
                    <w:rPr>
                      <w:bCs/>
                      <w:color w:val="auto"/>
                      <w:szCs w:val="21"/>
                    </w:rPr>
                    <w:t>10</w:t>
                  </w:r>
                </w:p>
              </w:tc>
              <w:tc>
                <w:tcPr>
                  <w:tcW w:w="2277" w:type="dxa"/>
                  <w:vAlign w:val="center"/>
                </w:tcPr>
                <w:p>
                  <w:pPr>
                    <w:jc w:val="center"/>
                    <w:rPr>
                      <w:bCs/>
                      <w:color w:val="auto"/>
                      <w:szCs w:val="21"/>
                    </w:rPr>
                  </w:pPr>
                  <w:r>
                    <w:rPr>
                      <w:bCs/>
                      <w:color w:val="auto"/>
                      <w:szCs w:val="21"/>
                    </w:rPr>
                    <w:t>应急培训计划</w:t>
                  </w:r>
                </w:p>
              </w:tc>
              <w:tc>
                <w:tcPr>
                  <w:tcW w:w="5232" w:type="dxa"/>
                  <w:vAlign w:val="center"/>
                </w:tcPr>
                <w:p>
                  <w:pPr>
                    <w:jc w:val="left"/>
                    <w:rPr>
                      <w:bCs/>
                      <w:color w:val="auto"/>
                      <w:szCs w:val="21"/>
                    </w:rPr>
                  </w:pPr>
                  <w:r>
                    <w:rPr>
                      <w:bCs/>
                      <w:color w:val="auto"/>
                      <w:szCs w:val="21"/>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69" w:type="dxa"/>
                  <w:vAlign w:val="center"/>
                </w:tcPr>
                <w:p>
                  <w:pPr>
                    <w:jc w:val="center"/>
                    <w:rPr>
                      <w:bCs/>
                      <w:color w:val="auto"/>
                      <w:szCs w:val="21"/>
                    </w:rPr>
                  </w:pPr>
                  <w:r>
                    <w:rPr>
                      <w:bCs/>
                      <w:color w:val="auto"/>
                      <w:szCs w:val="21"/>
                    </w:rPr>
                    <w:t>11</w:t>
                  </w:r>
                </w:p>
              </w:tc>
              <w:tc>
                <w:tcPr>
                  <w:tcW w:w="2277" w:type="dxa"/>
                  <w:vAlign w:val="center"/>
                </w:tcPr>
                <w:p>
                  <w:pPr>
                    <w:jc w:val="center"/>
                    <w:rPr>
                      <w:bCs/>
                      <w:color w:val="auto"/>
                      <w:szCs w:val="21"/>
                    </w:rPr>
                  </w:pPr>
                  <w:r>
                    <w:rPr>
                      <w:bCs/>
                      <w:color w:val="auto"/>
                      <w:szCs w:val="21"/>
                    </w:rPr>
                    <w:t>公众教育和信息</w:t>
                  </w:r>
                </w:p>
              </w:tc>
              <w:tc>
                <w:tcPr>
                  <w:tcW w:w="5232" w:type="dxa"/>
                  <w:vAlign w:val="center"/>
                </w:tcPr>
                <w:p>
                  <w:pPr>
                    <w:jc w:val="left"/>
                    <w:rPr>
                      <w:bCs/>
                      <w:color w:val="auto"/>
                      <w:szCs w:val="21"/>
                    </w:rPr>
                  </w:pPr>
                  <w:r>
                    <w:rPr>
                      <w:bCs/>
                      <w:color w:val="auto"/>
                      <w:szCs w:val="21"/>
                    </w:rPr>
                    <w:t>对项目区邻近地区开展公众教育、培训和发布有关信息</w:t>
                  </w:r>
                </w:p>
              </w:tc>
            </w:tr>
          </w:tbl>
          <w:p>
            <w:pPr>
              <w:spacing w:line="360" w:lineRule="auto"/>
              <w:rPr>
                <w:b/>
                <w:bCs/>
                <w:color w:val="auto"/>
                <w:sz w:val="24"/>
              </w:rPr>
            </w:pPr>
            <w:r>
              <w:rPr>
                <w:rFonts w:hint="eastAsia"/>
                <w:b/>
                <w:bCs/>
                <w:color w:val="auto"/>
                <w:sz w:val="24"/>
                <w:lang w:val="en-US" w:eastAsia="zh-CN"/>
              </w:rPr>
              <w:t>7</w:t>
            </w:r>
            <w:r>
              <w:rPr>
                <w:b/>
                <w:bCs/>
                <w:color w:val="auto"/>
                <w:sz w:val="24"/>
              </w:rPr>
              <w:t>.7风险评价结论</w:t>
            </w:r>
          </w:p>
          <w:p>
            <w:pPr>
              <w:spacing w:line="360" w:lineRule="auto"/>
              <w:ind w:firstLine="480" w:firstLineChars="200"/>
              <w:rPr>
                <w:color w:val="auto"/>
                <w:sz w:val="24"/>
              </w:rPr>
            </w:pPr>
            <w:r>
              <w:rPr>
                <w:color w:val="auto"/>
                <w:sz w:val="24"/>
              </w:rPr>
              <w:t>本项目风险潜势为I，进行简单分析，具体如下表。</w:t>
            </w:r>
          </w:p>
          <w:p>
            <w:pPr>
              <w:jc w:val="center"/>
              <w:rPr>
                <w:b/>
                <w:bCs/>
                <w:color w:val="auto"/>
              </w:rPr>
            </w:pPr>
            <w:r>
              <w:rPr>
                <w:b/>
                <w:bCs/>
                <w:color w:val="auto"/>
              </w:rPr>
              <w:t>表4-</w:t>
            </w:r>
            <w:r>
              <w:rPr>
                <w:rFonts w:hint="eastAsia"/>
                <w:b/>
                <w:bCs/>
                <w:color w:val="auto"/>
                <w:lang w:val="en-US" w:eastAsia="zh-CN"/>
              </w:rPr>
              <w:t>17</w:t>
            </w:r>
            <w:r>
              <w:rPr>
                <w:b/>
                <w:bCs/>
                <w:color w:val="auto"/>
              </w:rPr>
              <w:t>建设项目环境风险简单分析内容表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204"/>
              <w:gridCol w:w="1344"/>
              <w:gridCol w:w="338"/>
              <w:gridCol w:w="942"/>
              <w:gridCol w:w="2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2" w:hRule="atLeast"/>
              </w:trPr>
              <w:tc>
                <w:tcPr>
                  <w:tcW w:w="1215" w:type="pct"/>
                  <w:tcBorders>
                    <w:top w:val="single" w:color="auto" w:sz="12" w:space="0"/>
                    <w:bottom w:val="single" w:color="auto" w:sz="12" w:space="0"/>
                    <w:right w:val="single" w:color="auto" w:sz="4" w:space="0"/>
                  </w:tcBorders>
                  <w:vAlign w:val="center"/>
                </w:tcPr>
                <w:p>
                  <w:pPr>
                    <w:jc w:val="center"/>
                    <w:rPr>
                      <w:b/>
                      <w:bCs/>
                      <w:color w:val="auto"/>
                      <w:szCs w:val="21"/>
                    </w:rPr>
                  </w:pPr>
                  <w:r>
                    <w:rPr>
                      <w:color w:val="auto"/>
                      <w:szCs w:val="21"/>
                    </w:rPr>
                    <w:t>建设项目名称</w:t>
                  </w:r>
                </w:p>
              </w:tc>
              <w:tc>
                <w:tcPr>
                  <w:tcW w:w="3784" w:type="pct"/>
                  <w:gridSpan w:val="5"/>
                  <w:tcBorders>
                    <w:top w:val="single" w:color="auto" w:sz="12" w:space="0"/>
                    <w:left w:val="single" w:color="auto" w:sz="4" w:space="0"/>
                    <w:bottom w:val="single" w:color="auto" w:sz="12" w:space="0"/>
                  </w:tcBorders>
                  <w:vAlign w:val="center"/>
                </w:tcPr>
                <w:p>
                  <w:pPr>
                    <w:jc w:val="center"/>
                    <w:rPr>
                      <w:color w:val="auto"/>
                      <w:szCs w:val="21"/>
                    </w:rPr>
                  </w:pPr>
                  <w:r>
                    <w:rPr>
                      <w:rFonts w:hint="eastAsia"/>
                      <w:color w:val="auto"/>
                      <w:szCs w:val="21"/>
                    </w:rPr>
                    <w:t>新疆双剑农机制造有限公司扩建项目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15" w:type="pct"/>
                  <w:tcBorders>
                    <w:top w:val="single" w:color="auto" w:sz="12" w:space="0"/>
                    <w:bottom w:val="single" w:color="auto" w:sz="4" w:space="0"/>
                    <w:right w:val="single" w:color="auto" w:sz="4" w:space="0"/>
                  </w:tcBorders>
                  <w:vAlign w:val="center"/>
                </w:tcPr>
                <w:p>
                  <w:pPr>
                    <w:jc w:val="center"/>
                    <w:rPr>
                      <w:color w:val="auto"/>
                      <w:szCs w:val="21"/>
                    </w:rPr>
                  </w:pPr>
                  <w:r>
                    <w:rPr>
                      <w:color w:val="auto"/>
                      <w:szCs w:val="21"/>
                    </w:rPr>
                    <w:t>建设地点</w:t>
                  </w:r>
                </w:p>
              </w:tc>
              <w:tc>
                <w:tcPr>
                  <w:tcW w:w="740" w:type="pct"/>
                  <w:tcBorders>
                    <w:top w:val="single" w:color="auto" w:sz="12" w:space="0"/>
                    <w:left w:val="single" w:color="auto" w:sz="4" w:space="0"/>
                    <w:bottom w:val="single" w:color="auto" w:sz="4" w:space="0"/>
                  </w:tcBorders>
                  <w:vAlign w:val="center"/>
                </w:tcPr>
                <w:p>
                  <w:pPr>
                    <w:jc w:val="center"/>
                    <w:rPr>
                      <w:rFonts w:hint="default"/>
                      <w:color w:val="auto"/>
                      <w:szCs w:val="21"/>
                      <w:lang w:val="en-US"/>
                    </w:rPr>
                  </w:pPr>
                  <w:r>
                    <w:rPr>
                      <w:rFonts w:hint="eastAsia"/>
                      <w:color w:val="auto"/>
                      <w:szCs w:val="21"/>
                      <w:lang w:val="en-US" w:eastAsia="zh-CN"/>
                    </w:rPr>
                    <w:t>新疆维吾尔自治区</w:t>
                  </w:r>
                </w:p>
              </w:tc>
              <w:tc>
                <w:tcPr>
                  <w:tcW w:w="826" w:type="pct"/>
                  <w:tcBorders>
                    <w:top w:val="single" w:color="auto" w:sz="12" w:space="0"/>
                    <w:left w:val="single" w:color="auto" w:sz="4" w:space="0"/>
                    <w:bottom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昌吉回族自治州</w:t>
                  </w:r>
                </w:p>
              </w:tc>
              <w:tc>
                <w:tcPr>
                  <w:tcW w:w="787" w:type="pct"/>
                  <w:gridSpan w:val="2"/>
                  <w:tcBorders>
                    <w:top w:val="single" w:color="auto" w:sz="12" w:space="0"/>
                    <w:left w:val="single" w:color="auto" w:sz="4" w:space="0"/>
                    <w:bottom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（/）区</w:t>
                  </w:r>
                </w:p>
              </w:tc>
              <w:tc>
                <w:tcPr>
                  <w:tcW w:w="1431" w:type="pct"/>
                  <w:tcBorders>
                    <w:top w:val="single" w:color="auto" w:sz="12" w:space="0"/>
                    <w:left w:val="single" w:color="auto" w:sz="4" w:space="0"/>
                    <w:bottom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昌吉市三工镇八钢工业聚集区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215" w:type="pc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地理坐标</w:t>
                  </w:r>
                </w:p>
              </w:tc>
              <w:tc>
                <w:tcPr>
                  <w:tcW w:w="740" w:type="pct"/>
                  <w:tcBorders>
                    <w:top w:val="single" w:color="auto" w:sz="4" w:space="0"/>
                    <w:left w:val="single" w:color="auto" w:sz="4" w:space="0"/>
                    <w:bottom w:val="single" w:color="auto" w:sz="4" w:space="0"/>
                  </w:tcBorders>
                  <w:vAlign w:val="center"/>
                </w:tcPr>
                <w:p>
                  <w:pPr>
                    <w:jc w:val="center"/>
                    <w:rPr>
                      <w:color w:val="auto"/>
                      <w:szCs w:val="21"/>
                    </w:rPr>
                  </w:pPr>
                  <w:r>
                    <w:rPr>
                      <w:rFonts w:hint="eastAsia"/>
                      <w:color w:val="auto"/>
                      <w:szCs w:val="21"/>
                      <w:lang w:val="en-US" w:eastAsia="zh-CN"/>
                    </w:rPr>
                    <w:t>经度</w:t>
                  </w:r>
                </w:p>
              </w:tc>
              <w:tc>
                <w:tcPr>
                  <w:tcW w:w="1034" w:type="pct"/>
                  <w:gridSpan w:val="2"/>
                  <w:tcBorders>
                    <w:top w:val="single" w:color="auto" w:sz="4" w:space="0"/>
                    <w:left w:val="single" w:color="auto" w:sz="4" w:space="0"/>
                    <w:bottom w:val="single" w:color="auto" w:sz="4" w:space="0"/>
                  </w:tcBorders>
                  <w:vAlign w:val="center"/>
                </w:tcPr>
                <w:p>
                  <w:pPr>
                    <w:jc w:val="center"/>
                    <w:rPr>
                      <w:rFonts w:hint="eastAsia" w:ascii="Times New Roman" w:hAnsi="Times New Roman" w:eastAsia="宋体" w:cs="Times New Roman"/>
                      <w:color w:val="auto"/>
                      <w:spacing w:val="0"/>
                      <w:position w:val="0"/>
                      <w:szCs w:val="21"/>
                      <w:highlight w:val="none"/>
                      <w:lang w:val="en-US" w:eastAsia="zh-CN"/>
                    </w:rPr>
                  </w:pPr>
                  <w:r>
                    <w:rPr>
                      <w:rFonts w:hint="default" w:ascii="Times New Roman" w:hAnsi="Times New Roman" w:eastAsia="宋体" w:cs="Times New Roman"/>
                      <w:color w:val="auto"/>
                      <w:spacing w:val="0"/>
                      <w:position w:val="0"/>
                      <w:szCs w:val="21"/>
                      <w:highlight w:val="none"/>
                      <w:lang w:val="en-US" w:eastAsia="zh-CN"/>
                    </w:rPr>
                    <w:t>87°14′23.648″</w:t>
                  </w:r>
                </w:p>
              </w:tc>
              <w:tc>
                <w:tcPr>
                  <w:tcW w:w="579" w:type="pct"/>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color w:val="auto"/>
                      <w:spacing w:val="0"/>
                      <w:position w:val="0"/>
                      <w:szCs w:val="21"/>
                      <w:highlight w:val="none"/>
                      <w:lang w:val="en-US" w:eastAsia="zh-CN"/>
                    </w:rPr>
                  </w:pPr>
                  <w:r>
                    <w:rPr>
                      <w:rFonts w:hint="eastAsia" w:ascii="Times New Roman" w:hAnsi="Times New Roman" w:eastAsia="宋体" w:cs="Times New Roman"/>
                      <w:color w:val="auto"/>
                      <w:spacing w:val="0"/>
                      <w:position w:val="0"/>
                      <w:szCs w:val="21"/>
                      <w:highlight w:val="none"/>
                      <w:lang w:val="en-US" w:eastAsia="zh-CN"/>
                    </w:rPr>
                    <w:t>纬度</w:t>
                  </w:r>
                </w:p>
              </w:tc>
              <w:tc>
                <w:tcPr>
                  <w:tcW w:w="1431" w:type="pct"/>
                  <w:tcBorders>
                    <w:top w:val="single" w:color="auto" w:sz="4" w:space="0"/>
                    <w:left w:val="single" w:color="auto" w:sz="4" w:space="0"/>
                    <w:bottom w:val="single" w:color="auto" w:sz="4" w:space="0"/>
                  </w:tcBorders>
                  <w:vAlign w:val="center"/>
                </w:tcPr>
                <w:p>
                  <w:pPr>
                    <w:jc w:val="center"/>
                    <w:rPr>
                      <w:rFonts w:hint="eastAsia" w:ascii="Times New Roman" w:hAnsi="Times New Roman" w:eastAsia="宋体" w:cs="Times New Roman"/>
                      <w:color w:val="auto"/>
                      <w:spacing w:val="0"/>
                      <w:position w:val="0"/>
                      <w:szCs w:val="21"/>
                      <w:highlight w:val="none"/>
                      <w:lang w:val="en-US" w:eastAsia="zh-CN"/>
                    </w:rPr>
                  </w:pPr>
                  <w:r>
                    <w:rPr>
                      <w:rFonts w:hint="default" w:ascii="Times New Roman" w:hAnsi="Times New Roman" w:eastAsia="宋体" w:cs="Times New Roman"/>
                      <w:color w:val="auto"/>
                      <w:spacing w:val="0"/>
                      <w:position w:val="0"/>
                      <w:szCs w:val="21"/>
                      <w:highlight w:val="none"/>
                      <w:lang w:val="en-US" w:eastAsia="zh-CN"/>
                    </w:rPr>
                    <w:t>43°52′18.105″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215" w:type="pc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主要危险物质及分布</w:t>
                  </w:r>
                </w:p>
              </w:tc>
              <w:tc>
                <w:tcPr>
                  <w:tcW w:w="3784" w:type="pct"/>
                  <w:gridSpan w:val="5"/>
                  <w:tcBorders>
                    <w:top w:val="single" w:color="auto" w:sz="4" w:space="0"/>
                    <w:left w:val="single" w:color="auto" w:sz="4" w:space="0"/>
                    <w:bottom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废机油、废活性炭，危废暂存间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15" w:type="pc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环境影响途径及危害后果（大气、地表水、地下水）</w:t>
                  </w:r>
                </w:p>
              </w:tc>
              <w:tc>
                <w:tcPr>
                  <w:tcW w:w="3784" w:type="pct"/>
                  <w:gridSpan w:val="5"/>
                  <w:tcBorders>
                    <w:top w:val="single" w:color="auto" w:sz="4" w:space="0"/>
                    <w:left w:val="single" w:color="auto" w:sz="4" w:space="0"/>
                    <w:bottom w:val="single" w:color="auto" w:sz="4" w:space="0"/>
                  </w:tcBorders>
                  <w:vAlign w:val="center"/>
                </w:tcPr>
                <w:p>
                  <w:pPr>
                    <w:jc w:val="left"/>
                    <w:rPr>
                      <w:color w:val="auto"/>
                      <w:szCs w:val="21"/>
                    </w:rPr>
                  </w:pPr>
                  <w:r>
                    <w:rPr>
                      <w:rFonts w:hint="default" w:ascii="Times New Roman" w:hAnsi="Times New Roman" w:cs="Times New Roman"/>
                      <w:color w:val="auto"/>
                      <w:spacing w:val="0"/>
                      <w:position w:val="0"/>
                      <w:szCs w:val="21"/>
                      <w:highlight w:val="none"/>
                    </w:rPr>
                    <w:t>因厂房电气设施老化、绝缘破损、短路、私拉乱接，或超负荷用电、过载、电器使用管理不当</w:t>
                  </w:r>
                  <w:r>
                    <w:rPr>
                      <w:rFonts w:hint="eastAsia" w:cs="Times New Roman"/>
                      <w:color w:val="auto"/>
                      <w:spacing w:val="0"/>
                      <w:position w:val="0"/>
                      <w:szCs w:val="21"/>
                      <w:highlight w:val="none"/>
                      <w:lang w:eastAsia="zh-CN"/>
                    </w:rPr>
                    <w:t>，废机油泄漏</w:t>
                  </w:r>
                  <w:r>
                    <w:rPr>
                      <w:rFonts w:hint="default" w:ascii="Times New Roman" w:hAnsi="Times New Roman" w:cs="Times New Roman"/>
                      <w:color w:val="auto"/>
                      <w:spacing w:val="0"/>
                      <w:position w:val="0"/>
                      <w:szCs w:val="21"/>
                      <w:highlight w:val="none"/>
                    </w:rPr>
                    <w:t>等原因均易引起火灾。设备发生火灾，将会导致设备受损，生产停滞，造成一定的经济损失。严重的可能会引发物料燃烧，产生大量烟尘，威胁工作人员生命安全，污染大气环境。消防救援也会产生一定量的消防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15" w:type="pc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风险防范措施要求</w:t>
                  </w:r>
                </w:p>
              </w:tc>
              <w:tc>
                <w:tcPr>
                  <w:tcW w:w="3784" w:type="pct"/>
                  <w:gridSpan w:val="5"/>
                  <w:tcBorders>
                    <w:top w:val="single" w:color="auto" w:sz="4" w:space="0"/>
                    <w:left w:val="single" w:color="auto" w:sz="4" w:space="0"/>
                    <w:bottom w:val="single" w:color="auto" w:sz="4" w:space="0"/>
                  </w:tcBorders>
                  <w:vAlign w:val="center"/>
                </w:tcPr>
                <w:p>
                  <w:pPr>
                    <w:shd w:val="clear"/>
                    <w:rPr>
                      <w:rFonts w:hint="default" w:ascii="Times New Roman" w:hAnsi="Times New Roman" w:cs="Times New Roman"/>
                      <w:color w:val="auto"/>
                      <w:spacing w:val="0"/>
                      <w:position w:val="0"/>
                      <w:highlight w:val="none"/>
                    </w:rPr>
                  </w:pP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1</w:t>
                  </w: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消除和控制明火源：在项目区内，有醒目的严禁烟火标志，严禁动火吸烟；严禁携带火柴、打火机等；使用气焊、电焊等进行按照维修时，必须按照规定办理动火批准手续，领取动火证，采取防护措施，确保安全无误后，方可动火作业。备好灭火器材，动火过程中，必须遵守安全技术规程。</w:t>
                  </w:r>
                </w:p>
                <w:p>
                  <w:pPr>
                    <w:shd w:val="clear"/>
                    <w:rPr>
                      <w:rFonts w:hint="default" w:ascii="Times New Roman" w:hAnsi="Times New Roman" w:cs="Times New Roman"/>
                      <w:color w:val="auto"/>
                      <w:spacing w:val="0"/>
                      <w:position w:val="0"/>
                      <w:highlight w:val="none"/>
                    </w:rPr>
                  </w:pP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2</w:t>
                  </w: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防止电气火花：采取有效措施防止电气线路和电气设施在开关断开、接触不良、短路、漏电时产生火花，防止静电放电火花；采取防雷接地措施，防止雷电放电火花。</w:t>
                  </w:r>
                </w:p>
                <w:p>
                  <w:pPr>
                    <w:shd w:val="clear"/>
                    <w:rPr>
                      <w:rFonts w:hint="default" w:ascii="Times New Roman" w:hAnsi="Times New Roman" w:cs="Times New Roman"/>
                      <w:color w:val="auto"/>
                      <w:spacing w:val="0"/>
                      <w:position w:val="0"/>
                      <w:highlight w:val="none"/>
                    </w:rPr>
                  </w:pP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3</w:t>
                  </w: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储存过程应加强通风，通风排气口的设置要得当，加强通风。</w:t>
                  </w:r>
                </w:p>
                <w:p>
                  <w:pPr>
                    <w:shd w:val="clear"/>
                    <w:rPr>
                      <w:color w:val="auto"/>
                      <w:szCs w:val="21"/>
                    </w:rPr>
                  </w:pP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4</w:t>
                  </w:r>
                  <w:r>
                    <w:rPr>
                      <w:rFonts w:hint="eastAsia" w:cs="Times New Roman"/>
                      <w:color w:val="auto"/>
                      <w:spacing w:val="0"/>
                      <w:position w:val="0"/>
                      <w:highlight w:val="none"/>
                      <w:lang w:eastAsia="zh-CN"/>
                    </w:rPr>
                    <w:t>）</w:t>
                  </w:r>
                  <w:r>
                    <w:rPr>
                      <w:rFonts w:hint="default" w:ascii="Times New Roman" w:hAnsi="Times New Roman" w:cs="Times New Roman"/>
                      <w:color w:val="auto"/>
                      <w:spacing w:val="0"/>
                      <w:position w:val="0"/>
                      <w:highlight w:val="none"/>
                    </w:rPr>
                    <w:t>建立应急救援组织或者配备应急救援人员，配备必要的应急救援器材、设备，对消防措施定期检查，保证消防措施的有效性，并定期组织演练。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000" w:type="pct"/>
                  <w:gridSpan w:val="6"/>
                  <w:tcBorders>
                    <w:top w:val="single" w:color="auto" w:sz="4" w:space="0"/>
                    <w:bottom w:val="single" w:color="auto" w:sz="12" w:space="0"/>
                  </w:tcBorders>
                  <w:vAlign w:val="center"/>
                </w:tcPr>
                <w:p>
                  <w:pPr>
                    <w:rPr>
                      <w:color w:val="auto"/>
                      <w:szCs w:val="21"/>
                    </w:rPr>
                  </w:pPr>
                  <w:r>
                    <w:rPr>
                      <w:color w:val="auto"/>
                      <w:szCs w:val="21"/>
                    </w:rPr>
                    <w:t>填表说明：根据本项目污染物特性，本项目应建立独立的环境风险应急预案，并报备地州环境主管部门备案。</w:t>
                  </w:r>
                </w:p>
              </w:tc>
            </w:tr>
          </w:tbl>
          <w:p>
            <w:pPr>
              <w:spacing w:line="360" w:lineRule="auto"/>
              <w:rPr>
                <w:b/>
                <w:bCs/>
                <w:color w:val="auto"/>
                <w:sz w:val="24"/>
              </w:rPr>
            </w:pPr>
            <w:r>
              <w:rPr>
                <w:rFonts w:hint="eastAsia"/>
                <w:b/>
                <w:bCs/>
                <w:color w:val="auto"/>
                <w:sz w:val="24"/>
                <w:lang w:val="en-US" w:eastAsia="zh-CN"/>
              </w:rPr>
              <w:t>7</w:t>
            </w:r>
            <w:r>
              <w:rPr>
                <w:b/>
                <w:bCs/>
                <w:color w:val="auto"/>
                <w:sz w:val="24"/>
              </w:rPr>
              <w:t>.8事故性排放风险评价结论</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评价认为，本项目具备产生火灾的可能性，火灾</w:t>
            </w:r>
            <w:r>
              <w:rPr>
                <w:rFonts w:hint="eastAsia" w:cs="Times New Roman"/>
                <w:color w:val="auto"/>
                <w:sz w:val="24"/>
                <w:lang w:eastAsia="zh-CN"/>
              </w:rPr>
              <w:t>扑</w:t>
            </w:r>
            <w:r>
              <w:rPr>
                <w:rFonts w:ascii="Times New Roman" w:hAnsi="Times New Roman" w:eastAsia="宋体" w:cs="Times New Roman"/>
                <w:color w:val="auto"/>
                <w:sz w:val="24"/>
              </w:rPr>
              <w:t>灭过程需要严格控制消防废水的处置，适时对区域进行恢复。在采取切实有效的措施下，本项目发生事故的可能性较低，是可控的。</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综上所述，项目的环境风险较小，</w:t>
            </w:r>
            <w:r>
              <w:rPr>
                <w:rFonts w:hint="eastAsia" w:ascii="Times New Roman" w:hAnsi="Times New Roman" w:eastAsia="宋体" w:cs="Times New Roman"/>
                <w:color w:val="auto"/>
                <w:sz w:val="24"/>
              </w:rPr>
              <w:t>建议</w:t>
            </w:r>
            <w:r>
              <w:rPr>
                <w:rFonts w:ascii="Times New Roman" w:hAnsi="Times New Roman" w:eastAsia="宋体" w:cs="Times New Roman"/>
                <w:color w:val="auto"/>
                <w:sz w:val="24"/>
              </w:rPr>
              <w:t>采取相应措施后，环境风险处于可接受范围内。</w:t>
            </w:r>
          </w:p>
          <w:p>
            <w:pPr>
              <w:pStyle w:val="4"/>
              <w:rPr>
                <w:rFonts w:hint="default" w:ascii="Times New Roman" w:hAnsi="Times New Roman" w:cs="Times New Roman"/>
                <w:b/>
                <w:bCs/>
                <w:color w:val="0000FF"/>
                <w:sz w:val="24"/>
                <w:lang w:val="en-US" w:eastAsia="zh-CN"/>
              </w:rPr>
            </w:pPr>
            <w:r>
              <w:rPr>
                <w:rFonts w:hint="eastAsia"/>
                <w:b/>
                <w:bCs/>
                <w:color w:val="0000FF"/>
                <w:sz w:val="24"/>
                <w:lang w:val="en-US" w:eastAsia="zh-CN"/>
              </w:rPr>
              <w:t>8.</w:t>
            </w:r>
            <w:r>
              <w:rPr>
                <w:rFonts w:hint="default" w:ascii="Times New Roman" w:hAnsi="Times New Roman" w:cs="Times New Roman"/>
                <w:b/>
                <w:bCs/>
                <w:color w:val="0000FF"/>
                <w:sz w:val="24"/>
                <w:lang w:val="en-US" w:eastAsia="zh-CN"/>
              </w:rPr>
              <w:t>排污口规范化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FF"/>
                <w:spacing w:val="0"/>
                <w:kern w:val="0"/>
                <w:sz w:val="24"/>
                <w:szCs w:val="24"/>
                <w:lang w:val="en-US" w:eastAsia="zh-CN"/>
              </w:rPr>
            </w:pPr>
            <w:r>
              <w:rPr>
                <w:rFonts w:hint="default" w:ascii="Times New Roman" w:hAnsi="Times New Roman" w:eastAsia="宋体" w:cs="Times New Roman"/>
                <w:color w:val="0000FF"/>
                <w:spacing w:val="0"/>
                <w:kern w:val="0"/>
                <w:sz w:val="24"/>
                <w:szCs w:val="24"/>
                <w:lang w:val="en-US" w:eastAsia="zh-CN"/>
              </w:rPr>
              <w:t>（1）按照国家相关的规定，应如实向环境管理部门申报排污口数量、位置及所排放的主要污染物或产生公害的种类、数量、浓度、排放去向等情况。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FF"/>
                <w:spacing w:val="0"/>
                <w:kern w:val="0"/>
                <w:sz w:val="24"/>
                <w:szCs w:val="24"/>
                <w:lang w:val="en-US" w:eastAsia="zh-CN"/>
              </w:rPr>
            </w:pPr>
            <w:r>
              <w:rPr>
                <w:rFonts w:hint="default" w:ascii="Times New Roman" w:hAnsi="Times New Roman" w:eastAsia="宋体" w:cs="Times New Roman"/>
                <w:color w:val="0000FF"/>
                <w:spacing w:val="0"/>
                <w:kern w:val="0"/>
                <w:sz w:val="24"/>
                <w:szCs w:val="24"/>
                <w:lang w:val="en-US" w:eastAsia="zh-CN"/>
              </w:rPr>
              <w:t>（2）本项目的废水排放口处设立明显的排口标志及装备污水流量计；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FF"/>
                <w:spacing w:val="0"/>
                <w:kern w:val="0"/>
                <w:sz w:val="24"/>
                <w:szCs w:val="24"/>
                <w:lang w:val="en-US" w:eastAsia="zh-CN"/>
              </w:rPr>
            </w:pPr>
            <w:r>
              <w:rPr>
                <w:rFonts w:hint="default" w:ascii="Times New Roman" w:hAnsi="Times New Roman" w:eastAsia="宋体" w:cs="Times New Roman"/>
                <w:color w:val="0000FF"/>
                <w:spacing w:val="0"/>
                <w:kern w:val="0"/>
                <w:sz w:val="24"/>
                <w:szCs w:val="24"/>
                <w:lang w:val="en-US" w:eastAsia="zh-CN"/>
              </w:rPr>
              <w:t>（3）对于固体废弃物，应当设置暂时贮存或堆放场所，堆放场地或贮存设施必须有防雨水淋洗冲刷、防流失、防渗漏等措施，贮存（堆放）处进路口应设置标志牌。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FF"/>
                <w:spacing w:val="0"/>
                <w:kern w:val="0"/>
                <w:sz w:val="24"/>
                <w:szCs w:val="24"/>
                <w:lang w:val="en-US" w:eastAsia="zh-CN"/>
              </w:rPr>
            </w:pPr>
            <w:r>
              <w:rPr>
                <w:rFonts w:hint="default" w:ascii="Times New Roman" w:hAnsi="Times New Roman" w:eastAsia="宋体" w:cs="Times New Roman"/>
                <w:color w:val="0000FF"/>
                <w:spacing w:val="0"/>
                <w:kern w:val="0"/>
                <w:sz w:val="24"/>
                <w:szCs w:val="24"/>
                <w:lang w:val="en-US" w:eastAsia="zh-CN"/>
              </w:rPr>
              <w:t>（4）本项目的工程设计在污染物排放口（源）设置监测用的采样口，采样口的设计应符合《污染源监测技术规范》要求并便于采样监测。同时必须按《环境保护图形标志—排放口（源）》（GB15562.1-1995）规定的图形，在各气、水、声排污口（源）挂牌标识，做到各排污口（源）的环保标志明显，便于企业管理和公众监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FF"/>
                <w:spacing w:val="0"/>
                <w:kern w:val="0"/>
                <w:sz w:val="24"/>
                <w:szCs w:val="24"/>
                <w:lang w:val="en-US" w:eastAsia="zh-CN"/>
              </w:rPr>
            </w:pPr>
            <w:r>
              <w:rPr>
                <w:rFonts w:hint="default" w:ascii="Times New Roman" w:hAnsi="Times New Roman" w:eastAsia="宋体" w:cs="Times New Roman"/>
                <w:color w:val="0000FF"/>
                <w:spacing w:val="0"/>
                <w:kern w:val="0"/>
                <w:sz w:val="24"/>
                <w:szCs w:val="24"/>
                <w:lang w:val="en-US" w:eastAsia="zh-CN"/>
              </w:rPr>
              <w:t>按照《环境保护图形标志排放口（源）》（GBl5562.1—1995）中有关规定，在本工程的“三废”及噪声等污染排放点设置明显标志，规范排污口的标志，排放口图形标志见表4-</w:t>
            </w:r>
            <w:r>
              <w:rPr>
                <w:rFonts w:hint="eastAsia" w:ascii="Times New Roman" w:hAnsi="Times New Roman" w:eastAsia="宋体" w:cs="Times New Roman"/>
                <w:color w:val="0000FF"/>
                <w:spacing w:val="0"/>
                <w:kern w:val="0"/>
                <w:sz w:val="24"/>
                <w:szCs w:val="24"/>
                <w:lang w:val="en-US" w:eastAsia="zh-CN"/>
              </w:rPr>
              <w:t>1</w:t>
            </w:r>
            <w:r>
              <w:rPr>
                <w:rFonts w:hint="eastAsia" w:cs="Times New Roman"/>
                <w:color w:val="0000FF"/>
                <w:spacing w:val="0"/>
                <w:kern w:val="0"/>
                <w:sz w:val="24"/>
                <w:szCs w:val="24"/>
                <w:lang w:val="en-US" w:eastAsia="zh-CN"/>
              </w:rPr>
              <w:t>8</w:t>
            </w:r>
            <w:r>
              <w:rPr>
                <w:rFonts w:hint="default" w:ascii="Times New Roman" w:hAnsi="Times New Roman" w:eastAsia="宋体" w:cs="Times New Roman"/>
                <w:color w:val="0000FF"/>
                <w:spacing w:val="0"/>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0000FF"/>
                <w:spacing w:val="0"/>
                <w:sz w:val="21"/>
                <w:szCs w:val="21"/>
                <w:highlight w:val="none"/>
                <w:lang w:val="en-US" w:eastAsia="zh-CN"/>
              </w:rPr>
            </w:pPr>
            <w:r>
              <w:rPr>
                <w:rFonts w:hint="default" w:ascii="Times New Roman" w:hAnsi="Times New Roman" w:eastAsia="宋体" w:cs="Times New Roman"/>
                <w:b/>
                <w:bCs/>
                <w:color w:val="0000FF"/>
                <w:spacing w:val="0"/>
                <w:sz w:val="21"/>
                <w:szCs w:val="21"/>
                <w:highlight w:val="none"/>
                <w:lang w:val="en-US" w:eastAsia="zh-CN"/>
              </w:rPr>
              <w:t>表4-</w:t>
            </w:r>
            <w:r>
              <w:rPr>
                <w:rFonts w:hint="eastAsia" w:ascii="Times New Roman" w:hAnsi="Times New Roman" w:eastAsia="宋体" w:cs="Times New Roman"/>
                <w:b/>
                <w:bCs/>
                <w:color w:val="0000FF"/>
                <w:spacing w:val="0"/>
                <w:sz w:val="21"/>
                <w:szCs w:val="21"/>
                <w:highlight w:val="none"/>
                <w:lang w:val="en-US" w:eastAsia="zh-CN"/>
              </w:rPr>
              <w:t>1</w:t>
            </w:r>
            <w:r>
              <w:rPr>
                <w:rFonts w:hint="eastAsia" w:cs="Times New Roman"/>
                <w:b/>
                <w:bCs/>
                <w:color w:val="0000FF"/>
                <w:spacing w:val="0"/>
                <w:sz w:val="21"/>
                <w:szCs w:val="21"/>
                <w:highlight w:val="none"/>
                <w:lang w:val="en-US" w:eastAsia="zh-CN"/>
              </w:rPr>
              <w:t>8</w:t>
            </w:r>
            <w:r>
              <w:rPr>
                <w:rFonts w:hint="default" w:ascii="Times New Roman" w:hAnsi="Times New Roman" w:eastAsia="宋体" w:cs="Times New Roman"/>
                <w:b/>
                <w:bCs/>
                <w:color w:val="0000FF"/>
                <w:spacing w:val="0"/>
                <w:sz w:val="21"/>
                <w:szCs w:val="21"/>
                <w:highlight w:val="none"/>
              </w:rPr>
              <w:t xml:space="preserve">  排放口图形标志</w:t>
            </w:r>
            <w:r>
              <w:rPr>
                <w:rFonts w:hint="default" w:ascii="Times New Roman" w:hAnsi="Times New Roman" w:eastAsia="宋体" w:cs="Times New Roman"/>
                <w:b/>
                <w:bCs/>
                <w:color w:val="0000FF"/>
                <w:spacing w:val="0"/>
                <w:sz w:val="21"/>
                <w:szCs w:val="21"/>
                <w:highlight w:val="none"/>
                <w:lang w:val="en-US" w:eastAsia="zh-CN"/>
              </w:rPr>
              <w:t>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80"/>
              <w:gridCol w:w="1453"/>
              <w:gridCol w:w="1453"/>
              <w:gridCol w:w="1412"/>
              <w:gridCol w:w="1438"/>
              <w:gridCol w:w="1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排污口</w:t>
                  </w:r>
                </w:p>
              </w:tc>
              <w:tc>
                <w:tcPr>
                  <w:tcW w:w="8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废水排放口</w:t>
                  </w:r>
                </w:p>
              </w:tc>
              <w:tc>
                <w:tcPr>
                  <w:tcW w:w="8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废气排放口</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噪声源</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固废堆场</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FF"/>
                      <w:spacing w:val="0"/>
                      <w:sz w:val="21"/>
                      <w:szCs w:val="21"/>
                      <w:highlight w:val="none"/>
                    </w:rPr>
                  </w:pPr>
                  <w:r>
                    <w:rPr>
                      <w:rFonts w:hint="default" w:ascii="Times New Roman" w:hAnsi="Times New Roman" w:eastAsia="宋体" w:cs="Times New Roman"/>
                      <w:b/>
                      <w:bCs/>
                      <w:color w:val="0000FF"/>
                      <w:spacing w:val="0"/>
                      <w:sz w:val="21"/>
                      <w:szCs w:val="21"/>
                      <w:highlight w:val="none"/>
                    </w:rPr>
                    <w:t>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33" w:hRule="atLeast"/>
              </w:trPr>
              <w:tc>
                <w:tcPr>
                  <w:tcW w:w="5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t>图形</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t>符号</w:t>
                  </w:r>
                </w:p>
              </w:tc>
              <w:tc>
                <w:tcPr>
                  <w:tcW w:w="8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drawing>
                      <wp:inline distT="0" distB="0" distL="114300" distR="114300">
                        <wp:extent cx="830580" cy="830580"/>
                        <wp:effectExtent l="0" t="0" r="7620"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9"/>
                                <a:stretch>
                                  <a:fillRect/>
                                </a:stretch>
                              </pic:blipFill>
                              <pic:spPr>
                                <a:xfrm>
                                  <a:off x="0" y="0"/>
                                  <a:ext cx="830580" cy="830580"/>
                                </a:xfrm>
                                <a:prstGeom prst="rect">
                                  <a:avLst/>
                                </a:prstGeom>
                                <a:noFill/>
                                <a:ln>
                                  <a:noFill/>
                                </a:ln>
                              </pic:spPr>
                            </pic:pic>
                          </a:graphicData>
                        </a:graphic>
                      </wp:inline>
                    </w:drawing>
                  </w:r>
                </w:p>
              </w:tc>
              <w:tc>
                <w:tcPr>
                  <w:tcW w:w="8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drawing>
                      <wp:inline distT="0" distB="0" distL="114300" distR="114300">
                        <wp:extent cx="830580" cy="830580"/>
                        <wp:effectExtent l="0" t="0" r="7620" b="762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0"/>
                                <a:stretch>
                                  <a:fillRect/>
                                </a:stretch>
                              </pic:blipFill>
                              <pic:spPr>
                                <a:xfrm>
                                  <a:off x="0" y="0"/>
                                  <a:ext cx="830580" cy="830580"/>
                                </a:xfrm>
                                <a:prstGeom prst="rect">
                                  <a:avLst/>
                                </a:prstGeom>
                                <a:noFill/>
                                <a:ln>
                                  <a:noFill/>
                                </a:ln>
                              </pic:spPr>
                            </pic:pic>
                          </a:graphicData>
                        </a:graphic>
                      </wp:inline>
                    </w:drawing>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drawing>
                      <wp:inline distT="0" distB="0" distL="114300" distR="114300">
                        <wp:extent cx="803275" cy="803275"/>
                        <wp:effectExtent l="0" t="0" r="15875" b="1587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1"/>
                                <a:stretch>
                                  <a:fillRect/>
                                </a:stretch>
                              </pic:blipFill>
                              <pic:spPr>
                                <a:xfrm>
                                  <a:off x="0" y="0"/>
                                  <a:ext cx="803275" cy="803275"/>
                                </a:xfrm>
                                <a:prstGeom prst="rect">
                                  <a:avLst/>
                                </a:prstGeom>
                                <a:noFill/>
                                <a:ln>
                                  <a:noFill/>
                                </a:ln>
                              </pic:spPr>
                            </pic:pic>
                          </a:graphicData>
                        </a:graphic>
                      </wp:inline>
                    </w:drawing>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eastAsia="宋体" w:cs="Times New Roman"/>
                      <w:color w:val="0000FF"/>
                      <w:spacing w:val="0"/>
                      <w:sz w:val="21"/>
                      <w:szCs w:val="21"/>
                      <w:highlight w:val="none"/>
                    </w:rPr>
                    <w:drawing>
                      <wp:inline distT="0" distB="0" distL="114300" distR="114300">
                        <wp:extent cx="820420" cy="820420"/>
                        <wp:effectExtent l="0" t="0" r="17780" b="1778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2"/>
                                <a:stretch>
                                  <a:fillRect/>
                                </a:stretch>
                              </pic:blipFill>
                              <pic:spPr>
                                <a:xfrm>
                                  <a:off x="0" y="0"/>
                                  <a:ext cx="820420" cy="820420"/>
                                </a:xfrm>
                                <a:prstGeom prst="rect">
                                  <a:avLst/>
                                </a:prstGeom>
                                <a:noFill/>
                                <a:ln>
                                  <a:noFill/>
                                </a:ln>
                              </pic:spPr>
                            </pic:pic>
                          </a:graphicData>
                        </a:graphic>
                      </wp:inline>
                    </w:drawing>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pacing w:val="0"/>
                      <w:sz w:val="21"/>
                      <w:szCs w:val="21"/>
                      <w:highlight w:val="none"/>
                    </w:rPr>
                  </w:pPr>
                  <w:r>
                    <w:rPr>
                      <w:rFonts w:hint="default" w:ascii="Times New Roman" w:hAnsi="Times New Roman" w:cs="Times New Roman"/>
                      <w:color w:val="0000FF"/>
                    </w:rPr>
                    <w:drawing>
                      <wp:inline distT="0" distB="0" distL="114300" distR="114300">
                        <wp:extent cx="805180" cy="810895"/>
                        <wp:effectExtent l="0" t="0" r="13970" b="825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3"/>
                                <a:stretch>
                                  <a:fillRect/>
                                </a:stretch>
                              </pic:blipFill>
                              <pic:spPr>
                                <a:xfrm>
                                  <a:off x="0" y="0"/>
                                  <a:ext cx="805180" cy="810895"/>
                                </a:xfrm>
                                <a:prstGeom prst="rect">
                                  <a:avLst/>
                                </a:prstGeom>
                                <a:noFill/>
                                <a:ln>
                                  <a:noFill/>
                                </a:ln>
                              </pic:spPr>
                            </pic:pic>
                          </a:graphicData>
                        </a:graphic>
                      </wp:inline>
                    </w:drawing>
                  </w:r>
                </w:p>
              </w:tc>
            </w:tr>
          </w:tbl>
          <w:p>
            <w:pPr>
              <w:pStyle w:val="4"/>
              <w:rPr>
                <w:b/>
                <w:bCs/>
                <w:color w:val="0000FF"/>
                <w:sz w:val="24"/>
              </w:rPr>
            </w:pPr>
            <w:r>
              <w:rPr>
                <w:rFonts w:hint="eastAsia"/>
                <w:b/>
                <w:bCs/>
                <w:color w:val="0000FF"/>
                <w:sz w:val="24"/>
                <w:lang w:val="en-US" w:eastAsia="zh-CN"/>
              </w:rPr>
              <w:t>9</w:t>
            </w:r>
            <w:r>
              <w:rPr>
                <w:b/>
                <w:bCs/>
                <w:color w:val="0000FF"/>
                <w:sz w:val="24"/>
              </w:rPr>
              <w:t>.环保投资</w:t>
            </w:r>
          </w:p>
          <w:p>
            <w:pPr>
              <w:pStyle w:val="7"/>
              <w:spacing w:line="360" w:lineRule="auto"/>
              <w:ind w:firstLine="480" w:firstLineChars="200"/>
              <w:rPr>
                <w:rFonts w:ascii="Times New Roman" w:hAnsi="Times New Roman" w:cs="Times New Roman"/>
                <w:color w:val="0000FF"/>
              </w:rPr>
            </w:pPr>
            <w:r>
              <w:rPr>
                <w:rFonts w:ascii="Times New Roman" w:hAnsi="Times New Roman" w:cs="Times New Roman"/>
                <w:color w:val="0000FF"/>
              </w:rPr>
              <w:t>建设项目总投资</w:t>
            </w:r>
            <w:r>
              <w:rPr>
                <w:rFonts w:hint="eastAsia" w:ascii="Times New Roman" w:hAnsi="Times New Roman" w:cs="Times New Roman"/>
                <w:color w:val="0000FF"/>
                <w:lang w:val="en-US" w:eastAsia="zh-CN"/>
              </w:rPr>
              <w:t>5500</w:t>
            </w:r>
            <w:r>
              <w:rPr>
                <w:rFonts w:ascii="Times New Roman" w:hAnsi="Times New Roman" w:cs="Times New Roman"/>
                <w:color w:val="0000FF"/>
              </w:rPr>
              <w:t>万元，其中环保投资</w:t>
            </w:r>
            <w:r>
              <w:rPr>
                <w:rFonts w:hint="eastAsia" w:ascii="Times New Roman" w:hAnsi="Times New Roman" w:cs="Times New Roman"/>
                <w:color w:val="0000FF"/>
                <w:lang w:val="en-US" w:eastAsia="zh-CN"/>
              </w:rPr>
              <w:t>49</w:t>
            </w:r>
            <w:r>
              <w:rPr>
                <w:rFonts w:ascii="Times New Roman" w:hAnsi="Times New Roman" w:cs="Times New Roman"/>
                <w:color w:val="0000FF"/>
                <w:lang w:val="en-US"/>
              </w:rPr>
              <w:t>万</w:t>
            </w:r>
            <w:r>
              <w:rPr>
                <w:rFonts w:ascii="Times New Roman" w:hAnsi="Times New Roman" w:cs="Times New Roman"/>
                <w:color w:val="0000FF"/>
              </w:rPr>
              <w:t>元，环保投资占总投资的</w:t>
            </w:r>
            <w:r>
              <w:rPr>
                <w:rFonts w:hint="eastAsia" w:ascii="Times New Roman" w:hAnsi="Times New Roman" w:cs="Times New Roman"/>
                <w:color w:val="0000FF"/>
                <w:lang w:val="en-US" w:eastAsia="zh-CN"/>
              </w:rPr>
              <w:t>0.89</w:t>
            </w:r>
            <w:r>
              <w:rPr>
                <w:rFonts w:ascii="Times New Roman" w:hAnsi="Times New Roman" w:cs="Times New Roman"/>
                <w:color w:val="0000FF"/>
                <w:lang w:val="en-US"/>
              </w:rPr>
              <w:t>%</w:t>
            </w:r>
            <w:r>
              <w:rPr>
                <w:rFonts w:ascii="Times New Roman" w:hAnsi="Times New Roman" w:cs="Times New Roman"/>
                <w:color w:val="0000FF"/>
              </w:rPr>
              <w:t>，具体环保投资内容见表4-</w:t>
            </w:r>
            <w:r>
              <w:rPr>
                <w:rFonts w:hint="eastAsia" w:ascii="Times New Roman" w:hAnsi="Times New Roman" w:cs="Times New Roman"/>
                <w:color w:val="0000FF"/>
                <w:lang w:val="en-US" w:eastAsia="zh-CN"/>
              </w:rPr>
              <w:t>19</w:t>
            </w:r>
            <w:r>
              <w:rPr>
                <w:rFonts w:ascii="Times New Roman" w:hAnsi="Times New Roman" w:cs="Times New Roman"/>
                <w:color w:val="0000FF"/>
              </w:rPr>
              <w:t>。</w:t>
            </w:r>
          </w:p>
          <w:p>
            <w:pPr>
              <w:tabs>
                <w:tab w:val="left" w:pos="4563"/>
              </w:tabs>
              <w:ind w:firstLine="422" w:firstLineChars="200"/>
              <w:jc w:val="center"/>
              <w:rPr>
                <w:b/>
                <w:bCs/>
                <w:color w:val="0000FF"/>
                <w:szCs w:val="21"/>
              </w:rPr>
            </w:pPr>
            <w:r>
              <w:rPr>
                <w:b/>
                <w:bCs/>
                <w:color w:val="0000FF"/>
                <w:szCs w:val="21"/>
              </w:rPr>
              <w:t>表4-</w:t>
            </w:r>
            <w:r>
              <w:rPr>
                <w:rFonts w:hint="eastAsia"/>
                <w:b/>
                <w:bCs/>
                <w:color w:val="0000FF"/>
                <w:szCs w:val="21"/>
                <w:lang w:val="en-US" w:eastAsia="zh-CN"/>
              </w:rPr>
              <w:t>19</w:t>
            </w:r>
            <w:r>
              <w:rPr>
                <w:b/>
                <w:bCs/>
                <w:color w:val="0000FF"/>
                <w:szCs w:val="21"/>
              </w:rPr>
              <w:t>环保措施及环保投资一览表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3"/>
              <w:gridCol w:w="1225"/>
              <w:gridCol w:w="2000"/>
              <w:gridCol w:w="2651"/>
              <w:gridCol w:w="15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7" w:type="pct"/>
                  <w:tcBorders>
                    <w:bottom w:val="single" w:color="000000" w:sz="12" w:space="0"/>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序号</w:t>
                  </w:r>
                </w:p>
              </w:tc>
              <w:tc>
                <w:tcPr>
                  <w:tcW w:w="753" w:type="pct"/>
                  <w:tcBorders>
                    <w:bottom w:val="single" w:color="000000" w:sz="12" w:space="0"/>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类型</w:t>
                  </w:r>
                </w:p>
              </w:tc>
              <w:tc>
                <w:tcPr>
                  <w:tcW w:w="2860" w:type="pct"/>
                  <w:gridSpan w:val="2"/>
                  <w:tcBorders>
                    <w:bottom w:val="single" w:color="000000" w:sz="12" w:space="0"/>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工程项目</w:t>
                  </w:r>
                </w:p>
              </w:tc>
              <w:tc>
                <w:tcPr>
                  <w:tcW w:w="978" w:type="pct"/>
                  <w:tcBorders>
                    <w:bottom w:val="single" w:color="000000" w:sz="12" w:space="0"/>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投资额（万元）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7" w:type="pct"/>
                  <w:tcBorders>
                    <w:top w:val="single" w:color="000000" w:sz="12" w:space="0"/>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1</w:t>
                  </w:r>
                </w:p>
              </w:tc>
              <w:tc>
                <w:tcPr>
                  <w:tcW w:w="753" w:type="pct"/>
                  <w:tcBorders>
                    <w:top w:val="single" w:color="000000" w:sz="12" w:space="0"/>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噪声治理</w:t>
                  </w:r>
                </w:p>
              </w:tc>
              <w:tc>
                <w:tcPr>
                  <w:tcW w:w="2860" w:type="pct"/>
                  <w:gridSpan w:val="2"/>
                  <w:tcBorders>
                    <w:top w:val="single" w:color="000000" w:sz="12" w:space="0"/>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消声器、基础减震</w:t>
                  </w:r>
                </w:p>
              </w:tc>
              <w:tc>
                <w:tcPr>
                  <w:tcW w:w="978" w:type="pct"/>
                  <w:tcBorders>
                    <w:top w:val="single" w:color="000000" w:sz="12" w:space="0"/>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07" w:type="pct"/>
                  <w:vMerge w:val="restar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2</w:t>
                  </w:r>
                </w:p>
              </w:tc>
              <w:tc>
                <w:tcPr>
                  <w:tcW w:w="753" w:type="pct"/>
                  <w:vMerge w:val="restar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废气治理</w:t>
                  </w:r>
                </w:p>
              </w:tc>
              <w:tc>
                <w:tcPr>
                  <w:tcW w:w="1230" w:type="pct"/>
                  <w:tcBorders>
                    <w:bottom w:val="single" w:color="auto" w:sz="4" w:space="0"/>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车间1抛丸、喷塑、固化生产线产生的颗粒物及非甲烷总烃</w:t>
                  </w:r>
                </w:p>
              </w:tc>
              <w:tc>
                <w:tcPr>
                  <w:tcW w:w="1630" w:type="pct"/>
                  <w:tcBorders>
                    <w:bottom w:val="single" w:color="auto" w:sz="4" w:space="0"/>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p>
                <w:p>
                  <w:pPr>
                    <w:pStyle w:val="31"/>
                    <w:jc w:val="center"/>
                    <w:rPr>
                      <w:rFonts w:ascii="Times New Roman" w:hAnsi="Times New Roman" w:cs="Times New Roman"/>
                      <w:color w:val="0000FF"/>
                      <w:szCs w:val="21"/>
                      <w:lang w:val="en-US"/>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ascii="Times New Roman" w:hAnsi="Times New Roman" w:cs="Times New Roman"/>
                      <w:color w:val="0000FF"/>
                      <w:szCs w:val="21"/>
                      <w:lang w:val="en-US"/>
                    </w:rPr>
                    <w:t>1</w:t>
                  </w:r>
                  <w:r>
                    <w:rPr>
                      <w:rFonts w:hint="eastAsia" w:ascii="Times New Roman" w:hAnsi="Times New Roman" w:cs="Times New Roman"/>
                      <w:color w:val="0000FF"/>
                      <w:szCs w:val="21"/>
                      <w:lang w:val="en-US" w:eastAsia="zh-CN"/>
                    </w:rPr>
                    <w:t>）</w:t>
                  </w:r>
                </w:p>
              </w:tc>
              <w:tc>
                <w:tcPr>
                  <w:tcW w:w="978" w:type="pct"/>
                  <w:vMerge w:val="restart"/>
                  <w:tcBorders>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407" w:type="pct"/>
                  <w:vMerge w:val="continue"/>
                  <w:tcBorders>
                    <w:tl2br w:val="nil"/>
                    <w:tr2bl w:val="nil"/>
                  </w:tcBorders>
                  <w:vAlign w:val="center"/>
                </w:tcPr>
                <w:p>
                  <w:pPr>
                    <w:pStyle w:val="31"/>
                    <w:jc w:val="center"/>
                    <w:rPr>
                      <w:rFonts w:ascii="Times New Roman" w:hAnsi="Times New Roman" w:cs="Times New Roman"/>
                      <w:color w:val="0000FF"/>
                      <w:szCs w:val="21"/>
                    </w:rPr>
                  </w:pPr>
                </w:p>
              </w:tc>
              <w:tc>
                <w:tcPr>
                  <w:tcW w:w="753" w:type="pct"/>
                  <w:vMerge w:val="continue"/>
                  <w:tcBorders>
                    <w:tl2br w:val="nil"/>
                    <w:tr2bl w:val="nil"/>
                  </w:tcBorders>
                  <w:vAlign w:val="center"/>
                </w:tcPr>
                <w:p>
                  <w:pPr>
                    <w:pStyle w:val="31"/>
                    <w:jc w:val="center"/>
                    <w:rPr>
                      <w:rFonts w:ascii="Times New Roman" w:hAnsi="Times New Roman" w:cs="Times New Roman"/>
                      <w:color w:val="0000FF"/>
                      <w:szCs w:val="21"/>
                    </w:rPr>
                  </w:pPr>
                </w:p>
              </w:tc>
              <w:tc>
                <w:tcPr>
                  <w:tcW w:w="1230" w:type="pct"/>
                  <w:tcBorders>
                    <w:top w:val="single" w:color="auto" w:sz="4" w:space="0"/>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车间2抛丸、喷塑、固化生产线产生的颗粒物及非甲烷总烃</w:t>
                  </w:r>
                </w:p>
              </w:tc>
              <w:tc>
                <w:tcPr>
                  <w:tcW w:w="1630" w:type="pct"/>
                  <w:tcBorders>
                    <w:top w:val="single" w:color="auto" w:sz="4" w:space="0"/>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p>
                <w:p>
                  <w:pPr>
                    <w:pStyle w:val="31"/>
                    <w:jc w:val="center"/>
                    <w:rPr>
                      <w:rFonts w:ascii="Times New Roman" w:hAnsi="Times New Roman" w:cs="Times New Roman"/>
                      <w:color w:val="0000FF"/>
                      <w:szCs w:val="21"/>
                      <w:lang w:val="en-US"/>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978" w:type="pct"/>
                  <w:vMerge w:val="continue"/>
                  <w:tcBorders>
                    <w:tl2br w:val="nil"/>
                    <w:tr2bl w:val="nil"/>
                  </w:tcBorders>
                  <w:vAlign w:val="center"/>
                </w:tcPr>
                <w:p>
                  <w:pPr>
                    <w:pStyle w:val="31"/>
                    <w:jc w:val="center"/>
                    <w:rPr>
                      <w:rFonts w:ascii="Times New Roman" w:hAnsi="Times New Roman" w:cs="Times New Roman"/>
                      <w:color w:val="0000FF"/>
                      <w:szCs w:val="21"/>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407" w:type="pct"/>
                  <w:vMerge w:val="restar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3</w:t>
                  </w:r>
                </w:p>
              </w:tc>
              <w:tc>
                <w:tcPr>
                  <w:tcW w:w="753" w:type="pct"/>
                  <w:vMerge w:val="restar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固废治理</w:t>
                  </w:r>
                </w:p>
              </w:tc>
              <w:tc>
                <w:tcPr>
                  <w:tcW w:w="1230" w:type="pct"/>
                  <w:tcBorders>
                    <w:tl2br w:val="nil"/>
                    <w:tr2bl w:val="nil"/>
                  </w:tcBorders>
                  <w:vAlign w:val="center"/>
                </w:tcPr>
                <w:p>
                  <w:pPr>
                    <w:ind w:left="-105" w:leftChars="-50" w:right="-105" w:rightChars="-50"/>
                    <w:jc w:val="center"/>
                    <w:rPr>
                      <w:rFonts w:hint="eastAsia"/>
                      <w:color w:val="0000FF"/>
                      <w:szCs w:val="21"/>
                    </w:rPr>
                  </w:pPr>
                  <w:r>
                    <w:rPr>
                      <w:rFonts w:hint="eastAsia"/>
                      <w:color w:val="0000FF"/>
                      <w:szCs w:val="21"/>
                    </w:rPr>
                    <w:t>一般工业</w:t>
                  </w:r>
                </w:p>
                <w:p>
                  <w:pPr>
                    <w:ind w:left="-105" w:leftChars="-50" w:right="-105" w:rightChars="-50"/>
                    <w:jc w:val="center"/>
                    <w:rPr>
                      <w:rFonts w:hint="eastAsia" w:ascii="Times New Roman" w:hAnsi="Times New Roman" w:eastAsia="宋体" w:cs="Times New Roman"/>
                      <w:color w:val="0000FF"/>
                      <w:szCs w:val="21"/>
                      <w:lang w:eastAsia="zh-CN"/>
                    </w:rPr>
                  </w:pPr>
                  <w:r>
                    <w:rPr>
                      <w:rFonts w:hint="eastAsia"/>
                      <w:color w:val="0000FF"/>
                      <w:szCs w:val="21"/>
                    </w:rPr>
                    <w:t>固体废物</w:t>
                  </w:r>
                </w:p>
              </w:tc>
              <w:tc>
                <w:tcPr>
                  <w:tcW w:w="1630" w:type="pct"/>
                  <w:tcBorders>
                    <w:tl2br w:val="nil"/>
                    <w:tr2bl w:val="nil"/>
                  </w:tcBorders>
                  <w:vAlign w:val="center"/>
                </w:tcPr>
                <w:p>
                  <w:pPr>
                    <w:pStyle w:val="31"/>
                    <w:jc w:val="center"/>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依托</w:t>
                  </w:r>
                </w:p>
              </w:tc>
              <w:tc>
                <w:tcPr>
                  <w:tcW w:w="978" w:type="pct"/>
                  <w:tcBorders>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407" w:type="pct"/>
                  <w:vMerge w:val="continue"/>
                  <w:tcBorders>
                    <w:tl2br w:val="nil"/>
                    <w:tr2bl w:val="nil"/>
                  </w:tcBorders>
                  <w:vAlign w:val="center"/>
                </w:tcPr>
                <w:p>
                  <w:pPr>
                    <w:pStyle w:val="31"/>
                    <w:jc w:val="center"/>
                    <w:rPr>
                      <w:color w:val="0000FF"/>
                    </w:rPr>
                  </w:pPr>
                </w:p>
              </w:tc>
              <w:tc>
                <w:tcPr>
                  <w:tcW w:w="753" w:type="pct"/>
                  <w:vMerge w:val="continue"/>
                  <w:tcBorders>
                    <w:tl2br w:val="nil"/>
                    <w:tr2bl w:val="nil"/>
                  </w:tcBorders>
                  <w:vAlign w:val="center"/>
                </w:tcPr>
                <w:p>
                  <w:pPr>
                    <w:pStyle w:val="31"/>
                    <w:jc w:val="center"/>
                    <w:rPr>
                      <w:color w:val="0000FF"/>
                    </w:rPr>
                  </w:pPr>
                </w:p>
              </w:tc>
              <w:tc>
                <w:tcPr>
                  <w:tcW w:w="1230" w:type="pct"/>
                  <w:tcBorders>
                    <w:tl2br w:val="nil"/>
                    <w:tr2bl w:val="nil"/>
                  </w:tcBorders>
                  <w:vAlign w:val="center"/>
                </w:tcPr>
                <w:p>
                  <w:pPr>
                    <w:ind w:left="-105" w:leftChars="-50" w:right="-105" w:rightChars="-50"/>
                    <w:jc w:val="center"/>
                    <w:rPr>
                      <w:rFonts w:hint="eastAsia" w:ascii="Times New Roman" w:hAnsi="Times New Roman" w:cs="Times New Roman"/>
                      <w:color w:val="0000FF"/>
                      <w:szCs w:val="21"/>
                      <w:lang w:eastAsia="zh-CN"/>
                    </w:rPr>
                  </w:pPr>
                  <w:r>
                    <w:rPr>
                      <w:rFonts w:hint="eastAsia"/>
                      <w:color w:val="0000FF"/>
                    </w:rPr>
                    <w:t>危险废物</w:t>
                  </w:r>
                </w:p>
              </w:tc>
              <w:tc>
                <w:tcPr>
                  <w:tcW w:w="1630" w:type="pct"/>
                  <w:tcBorders>
                    <w:tl2br w:val="nil"/>
                    <w:tr2bl w:val="nil"/>
                  </w:tcBorders>
                  <w:vAlign w:val="center"/>
                </w:tcPr>
                <w:p>
                  <w:pPr>
                    <w:pStyle w:val="31"/>
                    <w:jc w:val="center"/>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危废暂存间</w:t>
                  </w:r>
                </w:p>
              </w:tc>
              <w:tc>
                <w:tcPr>
                  <w:tcW w:w="978" w:type="pct"/>
                  <w:tcBorders>
                    <w:tl2br w:val="nil"/>
                    <w:tr2bl w:val="nil"/>
                  </w:tcBorders>
                  <w:vAlign w:val="center"/>
                </w:tcPr>
                <w:p>
                  <w:pPr>
                    <w:pStyle w:val="31"/>
                    <w:jc w:val="center"/>
                    <w:rPr>
                      <w:rFonts w:hint="default"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407" w:type="pct"/>
                  <w:vMerge w:val="continue"/>
                  <w:tcBorders>
                    <w:tl2br w:val="nil"/>
                    <w:tr2bl w:val="nil"/>
                  </w:tcBorders>
                  <w:vAlign w:val="center"/>
                </w:tcPr>
                <w:p>
                  <w:pPr>
                    <w:pStyle w:val="31"/>
                    <w:jc w:val="center"/>
                    <w:rPr>
                      <w:rFonts w:hint="eastAsia" w:ascii="Times New Roman" w:hAnsi="Times New Roman" w:cs="Times New Roman"/>
                      <w:color w:val="0000FF"/>
                      <w:szCs w:val="21"/>
                      <w:lang w:eastAsia="zh-CN"/>
                    </w:rPr>
                  </w:pPr>
                </w:p>
              </w:tc>
              <w:tc>
                <w:tcPr>
                  <w:tcW w:w="753" w:type="pct"/>
                  <w:vMerge w:val="continue"/>
                  <w:tcBorders>
                    <w:tl2br w:val="nil"/>
                    <w:tr2bl w:val="nil"/>
                  </w:tcBorders>
                  <w:vAlign w:val="center"/>
                </w:tcPr>
                <w:p>
                  <w:pPr>
                    <w:pStyle w:val="31"/>
                    <w:jc w:val="center"/>
                    <w:rPr>
                      <w:rFonts w:hint="eastAsia" w:ascii="Times New Roman" w:hAnsi="Times New Roman" w:cs="Times New Roman"/>
                      <w:color w:val="0000FF"/>
                      <w:szCs w:val="21"/>
                      <w:lang w:eastAsia="zh-CN"/>
                    </w:rPr>
                  </w:pPr>
                </w:p>
              </w:tc>
              <w:tc>
                <w:tcPr>
                  <w:tcW w:w="1230" w:type="pct"/>
                  <w:tcBorders>
                    <w:tl2br w:val="nil"/>
                    <w:tr2bl w:val="nil"/>
                  </w:tcBorders>
                  <w:vAlign w:val="center"/>
                </w:tcPr>
                <w:p>
                  <w:pPr>
                    <w:ind w:left="-105" w:leftChars="-50" w:right="-105" w:rightChars="-50"/>
                    <w:jc w:val="center"/>
                    <w:rPr>
                      <w:rFonts w:hint="eastAsia" w:ascii="Times New Roman" w:hAnsi="Times New Roman" w:cs="Times New Roman"/>
                      <w:color w:val="0000FF"/>
                      <w:szCs w:val="21"/>
                      <w:lang w:eastAsia="zh-CN"/>
                    </w:rPr>
                  </w:pPr>
                  <w:r>
                    <w:rPr>
                      <w:color w:val="0000FF"/>
                      <w:szCs w:val="21"/>
                    </w:rPr>
                    <w:t>生活垃圾</w:t>
                  </w:r>
                </w:p>
              </w:tc>
              <w:tc>
                <w:tcPr>
                  <w:tcW w:w="1630" w:type="pct"/>
                  <w:tcBorders>
                    <w:tl2br w:val="nil"/>
                    <w:tr2bl w:val="nil"/>
                  </w:tcBorders>
                  <w:vAlign w:val="center"/>
                </w:tcPr>
                <w:p>
                  <w:pPr>
                    <w:pStyle w:val="31"/>
                    <w:jc w:val="center"/>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依托</w:t>
                  </w:r>
                </w:p>
              </w:tc>
              <w:tc>
                <w:tcPr>
                  <w:tcW w:w="978" w:type="pct"/>
                  <w:tcBorders>
                    <w:tl2br w:val="nil"/>
                    <w:tr2bl w:val="nil"/>
                  </w:tcBorders>
                  <w:vAlign w:val="center"/>
                </w:tcPr>
                <w:p>
                  <w:pPr>
                    <w:pStyle w:val="31"/>
                    <w:jc w:val="center"/>
                    <w:rPr>
                      <w:rFonts w:hint="default"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7" w:type="pc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4</w:t>
                  </w:r>
                </w:p>
              </w:tc>
              <w:tc>
                <w:tcPr>
                  <w:tcW w:w="753" w:type="pc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废水</w:t>
                  </w:r>
                </w:p>
              </w:tc>
              <w:tc>
                <w:tcPr>
                  <w:tcW w:w="2860" w:type="pct"/>
                  <w:gridSpan w:val="2"/>
                  <w:tcBorders>
                    <w:tl2br w:val="nil"/>
                    <w:tr2bl w:val="nil"/>
                  </w:tcBorders>
                  <w:vAlign w:val="center"/>
                </w:tcPr>
                <w:p>
                  <w:pPr>
                    <w:pStyle w:val="31"/>
                    <w:jc w:val="center"/>
                    <w:rPr>
                      <w:rFonts w:hint="eastAsia" w:ascii="Times New Roman" w:hAnsi="Times New Roman" w:eastAsia="宋体" w:cs="Times New Roman"/>
                      <w:color w:val="0000FF"/>
                      <w:szCs w:val="21"/>
                      <w:lang w:eastAsia="zh-CN"/>
                    </w:rPr>
                  </w:pPr>
                  <w:r>
                    <w:rPr>
                      <w:rFonts w:hint="eastAsia" w:ascii="Times New Roman" w:hAnsi="Times New Roman" w:cs="Times New Roman"/>
                      <w:color w:val="0000FF"/>
                      <w:szCs w:val="21"/>
                      <w:lang w:eastAsia="zh-CN"/>
                    </w:rPr>
                    <w:t>依托</w:t>
                  </w:r>
                </w:p>
              </w:tc>
              <w:tc>
                <w:tcPr>
                  <w:tcW w:w="978" w:type="pct"/>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21" w:type="pct"/>
                  <w:gridSpan w:val="4"/>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合计</w:t>
                  </w:r>
                </w:p>
              </w:tc>
              <w:tc>
                <w:tcPr>
                  <w:tcW w:w="978" w:type="pct"/>
                  <w:tcBorders>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49万元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21" w:type="pct"/>
                  <w:gridSpan w:val="4"/>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总投资</w:t>
                  </w:r>
                </w:p>
              </w:tc>
              <w:tc>
                <w:tcPr>
                  <w:tcW w:w="978" w:type="pct"/>
                  <w:tcBorders>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5500万元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21" w:type="pct"/>
                  <w:gridSpan w:val="4"/>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环保投资占总投资比例</w:t>
                  </w:r>
                </w:p>
              </w:tc>
              <w:tc>
                <w:tcPr>
                  <w:tcW w:w="978" w:type="pct"/>
                  <w:tcBorders>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0.89%</w:t>
                  </w:r>
                </w:p>
              </w:tc>
            </w:tr>
          </w:tbl>
          <w:p>
            <w:pPr>
              <w:pStyle w:val="31"/>
              <w:spacing w:line="360" w:lineRule="auto"/>
              <w:rPr>
                <w:rFonts w:ascii="Times New Roman" w:hAnsi="Times New Roman" w:cs="Times New Roman"/>
                <w:b/>
                <w:bCs/>
                <w:color w:val="0000FF"/>
                <w:sz w:val="24"/>
              </w:rPr>
            </w:pPr>
            <w:r>
              <w:rPr>
                <w:rFonts w:hint="eastAsia" w:ascii="Times New Roman" w:hAnsi="Times New Roman" w:cs="Times New Roman"/>
                <w:b/>
                <w:bCs/>
                <w:color w:val="0000FF"/>
                <w:sz w:val="24"/>
                <w:lang w:val="en-US" w:eastAsia="zh-CN"/>
              </w:rPr>
              <w:t>10</w:t>
            </w:r>
            <w:r>
              <w:rPr>
                <w:rFonts w:ascii="Times New Roman" w:hAnsi="Times New Roman" w:cs="Times New Roman"/>
                <w:b/>
                <w:bCs/>
                <w:color w:val="0000FF"/>
                <w:sz w:val="24"/>
                <w:lang w:val="en-US"/>
              </w:rPr>
              <w:t>.</w:t>
            </w:r>
            <w:r>
              <w:rPr>
                <w:rFonts w:ascii="Times New Roman" w:hAnsi="Times New Roman" w:cs="Times New Roman"/>
                <w:b/>
                <w:bCs/>
                <w:color w:val="0000FF"/>
                <w:sz w:val="24"/>
              </w:rPr>
              <w:t>“三同时”验收一览表</w:t>
            </w:r>
          </w:p>
          <w:p>
            <w:pPr>
              <w:pStyle w:val="31"/>
              <w:spacing w:line="360" w:lineRule="auto"/>
              <w:ind w:firstLine="480" w:firstLineChars="200"/>
              <w:rPr>
                <w:rFonts w:ascii="Times New Roman" w:hAnsi="Times New Roman" w:cs="Times New Roman"/>
                <w:color w:val="0000FF"/>
                <w:sz w:val="24"/>
              </w:rPr>
            </w:pPr>
            <w:r>
              <w:rPr>
                <w:rFonts w:ascii="Times New Roman" w:hAnsi="Times New Roman" w:cs="Times New Roman"/>
                <w:color w:val="0000FF"/>
                <w:sz w:val="24"/>
              </w:rPr>
              <w:t>项目各项污染治理措施必须严格执行“三同时”制度，环保设施“三同时”竣工验收一览表见表4-</w:t>
            </w:r>
            <w:r>
              <w:rPr>
                <w:rFonts w:hint="eastAsia" w:ascii="Times New Roman" w:hAnsi="Times New Roman" w:cs="Times New Roman"/>
                <w:color w:val="0000FF"/>
                <w:sz w:val="24"/>
                <w:lang w:val="en-US" w:eastAsia="zh-CN"/>
              </w:rPr>
              <w:t>20</w:t>
            </w:r>
            <w:r>
              <w:rPr>
                <w:rFonts w:ascii="Times New Roman" w:hAnsi="Times New Roman" w:cs="Times New Roman"/>
                <w:color w:val="0000FF"/>
                <w:sz w:val="24"/>
              </w:rPr>
              <w:t>。</w:t>
            </w:r>
          </w:p>
          <w:p>
            <w:pPr>
              <w:pStyle w:val="3"/>
              <w:jc w:val="center"/>
              <w:rPr>
                <w:b/>
                <w:bCs/>
                <w:color w:val="0000FF"/>
                <w:sz w:val="21"/>
                <w:szCs w:val="21"/>
              </w:rPr>
            </w:pPr>
            <w:r>
              <w:rPr>
                <w:b/>
                <w:bCs/>
                <w:color w:val="0000FF"/>
                <w:sz w:val="21"/>
                <w:szCs w:val="21"/>
              </w:rPr>
              <w:t>表4-</w:t>
            </w:r>
            <w:r>
              <w:rPr>
                <w:rFonts w:hint="eastAsia"/>
                <w:b/>
                <w:bCs/>
                <w:color w:val="0000FF"/>
                <w:sz w:val="21"/>
                <w:szCs w:val="21"/>
                <w:lang w:val="en-US" w:eastAsia="zh-CN"/>
              </w:rPr>
              <w:t>20</w:t>
            </w:r>
            <w:r>
              <w:rPr>
                <w:b/>
                <w:bCs/>
                <w:color w:val="0000FF"/>
                <w:sz w:val="21"/>
                <w:szCs w:val="21"/>
              </w:rPr>
              <w:t>“三同时”竣工验收一览表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5"/>
              <w:gridCol w:w="1748"/>
              <w:gridCol w:w="2782"/>
              <w:gridCol w:w="30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5" w:type="dxa"/>
                  <w:tcBorders>
                    <w:tl2br w:val="nil"/>
                    <w:tr2bl w:val="nil"/>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类别</w:t>
                  </w:r>
                </w:p>
              </w:tc>
              <w:tc>
                <w:tcPr>
                  <w:tcW w:w="1748" w:type="dxa"/>
                  <w:tcBorders>
                    <w:tl2br w:val="nil"/>
                    <w:tr2bl w:val="nil"/>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污染物</w:t>
                  </w:r>
                </w:p>
              </w:tc>
              <w:tc>
                <w:tcPr>
                  <w:tcW w:w="2782" w:type="dxa"/>
                  <w:tcBorders>
                    <w:tl2br w:val="nil"/>
                    <w:tr2bl w:val="nil"/>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验收内容</w:t>
                  </w:r>
                </w:p>
              </w:tc>
              <w:tc>
                <w:tcPr>
                  <w:tcW w:w="3007" w:type="dxa"/>
                  <w:tcBorders>
                    <w:tl2br w:val="nil"/>
                    <w:tr2bl w:val="nil"/>
                  </w:tcBorders>
                  <w:vAlign w:val="center"/>
                </w:tcPr>
                <w:p>
                  <w:pPr>
                    <w:pStyle w:val="31"/>
                    <w:jc w:val="center"/>
                    <w:rPr>
                      <w:rFonts w:ascii="Times New Roman" w:hAnsi="Times New Roman" w:cs="Times New Roman"/>
                      <w:b/>
                      <w:bCs/>
                      <w:color w:val="0000FF"/>
                      <w:szCs w:val="21"/>
                    </w:rPr>
                  </w:pPr>
                  <w:r>
                    <w:rPr>
                      <w:rFonts w:ascii="Times New Roman" w:hAnsi="Times New Roman" w:cs="Times New Roman"/>
                      <w:b/>
                      <w:bCs/>
                      <w:color w:val="0000FF"/>
                      <w:szCs w:val="21"/>
                    </w:rPr>
                    <w:t>验收标准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75" w:type="dxa"/>
                  <w:vMerge w:val="restart"/>
                  <w:tcBorders>
                    <w:tl2br w:val="nil"/>
                    <w:tr2bl w:val="nil"/>
                  </w:tcBorders>
                  <w:vAlign w:val="center"/>
                </w:tcPr>
                <w:p>
                  <w:pPr>
                    <w:pStyle w:val="31"/>
                    <w:jc w:val="center"/>
                    <w:rPr>
                      <w:rFonts w:ascii="Times New Roman" w:hAnsi="Times New Roman" w:cs="Times New Roman"/>
                      <w:color w:val="0000FF"/>
                      <w:szCs w:val="21"/>
                      <w:lang w:val="en-US"/>
                    </w:rPr>
                  </w:pPr>
                  <w:r>
                    <w:rPr>
                      <w:rFonts w:ascii="Times New Roman" w:hAnsi="Times New Roman" w:cs="Times New Roman"/>
                      <w:color w:val="0000FF"/>
                      <w:szCs w:val="21"/>
                      <w:lang w:val="en-US"/>
                    </w:rPr>
                    <w:t>废气</w:t>
                  </w:r>
                </w:p>
              </w:tc>
              <w:tc>
                <w:tcPr>
                  <w:tcW w:w="1748" w:type="dxa"/>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车间1抛丸、喷塑、固化产生的颗粒物及非甲烷总烃</w:t>
                  </w:r>
                </w:p>
              </w:tc>
              <w:tc>
                <w:tcPr>
                  <w:tcW w:w="2782" w:type="dxa"/>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p>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ascii="Times New Roman" w:hAnsi="Times New Roman" w:cs="Times New Roman"/>
                      <w:color w:val="0000FF"/>
                      <w:szCs w:val="21"/>
                      <w:lang w:val="en-US"/>
                    </w:rPr>
                    <w:t>1</w:t>
                  </w:r>
                  <w:r>
                    <w:rPr>
                      <w:rFonts w:hint="eastAsia" w:ascii="Times New Roman" w:hAnsi="Times New Roman" w:cs="Times New Roman"/>
                      <w:color w:val="0000FF"/>
                      <w:szCs w:val="21"/>
                      <w:lang w:val="en-US" w:eastAsia="zh-CN"/>
                    </w:rPr>
                    <w:t>）</w:t>
                  </w:r>
                </w:p>
              </w:tc>
              <w:tc>
                <w:tcPr>
                  <w:tcW w:w="3007" w:type="dxa"/>
                  <w:vMerge w:val="restart"/>
                  <w:tcBorders>
                    <w:tl2br w:val="nil"/>
                    <w:tr2bl w:val="nil"/>
                  </w:tcBorders>
                  <w:vAlign w:val="center"/>
                </w:tcPr>
                <w:p>
                  <w:pPr>
                    <w:jc w:val="center"/>
                    <w:rPr>
                      <w:rFonts w:ascii="Times New Roman" w:hAnsi="Times New Roman" w:cs="Times New Roman"/>
                      <w:color w:val="0000FF"/>
                      <w:szCs w:val="21"/>
                      <w:lang w:val="en-US"/>
                    </w:rPr>
                  </w:pPr>
                  <w:r>
                    <w:rPr>
                      <w:rFonts w:hint="default" w:ascii="Times New Roman" w:hAnsi="Times New Roman" w:eastAsia="宋体" w:cs="Times New Roman"/>
                      <w:color w:val="0000FF"/>
                      <w:sz w:val="21"/>
                      <w:szCs w:val="21"/>
                    </w:rPr>
                    <w:t>《大气污染物综合排放标准》（GB16297-1996）表2</w:t>
                  </w:r>
                  <w:r>
                    <w:rPr>
                      <w:rFonts w:hint="eastAsia" w:cs="Times New Roman"/>
                      <w:color w:val="0000FF"/>
                      <w:sz w:val="21"/>
                      <w:szCs w:val="21"/>
                      <w:lang w:eastAsia="zh-CN"/>
                    </w:rPr>
                    <w:t>有组织颗粒物浓度</w:t>
                  </w:r>
                  <w:r>
                    <w:rPr>
                      <w:rFonts w:hint="eastAsia" w:cs="Times New Roman"/>
                      <w:color w:val="0000FF"/>
                      <w:sz w:val="21"/>
                      <w:szCs w:val="21"/>
                      <w:lang w:val="en-US" w:eastAsia="zh-CN"/>
                    </w:rPr>
                    <w:t>120mg/m</w:t>
                  </w:r>
                  <w:r>
                    <w:rPr>
                      <w:rFonts w:hint="eastAsia" w:cs="Times New Roman"/>
                      <w:color w:val="0000FF"/>
                      <w:sz w:val="21"/>
                      <w:szCs w:val="21"/>
                      <w:vertAlign w:val="superscript"/>
                      <w:lang w:val="en-US" w:eastAsia="zh-CN"/>
                    </w:rPr>
                    <w:t>3</w:t>
                  </w:r>
                  <w:r>
                    <w:rPr>
                      <w:rFonts w:hint="eastAsia" w:cs="Times New Roman"/>
                      <w:color w:val="0000FF"/>
                      <w:sz w:val="21"/>
                      <w:szCs w:val="21"/>
                      <w:vertAlign w:val="baseline"/>
                      <w:lang w:val="en-US" w:eastAsia="zh-CN"/>
                    </w:rPr>
                    <w:t>、</w:t>
                  </w:r>
                  <w:r>
                    <w:rPr>
                      <w:rFonts w:hint="eastAsia" w:cs="Times New Roman"/>
                      <w:color w:val="0000FF"/>
                      <w:sz w:val="21"/>
                      <w:szCs w:val="21"/>
                      <w:lang w:eastAsia="zh-CN"/>
                    </w:rPr>
                    <w:t>有组织非甲烷总烃浓度</w:t>
                  </w:r>
                  <w:r>
                    <w:rPr>
                      <w:rFonts w:hint="eastAsia" w:cs="Times New Roman"/>
                      <w:color w:val="0000FF"/>
                      <w:sz w:val="21"/>
                      <w:szCs w:val="21"/>
                      <w:lang w:val="en-US" w:eastAsia="zh-CN"/>
                    </w:rPr>
                    <w:t>120mg/m</w:t>
                  </w:r>
                  <w:r>
                    <w:rPr>
                      <w:rFonts w:hint="eastAsia" w:cs="Times New Roman"/>
                      <w:color w:val="0000FF"/>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28" w:hRule="atLeast"/>
                <w:jc w:val="center"/>
              </w:trPr>
              <w:tc>
                <w:tcPr>
                  <w:tcW w:w="575" w:type="dxa"/>
                  <w:vMerge w:val="continue"/>
                  <w:tcBorders>
                    <w:tl2br w:val="nil"/>
                    <w:tr2bl w:val="nil"/>
                  </w:tcBorders>
                  <w:vAlign w:val="center"/>
                </w:tcPr>
                <w:p>
                  <w:pPr>
                    <w:pStyle w:val="31"/>
                    <w:jc w:val="center"/>
                    <w:rPr>
                      <w:color w:val="0000FF"/>
                    </w:rPr>
                  </w:pPr>
                </w:p>
              </w:tc>
              <w:tc>
                <w:tcPr>
                  <w:tcW w:w="1748" w:type="dxa"/>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车间2抛丸、喷塑、固化产生的颗粒物及非甲烷总烃</w:t>
                  </w:r>
                </w:p>
              </w:tc>
              <w:tc>
                <w:tcPr>
                  <w:tcW w:w="2782" w:type="dxa"/>
                  <w:vMerge w:val="restart"/>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p>
                <w:p>
                  <w:pPr>
                    <w:pStyle w:val="31"/>
                    <w:jc w:val="center"/>
                    <w:rPr>
                      <w:rFonts w:ascii="Times New Roman" w:hAnsi="Times New Roman" w:cs="Times New Roman"/>
                      <w:color w:val="0000FF"/>
                      <w:szCs w:val="21"/>
                      <w:lang w:val="en-US"/>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3007" w:type="dxa"/>
                  <w:vMerge w:val="continue"/>
                  <w:tcBorders>
                    <w:tl2br w:val="nil"/>
                    <w:tr2bl w:val="nil"/>
                  </w:tcBorders>
                  <w:vAlign w:val="center"/>
                </w:tcPr>
                <w:p>
                  <w:pPr>
                    <w:jc w:val="center"/>
                    <w:rPr>
                      <w:rFonts w:ascii="Times New Roman" w:hAnsi="Times New Roman" w:cs="Times New Roman"/>
                      <w:color w:val="0000FF"/>
                      <w:szCs w:val="21"/>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75" w:type="dxa"/>
                  <w:vMerge w:val="continue"/>
                  <w:tcBorders>
                    <w:tl2br w:val="nil"/>
                    <w:tr2bl w:val="nil"/>
                  </w:tcBorders>
                  <w:vAlign w:val="center"/>
                </w:tcPr>
                <w:p>
                  <w:pPr>
                    <w:pStyle w:val="31"/>
                    <w:jc w:val="center"/>
                    <w:rPr>
                      <w:rFonts w:ascii="Times New Roman" w:hAnsi="Times New Roman" w:cs="Times New Roman"/>
                      <w:color w:val="0000FF"/>
                      <w:szCs w:val="21"/>
                      <w:lang w:val="en-US"/>
                    </w:rPr>
                  </w:pPr>
                </w:p>
              </w:tc>
              <w:tc>
                <w:tcPr>
                  <w:tcW w:w="1748" w:type="dxa"/>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厂界无组织非甲烷总烃、颗粒物</w:t>
                  </w:r>
                </w:p>
              </w:tc>
              <w:tc>
                <w:tcPr>
                  <w:tcW w:w="2782" w:type="dxa"/>
                  <w:vMerge w:val="restart"/>
                  <w:tcBorders>
                    <w:tl2br w:val="nil"/>
                    <w:tr2bl w:val="nil"/>
                  </w:tcBorders>
                  <w:vAlign w:val="center"/>
                </w:tcPr>
                <w:p>
                  <w:pPr>
                    <w:pStyle w:val="31"/>
                    <w:jc w:val="center"/>
                    <w:rPr>
                      <w:rFonts w:ascii="Times New Roman" w:hAnsi="Times New Roman" w:cs="Times New Roman"/>
                      <w:color w:val="0000FF"/>
                      <w:szCs w:val="21"/>
                      <w:lang w:val="en-US"/>
                    </w:rPr>
                  </w:pPr>
                  <w:r>
                    <w:rPr>
                      <w:rFonts w:hint="eastAsia"/>
                      <w:color w:val="0000FF"/>
                      <w:szCs w:val="21"/>
                    </w:rPr>
                    <w:t>设置排气扇，加强通风</w:t>
                  </w:r>
                </w:p>
              </w:tc>
              <w:tc>
                <w:tcPr>
                  <w:tcW w:w="3007" w:type="dxa"/>
                  <w:tcBorders>
                    <w:tl2br w:val="nil"/>
                    <w:tr2bl w:val="nil"/>
                  </w:tcBorders>
                  <w:vAlign w:val="center"/>
                </w:tcPr>
                <w:p>
                  <w:pPr>
                    <w:pStyle w:val="31"/>
                    <w:jc w:val="center"/>
                    <w:rPr>
                      <w:rFonts w:ascii="Times New Roman" w:hAnsi="Times New Roman" w:cs="Times New Roman"/>
                      <w:color w:val="0000FF"/>
                      <w:szCs w:val="21"/>
                      <w:lang w:val="en-US"/>
                    </w:rPr>
                  </w:pPr>
                  <w:r>
                    <w:rPr>
                      <w:rFonts w:hint="default" w:ascii="Times New Roman" w:hAnsi="Times New Roman" w:eastAsia="宋体" w:cs="Times New Roman"/>
                      <w:color w:val="0000FF"/>
                      <w:sz w:val="21"/>
                      <w:szCs w:val="21"/>
                    </w:rPr>
                    <w:t>《大气污染物综合排放标准》（GB16297-1996）表2</w:t>
                  </w:r>
                  <w:r>
                    <w:rPr>
                      <w:rFonts w:hint="eastAsia" w:ascii="Times New Roman" w:hAnsi="Times New Roman" w:cs="Times New Roman"/>
                      <w:color w:val="0000FF"/>
                      <w:sz w:val="21"/>
                      <w:szCs w:val="21"/>
                      <w:lang w:eastAsia="zh-CN"/>
                    </w:rPr>
                    <w:t>颗粒物浓度</w:t>
                  </w:r>
                  <w:r>
                    <w:rPr>
                      <w:rFonts w:hint="eastAsia" w:ascii="Times New Roman" w:hAnsi="Times New Roman" w:eastAsia="宋体" w:cs="Times New Roman"/>
                      <w:color w:val="0000FF"/>
                      <w:kern w:val="2"/>
                      <w:sz w:val="21"/>
                      <w:szCs w:val="21"/>
                      <w:lang w:val="en-US" w:eastAsia="zh-CN" w:bidi="ar-SA"/>
                    </w:rPr>
                    <w:t>1.0mg/m</w:t>
                  </w:r>
                  <w:r>
                    <w:rPr>
                      <w:rFonts w:hint="eastAsia" w:ascii="Times New Roman" w:hAnsi="Times New Roman" w:eastAsia="宋体" w:cs="Times New Roman"/>
                      <w:color w:val="0000FF"/>
                      <w:kern w:val="2"/>
                      <w:sz w:val="21"/>
                      <w:szCs w:val="21"/>
                      <w:vertAlign w:val="superscript"/>
                      <w:lang w:val="en-US" w:eastAsia="zh-CN" w:bidi="ar-SA"/>
                    </w:rPr>
                    <w:t>3</w:t>
                  </w:r>
                  <w:r>
                    <w:rPr>
                      <w:rFonts w:hint="eastAsia" w:ascii="Times New Roman" w:hAnsi="Times New Roman" w:cs="Times New Roman"/>
                      <w:color w:val="0000FF"/>
                      <w:kern w:val="2"/>
                      <w:sz w:val="21"/>
                      <w:szCs w:val="21"/>
                      <w:vertAlign w:val="baseline"/>
                      <w:lang w:val="en-US" w:eastAsia="zh-CN" w:bidi="ar-SA"/>
                    </w:rPr>
                    <w:t>、非甲烷总烃浓度4.0</w:t>
                  </w:r>
                  <w:r>
                    <w:rPr>
                      <w:rFonts w:hint="eastAsia" w:ascii="Times New Roman" w:hAnsi="Times New Roman" w:eastAsia="宋体" w:cs="Times New Roman"/>
                      <w:color w:val="0000FF"/>
                      <w:kern w:val="2"/>
                      <w:sz w:val="21"/>
                      <w:szCs w:val="21"/>
                      <w:lang w:val="en-US" w:eastAsia="zh-CN" w:bidi="ar-SA"/>
                    </w:rPr>
                    <w:t>mg/m</w:t>
                  </w:r>
                  <w:r>
                    <w:rPr>
                      <w:rFonts w:hint="eastAsia" w:ascii="Times New Roman" w:hAnsi="Times New Roman" w:eastAsia="宋体" w:cs="Times New Roman"/>
                      <w:color w:val="0000FF"/>
                      <w:kern w:val="2"/>
                      <w:sz w:val="21"/>
                      <w:szCs w:val="21"/>
                      <w:vertAlign w:val="superscript"/>
                      <w:lang w:val="en-US" w:eastAsia="zh-CN" w:bidi="ar-SA"/>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75" w:type="dxa"/>
                  <w:vMerge w:val="continue"/>
                  <w:tcBorders>
                    <w:tl2br w:val="nil"/>
                    <w:tr2bl w:val="nil"/>
                  </w:tcBorders>
                  <w:vAlign w:val="center"/>
                </w:tcPr>
                <w:p>
                  <w:pPr>
                    <w:pStyle w:val="31"/>
                    <w:jc w:val="center"/>
                    <w:rPr>
                      <w:rFonts w:ascii="Times New Roman" w:hAnsi="Times New Roman" w:cs="Times New Roman"/>
                      <w:color w:val="0000FF"/>
                      <w:szCs w:val="21"/>
                      <w:lang w:val="en-US"/>
                    </w:rPr>
                  </w:pPr>
                </w:p>
              </w:tc>
              <w:tc>
                <w:tcPr>
                  <w:tcW w:w="1748" w:type="dxa"/>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厂区无组织非甲烷总烃</w:t>
                  </w:r>
                </w:p>
              </w:tc>
              <w:tc>
                <w:tcPr>
                  <w:tcW w:w="2782" w:type="dxa"/>
                  <w:vMerge w:val="continue"/>
                  <w:tcBorders>
                    <w:tl2br w:val="nil"/>
                    <w:tr2bl w:val="nil"/>
                  </w:tcBorders>
                  <w:vAlign w:val="center"/>
                </w:tcPr>
                <w:p>
                  <w:pPr>
                    <w:pStyle w:val="31"/>
                    <w:jc w:val="center"/>
                    <w:rPr>
                      <w:rFonts w:ascii="Times New Roman" w:hAnsi="Times New Roman" w:cs="Times New Roman"/>
                      <w:color w:val="0000FF"/>
                      <w:szCs w:val="21"/>
                      <w:lang w:val="en-US"/>
                    </w:rPr>
                  </w:pPr>
                </w:p>
              </w:tc>
              <w:tc>
                <w:tcPr>
                  <w:tcW w:w="3007" w:type="dxa"/>
                  <w:tcBorders>
                    <w:tl2br w:val="nil"/>
                    <w:tr2bl w:val="nil"/>
                  </w:tcBorders>
                  <w:vAlign w:val="center"/>
                </w:tcPr>
                <w:p>
                  <w:pPr>
                    <w:pStyle w:val="31"/>
                    <w:jc w:val="center"/>
                    <w:rPr>
                      <w:rFonts w:ascii="Times New Roman" w:hAnsi="Times New Roman" w:cs="Times New Roman"/>
                      <w:color w:val="0000FF"/>
                      <w:szCs w:val="21"/>
                      <w:lang w:val="en-US"/>
                    </w:rPr>
                  </w:pPr>
                  <w:r>
                    <w:rPr>
                      <w:rFonts w:hint="default" w:ascii="Times New Roman" w:hAnsi="Times New Roman" w:eastAsia="宋体" w:cs="Times New Roman"/>
                      <w:color w:val="0000FF"/>
                      <w:sz w:val="21"/>
                      <w:szCs w:val="21"/>
                    </w:rPr>
                    <w:t>《挥发性有机物无组织排放控制标准》（GB37822-2019）表A.1限值要求</w:t>
                  </w:r>
                  <w:r>
                    <w:rPr>
                      <w:rFonts w:hint="eastAsia" w:ascii="Times New Roman" w:hAnsi="Times New Roman" w:cs="Times New Roman"/>
                      <w:color w:val="0000FF"/>
                      <w:sz w:val="21"/>
                      <w:szCs w:val="21"/>
                      <w:lang w:eastAsia="zh-CN"/>
                    </w:rPr>
                    <w:t>无组织非甲烷总烃浓</w:t>
                  </w:r>
                  <w:r>
                    <w:rPr>
                      <w:rFonts w:hint="eastAsia" w:ascii="Times New Roman" w:hAnsi="Times New Roman" w:eastAsia="宋体" w:cs="Times New Roman"/>
                      <w:color w:val="0000FF"/>
                      <w:kern w:val="2"/>
                      <w:sz w:val="21"/>
                      <w:szCs w:val="21"/>
                      <w:lang w:val="en-US" w:eastAsia="zh-CN" w:bidi="ar-SA"/>
                    </w:rPr>
                    <w:t>度6mg/m</w:t>
                  </w:r>
                  <w:r>
                    <w:rPr>
                      <w:rFonts w:hint="eastAsia" w:ascii="Times New Roman" w:hAnsi="Times New Roman" w:eastAsia="宋体" w:cs="Times New Roman"/>
                      <w:color w:val="0000FF"/>
                      <w:kern w:val="2"/>
                      <w:sz w:val="21"/>
                      <w:szCs w:val="21"/>
                      <w:vertAlign w:val="superscript"/>
                      <w:lang w:val="en-US" w:eastAsia="zh-CN" w:bidi="ar-SA"/>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75" w:type="dxa"/>
                  <w:vMerge w:val="restar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废水</w:t>
                  </w:r>
                </w:p>
              </w:tc>
              <w:tc>
                <w:tcPr>
                  <w:tcW w:w="1748" w:type="dxa"/>
                  <w:tcBorders>
                    <w:top w:val="single" w:color="auto" w:sz="4" w:space="0"/>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生活污水</w:t>
                  </w:r>
                </w:p>
              </w:tc>
              <w:tc>
                <w:tcPr>
                  <w:tcW w:w="2782" w:type="dxa"/>
                  <w:tcBorders>
                    <w:top w:val="single" w:color="auto" w:sz="4" w:space="0"/>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不新增劳动定员，不新增生活污水排放</w:t>
                  </w:r>
                </w:p>
              </w:tc>
              <w:tc>
                <w:tcPr>
                  <w:tcW w:w="3007" w:type="dxa"/>
                  <w:tcBorders>
                    <w:top w:val="single" w:color="auto" w:sz="4" w:space="0"/>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5" w:type="dxa"/>
                  <w:vMerge w:val="continue"/>
                  <w:tcBorders>
                    <w:tl2br w:val="nil"/>
                    <w:tr2bl w:val="nil"/>
                  </w:tcBorders>
                  <w:vAlign w:val="center"/>
                </w:tcPr>
                <w:p>
                  <w:pPr>
                    <w:pStyle w:val="31"/>
                    <w:jc w:val="center"/>
                    <w:rPr>
                      <w:rFonts w:ascii="Times New Roman" w:hAnsi="Times New Roman" w:cs="Times New Roman"/>
                      <w:color w:val="0000FF"/>
                      <w:szCs w:val="21"/>
                    </w:rPr>
                  </w:pPr>
                </w:p>
              </w:tc>
              <w:tc>
                <w:tcPr>
                  <w:tcW w:w="1748" w:type="dxa"/>
                  <w:tcBorders>
                    <w:tl2br w:val="nil"/>
                    <w:tr2bl w:val="nil"/>
                  </w:tcBorders>
                  <w:vAlign w:val="center"/>
                </w:tcPr>
                <w:p>
                  <w:pPr>
                    <w:pStyle w:val="31"/>
                    <w:jc w:val="center"/>
                    <w:rPr>
                      <w:rFonts w:ascii="Times New Roman" w:hAnsi="Times New Roman" w:cs="Times New Roman"/>
                      <w:color w:val="0000FF"/>
                      <w:szCs w:val="21"/>
                      <w:lang w:val="en-US"/>
                    </w:rPr>
                  </w:pPr>
                  <w:r>
                    <w:rPr>
                      <w:rFonts w:ascii="Times New Roman" w:hAnsi="Times New Roman" w:cs="Times New Roman"/>
                      <w:color w:val="0000FF"/>
                      <w:szCs w:val="21"/>
                      <w:lang w:val="en-US"/>
                    </w:rPr>
                    <w:t>生产废水</w:t>
                  </w:r>
                </w:p>
              </w:tc>
              <w:tc>
                <w:tcPr>
                  <w:tcW w:w="2782" w:type="dxa"/>
                  <w:tcBorders>
                    <w:tl2br w:val="nil"/>
                    <w:tr2bl w:val="nil"/>
                  </w:tcBorders>
                  <w:vAlign w:val="center"/>
                </w:tcPr>
                <w:p>
                  <w:pPr>
                    <w:pStyle w:val="31"/>
                    <w:jc w:val="center"/>
                    <w:rPr>
                      <w:rFonts w:hint="default"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生产不用水，不产生生产废水</w:t>
                  </w:r>
                </w:p>
              </w:tc>
              <w:tc>
                <w:tcPr>
                  <w:tcW w:w="3007" w:type="dxa"/>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5" w:type="dxa"/>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噪声</w:t>
                  </w:r>
                </w:p>
              </w:tc>
              <w:tc>
                <w:tcPr>
                  <w:tcW w:w="1748" w:type="dxa"/>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设备噪声</w:t>
                  </w:r>
                </w:p>
              </w:tc>
              <w:tc>
                <w:tcPr>
                  <w:tcW w:w="2782" w:type="dxa"/>
                  <w:tcBorders>
                    <w:tl2br w:val="nil"/>
                    <w:tr2bl w:val="nil"/>
                  </w:tcBorders>
                  <w:vAlign w:val="center"/>
                </w:tcPr>
                <w:p>
                  <w:pPr>
                    <w:pStyle w:val="31"/>
                    <w:jc w:val="center"/>
                    <w:rPr>
                      <w:rFonts w:ascii="Times New Roman" w:hAnsi="Times New Roman" w:cs="Times New Roman"/>
                      <w:color w:val="0000FF"/>
                      <w:szCs w:val="21"/>
                      <w:lang w:val="en-US"/>
                    </w:rPr>
                  </w:pPr>
                  <w:r>
                    <w:rPr>
                      <w:rFonts w:ascii="Times New Roman" w:hAnsi="Times New Roman" w:cs="Times New Roman"/>
                      <w:color w:val="0000FF"/>
                      <w:szCs w:val="21"/>
                    </w:rPr>
                    <w:t>基础减振厂房隔声</w:t>
                  </w:r>
                </w:p>
              </w:tc>
              <w:tc>
                <w:tcPr>
                  <w:tcW w:w="3007" w:type="dxa"/>
                  <w:tcBorders>
                    <w:tl2br w:val="nil"/>
                    <w:tr2bl w:val="nil"/>
                  </w:tcBorders>
                  <w:vAlign w:val="center"/>
                </w:tcPr>
                <w:p>
                  <w:pPr>
                    <w:pStyle w:val="31"/>
                    <w:jc w:val="center"/>
                    <w:rPr>
                      <w:rFonts w:ascii="Times New Roman" w:hAnsi="Times New Roman" w:cs="Times New Roman"/>
                      <w:color w:val="0000FF"/>
                      <w:szCs w:val="21"/>
                      <w:lang w:val="en-US"/>
                    </w:rPr>
                  </w:pPr>
                  <w:r>
                    <w:rPr>
                      <w:rFonts w:hint="eastAsia" w:ascii="Times New Roman" w:hAnsi="Times New Roman" w:cs="Times New Roman"/>
                      <w:color w:val="0000FF"/>
                      <w:szCs w:val="21"/>
                      <w:lang w:val="en-US" w:bidi="ar-SA"/>
                    </w:rPr>
                    <w:t>《工业企业厂界环境噪声排放标准》（GB12348-2008）中3类标准昼间≤65dB(A)，夜间≤55dB（A）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575" w:type="dxa"/>
                  <w:vMerge w:val="restart"/>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固体废物</w:t>
                  </w:r>
                </w:p>
              </w:tc>
              <w:tc>
                <w:tcPr>
                  <w:tcW w:w="1748" w:type="dxa"/>
                  <w:tcBorders>
                    <w:tl2br w:val="nil"/>
                    <w:tr2bl w:val="nil"/>
                  </w:tcBorders>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生活垃圾</w:t>
                  </w:r>
                </w:p>
              </w:tc>
              <w:tc>
                <w:tcPr>
                  <w:tcW w:w="2782" w:type="dxa"/>
                  <w:tcBorders>
                    <w:tl2br w:val="nil"/>
                    <w:tr2bl w:val="nil"/>
                  </w:tcBorders>
                  <w:vAlign w:val="center"/>
                </w:tcPr>
                <w:p>
                  <w:pPr>
                    <w:pStyle w:val="31"/>
                    <w:jc w:val="center"/>
                    <w:rPr>
                      <w:rFonts w:ascii="Times New Roman" w:hAnsi="Times New Roman" w:cs="Times New Roman"/>
                      <w:color w:val="0000FF"/>
                      <w:szCs w:val="21"/>
                      <w:lang w:val="en-US"/>
                    </w:rPr>
                  </w:pPr>
                  <w:r>
                    <w:rPr>
                      <w:rFonts w:hint="eastAsia" w:ascii="Times New Roman" w:hAnsi="Times New Roman" w:cs="Times New Roman"/>
                      <w:color w:val="0000FF"/>
                      <w:szCs w:val="21"/>
                      <w:lang w:val="en-US" w:eastAsia="zh-CN"/>
                    </w:rPr>
                    <w:t>不新增劳动定员，不新生活垃圾</w:t>
                  </w:r>
                </w:p>
              </w:tc>
              <w:tc>
                <w:tcPr>
                  <w:tcW w:w="3007" w:type="dxa"/>
                  <w:vMerge w:val="restart"/>
                  <w:tcBorders>
                    <w:tl2br w:val="nil"/>
                    <w:tr2bl w:val="nil"/>
                  </w:tcBorders>
                  <w:vAlign w:val="center"/>
                </w:tcPr>
                <w:p>
                  <w:pPr>
                    <w:pStyle w:val="31"/>
                    <w:jc w:val="center"/>
                    <w:rPr>
                      <w:rFonts w:ascii="Times New Roman" w:hAnsi="Times New Roman" w:cs="Times New Roman"/>
                      <w:color w:val="0000FF"/>
                      <w:szCs w:val="21"/>
                      <w:lang w:val="en-US"/>
                    </w:rPr>
                  </w:pPr>
                  <w:r>
                    <w:rPr>
                      <w:rFonts w:ascii="Times New Roman" w:hAnsi="Times New Roman" w:cs="Times New Roman"/>
                      <w:color w:val="0000FF"/>
                      <w:szCs w:val="21"/>
                      <w:lang w:val="en-US"/>
                    </w:rPr>
                    <w:t>《一般工业固体废物贮存和填埋污染控制标准》(GB</w:t>
                  </w:r>
                  <w:r>
                    <w:rPr>
                      <w:rFonts w:hint="eastAsia" w:ascii="Times New Roman" w:hAnsi="Times New Roman" w:cs="Times New Roman"/>
                      <w:color w:val="0000FF"/>
                      <w:szCs w:val="21"/>
                      <w:lang w:val="en-US"/>
                    </w:rPr>
                    <w:t>-</w:t>
                  </w:r>
                  <w:r>
                    <w:rPr>
                      <w:rFonts w:ascii="Times New Roman" w:hAnsi="Times New Roman" w:cs="Times New Roman"/>
                      <w:color w:val="0000FF"/>
                      <w:szCs w:val="21"/>
                      <w:lang w:val="en-US"/>
                    </w:rPr>
                    <w:t>18599-2020)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75" w:type="dxa"/>
                  <w:vMerge w:val="continue"/>
                  <w:tcBorders>
                    <w:tl2br w:val="nil"/>
                    <w:tr2bl w:val="nil"/>
                  </w:tcBorders>
                  <w:vAlign w:val="center"/>
                </w:tcPr>
                <w:p>
                  <w:pPr>
                    <w:pStyle w:val="31"/>
                    <w:jc w:val="center"/>
                    <w:rPr>
                      <w:rFonts w:ascii="Times New Roman" w:hAnsi="Times New Roman" w:cs="Times New Roman"/>
                      <w:color w:val="0000FF"/>
                      <w:szCs w:val="21"/>
                    </w:rPr>
                  </w:pPr>
                </w:p>
              </w:tc>
              <w:tc>
                <w:tcPr>
                  <w:tcW w:w="1748" w:type="dxa"/>
                  <w:tcBorders>
                    <w:tl2br w:val="nil"/>
                    <w:tr2bl w:val="nil"/>
                  </w:tcBorders>
                  <w:vAlign w:val="center"/>
                </w:tcPr>
                <w:p>
                  <w:pPr>
                    <w:pStyle w:val="31"/>
                    <w:jc w:val="center"/>
                    <w:rPr>
                      <w:rFonts w:ascii="Times New Roman" w:hAnsi="Times New Roman" w:cs="Times New Roman"/>
                      <w:color w:val="0000FF"/>
                      <w:szCs w:val="21"/>
                    </w:rPr>
                  </w:pPr>
                  <w:r>
                    <w:rPr>
                      <w:rFonts w:hint="eastAsia" w:ascii="Times New Roman" w:hAnsi="Times New Roman" w:cs="Times New Roman"/>
                      <w:color w:val="0000FF"/>
                      <w:szCs w:val="21"/>
                      <w:lang w:eastAsia="zh-CN"/>
                    </w:rPr>
                    <w:t>一般</w:t>
                  </w:r>
                  <w:r>
                    <w:rPr>
                      <w:rFonts w:ascii="Times New Roman" w:hAnsi="Times New Roman" w:cs="Times New Roman"/>
                      <w:color w:val="0000FF"/>
                      <w:szCs w:val="21"/>
                    </w:rPr>
                    <w:t>固废</w:t>
                  </w:r>
                </w:p>
              </w:tc>
              <w:tc>
                <w:tcPr>
                  <w:tcW w:w="2782" w:type="dxa"/>
                  <w:tcBorders>
                    <w:tl2br w:val="nil"/>
                    <w:tr2bl w:val="nil"/>
                  </w:tcBorders>
                  <w:vAlign w:val="center"/>
                </w:tcPr>
                <w:p>
                  <w:pPr>
                    <w:pStyle w:val="31"/>
                    <w:jc w:val="center"/>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废塑粉滤芯及塑化废渣</w:t>
                  </w:r>
                  <w:r>
                    <w:rPr>
                      <w:rFonts w:hint="eastAsia" w:ascii="Times New Roman" w:hAnsi="Times New Roman" w:cs="Times New Roman"/>
                      <w:color w:val="0000FF"/>
                      <w:kern w:val="2"/>
                      <w:sz w:val="21"/>
                      <w:szCs w:val="21"/>
                      <w:lang w:val="en-US" w:eastAsia="zh-CN" w:bidi="ar-SA"/>
                    </w:rPr>
                    <w:t>交由一般固废处置单位处置，喷塑布袋除尘器收集尘作为喷塑原料使用，抛丸布袋除尘器收集粉尘</w:t>
                  </w:r>
                  <w:r>
                    <w:rPr>
                      <w:rFonts w:hint="eastAsia"/>
                      <w:color w:val="0000FF"/>
                      <w:szCs w:val="21"/>
                    </w:rPr>
                    <w:t>集中收集后外售</w:t>
                  </w:r>
                  <w:r>
                    <w:rPr>
                      <w:rFonts w:hint="eastAsia"/>
                      <w:color w:val="0000FF"/>
                      <w:szCs w:val="21"/>
                      <w:lang w:eastAsia="zh-CN"/>
                    </w:rPr>
                    <w:t>综合利用</w:t>
                  </w:r>
                </w:p>
              </w:tc>
              <w:tc>
                <w:tcPr>
                  <w:tcW w:w="3007" w:type="dxa"/>
                  <w:vMerge w:val="continue"/>
                  <w:tcBorders>
                    <w:tl2br w:val="nil"/>
                    <w:tr2bl w:val="nil"/>
                  </w:tcBorders>
                  <w:vAlign w:val="center"/>
                </w:tcPr>
                <w:p>
                  <w:pPr>
                    <w:pStyle w:val="31"/>
                    <w:jc w:val="center"/>
                    <w:rPr>
                      <w:rFonts w:ascii="Times New Roman" w:hAnsi="Times New Roman" w:cs="Times New Roman"/>
                      <w:color w:val="0000FF"/>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575" w:type="dxa"/>
                  <w:vMerge w:val="continue"/>
                  <w:tcBorders>
                    <w:tl2br w:val="nil"/>
                    <w:tr2bl w:val="nil"/>
                  </w:tcBorders>
                  <w:vAlign w:val="center"/>
                </w:tcPr>
                <w:p>
                  <w:pPr>
                    <w:pStyle w:val="31"/>
                    <w:jc w:val="center"/>
                    <w:rPr>
                      <w:rFonts w:ascii="Times New Roman" w:hAnsi="Times New Roman" w:cs="Times New Roman"/>
                      <w:color w:val="0000FF"/>
                      <w:szCs w:val="21"/>
                    </w:rPr>
                  </w:pPr>
                </w:p>
              </w:tc>
              <w:tc>
                <w:tcPr>
                  <w:tcW w:w="1748" w:type="dxa"/>
                  <w:tcBorders>
                    <w:tl2br w:val="nil"/>
                    <w:tr2bl w:val="nil"/>
                  </w:tcBorders>
                  <w:vAlign w:val="center"/>
                </w:tcPr>
                <w:p>
                  <w:pPr>
                    <w:pStyle w:val="31"/>
                    <w:jc w:val="center"/>
                    <w:rPr>
                      <w:rFonts w:hint="eastAsia" w:ascii="Times New Roman" w:hAnsi="Times New Roman" w:eastAsia="宋体" w:cs="Times New Roman"/>
                      <w:color w:val="0000FF"/>
                      <w:szCs w:val="21"/>
                      <w:lang w:eastAsia="zh-CN"/>
                    </w:rPr>
                  </w:pPr>
                  <w:r>
                    <w:rPr>
                      <w:rFonts w:hint="eastAsia" w:ascii="Times New Roman" w:hAnsi="Times New Roman" w:eastAsia="宋体" w:cs="Times New Roman"/>
                      <w:color w:val="0000FF"/>
                      <w:szCs w:val="21"/>
                      <w:lang w:eastAsia="zh-CN"/>
                    </w:rPr>
                    <w:t>危险固废</w:t>
                  </w:r>
                </w:p>
              </w:tc>
              <w:tc>
                <w:tcPr>
                  <w:tcW w:w="2782" w:type="dxa"/>
                  <w:tcBorders>
                    <w:tl2br w:val="nil"/>
                    <w:tr2bl w:val="nil"/>
                  </w:tcBorders>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废活性炭、废机油暂存于危废暂存间内，定期</w:t>
                  </w:r>
                  <w:r>
                    <w:rPr>
                      <w:rFonts w:hint="eastAsia" w:ascii="Times New Roman" w:hAnsi="Times New Roman" w:cs="Times New Roman"/>
                      <w:color w:val="0000FF"/>
                      <w:szCs w:val="21"/>
                      <w:lang w:val="en-US" w:eastAsia="zh-CN"/>
                    </w:rPr>
                    <w:t>交由</w:t>
                  </w:r>
                  <w:r>
                    <w:rPr>
                      <w:rFonts w:hint="eastAsia" w:ascii="Times New Roman" w:hAnsi="Times New Roman" w:eastAsia="宋体" w:cs="Times New Roman"/>
                      <w:color w:val="0000FF"/>
                      <w:szCs w:val="21"/>
                      <w:lang w:val="en-US" w:eastAsia="zh-CN"/>
                    </w:rPr>
                    <w:t>有资质单位集中处理</w:t>
                  </w:r>
                </w:p>
              </w:tc>
              <w:tc>
                <w:tcPr>
                  <w:tcW w:w="3007" w:type="dxa"/>
                  <w:tcBorders>
                    <w:tl2br w:val="nil"/>
                    <w:tr2bl w:val="nil"/>
                  </w:tcBorders>
                  <w:vAlign w:val="center"/>
                </w:tcPr>
                <w:p>
                  <w:pPr>
                    <w:pStyle w:val="31"/>
                    <w:jc w:val="center"/>
                    <w:rPr>
                      <w:rFonts w:ascii="Times New Roman" w:hAnsi="Times New Roman" w:eastAsia="宋体" w:cs="Times New Roman"/>
                      <w:color w:val="0000FF"/>
                      <w:szCs w:val="21"/>
                    </w:rPr>
                  </w:pPr>
                  <w:r>
                    <w:rPr>
                      <w:rFonts w:hint="eastAsia" w:ascii="Times New Roman" w:hAnsi="Times New Roman" w:eastAsia="宋体" w:cs="Times New Roman"/>
                      <w:color w:val="0000FF"/>
                      <w:szCs w:val="21"/>
                      <w:lang w:val="en-US"/>
                    </w:rPr>
                    <w:t>《危险废物贮存污染控制标准》（GB18597-2023）</w:t>
                  </w:r>
                </w:p>
              </w:tc>
            </w:tr>
          </w:tbl>
          <w:p>
            <w:pPr>
              <w:pStyle w:val="31"/>
              <w:spacing w:line="360" w:lineRule="auto"/>
              <w:ind w:firstLine="480" w:firstLineChars="200"/>
              <w:rPr>
                <w:rFonts w:ascii="Times New Roman" w:hAnsi="Times New Roman" w:cs="Times New Roman"/>
                <w:color w:val="auto"/>
                <w:sz w:val="24"/>
                <w:lang w:val="en-US"/>
              </w:rPr>
            </w:pPr>
          </w:p>
          <w:p>
            <w:pPr>
              <w:pStyle w:val="31"/>
              <w:spacing w:line="360" w:lineRule="auto"/>
              <w:ind w:firstLine="480" w:firstLineChars="200"/>
              <w:rPr>
                <w:rFonts w:ascii="Times New Roman" w:hAnsi="Times New Roman" w:cs="Times New Roman"/>
                <w:color w:val="auto"/>
                <w:sz w:val="24"/>
                <w:lang w:val="en-US"/>
              </w:rPr>
            </w:pPr>
          </w:p>
          <w:p>
            <w:pPr>
              <w:spacing w:line="360" w:lineRule="auto"/>
              <w:rPr>
                <w:color w:val="auto"/>
                <w:sz w:val="24"/>
              </w:rPr>
            </w:pPr>
          </w:p>
        </w:tc>
      </w:tr>
    </w:tbl>
    <w:p>
      <w:r>
        <w:br w:type="page"/>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15" w:name="_Hlk54167917"/>
      <w:r>
        <w:rPr>
          <w:rFonts w:ascii="Times New Roman" w:hAnsi="Times New Roman" w:eastAsia="黑体"/>
          <w:snapToGrid w:val="0"/>
          <w:color w:val="auto"/>
          <w:sz w:val="30"/>
          <w:szCs w:val="30"/>
        </w:rPr>
        <w:t>环境保护措施监督检查清单</w:t>
      </w:r>
      <w:bookmarkEnd w:id="15"/>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218"/>
        <w:gridCol w:w="1353"/>
        <w:gridCol w:w="2203"/>
        <w:gridCol w:w="26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4" w:type="pct"/>
            <w:tcBorders>
              <w:tl2br w:val="single" w:color="auto" w:sz="4" w:space="0"/>
            </w:tcBorders>
            <w:vAlign w:val="center"/>
          </w:tcPr>
          <w:p>
            <w:pPr>
              <w:adjustRightInd w:val="0"/>
              <w:snapToGrid w:val="0"/>
              <w:jc w:val="center"/>
              <w:rPr>
                <w:color w:val="0000FF"/>
                <w:szCs w:val="21"/>
              </w:rPr>
            </w:pPr>
            <w:r>
              <w:rPr>
                <w:rFonts w:hint="eastAsia"/>
                <w:color w:val="0000FF"/>
                <w:szCs w:val="21"/>
                <w:lang w:val="en-US" w:eastAsia="zh-CN"/>
              </w:rPr>
              <w:t xml:space="preserve">    </w:t>
            </w:r>
            <w:r>
              <w:rPr>
                <w:color w:val="0000FF"/>
                <w:szCs w:val="21"/>
              </w:rPr>
              <w:t>内容</w:t>
            </w:r>
          </w:p>
          <w:p>
            <w:pPr>
              <w:adjustRightInd w:val="0"/>
              <w:snapToGrid w:val="0"/>
              <w:rPr>
                <w:color w:val="0000FF"/>
                <w:szCs w:val="21"/>
              </w:rPr>
            </w:pPr>
            <w:r>
              <w:rPr>
                <w:color w:val="0000FF"/>
                <w:szCs w:val="21"/>
              </w:rPr>
              <w:t>要素</w:t>
            </w:r>
          </w:p>
        </w:tc>
        <w:tc>
          <w:tcPr>
            <w:tcW w:w="715" w:type="pct"/>
            <w:vAlign w:val="center"/>
          </w:tcPr>
          <w:p>
            <w:pPr>
              <w:adjustRightInd w:val="0"/>
              <w:snapToGrid w:val="0"/>
              <w:jc w:val="center"/>
              <w:rPr>
                <w:color w:val="0000FF"/>
                <w:szCs w:val="21"/>
              </w:rPr>
            </w:pPr>
            <w:r>
              <w:rPr>
                <w:color w:val="0000FF"/>
                <w:szCs w:val="21"/>
              </w:rPr>
              <w:t>排放口（编号、名称）/污染源</w:t>
            </w:r>
          </w:p>
        </w:tc>
        <w:tc>
          <w:tcPr>
            <w:tcW w:w="794" w:type="pct"/>
            <w:vAlign w:val="center"/>
          </w:tcPr>
          <w:p>
            <w:pPr>
              <w:adjustRightInd w:val="0"/>
              <w:snapToGrid w:val="0"/>
              <w:jc w:val="center"/>
              <w:rPr>
                <w:color w:val="0000FF"/>
                <w:szCs w:val="21"/>
              </w:rPr>
            </w:pPr>
            <w:r>
              <w:rPr>
                <w:color w:val="0000FF"/>
                <w:szCs w:val="21"/>
              </w:rPr>
              <w:t>污染物项目</w:t>
            </w:r>
          </w:p>
        </w:tc>
        <w:tc>
          <w:tcPr>
            <w:tcW w:w="1293" w:type="pct"/>
            <w:vAlign w:val="center"/>
          </w:tcPr>
          <w:p>
            <w:pPr>
              <w:adjustRightInd w:val="0"/>
              <w:snapToGrid w:val="0"/>
              <w:jc w:val="center"/>
              <w:rPr>
                <w:color w:val="0000FF"/>
                <w:szCs w:val="21"/>
              </w:rPr>
            </w:pPr>
            <w:r>
              <w:rPr>
                <w:color w:val="0000FF"/>
                <w:szCs w:val="21"/>
              </w:rPr>
              <w:t>环境保护措施</w:t>
            </w:r>
          </w:p>
        </w:tc>
        <w:tc>
          <w:tcPr>
            <w:tcW w:w="1573" w:type="pct"/>
            <w:vAlign w:val="center"/>
          </w:tcPr>
          <w:p>
            <w:pPr>
              <w:adjustRightInd w:val="0"/>
              <w:snapToGrid w:val="0"/>
              <w:jc w:val="center"/>
              <w:rPr>
                <w:color w:val="0000FF"/>
                <w:szCs w:val="21"/>
              </w:rPr>
            </w:pPr>
            <w:r>
              <w:rPr>
                <w:color w:val="0000FF"/>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4" w:type="pct"/>
            <w:vMerge w:val="restart"/>
            <w:vAlign w:val="center"/>
          </w:tcPr>
          <w:p>
            <w:pPr>
              <w:adjustRightInd w:val="0"/>
              <w:snapToGrid w:val="0"/>
              <w:jc w:val="center"/>
              <w:rPr>
                <w:color w:val="0000FF"/>
                <w:szCs w:val="21"/>
              </w:rPr>
            </w:pPr>
            <w:r>
              <w:rPr>
                <w:color w:val="0000FF"/>
                <w:szCs w:val="21"/>
              </w:rPr>
              <w:t>大气环境</w:t>
            </w:r>
          </w:p>
        </w:tc>
        <w:tc>
          <w:tcPr>
            <w:tcW w:w="715" w:type="pct"/>
            <w:vMerge w:val="restart"/>
            <w:vAlign w:val="center"/>
          </w:tcPr>
          <w:p>
            <w:pPr>
              <w:pStyle w:val="31"/>
              <w:jc w:val="center"/>
              <w:rPr>
                <w:rFonts w:ascii="Times New Roman" w:hAnsi="Times New Roman" w:cs="Times New Roman"/>
                <w:color w:val="0000FF"/>
                <w:szCs w:val="21"/>
              </w:rPr>
            </w:pPr>
            <w:r>
              <w:rPr>
                <w:rFonts w:hint="eastAsia" w:ascii="Times New Roman" w:hAnsi="Times New Roman" w:cs="Times New Roman"/>
                <w:color w:val="0000FF"/>
                <w:szCs w:val="21"/>
                <w:lang w:eastAsia="zh-CN"/>
              </w:rPr>
              <w:t>车间</w:t>
            </w:r>
            <w:r>
              <w:rPr>
                <w:rFonts w:hint="eastAsia" w:ascii="Times New Roman" w:hAnsi="Times New Roman" w:cs="Times New Roman"/>
                <w:color w:val="0000FF"/>
                <w:szCs w:val="21"/>
                <w:lang w:val="en-US" w:eastAsia="zh-CN"/>
              </w:rPr>
              <w:t>1（抛丸、喷塑、固化生产线）</w:t>
            </w:r>
            <w:r>
              <w:rPr>
                <w:rFonts w:ascii="Times New Roman" w:hAnsi="Times New Roman" w:cs="Times New Roman"/>
                <w:color w:val="0000FF"/>
                <w:szCs w:val="21"/>
              </w:rPr>
              <w:t>DA00</w:t>
            </w:r>
            <w:r>
              <w:rPr>
                <w:rFonts w:ascii="Times New Roman" w:hAnsi="Times New Roman" w:cs="Times New Roman"/>
                <w:color w:val="0000FF"/>
                <w:szCs w:val="21"/>
                <w:lang w:val="en-US"/>
              </w:rPr>
              <w:t>1</w:t>
            </w:r>
          </w:p>
        </w:tc>
        <w:tc>
          <w:tcPr>
            <w:tcW w:w="794" w:type="pct"/>
            <w:vAlign w:val="center"/>
          </w:tcPr>
          <w:p>
            <w:pPr>
              <w:pStyle w:val="31"/>
              <w:jc w:val="center"/>
              <w:rPr>
                <w:rFonts w:ascii="Times New Roman" w:hAnsi="Times New Roman" w:eastAsia="宋体" w:cs="Times New Roman"/>
                <w:color w:val="0000FF"/>
                <w:kern w:val="2"/>
                <w:sz w:val="21"/>
                <w:szCs w:val="21"/>
                <w:lang w:val="zh-CN" w:eastAsia="zh-CN" w:bidi="zh-CN"/>
              </w:rPr>
            </w:pPr>
            <w:r>
              <w:rPr>
                <w:rFonts w:hint="eastAsia" w:ascii="Times New Roman" w:hAnsi="Times New Roman" w:cs="Times New Roman"/>
                <w:color w:val="0000FF"/>
                <w:kern w:val="2"/>
                <w:sz w:val="21"/>
                <w:szCs w:val="21"/>
                <w:lang w:val="zh-CN" w:eastAsia="zh-CN" w:bidi="zh-CN"/>
              </w:rPr>
              <w:t>颗粒物</w:t>
            </w:r>
          </w:p>
        </w:tc>
        <w:tc>
          <w:tcPr>
            <w:tcW w:w="1293" w:type="pct"/>
            <w:vAlign w:val="center"/>
          </w:tcPr>
          <w:p>
            <w:pPr>
              <w:pStyle w:val="31"/>
              <w:jc w:val="center"/>
              <w:rPr>
                <w:rFonts w:hint="eastAsia" w:ascii="Times New Roman" w:hAnsi="Times New Roman" w:eastAsia="宋体" w:cs="Times New Roman"/>
                <w:color w:val="0000FF"/>
                <w:kern w:val="2"/>
                <w:sz w:val="21"/>
                <w:szCs w:val="21"/>
                <w:lang w:val="zh-CN" w:eastAsia="zh-CN" w:bidi="zh-CN"/>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ascii="Times New Roman" w:hAnsi="Times New Roman" w:cs="Times New Roman"/>
                <w:color w:val="0000FF"/>
                <w:szCs w:val="21"/>
                <w:lang w:val="en-US"/>
              </w:rPr>
              <w:t>1</w:t>
            </w:r>
            <w:r>
              <w:rPr>
                <w:rFonts w:hint="eastAsia" w:ascii="Times New Roman" w:hAnsi="Times New Roman" w:cs="Times New Roman"/>
                <w:color w:val="0000FF"/>
                <w:szCs w:val="21"/>
                <w:lang w:val="en-US" w:eastAsia="zh-CN"/>
              </w:rPr>
              <w:t>）</w:t>
            </w:r>
          </w:p>
        </w:tc>
        <w:tc>
          <w:tcPr>
            <w:tcW w:w="1573" w:type="pct"/>
            <w:vAlign w:val="center"/>
          </w:tcPr>
          <w:p>
            <w:pPr>
              <w:overflowPunct w:val="0"/>
              <w:autoSpaceDE w:val="0"/>
              <w:autoSpaceDN w:val="0"/>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《大气污染物综合排放标准》（GB16297-1996）表2</w:t>
            </w:r>
            <w:r>
              <w:rPr>
                <w:rFonts w:hint="eastAsia" w:cs="Times New Roman"/>
                <w:color w:val="0000FF"/>
                <w:sz w:val="21"/>
                <w:szCs w:val="21"/>
                <w:lang w:eastAsia="zh-CN"/>
              </w:rPr>
              <w:t>有组织颗粒物浓度</w:t>
            </w:r>
            <w:r>
              <w:rPr>
                <w:rFonts w:hint="eastAsia" w:cs="Times New Roman"/>
                <w:color w:val="0000FF"/>
                <w:sz w:val="21"/>
                <w:szCs w:val="21"/>
                <w:lang w:val="en-US" w:eastAsia="zh-CN"/>
              </w:rPr>
              <w:t>120mg/m</w:t>
            </w:r>
            <w:r>
              <w:rPr>
                <w:rFonts w:hint="eastAsia" w:cs="Times New Roman"/>
                <w:color w:val="0000FF"/>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24" w:type="pct"/>
            <w:vMerge w:val="continue"/>
            <w:vAlign w:val="center"/>
          </w:tcPr>
          <w:p>
            <w:pPr>
              <w:adjustRightInd w:val="0"/>
              <w:snapToGrid w:val="0"/>
              <w:jc w:val="center"/>
              <w:rPr>
                <w:color w:val="0000FF"/>
                <w:szCs w:val="21"/>
              </w:rPr>
            </w:pPr>
          </w:p>
        </w:tc>
        <w:tc>
          <w:tcPr>
            <w:tcW w:w="715" w:type="pct"/>
            <w:vMerge w:val="continue"/>
            <w:vAlign w:val="center"/>
          </w:tcPr>
          <w:p>
            <w:pPr>
              <w:pStyle w:val="31"/>
              <w:jc w:val="center"/>
              <w:rPr>
                <w:rFonts w:hint="eastAsia" w:ascii="Times New Roman" w:hAnsi="Times New Roman" w:eastAsia="宋体" w:cs="Times New Roman"/>
                <w:color w:val="0000FF"/>
                <w:szCs w:val="21"/>
                <w:lang w:val="en-US" w:eastAsia="zh-CN" w:bidi="ar-SA"/>
              </w:rPr>
            </w:pPr>
          </w:p>
        </w:tc>
        <w:tc>
          <w:tcPr>
            <w:tcW w:w="794" w:type="pct"/>
            <w:vAlign w:val="center"/>
          </w:tcPr>
          <w:p>
            <w:pPr>
              <w:overflowPunct w:val="0"/>
              <w:autoSpaceDE w:val="0"/>
              <w:autoSpaceDN w:val="0"/>
              <w:adjustRightInd w:val="0"/>
              <w:snapToGrid w:val="0"/>
              <w:jc w:val="center"/>
              <w:rPr>
                <w:color w:val="0000FF"/>
                <w:szCs w:val="21"/>
                <w:lang w:val="zh-CN"/>
              </w:rPr>
            </w:pPr>
            <w:r>
              <w:rPr>
                <w:rFonts w:hint="eastAsia"/>
                <w:color w:val="0000FF"/>
                <w:szCs w:val="21"/>
                <w:lang w:val="zh-CN"/>
              </w:rPr>
              <w:t>非甲烷总烃</w:t>
            </w:r>
          </w:p>
        </w:tc>
        <w:tc>
          <w:tcPr>
            <w:tcW w:w="1293" w:type="pct"/>
            <w:vAlign w:val="center"/>
          </w:tcPr>
          <w:p>
            <w:pPr>
              <w:pStyle w:val="31"/>
              <w:jc w:val="center"/>
              <w:rPr>
                <w:rFonts w:hint="eastAsia" w:ascii="Times New Roman" w:hAnsi="Times New Roman" w:eastAsia="宋体" w:cs="Times New Roman"/>
                <w:color w:val="0000FF"/>
                <w:szCs w:val="21"/>
                <w:lang w:val="en-US" w:eastAsia="zh-CN"/>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ascii="Times New Roman" w:hAnsi="Times New Roman" w:cs="Times New Roman"/>
                <w:color w:val="0000FF"/>
                <w:szCs w:val="21"/>
                <w:lang w:val="en-US"/>
              </w:rPr>
              <w:t>1</w:t>
            </w:r>
            <w:r>
              <w:rPr>
                <w:rFonts w:hint="eastAsia" w:ascii="Times New Roman" w:hAnsi="Times New Roman" w:cs="Times New Roman"/>
                <w:color w:val="0000FF"/>
                <w:szCs w:val="21"/>
                <w:lang w:val="en-US" w:eastAsia="zh-CN"/>
              </w:rPr>
              <w:t>）</w:t>
            </w:r>
          </w:p>
        </w:tc>
        <w:tc>
          <w:tcPr>
            <w:tcW w:w="1573" w:type="pct"/>
            <w:vAlign w:val="center"/>
          </w:tcPr>
          <w:p>
            <w:pPr>
              <w:overflowPunct w:val="0"/>
              <w:autoSpaceDE w:val="0"/>
              <w:autoSpaceDN w:val="0"/>
              <w:adjustRightInd w:val="0"/>
              <w:snapToGrid w:val="0"/>
              <w:jc w:val="center"/>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《大气污染物综合排放标准》（GB16297-1996）表2</w:t>
            </w:r>
            <w:r>
              <w:rPr>
                <w:rFonts w:hint="eastAsia" w:cs="Times New Roman"/>
                <w:color w:val="0000FF"/>
                <w:sz w:val="21"/>
                <w:szCs w:val="21"/>
                <w:lang w:eastAsia="zh-CN"/>
              </w:rPr>
              <w:t>有组织非甲烷总烃浓度</w:t>
            </w:r>
            <w:r>
              <w:rPr>
                <w:rFonts w:hint="eastAsia" w:cs="Times New Roman"/>
                <w:color w:val="0000FF"/>
                <w:sz w:val="21"/>
                <w:szCs w:val="21"/>
                <w:lang w:val="en-US" w:eastAsia="zh-CN"/>
              </w:rPr>
              <w:t>120mg/m</w:t>
            </w:r>
            <w:r>
              <w:rPr>
                <w:rFonts w:hint="eastAsia" w:cs="Times New Roman"/>
                <w:color w:val="0000FF"/>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4" w:type="pct"/>
            <w:vMerge w:val="continue"/>
            <w:vAlign w:val="center"/>
          </w:tcPr>
          <w:p>
            <w:pPr>
              <w:adjustRightInd w:val="0"/>
              <w:snapToGrid w:val="0"/>
              <w:jc w:val="center"/>
              <w:rPr>
                <w:color w:val="0000FF"/>
                <w:szCs w:val="21"/>
              </w:rPr>
            </w:pPr>
          </w:p>
        </w:tc>
        <w:tc>
          <w:tcPr>
            <w:tcW w:w="715" w:type="pct"/>
            <w:vMerge w:val="restart"/>
            <w:vAlign w:val="center"/>
          </w:tcPr>
          <w:p>
            <w:pPr>
              <w:overflowPunct w:val="0"/>
              <w:autoSpaceDE w:val="0"/>
              <w:autoSpaceDN w:val="0"/>
              <w:adjustRightInd w:val="0"/>
              <w:snapToGrid w:val="0"/>
              <w:jc w:val="center"/>
              <w:rPr>
                <w:color w:val="0000FF"/>
                <w:szCs w:val="21"/>
              </w:rPr>
            </w:pPr>
            <w:r>
              <w:rPr>
                <w:rFonts w:hint="eastAsia" w:ascii="Times New Roman" w:hAnsi="Times New Roman" w:cs="Times New Roman"/>
                <w:color w:val="0000FF"/>
                <w:szCs w:val="21"/>
                <w:lang w:eastAsia="zh-CN"/>
              </w:rPr>
              <w:t>车间</w:t>
            </w:r>
            <w:r>
              <w:rPr>
                <w:rFonts w:hint="eastAsia" w:ascii="Times New Roman" w:hAnsi="Times New Roman" w:cs="Times New Roman"/>
                <w:color w:val="0000FF"/>
                <w:szCs w:val="21"/>
                <w:lang w:val="en-US" w:eastAsia="zh-CN"/>
              </w:rPr>
              <w:t>2（抛丸、喷塑、固化生产线）</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794" w:type="pct"/>
            <w:vAlign w:val="center"/>
          </w:tcPr>
          <w:p>
            <w:pPr>
              <w:pStyle w:val="31"/>
              <w:jc w:val="center"/>
              <w:rPr>
                <w:rFonts w:ascii="Times New Roman" w:hAnsi="Times New Roman" w:eastAsia="宋体" w:cs="Times New Roman"/>
                <w:color w:val="0000FF"/>
                <w:kern w:val="2"/>
                <w:sz w:val="21"/>
                <w:szCs w:val="21"/>
                <w:lang w:val="zh-CN" w:eastAsia="zh-CN" w:bidi="zh-CN"/>
              </w:rPr>
            </w:pPr>
            <w:r>
              <w:rPr>
                <w:rFonts w:hint="eastAsia" w:ascii="Times New Roman" w:hAnsi="Times New Roman" w:cs="Times New Roman"/>
                <w:color w:val="0000FF"/>
                <w:kern w:val="2"/>
                <w:sz w:val="21"/>
                <w:szCs w:val="21"/>
                <w:lang w:val="zh-CN" w:eastAsia="zh-CN" w:bidi="zh-CN"/>
              </w:rPr>
              <w:t>颗粒物</w:t>
            </w:r>
          </w:p>
        </w:tc>
        <w:tc>
          <w:tcPr>
            <w:tcW w:w="1293" w:type="pct"/>
            <w:vAlign w:val="center"/>
          </w:tcPr>
          <w:p>
            <w:pPr>
              <w:pStyle w:val="31"/>
              <w:jc w:val="center"/>
              <w:rPr>
                <w:rFonts w:hint="eastAsia" w:ascii="Times New Roman" w:hAnsi="Times New Roman" w:eastAsia="宋体" w:cs="Times New Roman"/>
                <w:color w:val="0000FF"/>
                <w:szCs w:val="21"/>
                <w:lang w:eastAsia="zh-CN"/>
              </w:rPr>
            </w:pPr>
            <w:r>
              <w:rPr>
                <w:rFonts w:ascii="Times New Roman" w:hAnsi="Times New Roman" w:cs="Times New Roman"/>
                <w:color w:val="0000FF"/>
                <w:szCs w:val="21"/>
                <w:lang w:val="en-US"/>
              </w:rPr>
              <w:t>布袋除尘器+15m高排气筒</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1573" w:type="pct"/>
            <w:vAlign w:val="center"/>
          </w:tcPr>
          <w:p>
            <w:pPr>
              <w:overflowPunct w:val="0"/>
              <w:autoSpaceDE w:val="0"/>
              <w:autoSpaceDN w:val="0"/>
              <w:adjustRightInd w:val="0"/>
              <w:snapToGrid w:val="0"/>
              <w:jc w:val="center"/>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《大气污染物综合排放标准》（GB16297-1996）表2</w:t>
            </w:r>
            <w:r>
              <w:rPr>
                <w:rFonts w:hint="eastAsia" w:cs="Times New Roman"/>
                <w:color w:val="0000FF"/>
                <w:sz w:val="21"/>
                <w:szCs w:val="21"/>
                <w:lang w:eastAsia="zh-CN"/>
              </w:rPr>
              <w:t>有组织颗粒物浓度</w:t>
            </w:r>
            <w:r>
              <w:rPr>
                <w:rFonts w:hint="eastAsia" w:cs="Times New Roman"/>
                <w:color w:val="0000FF"/>
                <w:sz w:val="21"/>
                <w:szCs w:val="21"/>
                <w:lang w:val="en-US" w:eastAsia="zh-CN"/>
              </w:rPr>
              <w:t>120mg/m</w:t>
            </w:r>
            <w:r>
              <w:rPr>
                <w:rFonts w:hint="eastAsia" w:cs="Times New Roman"/>
                <w:color w:val="0000FF"/>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4" w:type="pct"/>
            <w:vMerge w:val="continue"/>
            <w:vAlign w:val="center"/>
          </w:tcPr>
          <w:p>
            <w:pPr>
              <w:adjustRightInd w:val="0"/>
              <w:snapToGrid w:val="0"/>
              <w:jc w:val="center"/>
              <w:rPr>
                <w:color w:val="0000FF"/>
                <w:szCs w:val="21"/>
              </w:rPr>
            </w:pPr>
          </w:p>
        </w:tc>
        <w:tc>
          <w:tcPr>
            <w:tcW w:w="715" w:type="pct"/>
            <w:vMerge w:val="continue"/>
            <w:vAlign w:val="center"/>
          </w:tcPr>
          <w:p>
            <w:pPr>
              <w:overflowPunct w:val="0"/>
              <w:autoSpaceDE w:val="0"/>
              <w:autoSpaceDN w:val="0"/>
              <w:adjustRightInd w:val="0"/>
              <w:snapToGrid w:val="0"/>
              <w:jc w:val="center"/>
              <w:rPr>
                <w:color w:val="0000FF"/>
                <w:szCs w:val="21"/>
              </w:rPr>
            </w:pPr>
          </w:p>
        </w:tc>
        <w:tc>
          <w:tcPr>
            <w:tcW w:w="794" w:type="pct"/>
            <w:vAlign w:val="center"/>
          </w:tcPr>
          <w:p>
            <w:pPr>
              <w:overflowPunct w:val="0"/>
              <w:autoSpaceDE w:val="0"/>
              <w:autoSpaceDN w:val="0"/>
              <w:adjustRightInd w:val="0"/>
              <w:snapToGrid w:val="0"/>
              <w:jc w:val="center"/>
              <w:rPr>
                <w:rFonts w:ascii="Times New Roman" w:hAnsi="Times New Roman" w:eastAsia="宋体" w:cs="Times New Roman"/>
                <w:color w:val="0000FF"/>
                <w:kern w:val="2"/>
                <w:sz w:val="21"/>
                <w:szCs w:val="21"/>
                <w:lang w:val="zh-CN" w:eastAsia="zh-CN" w:bidi="ar-SA"/>
              </w:rPr>
            </w:pPr>
            <w:r>
              <w:rPr>
                <w:rFonts w:hint="eastAsia"/>
                <w:color w:val="0000FF"/>
                <w:szCs w:val="21"/>
                <w:lang w:val="zh-CN"/>
              </w:rPr>
              <w:t>非甲烷总烃</w:t>
            </w:r>
          </w:p>
        </w:tc>
        <w:tc>
          <w:tcPr>
            <w:tcW w:w="1293" w:type="pct"/>
            <w:vAlign w:val="center"/>
          </w:tcPr>
          <w:p>
            <w:pPr>
              <w:pStyle w:val="31"/>
              <w:jc w:val="center"/>
              <w:rPr>
                <w:rFonts w:hint="eastAsia" w:ascii="Times New Roman" w:hAnsi="Times New Roman" w:eastAsia="宋体" w:cs="Times New Roman"/>
                <w:color w:val="0000FF"/>
                <w:szCs w:val="21"/>
                <w:lang w:val="en-US" w:eastAsia="zh-CN" w:bidi="ar-SA"/>
              </w:rPr>
            </w:pPr>
            <w:r>
              <w:rPr>
                <w:rFonts w:hint="eastAsia" w:ascii="Times New Roman" w:hAnsi="Times New Roman" w:cs="Times New Roman"/>
                <w:color w:val="0000FF"/>
                <w:szCs w:val="21"/>
                <w:lang w:val="en-US" w:eastAsia="zh-CN"/>
              </w:rPr>
              <w:t>二级活性炭吸附装置+</w:t>
            </w:r>
            <w:r>
              <w:rPr>
                <w:rFonts w:ascii="Times New Roman" w:hAnsi="Times New Roman" w:cs="Times New Roman"/>
                <w:color w:val="0000FF"/>
                <w:szCs w:val="21"/>
                <w:lang w:val="en-US"/>
              </w:rPr>
              <w:t>15m高排气筒排放</w:t>
            </w:r>
            <w:r>
              <w:rPr>
                <w:rFonts w:hint="eastAsia" w:ascii="Times New Roman" w:hAnsi="Times New Roman" w:cs="Times New Roman"/>
                <w:color w:val="0000FF"/>
                <w:szCs w:val="21"/>
                <w:lang w:val="en-US" w:eastAsia="zh-CN"/>
              </w:rPr>
              <w:t>（</w:t>
            </w:r>
            <w:r>
              <w:rPr>
                <w:rFonts w:ascii="Times New Roman" w:hAnsi="Times New Roman" w:cs="Times New Roman"/>
                <w:color w:val="0000FF"/>
                <w:szCs w:val="21"/>
              </w:rPr>
              <w:t>DA00</w:t>
            </w:r>
            <w:r>
              <w:rPr>
                <w:rFonts w:hint="eastAsia" w:ascii="Times New Roman" w:hAnsi="Times New Roman" w:cs="Times New Roman"/>
                <w:color w:val="0000FF"/>
                <w:szCs w:val="21"/>
                <w:lang w:val="en-US" w:eastAsia="zh-CN"/>
              </w:rPr>
              <w:t>2）</w:t>
            </w:r>
          </w:p>
        </w:tc>
        <w:tc>
          <w:tcPr>
            <w:tcW w:w="1573" w:type="pct"/>
            <w:vAlign w:val="center"/>
          </w:tcPr>
          <w:p>
            <w:pPr>
              <w:overflowPunct w:val="0"/>
              <w:autoSpaceDE w:val="0"/>
              <w:autoSpaceDN w:val="0"/>
              <w:adjustRightInd w:val="0"/>
              <w:snapToGrid w:val="0"/>
              <w:jc w:val="center"/>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《大气污染物综合排放标准》（GB16297-1996）表2</w:t>
            </w:r>
            <w:r>
              <w:rPr>
                <w:rFonts w:hint="eastAsia" w:cs="Times New Roman"/>
                <w:color w:val="0000FF"/>
                <w:sz w:val="21"/>
                <w:szCs w:val="21"/>
                <w:lang w:eastAsia="zh-CN"/>
              </w:rPr>
              <w:t>有组织非甲烷总烃浓度</w:t>
            </w:r>
            <w:r>
              <w:rPr>
                <w:rFonts w:hint="eastAsia" w:cs="Times New Roman"/>
                <w:color w:val="0000FF"/>
                <w:sz w:val="21"/>
                <w:szCs w:val="21"/>
                <w:lang w:val="en-US" w:eastAsia="zh-CN"/>
              </w:rPr>
              <w:t>120mg/m</w:t>
            </w:r>
            <w:r>
              <w:rPr>
                <w:rFonts w:hint="eastAsia" w:cs="Times New Roman"/>
                <w:color w:val="0000FF"/>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624" w:type="pct"/>
            <w:vMerge w:val="continue"/>
            <w:vAlign w:val="center"/>
          </w:tcPr>
          <w:p>
            <w:pPr>
              <w:adjustRightInd w:val="0"/>
              <w:snapToGrid w:val="0"/>
              <w:jc w:val="center"/>
              <w:rPr>
                <w:color w:val="0000FF"/>
                <w:szCs w:val="21"/>
              </w:rPr>
            </w:pPr>
          </w:p>
        </w:tc>
        <w:tc>
          <w:tcPr>
            <w:tcW w:w="715" w:type="pct"/>
            <w:vAlign w:val="center"/>
          </w:tcPr>
          <w:p>
            <w:pPr>
              <w:overflowPunct w:val="0"/>
              <w:autoSpaceDE w:val="0"/>
              <w:autoSpaceDN w:val="0"/>
              <w:adjustRightInd w:val="0"/>
              <w:snapToGrid w:val="0"/>
              <w:jc w:val="center"/>
              <w:rPr>
                <w:rFonts w:hint="eastAsia" w:eastAsia="宋体"/>
                <w:color w:val="0000FF"/>
                <w:szCs w:val="21"/>
                <w:lang w:eastAsia="zh-CN"/>
              </w:rPr>
            </w:pPr>
            <w:r>
              <w:rPr>
                <w:rFonts w:hint="eastAsia"/>
                <w:color w:val="0000FF"/>
                <w:szCs w:val="21"/>
                <w:lang w:eastAsia="zh-CN"/>
              </w:rPr>
              <w:t>厂界</w:t>
            </w:r>
          </w:p>
        </w:tc>
        <w:tc>
          <w:tcPr>
            <w:tcW w:w="794" w:type="pct"/>
            <w:vAlign w:val="center"/>
          </w:tcPr>
          <w:p>
            <w:pPr>
              <w:overflowPunct w:val="0"/>
              <w:autoSpaceDE w:val="0"/>
              <w:autoSpaceDN w:val="0"/>
              <w:adjustRightInd w:val="0"/>
              <w:snapToGrid w:val="0"/>
              <w:jc w:val="center"/>
              <w:rPr>
                <w:color w:val="0000FF"/>
                <w:szCs w:val="21"/>
              </w:rPr>
            </w:pPr>
            <w:r>
              <w:rPr>
                <w:rFonts w:hint="eastAsia" w:ascii="Times New Roman" w:hAnsi="Times New Roman" w:cs="Times New Roman"/>
                <w:color w:val="0000FF"/>
                <w:kern w:val="2"/>
                <w:sz w:val="21"/>
                <w:szCs w:val="21"/>
                <w:lang w:val="zh-CN" w:eastAsia="zh-CN" w:bidi="zh-CN"/>
              </w:rPr>
              <w:t>颗粒物、</w:t>
            </w:r>
            <w:r>
              <w:rPr>
                <w:rFonts w:hint="eastAsia"/>
                <w:color w:val="0000FF"/>
                <w:szCs w:val="21"/>
                <w:lang w:val="zh-CN"/>
              </w:rPr>
              <w:t>非甲烷总烃</w:t>
            </w:r>
          </w:p>
        </w:tc>
        <w:tc>
          <w:tcPr>
            <w:tcW w:w="1293" w:type="pct"/>
            <w:vMerge w:val="restart"/>
            <w:vAlign w:val="center"/>
          </w:tcPr>
          <w:p>
            <w:pPr>
              <w:pStyle w:val="31"/>
              <w:jc w:val="center"/>
              <w:rPr>
                <w:rFonts w:hint="eastAsia" w:ascii="Times New Roman" w:hAnsi="Times New Roman" w:eastAsia="宋体" w:cs="Times New Roman"/>
                <w:color w:val="0000FF"/>
                <w:lang w:val="en-US" w:eastAsia="zh-CN"/>
              </w:rPr>
            </w:pPr>
            <w:r>
              <w:rPr>
                <w:rFonts w:hint="eastAsia"/>
                <w:color w:val="0000FF"/>
                <w:szCs w:val="21"/>
              </w:rPr>
              <w:t>设置排气扇，加强通风</w:t>
            </w:r>
          </w:p>
        </w:tc>
        <w:tc>
          <w:tcPr>
            <w:tcW w:w="1573" w:type="pct"/>
            <w:vAlign w:val="center"/>
          </w:tcPr>
          <w:p>
            <w:pPr>
              <w:pStyle w:val="31"/>
              <w:jc w:val="center"/>
              <w:rPr>
                <w:rFonts w:hint="default" w:ascii="Times New Roman" w:hAnsi="Times New Roman" w:eastAsia="宋体" w:cs="Times New Roman"/>
                <w:color w:val="0000FF"/>
                <w:kern w:val="2"/>
                <w:sz w:val="21"/>
                <w:szCs w:val="21"/>
                <w:lang w:val="en-US" w:eastAsia="zh-CN" w:bidi="zh-CN"/>
              </w:rPr>
            </w:pPr>
            <w:r>
              <w:rPr>
                <w:rFonts w:hint="default" w:ascii="Times New Roman" w:hAnsi="Times New Roman" w:eastAsia="宋体" w:cs="Times New Roman"/>
                <w:color w:val="0000FF"/>
                <w:sz w:val="21"/>
                <w:szCs w:val="21"/>
              </w:rPr>
              <w:t>《大气污染物综合排放标准》（GB16297-1996）表2</w:t>
            </w:r>
            <w:r>
              <w:rPr>
                <w:rFonts w:hint="eastAsia" w:ascii="Times New Roman" w:hAnsi="Times New Roman" w:cs="Times New Roman"/>
                <w:color w:val="0000FF"/>
                <w:sz w:val="21"/>
                <w:szCs w:val="21"/>
                <w:lang w:eastAsia="zh-CN"/>
              </w:rPr>
              <w:t>颗粒物浓度</w:t>
            </w:r>
            <w:r>
              <w:rPr>
                <w:rFonts w:hint="eastAsia" w:ascii="Times New Roman" w:hAnsi="Times New Roman" w:eastAsia="宋体" w:cs="Times New Roman"/>
                <w:color w:val="0000FF"/>
                <w:kern w:val="2"/>
                <w:sz w:val="21"/>
                <w:szCs w:val="21"/>
                <w:lang w:val="en-US" w:eastAsia="zh-CN" w:bidi="ar-SA"/>
              </w:rPr>
              <w:t>1.0mg/m</w:t>
            </w:r>
            <w:r>
              <w:rPr>
                <w:rFonts w:hint="eastAsia" w:ascii="Times New Roman" w:hAnsi="Times New Roman" w:eastAsia="宋体" w:cs="Times New Roman"/>
                <w:color w:val="0000FF"/>
                <w:kern w:val="2"/>
                <w:sz w:val="21"/>
                <w:szCs w:val="21"/>
                <w:vertAlign w:val="superscript"/>
                <w:lang w:val="en-US" w:eastAsia="zh-CN" w:bidi="ar-SA"/>
              </w:rPr>
              <w:t>3</w:t>
            </w:r>
            <w:r>
              <w:rPr>
                <w:rFonts w:hint="eastAsia" w:ascii="Times New Roman" w:hAnsi="Times New Roman" w:cs="Times New Roman"/>
                <w:color w:val="0000FF"/>
                <w:kern w:val="2"/>
                <w:sz w:val="21"/>
                <w:szCs w:val="21"/>
                <w:vertAlign w:val="baseline"/>
                <w:lang w:val="en-US" w:eastAsia="zh-CN" w:bidi="ar-SA"/>
              </w:rPr>
              <w:t>、非甲烷总烃浓度4.0</w:t>
            </w:r>
            <w:r>
              <w:rPr>
                <w:rFonts w:hint="eastAsia" w:ascii="Times New Roman" w:hAnsi="Times New Roman" w:eastAsia="宋体" w:cs="Times New Roman"/>
                <w:color w:val="0000FF"/>
                <w:kern w:val="2"/>
                <w:sz w:val="21"/>
                <w:szCs w:val="21"/>
                <w:lang w:val="en-US" w:eastAsia="zh-CN" w:bidi="ar-SA"/>
              </w:rPr>
              <w:t>mg/m</w:t>
            </w:r>
            <w:r>
              <w:rPr>
                <w:rFonts w:hint="eastAsia" w:ascii="Times New Roman" w:hAnsi="Times New Roman" w:eastAsia="宋体" w:cs="Times New Roman"/>
                <w:color w:val="0000FF"/>
                <w:kern w:val="2"/>
                <w:sz w:val="21"/>
                <w:szCs w:val="21"/>
                <w:vertAlign w:val="superscript"/>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24" w:type="pct"/>
            <w:vMerge w:val="continue"/>
            <w:vAlign w:val="center"/>
          </w:tcPr>
          <w:p>
            <w:pPr>
              <w:adjustRightInd w:val="0"/>
              <w:snapToGrid w:val="0"/>
              <w:jc w:val="center"/>
              <w:rPr>
                <w:color w:val="0000FF"/>
                <w:szCs w:val="21"/>
              </w:rPr>
            </w:pPr>
          </w:p>
        </w:tc>
        <w:tc>
          <w:tcPr>
            <w:tcW w:w="715" w:type="pct"/>
            <w:vAlign w:val="center"/>
          </w:tcPr>
          <w:p>
            <w:pPr>
              <w:jc w:val="center"/>
              <w:rPr>
                <w:rFonts w:hint="eastAsia" w:eastAsia="宋体"/>
                <w:bCs/>
                <w:color w:val="0000FF"/>
                <w:szCs w:val="21"/>
                <w:lang w:eastAsia="zh-CN"/>
              </w:rPr>
            </w:pPr>
            <w:r>
              <w:rPr>
                <w:rFonts w:hint="eastAsia"/>
                <w:bCs/>
                <w:color w:val="0000FF"/>
                <w:szCs w:val="21"/>
                <w:lang w:eastAsia="zh-CN"/>
              </w:rPr>
              <w:t>厂区</w:t>
            </w:r>
          </w:p>
        </w:tc>
        <w:tc>
          <w:tcPr>
            <w:tcW w:w="794" w:type="pct"/>
            <w:vAlign w:val="center"/>
          </w:tcPr>
          <w:p>
            <w:pPr>
              <w:jc w:val="center"/>
              <w:rPr>
                <w:bCs/>
                <w:color w:val="0000FF"/>
                <w:szCs w:val="21"/>
              </w:rPr>
            </w:pPr>
            <w:r>
              <w:rPr>
                <w:rFonts w:hint="eastAsia"/>
                <w:color w:val="0000FF"/>
                <w:szCs w:val="21"/>
                <w:lang w:val="zh-CN"/>
              </w:rPr>
              <w:t>非甲烷总烃</w:t>
            </w:r>
          </w:p>
        </w:tc>
        <w:tc>
          <w:tcPr>
            <w:tcW w:w="1293" w:type="pct"/>
            <w:vMerge w:val="continue"/>
            <w:vAlign w:val="center"/>
          </w:tcPr>
          <w:p>
            <w:pPr>
              <w:jc w:val="center"/>
              <w:rPr>
                <w:rFonts w:hint="eastAsia" w:eastAsia="宋体"/>
                <w:bCs/>
                <w:color w:val="0000FF"/>
                <w:szCs w:val="21"/>
                <w:lang w:eastAsia="zh-CN"/>
              </w:rPr>
            </w:pPr>
          </w:p>
        </w:tc>
        <w:tc>
          <w:tcPr>
            <w:tcW w:w="1573" w:type="pct"/>
            <w:vAlign w:val="center"/>
          </w:tcPr>
          <w:p>
            <w:pPr>
              <w:pStyle w:val="31"/>
              <w:jc w:val="center"/>
              <w:rPr>
                <w:rFonts w:hint="default" w:ascii="Times New Roman" w:hAnsi="Times New Roman" w:eastAsia="宋体" w:cs="Times New Roman"/>
                <w:color w:val="0000FF"/>
                <w:kern w:val="2"/>
                <w:sz w:val="21"/>
                <w:szCs w:val="21"/>
                <w:lang w:val="en-US" w:eastAsia="zh-CN" w:bidi="zh-CN"/>
              </w:rPr>
            </w:pPr>
            <w:r>
              <w:rPr>
                <w:rFonts w:hint="default" w:ascii="Times New Roman" w:hAnsi="Times New Roman" w:eastAsia="宋体" w:cs="Times New Roman"/>
                <w:color w:val="0000FF"/>
                <w:sz w:val="21"/>
                <w:szCs w:val="21"/>
              </w:rPr>
              <w:t>《挥发性有机物无组织排放控制标准》（GB37822-2019）表A.1限值要求</w:t>
            </w:r>
            <w:r>
              <w:rPr>
                <w:rFonts w:hint="eastAsia" w:ascii="Times New Roman" w:hAnsi="Times New Roman" w:cs="Times New Roman"/>
                <w:color w:val="0000FF"/>
                <w:sz w:val="21"/>
                <w:szCs w:val="21"/>
                <w:lang w:eastAsia="zh-CN"/>
              </w:rPr>
              <w:t>无组织非甲烷总烃浓</w:t>
            </w:r>
            <w:r>
              <w:rPr>
                <w:rFonts w:hint="eastAsia" w:ascii="Times New Roman" w:hAnsi="Times New Roman" w:eastAsia="宋体" w:cs="Times New Roman"/>
                <w:color w:val="0000FF"/>
                <w:kern w:val="2"/>
                <w:sz w:val="21"/>
                <w:szCs w:val="21"/>
                <w:lang w:val="en-US" w:eastAsia="zh-CN" w:bidi="ar-SA"/>
              </w:rPr>
              <w:t>度6mg/m</w:t>
            </w:r>
            <w:r>
              <w:rPr>
                <w:rFonts w:hint="eastAsia" w:ascii="Times New Roman" w:hAnsi="Times New Roman" w:eastAsia="宋体" w:cs="Times New Roman"/>
                <w:color w:val="0000FF"/>
                <w:kern w:val="2"/>
                <w:sz w:val="21"/>
                <w:szCs w:val="21"/>
                <w:vertAlign w:val="superscript"/>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4" w:type="pct"/>
            <w:vMerge w:val="restart"/>
            <w:vAlign w:val="center"/>
          </w:tcPr>
          <w:p>
            <w:pPr>
              <w:adjustRightInd w:val="0"/>
              <w:snapToGrid w:val="0"/>
              <w:jc w:val="center"/>
              <w:rPr>
                <w:color w:val="0000FF"/>
                <w:szCs w:val="21"/>
              </w:rPr>
            </w:pPr>
            <w:r>
              <w:rPr>
                <w:color w:val="0000FF"/>
                <w:szCs w:val="21"/>
              </w:rPr>
              <w:t>地表水环境</w:t>
            </w:r>
          </w:p>
        </w:tc>
        <w:tc>
          <w:tcPr>
            <w:tcW w:w="715" w:type="pct"/>
            <w:vAlign w:val="center"/>
          </w:tcPr>
          <w:p>
            <w:pPr>
              <w:jc w:val="center"/>
              <w:rPr>
                <w:bCs/>
                <w:color w:val="0000FF"/>
                <w:szCs w:val="21"/>
              </w:rPr>
            </w:pPr>
            <w:r>
              <w:rPr>
                <w:bCs/>
                <w:color w:val="0000FF"/>
                <w:szCs w:val="21"/>
              </w:rPr>
              <w:t>生活污水</w:t>
            </w:r>
          </w:p>
        </w:tc>
        <w:tc>
          <w:tcPr>
            <w:tcW w:w="794" w:type="pct"/>
            <w:vAlign w:val="center"/>
          </w:tcPr>
          <w:p>
            <w:pPr>
              <w:pStyle w:val="31"/>
              <w:jc w:val="center"/>
              <w:rPr>
                <w:rFonts w:ascii="Times New Roman" w:hAnsi="Times New Roman" w:eastAsia="宋体" w:cs="Times New Roman"/>
                <w:color w:val="0000FF"/>
                <w:kern w:val="2"/>
                <w:sz w:val="21"/>
                <w:szCs w:val="21"/>
                <w:lang w:val="zh-CN" w:eastAsia="zh-CN" w:bidi="zh-CN"/>
              </w:rPr>
            </w:pPr>
            <w:r>
              <w:rPr>
                <w:rFonts w:ascii="Times New Roman" w:hAnsi="Times New Roman" w:cs="Times New Roman"/>
                <w:color w:val="0000FF"/>
                <w:szCs w:val="21"/>
              </w:rPr>
              <w:t>生活污水</w:t>
            </w:r>
          </w:p>
        </w:tc>
        <w:tc>
          <w:tcPr>
            <w:tcW w:w="1293" w:type="pct"/>
            <w:vAlign w:val="center"/>
          </w:tcPr>
          <w:p>
            <w:pPr>
              <w:pStyle w:val="31"/>
              <w:jc w:val="center"/>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cs="Times New Roman"/>
                <w:color w:val="0000FF"/>
                <w:szCs w:val="21"/>
                <w:lang w:val="en-US" w:eastAsia="zh-CN"/>
              </w:rPr>
              <w:t>不新增劳动定员，不新增生活污水排放</w:t>
            </w:r>
          </w:p>
        </w:tc>
        <w:tc>
          <w:tcPr>
            <w:tcW w:w="1573" w:type="pct"/>
            <w:vMerge w:val="restart"/>
            <w:vAlign w:val="center"/>
          </w:tcPr>
          <w:p>
            <w:pPr>
              <w:pStyle w:val="31"/>
              <w:jc w:val="center"/>
              <w:rPr>
                <w:rFonts w:hint="default" w:ascii="Times New Roman" w:hAnsi="Times New Roman" w:eastAsia="宋体" w:cs="Times New Roman"/>
                <w:color w:val="0000FF"/>
                <w:szCs w:val="21"/>
                <w:lang w:val="en-US" w:eastAsia="zh-CN" w:bidi="ar-SA"/>
              </w:rPr>
            </w:pPr>
            <w:r>
              <w:rPr>
                <w:rFonts w:hint="eastAsia" w:ascii="Times New Roman" w:hAnsi="Times New Roman" w:cs="Times New Roman"/>
                <w:color w:val="0000FF"/>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24" w:type="pct"/>
            <w:vMerge w:val="continue"/>
            <w:vAlign w:val="center"/>
          </w:tcPr>
          <w:p>
            <w:pPr>
              <w:adjustRightInd w:val="0"/>
              <w:snapToGrid w:val="0"/>
              <w:jc w:val="center"/>
              <w:rPr>
                <w:color w:val="0000FF"/>
                <w:szCs w:val="21"/>
              </w:rPr>
            </w:pPr>
          </w:p>
        </w:tc>
        <w:tc>
          <w:tcPr>
            <w:tcW w:w="715" w:type="pct"/>
            <w:vAlign w:val="center"/>
          </w:tcPr>
          <w:p>
            <w:pPr>
              <w:jc w:val="center"/>
              <w:rPr>
                <w:bCs/>
                <w:color w:val="0000FF"/>
                <w:szCs w:val="21"/>
              </w:rPr>
            </w:pPr>
            <w:r>
              <w:rPr>
                <w:bCs/>
                <w:color w:val="0000FF"/>
                <w:szCs w:val="21"/>
              </w:rPr>
              <w:t>生产废水</w:t>
            </w:r>
          </w:p>
        </w:tc>
        <w:tc>
          <w:tcPr>
            <w:tcW w:w="794" w:type="pct"/>
            <w:vAlign w:val="center"/>
          </w:tcPr>
          <w:p>
            <w:pPr>
              <w:pStyle w:val="31"/>
              <w:jc w:val="center"/>
              <w:rPr>
                <w:rFonts w:hint="eastAsia" w:ascii="Times New Roman" w:hAnsi="Times New Roman" w:eastAsia="宋体" w:cs="Times New Roman"/>
                <w:color w:val="0000FF"/>
                <w:kern w:val="2"/>
                <w:sz w:val="21"/>
                <w:szCs w:val="21"/>
                <w:lang w:val="en-US" w:eastAsia="zh-CN" w:bidi="zh-CN"/>
              </w:rPr>
            </w:pPr>
            <w:r>
              <w:rPr>
                <w:rFonts w:ascii="Times New Roman" w:hAnsi="Times New Roman" w:cs="Times New Roman"/>
                <w:color w:val="0000FF"/>
                <w:szCs w:val="21"/>
                <w:lang w:val="en-US"/>
              </w:rPr>
              <w:t>生产废水</w:t>
            </w:r>
          </w:p>
        </w:tc>
        <w:tc>
          <w:tcPr>
            <w:tcW w:w="1293" w:type="pct"/>
            <w:vAlign w:val="center"/>
          </w:tcPr>
          <w:p>
            <w:pPr>
              <w:pStyle w:val="31"/>
              <w:jc w:val="center"/>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cs="Times New Roman"/>
                <w:color w:val="0000FF"/>
                <w:szCs w:val="21"/>
                <w:lang w:val="en-US" w:eastAsia="zh-CN"/>
              </w:rPr>
              <w:t>生产不用水，不产生生产废水</w:t>
            </w:r>
          </w:p>
        </w:tc>
        <w:tc>
          <w:tcPr>
            <w:tcW w:w="1573" w:type="pct"/>
            <w:vMerge w:val="continue"/>
            <w:vAlign w:val="center"/>
          </w:tcPr>
          <w:p>
            <w:pPr>
              <w:pStyle w:val="31"/>
              <w:jc w:val="center"/>
              <w:rPr>
                <w:rFonts w:ascii="Times New Roman" w:hAnsi="Times New Roman" w:cs="Times New Roman"/>
                <w:color w:val="0000FF"/>
                <w:szCs w:val="21"/>
                <w:lang w:val="en-US"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4" w:type="pct"/>
            <w:vAlign w:val="center"/>
          </w:tcPr>
          <w:p>
            <w:pPr>
              <w:adjustRightInd w:val="0"/>
              <w:snapToGrid w:val="0"/>
              <w:jc w:val="center"/>
              <w:rPr>
                <w:color w:val="0000FF"/>
                <w:szCs w:val="21"/>
              </w:rPr>
            </w:pPr>
            <w:r>
              <w:rPr>
                <w:color w:val="0000FF"/>
                <w:szCs w:val="21"/>
              </w:rPr>
              <w:t>声环境</w:t>
            </w:r>
          </w:p>
        </w:tc>
        <w:tc>
          <w:tcPr>
            <w:tcW w:w="715" w:type="pct"/>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设备运行噪声</w:t>
            </w:r>
          </w:p>
        </w:tc>
        <w:tc>
          <w:tcPr>
            <w:tcW w:w="794" w:type="pct"/>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等效A声级</w:t>
            </w:r>
          </w:p>
        </w:tc>
        <w:tc>
          <w:tcPr>
            <w:tcW w:w="1293" w:type="pct"/>
            <w:vAlign w:val="center"/>
          </w:tcPr>
          <w:p>
            <w:pPr>
              <w:pStyle w:val="31"/>
              <w:jc w:val="center"/>
              <w:rPr>
                <w:rFonts w:ascii="Times New Roman" w:hAnsi="Times New Roman" w:cs="Times New Roman"/>
                <w:color w:val="0000FF"/>
                <w:szCs w:val="21"/>
              </w:rPr>
            </w:pPr>
            <w:r>
              <w:rPr>
                <w:rFonts w:ascii="Times New Roman" w:hAnsi="Times New Roman" w:cs="Times New Roman"/>
                <w:color w:val="0000FF"/>
                <w:szCs w:val="21"/>
              </w:rPr>
              <w:t>基础减振厂房隔声</w:t>
            </w:r>
          </w:p>
        </w:tc>
        <w:tc>
          <w:tcPr>
            <w:tcW w:w="1573" w:type="pct"/>
            <w:vAlign w:val="center"/>
          </w:tcPr>
          <w:p>
            <w:pPr>
              <w:pStyle w:val="31"/>
              <w:jc w:val="center"/>
              <w:rPr>
                <w:rFonts w:ascii="Times New Roman" w:hAnsi="Times New Roman" w:cs="Times New Roman"/>
                <w:color w:val="0000FF"/>
                <w:szCs w:val="21"/>
                <w:lang w:val="en-US" w:bidi="ar-SA"/>
              </w:rPr>
            </w:pPr>
            <w:r>
              <w:rPr>
                <w:rFonts w:hint="eastAsia" w:ascii="Times New Roman" w:hAnsi="Times New Roman" w:cs="Times New Roman"/>
                <w:color w:val="0000FF"/>
                <w:szCs w:val="21"/>
                <w:lang w:val="en-US" w:bidi="ar-SA"/>
              </w:rPr>
              <w:t>《工业企业厂界环境噪声排放标准》（GB12348-2008）中3类标准昼间≤65dB(A)，夜间≤55dB（A）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4" w:type="pct"/>
            <w:vAlign w:val="center"/>
          </w:tcPr>
          <w:p>
            <w:pPr>
              <w:adjustRightInd w:val="0"/>
              <w:snapToGrid w:val="0"/>
              <w:jc w:val="center"/>
              <w:rPr>
                <w:color w:val="0000FF"/>
                <w:szCs w:val="21"/>
              </w:rPr>
            </w:pPr>
            <w:r>
              <w:rPr>
                <w:color w:val="0000FF"/>
                <w:szCs w:val="21"/>
              </w:rPr>
              <w:t>电磁辐射</w:t>
            </w:r>
          </w:p>
        </w:tc>
        <w:tc>
          <w:tcPr>
            <w:tcW w:w="4375" w:type="pct"/>
            <w:gridSpan w:val="4"/>
            <w:vAlign w:val="center"/>
          </w:tcPr>
          <w:p>
            <w:pPr>
              <w:adjustRightInd w:val="0"/>
              <w:snapToGrid w:val="0"/>
              <w:jc w:val="center"/>
              <w:rPr>
                <w:color w:val="0000FF"/>
                <w:szCs w:val="21"/>
              </w:rPr>
            </w:pPr>
            <w:r>
              <w:rPr>
                <w:color w:val="0000FF"/>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vMerge w:val="restart"/>
            <w:vAlign w:val="center"/>
          </w:tcPr>
          <w:p>
            <w:pPr>
              <w:adjustRightInd w:val="0"/>
              <w:snapToGrid w:val="0"/>
              <w:jc w:val="center"/>
              <w:rPr>
                <w:color w:val="0000FF"/>
                <w:szCs w:val="21"/>
              </w:rPr>
            </w:pPr>
            <w:r>
              <w:rPr>
                <w:color w:val="0000FF"/>
                <w:szCs w:val="21"/>
              </w:rPr>
              <w:t>固体废物</w:t>
            </w:r>
          </w:p>
        </w:tc>
        <w:tc>
          <w:tcPr>
            <w:tcW w:w="715" w:type="pct"/>
            <w:vMerge w:val="restart"/>
            <w:tcBorders>
              <w:right w:val="single" w:color="auto" w:sz="4" w:space="0"/>
            </w:tcBorders>
            <w:vAlign w:val="center"/>
          </w:tcPr>
          <w:p>
            <w:pPr>
              <w:overflowPunct w:val="0"/>
              <w:autoSpaceDE w:val="0"/>
              <w:autoSpaceDN w:val="0"/>
              <w:adjustRightInd w:val="0"/>
              <w:snapToGrid w:val="0"/>
              <w:jc w:val="center"/>
              <w:rPr>
                <w:rFonts w:hint="default" w:ascii="Times New Roman" w:hAnsi="Times New Roman" w:eastAsia="宋体" w:cs="Times New Roman"/>
                <w:color w:val="0000FF"/>
                <w:kern w:val="2"/>
                <w:sz w:val="21"/>
                <w:szCs w:val="21"/>
                <w:lang w:val="zh-CN" w:eastAsia="zh-CN" w:bidi="zh-CN"/>
              </w:rPr>
            </w:pPr>
            <w:r>
              <w:rPr>
                <w:rFonts w:hint="default" w:ascii="Times New Roman" w:hAnsi="Times New Roman" w:eastAsia="宋体" w:cs="Times New Roman"/>
                <w:color w:val="0000FF"/>
                <w:kern w:val="2"/>
                <w:sz w:val="21"/>
                <w:szCs w:val="21"/>
                <w:lang w:val="zh-CN" w:eastAsia="zh-CN" w:bidi="zh-CN"/>
              </w:rPr>
              <w:t>一般工业固体废物</w:t>
            </w:r>
          </w:p>
        </w:tc>
        <w:tc>
          <w:tcPr>
            <w:tcW w:w="794" w:type="pct"/>
            <w:tcBorders>
              <w:left w:val="single" w:color="auto" w:sz="4" w:space="0"/>
              <w:right w:val="single" w:color="auto" w:sz="4" w:space="0"/>
            </w:tcBorders>
            <w:vAlign w:val="center"/>
          </w:tcPr>
          <w:p>
            <w:pPr>
              <w:overflowPunct w:val="0"/>
              <w:autoSpaceDE w:val="0"/>
              <w:autoSpaceDN w:val="0"/>
              <w:adjustRightInd w:val="0"/>
              <w:snapToGrid w:val="0"/>
              <w:jc w:val="center"/>
              <w:rPr>
                <w:rFonts w:hint="default" w:ascii="Times New Roman" w:hAnsi="Times New Roman" w:eastAsia="宋体" w:cs="Times New Roman"/>
                <w:color w:val="0000FF"/>
                <w:kern w:val="2"/>
                <w:sz w:val="21"/>
                <w:szCs w:val="21"/>
                <w:lang w:val="zh-CN" w:eastAsia="zh-CN" w:bidi="zh-CN"/>
              </w:rPr>
            </w:pPr>
            <w:r>
              <w:rPr>
                <w:rFonts w:hint="default" w:ascii="Times New Roman" w:hAnsi="Times New Roman" w:eastAsia="宋体" w:cs="Times New Roman"/>
                <w:color w:val="0000FF"/>
                <w:kern w:val="2"/>
                <w:sz w:val="21"/>
                <w:szCs w:val="21"/>
                <w:lang w:val="en-US" w:eastAsia="zh-CN" w:bidi="zh-CN"/>
              </w:rPr>
              <w:t>废塑粉滤芯及塑化废渣</w:t>
            </w:r>
          </w:p>
        </w:tc>
        <w:tc>
          <w:tcPr>
            <w:tcW w:w="1293" w:type="pct"/>
            <w:tcBorders>
              <w:left w:val="single" w:color="auto" w:sz="4" w:space="0"/>
              <w:right w:val="single" w:color="auto" w:sz="4" w:space="0"/>
            </w:tcBorders>
            <w:vAlign w:val="center"/>
          </w:tcPr>
          <w:p>
            <w:pPr>
              <w:overflowPunct w:val="0"/>
              <w:autoSpaceDE w:val="0"/>
              <w:autoSpaceDN w:val="0"/>
              <w:adjustRightInd w:val="0"/>
              <w:snapToGrid w:val="0"/>
              <w:jc w:val="center"/>
              <w:rPr>
                <w:rFonts w:hint="default" w:ascii="Times New Roman" w:hAnsi="Times New Roman" w:eastAsia="宋体" w:cs="Times New Roman"/>
                <w:color w:val="0000FF"/>
                <w:kern w:val="2"/>
                <w:sz w:val="21"/>
                <w:szCs w:val="21"/>
                <w:lang w:val="zh-CN" w:eastAsia="zh-CN" w:bidi="zh-CN"/>
              </w:rPr>
            </w:pPr>
            <w:r>
              <w:rPr>
                <w:rFonts w:hint="eastAsia" w:ascii="Times New Roman" w:hAnsi="Times New Roman" w:eastAsia="宋体" w:cs="Times New Roman"/>
                <w:color w:val="0000FF"/>
                <w:kern w:val="2"/>
                <w:sz w:val="21"/>
                <w:szCs w:val="21"/>
                <w:lang w:val="zh-CN" w:eastAsia="zh-CN" w:bidi="zh-CN"/>
              </w:rPr>
              <w:t>交由一般固废处置单位处置</w:t>
            </w:r>
          </w:p>
        </w:tc>
        <w:tc>
          <w:tcPr>
            <w:tcW w:w="1573" w:type="pct"/>
            <w:vMerge w:val="restart"/>
            <w:tcBorders>
              <w:left w:val="single" w:color="auto" w:sz="4" w:space="0"/>
              <w:right w:val="single" w:color="auto" w:sz="4" w:space="0"/>
            </w:tcBorders>
            <w:vAlign w:val="center"/>
          </w:tcPr>
          <w:p>
            <w:pPr>
              <w:overflowPunct w:val="0"/>
              <w:autoSpaceDE w:val="0"/>
              <w:autoSpaceDN w:val="0"/>
              <w:adjustRightInd w:val="0"/>
              <w:snapToGrid w:val="0"/>
              <w:jc w:val="center"/>
              <w:rPr>
                <w:rFonts w:hint="default" w:ascii="Times New Roman" w:hAnsi="Times New Roman" w:eastAsia="宋体" w:cs="Times New Roman"/>
                <w:color w:val="0000FF"/>
                <w:kern w:val="2"/>
                <w:sz w:val="21"/>
                <w:szCs w:val="21"/>
                <w:lang w:val="zh-CN" w:eastAsia="zh-CN" w:bidi="zh-CN"/>
              </w:rPr>
            </w:pPr>
            <w:r>
              <w:rPr>
                <w:rFonts w:hint="default" w:ascii="Times New Roman" w:hAnsi="Times New Roman" w:eastAsia="宋体" w:cs="Times New Roman"/>
                <w:color w:val="0000FF"/>
                <w:kern w:val="2"/>
                <w:sz w:val="21"/>
                <w:szCs w:val="21"/>
                <w:lang w:val="zh-CN" w:eastAsia="zh-CN" w:bidi="zh-CN"/>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24" w:type="pct"/>
            <w:vMerge w:val="continue"/>
            <w:vAlign w:val="center"/>
          </w:tcPr>
          <w:p>
            <w:pPr>
              <w:adjustRightInd w:val="0"/>
              <w:snapToGrid w:val="0"/>
              <w:jc w:val="center"/>
              <w:rPr>
                <w:color w:val="0000FF"/>
                <w:szCs w:val="21"/>
              </w:rPr>
            </w:pPr>
          </w:p>
        </w:tc>
        <w:tc>
          <w:tcPr>
            <w:tcW w:w="715" w:type="pct"/>
            <w:vMerge w:val="continue"/>
            <w:tcBorders>
              <w:right w:val="single" w:color="auto" w:sz="4" w:space="0"/>
            </w:tcBorders>
            <w:vAlign w:val="center"/>
          </w:tcPr>
          <w:p>
            <w:pPr>
              <w:overflowPunct w:val="0"/>
              <w:autoSpaceDE w:val="0"/>
              <w:autoSpaceDN w:val="0"/>
              <w:adjustRightInd w:val="0"/>
              <w:snapToGrid w:val="0"/>
              <w:jc w:val="center"/>
              <w:rPr>
                <w:rFonts w:hint="default" w:ascii="Times New Roman" w:hAnsi="Times New Roman" w:eastAsia="宋体" w:cs="Times New Roman"/>
                <w:color w:val="0000FF"/>
                <w:kern w:val="2"/>
                <w:sz w:val="21"/>
                <w:szCs w:val="21"/>
                <w:lang w:val="zh-CN" w:eastAsia="zh-CN" w:bidi="zh-CN"/>
              </w:rPr>
            </w:pPr>
          </w:p>
        </w:tc>
        <w:tc>
          <w:tcPr>
            <w:tcW w:w="794" w:type="pct"/>
            <w:tcBorders>
              <w:left w:val="single" w:color="auto" w:sz="4" w:space="0"/>
              <w:right w:val="single" w:color="auto" w:sz="4" w:space="0"/>
            </w:tcBorders>
            <w:vAlign w:val="center"/>
          </w:tcPr>
          <w:p>
            <w:pPr>
              <w:keepNext w:val="0"/>
              <w:keepLines w:val="0"/>
              <w:pageBreakBefore w:val="0"/>
              <w:kinsoku/>
              <w:wordWrap/>
              <w:overflowPunct/>
              <w:topLinePunct w:val="0"/>
              <w:bidi w:val="0"/>
              <w:jc w:val="center"/>
              <w:rPr>
                <w:rFonts w:hint="eastAsia" w:ascii="Times New Roman" w:hAnsi="Times New Roman" w:eastAsia="宋体" w:cs="Times New Roman"/>
                <w:color w:val="0000FF"/>
                <w:kern w:val="2"/>
                <w:sz w:val="21"/>
                <w:szCs w:val="21"/>
                <w:lang w:val="zh-CN" w:eastAsia="zh-CN" w:bidi="zh-CN"/>
              </w:rPr>
            </w:pPr>
            <w:r>
              <w:rPr>
                <w:rFonts w:hint="eastAsia" w:ascii="Times New Roman" w:hAnsi="Times New Roman" w:eastAsia="宋体" w:cs="Times New Roman"/>
                <w:color w:val="0000FF"/>
                <w:kern w:val="2"/>
                <w:sz w:val="21"/>
                <w:szCs w:val="21"/>
                <w:lang w:val="en-US" w:eastAsia="zh-CN" w:bidi="zh-CN"/>
              </w:rPr>
              <w:t>喷塑布袋除尘器收集尘</w:t>
            </w:r>
          </w:p>
        </w:tc>
        <w:tc>
          <w:tcPr>
            <w:tcW w:w="1293" w:type="pct"/>
            <w:tcBorders>
              <w:left w:val="single" w:color="auto" w:sz="4" w:space="0"/>
              <w:right w:val="single" w:color="auto" w:sz="4" w:space="0"/>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0000FF"/>
                <w:kern w:val="2"/>
                <w:sz w:val="21"/>
                <w:szCs w:val="21"/>
                <w:lang w:val="zh-CN" w:eastAsia="zh-CN" w:bidi="zh-CN"/>
              </w:rPr>
            </w:pPr>
            <w:r>
              <w:rPr>
                <w:rFonts w:hint="eastAsia" w:ascii="Times New Roman" w:hAnsi="Times New Roman" w:eastAsia="宋体" w:cs="Times New Roman"/>
                <w:color w:val="0000FF"/>
                <w:kern w:val="2"/>
                <w:sz w:val="21"/>
                <w:szCs w:val="21"/>
                <w:lang w:val="en-US" w:eastAsia="zh-CN" w:bidi="zh-CN"/>
              </w:rPr>
              <w:t>作为喷塑原料使用</w:t>
            </w:r>
          </w:p>
        </w:tc>
        <w:tc>
          <w:tcPr>
            <w:tcW w:w="1573" w:type="pct"/>
            <w:vMerge w:val="continue"/>
            <w:tcBorders>
              <w:left w:val="single" w:color="auto" w:sz="4" w:space="0"/>
              <w:right w:val="single" w:color="auto" w:sz="4" w:space="0"/>
            </w:tcBorders>
            <w:vAlign w:val="center"/>
          </w:tcPr>
          <w:p>
            <w:pPr>
              <w:overflowPunct w:val="0"/>
              <w:autoSpaceDE w:val="0"/>
              <w:autoSpaceDN w:val="0"/>
              <w:adjustRightInd w:val="0"/>
              <w:snapToGrid w:val="0"/>
              <w:jc w:val="center"/>
              <w:rPr>
                <w:rFonts w:hint="default" w:ascii="Times New Roman" w:hAnsi="Times New Roman" w:eastAsia="宋体" w:cs="Times New Roman"/>
                <w:color w:val="0000FF"/>
                <w:kern w:val="2"/>
                <w:sz w:val="21"/>
                <w:szCs w:val="21"/>
                <w:lang w:val="zh-CN" w:eastAsia="zh-CN" w:bidi="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24" w:type="pct"/>
            <w:vMerge w:val="continue"/>
            <w:vAlign w:val="center"/>
          </w:tcPr>
          <w:p>
            <w:pPr>
              <w:keepNext w:val="0"/>
              <w:keepLines w:val="0"/>
              <w:pageBreakBefore w:val="0"/>
              <w:kinsoku/>
              <w:wordWrap/>
              <w:overflowPunct/>
              <w:topLinePunct w:val="0"/>
              <w:bidi w:val="0"/>
              <w:jc w:val="center"/>
              <w:rPr>
                <w:color w:val="0000FF"/>
              </w:rPr>
            </w:pPr>
          </w:p>
        </w:tc>
        <w:tc>
          <w:tcPr>
            <w:tcW w:w="715" w:type="pct"/>
            <w:vMerge w:val="continue"/>
            <w:tcBorders>
              <w:right w:val="single" w:color="auto" w:sz="4" w:space="0"/>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0000FF"/>
                <w:kern w:val="2"/>
                <w:sz w:val="21"/>
                <w:szCs w:val="21"/>
                <w:lang w:val="zh-CN" w:eastAsia="zh-CN" w:bidi="zh-CN"/>
              </w:rPr>
            </w:pPr>
          </w:p>
        </w:tc>
        <w:tc>
          <w:tcPr>
            <w:tcW w:w="794" w:type="pct"/>
            <w:tcBorders>
              <w:left w:val="single" w:color="auto" w:sz="4" w:space="0"/>
              <w:right w:val="single" w:color="auto" w:sz="4" w:space="0"/>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en-US" w:eastAsia="zh-CN" w:bidi="zh-CN"/>
              </w:rPr>
              <w:t>抛丸布袋除尘器收集尘</w:t>
            </w:r>
          </w:p>
        </w:tc>
        <w:tc>
          <w:tcPr>
            <w:tcW w:w="1293" w:type="pct"/>
            <w:tcBorders>
              <w:left w:val="single" w:color="auto" w:sz="4" w:space="0"/>
              <w:right w:val="single" w:color="auto" w:sz="4" w:space="0"/>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zh-CN" w:eastAsia="zh-CN" w:bidi="zh-CN"/>
              </w:rPr>
              <w:t>集中收集后外售综合利用</w:t>
            </w:r>
          </w:p>
        </w:tc>
        <w:tc>
          <w:tcPr>
            <w:tcW w:w="1573"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0000FF"/>
                <w:kern w:val="2"/>
                <w:sz w:val="21"/>
                <w:szCs w:val="21"/>
                <w:lang w:val="en-US" w:eastAsia="zh-CN" w:bidi="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24" w:type="pct"/>
            <w:vMerge w:val="continue"/>
            <w:vAlign w:val="center"/>
          </w:tcPr>
          <w:p>
            <w:pPr>
              <w:adjustRightInd w:val="0"/>
              <w:snapToGrid w:val="0"/>
              <w:jc w:val="center"/>
              <w:rPr>
                <w:color w:val="0000FF"/>
                <w:szCs w:val="21"/>
              </w:rPr>
            </w:pPr>
          </w:p>
        </w:tc>
        <w:tc>
          <w:tcPr>
            <w:tcW w:w="715" w:type="pct"/>
            <w:vAlign w:val="center"/>
          </w:tcPr>
          <w:p>
            <w:pPr>
              <w:overflowPunct w:val="0"/>
              <w:autoSpaceDE w:val="0"/>
              <w:autoSpaceDN w:val="0"/>
              <w:adjustRightInd w:val="0"/>
              <w:snapToGrid w:val="0"/>
              <w:jc w:val="center"/>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en-US" w:eastAsia="zh-CN" w:bidi="zh-CN"/>
              </w:rPr>
              <w:t>生活垃圾</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en-US" w:eastAsia="zh-CN" w:bidi="zh-CN"/>
              </w:rPr>
              <w:t>生活垃圾</w:t>
            </w:r>
          </w:p>
        </w:tc>
        <w:tc>
          <w:tcPr>
            <w:tcW w:w="1293"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cs="Times New Roman"/>
                <w:color w:val="0000FF"/>
                <w:szCs w:val="21"/>
                <w:lang w:val="en-US" w:eastAsia="zh-CN"/>
              </w:rPr>
              <w:t>不新增劳动定员，不新生活垃圾</w:t>
            </w:r>
          </w:p>
        </w:tc>
        <w:tc>
          <w:tcPr>
            <w:tcW w:w="1573"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en-US" w:eastAsia="zh-CN" w:bidi="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24" w:type="pct"/>
            <w:vMerge w:val="continue"/>
            <w:vAlign w:val="center"/>
          </w:tcPr>
          <w:p>
            <w:pPr>
              <w:adjustRightInd w:val="0"/>
              <w:snapToGrid w:val="0"/>
              <w:jc w:val="center"/>
              <w:rPr>
                <w:color w:val="0000FF"/>
                <w:szCs w:val="21"/>
              </w:rPr>
            </w:pPr>
          </w:p>
        </w:tc>
        <w:tc>
          <w:tcPr>
            <w:tcW w:w="715" w:type="pct"/>
            <w:vAlign w:val="center"/>
          </w:tcPr>
          <w:p>
            <w:pPr>
              <w:overflowPunct w:val="0"/>
              <w:autoSpaceDE w:val="0"/>
              <w:autoSpaceDN w:val="0"/>
              <w:adjustRightInd w:val="0"/>
              <w:snapToGrid w:val="0"/>
              <w:jc w:val="center"/>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en-US" w:eastAsia="zh-CN" w:bidi="zh-CN"/>
              </w:rPr>
              <w:t>危险废物</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en-US" w:eastAsia="zh-CN" w:bidi="zh-CN"/>
              </w:rPr>
              <w:t>废机油、废活性炭</w:t>
            </w:r>
          </w:p>
        </w:tc>
        <w:tc>
          <w:tcPr>
            <w:tcW w:w="1293"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szCs w:val="21"/>
                <w:lang w:val="en-US" w:eastAsia="zh-CN"/>
              </w:rPr>
              <w:t>暂存于危废暂存间内，定期</w:t>
            </w:r>
            <w:r>
              <w:rPr>
                <w:rFonts w:hint="eastAsia" w:cs="Times New Roman"/>
                <w:color w:val="0000FF"/>
                <w:szCs w:val="21"/>
                <w:lang w:val="en-US" w:eastAsia="zh-CN"/>
              </w:rPr>
              <w:t>交由</w:t>
            </w:r>
            <w:r>
              <w:rPr>
                <w:rFonts w:hint="eastAsia" w:ascii="Times New Roman" w:hAnsi="Times New Roman" w:eastAsia="宋体" w:cs="Times New Roman"/>
                <w:color w:val="0000FF"/>
                <w:szCs w:val="21"/>
                <w:lang w:val="en-US" w:eastAsia="zh-CN"/>
              </w:rPr>
              <w:t>有资质单位集中处理</w:t>
            </w:r>
          </w:p>
        </w:tc>
        <w:tc>
          <w:tcPr>
            <w:tcW w:w="1573"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FF"/>
                <w:kern w:val="2"/>
                <w:sz w:val="21"/>
                <w:szCs w:val="21"/>
                <w:lang w:val="en-US" w:eastAsia="zh-CN" w:bidi="zh-CN"/>
              </w:rPr>
            </w:pPr>
            <w:r>
              <w:rPr>
                <w:rFonts w:hint="eastAsia" w:ascii="Times New Roman" w:hAnsi="Times New Roman" w:eastAsia="宋体" w:cs="Times New Roman"/>
                <w:color w:val="0000FF"/>
                <w:kern w:val="2"/>
                <w:sz w:val="21"/>
                <w:szCs w:val="21"/>
                <w:lang w:val="en-US" w:eastAsia="zh-CN" w:bidi="zh-CN"/>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24" w:type="pct"/>
            <w:vAlign w:val="center"/>
          </w:tcPr>
          <w:p>
            <w:pPr>
              <w:adjustRightInd w:val="0"/>
              <w:snapToGrid w:val="0"/>
              <w:jc w:val="center"/>
              <w:rPr>
                <w:color w:val="0000FF"/>
                <w:szCs w:val="21"/>
              </w:rPr>
            </w:pPr>
            <w:r>
              <w:rPr>
                <w:color w:val="0000FF"/>
                <w:szCs w:val="21"/>
              </w:rPr>
              <w:t>土壤及地下水污染防治措施</w:t>
            </w:r>
          </w:p>
        </w:tc>
        <w:tc>
          <w:tcPr>
            <w:tcW w:w="4375" w:type="pct"/>
            <w:gridSpan w:val="4"/>
            <w:vAlign w:val="center"/>
          </w:tcPr>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0000FF"/>
                <w:sz w:val="24"/>
                <w:szCs w:val="24"/>
              </w:rPr>
            </w:pPr>
            <w:r>
              <w:rPr>
                <w:rFonts w:hint="eastAsia"/>
                <w:color w:val="0000FF"/>
                <w:sz w:val="24"/>
                <w:szCs w:val="24"/>
                <w:highlight w:val="none"/>
                <w:lang w:val="en-US" w:eastAsia="zh-CN"/>
              </w:rPr>
              <w:t>危废暂存间按照</w:t>
            </w:r>
            <w:r>
              <w:rPr>
                <w:rFonts w:hint="default" w:ascii="Times New Roman" w:hAnsi="Times New Roman" w:eastAsia="宋体" w:cs="Times New Roman"/>
                <w:color w:val="0000FF"/>
                <w:sz w:val="24"/>
                <w:szCs w:val="24"/>
                <w:highlight w:val="none"/>
                <w:lang w:val="en-US" w:eastAsia="zh-CN"/>
              </w:rPr>
              <w:t>《危险废物贮存污染控制标准》（GB18597-2023）</w:t>
            </w:r>
            <w:r>
              <w:rPr>
                <w:rFonts w:hint="eastAsia"/>
                <w:color w:val="0000FF"/>
                <w:sz w:val="24"/>
                <w:szCs w:val="24"/>
                <w:highlight w:val="none"/>
                <w:lang w:val="en-US" w:eastAsia="zh-CN"/>
              </w:rPr>
              <w:t>、《危险废物收集、贮存、运输技术规范》（HJ2025-2012）相关要求进行场地改造，场地进行防渗处理，危险废物暂存间地面设置导流沟，入口设围堰，</w:t>
            </w:r>
            <w:r>
              <w:rPr>
                <w:rFonts w:hint="eastAsia" w:ascii="Times New Roman" w:hAnsi="Times New Roman" w:cs="Times New Roman"/>
                <w:color w:val="0000FF"/>
                <w:sz w:val="24"/>
                <w:szCs w:val="24"/>
                <w:highlight w:val="none"/>
              </w:rPr>
              <w:t>项目不同危险废物均储存在不同的容器中分区存放，均位于室内，可做到防风、防雨、防晒</w:t>
            </w:r>
            <w:r>
              <w:rPr>
                <w:rFonts w:hint="eastAsia"/>
                <w:color w:val="0000FF"/>
                <w:sz w:val="24"/>
                <w:szCs w:val="24"/>
                <w:highlight w:val="none"/>
                <w:lang w:val="en-US" w:eastAsia="zh-CN"/>
              </w:rPr>
              <w:t>；地面采取抗渗混凝土＋2mm 厚高密度聚乙烯，或至少2mm 厚的其他人工材料，渗透系数≤1×10</w:t>
            </w:r>
            <w:r>
              <w:rPr>
                <w:rFonts w:hint="eastAsia"/>
                <w:color w:val="0000FF"/>
                <w:sz w:val="24"/>
                <w:szCs w:val="24"/>
                <w:highlight w:val="none"/>
                <w:vertAlign w:val="superscript"/>
                <w:lang w:val="en-US" w:eastAsia="zh-CN"/>
              </w:rPr>
              <w:t>-10</w:t>
            </w:r>
            <w:r>
              <w:rPr>
                <w:rFonts w:hint="eastAsia"/>
                <w:color w:val="0000FF"/>
                <w:sz w:val="24"/>
                <w:szCs w:val="24"/>
                <w:highlight w:val="none"/>
                <w:lang w:val="en-US" w:eastAsia="zh-CN"/>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624" w:type="pct"/>
            <w:vAlign w:val="center"/>
          </w:tcPr>
          <w:p>
            <w:pPr>
              <w:adjustRightInd w:val="0"/>
              <w:snapToGrid w:val="0"/>
              <w:jc w:val="center"/>
              <w:rPr>
                <w:color w:val="0000FF"/>
                <w:szCs w:val="21"/>
              </w:rPr>
            </w:pPr>
            <w:r>
              <w:rPr>
                <w:color w:val="0000FF"/>
                <w:szCs w:val="21"/>
              </w:rPr>
              <w:t>生态保护措施</w:t>
            </w:r>
          </w:p>
        </w:tc>
        <w:tc>
          <w:tcPr>
            <w:tcW w:w="4375" w:type="pct"/>
            <w:gridSpan w:val="4"/>
            <w:vAlign w:val="center"/>
          </w:tcPr>
          <w:p>
            <w:pPr>
              <w:adjustRightInd w:val="0"/>
              <w:snapToGrid w:val="0"/>
              <w:jc w:val="center"/>
              <w:rPr>
                <w:rFonts w:hint="eastAsia" w:eastAsia="宋体"/>
                <w:color w:val="0000FF"/>
                <w:sz w:val="24"/>
                <w:szCs w:val="24"/>
                <w:lang w:eastAsia="zh-CN"/>
              </w:rPr>
            </w:pPr>
            <w:r>
              <w:rPr>
                <w:rFonts w:hint="eastAsia" w:ascii="Times New Roman" w:hAnsi="Times New Roman" w:cs="Times New Roman"/>
                <w:color w:val="0000FF"/>
                <w:spacing w:val="0"/>
                <w:w w:val="100"/>
                <w:positio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24" w:type="pct"/>
            <w:vAlign w:val="center"/>
          </w:tcPr>
          <w:p>
            <w:pPr>
              <w:adjustRightInd w:val="0"/>
              <w:snapToGrid w:val="0"/>
              <w:jc w:val="center"/>
              <w:rPr>
                <w:color w:val="0000FF"/>
                <w:spacing w:val="-8"/>
                <w:szCs w:val="21"/>
              </w:rPr>
            </w:pPr>
            <w:r>
              <w:rPr>
                <w:color w:val="0000FF"/>
                <w:spacing w:val="-8"/>
                <w:szCs w:val="21"/>
              </w:rPr>
              <w:t>环境风险防范措施</w:t>
            </w:r>
          </w:p>
        </w:tc>
        <w:tc>
          <w:tcPr>
            <w:tcW w:w="4375" w:type="pct"/>
            <w:gridSpan w:val="4"/>
            <w:vAlign w:val="center"/>
          </w:tcPr>
          <w:p>
            <w:pPr>
              <w:pageBreakBefore w:val="0"/>
              <w:shd w:val="clear"/>
              <w:bidi w:val="0"/>
              <w:adjustRightInd w:val="0"/>
              <w:snapToGrid w:val="0"/>
              <w:spacing w:beforeAutospacing="0" w:afterAutospacing="0" w:line="360" w:lineRule="auto"/>
              <w:ind w:left="0" w:leftChars="0" w:right="0" w:rightChars="0" w:firstLine="480" w:firstLineChars="200"/>
              <w:jc w:val="left"/>
              <w:rPr>
                <w:color w:val="0000FF"/>
                <w:sz w:val="24"/>
                <w:szCs w:val="24"/>
              </w:rPr>
            </w:pPr>
            <w:r>
              <w:rPr>
                <w:rFonts w:hint="default" w:ascii="Times New Roman" w:hAnsi="Times New Roman" w:eastAsia="宋体" w:cs="Times New Roman"/>
                <w:color w:val="0000FF"/>
                <w:sz w:val="24"/>
                <w:szCs w:val="24"/>
                <w:highlight w:val="none"/>
              </w:rPr>
              <w:t>做好大气、废水、地下水等风险防范措施，完善全厂突发环境事件应急预案，定期开展应急演练和培训</w:t>
            </w:r>
            <w:r>
              <w:rPr>
                <w:rFonts w:hint="default" w:ascii="Times New Roman" w:hAnsi="Times New Roman" w:eastAsia="宋体" w:cs="Times New Roman"/>
                <w:b w:val="0"/>
                <w:bCs w:val="0"/>
                <w:color w:val="0000FF"/>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624" w:type="pct"/>
            <w:vAlign w:val="center"/>
          </w:tcPr>
          <w:p>
            <w:pPr>
              <w:adjustRightInd w:val="0"/>
              <w:snapToGrid w:val="0"/>
              <w:jc w:val="center"/>
              <w:rPr>
                <w:color w:val="0000FF"/>
                <w:spacing w:val="-8"/>
                <w:szCs w:val="21"/>
              </w:rPr>
            </w:pPr>
            <w:r>
              <w:rPr>
                <w:color w:val="0000FF"/>
                <w:spacing w:val="-8"/>
                <w:szCs w:val="21"/>
              </w:rPr>
              <w:t>其他环境管理要求</w:t>
            </w:r>
          </w:p>
        </w:tc>
        <w:tc>
          <w:tcPr>
            <w:tcW w:w="4375" w:type="pct"/>
            <w:gridSpan w:val="4"/>
            <w:vAlign w:val="center"/>
          </w:tcPr>
          <w:p>
            <w:pPr>
              <w:pStyle w:val="19"/>
              <w:ind w:firstLine="420"/>
              <w:rPr>
                <w:color w:val="0000FF"/>
                <w:sz w:val="21"/>
                <w:szCs w:val="21"/>
              </w:rPr>
            </w:pPr>
            <w:r>
              <w:rPr>
                <w:rFonts w:hint="eastAsia" w:ascii="Times New Roman" w:hAnsi="Times New Roman" w:eastAsia="宋体" w:cs="Times New Roman"/>
                <w:color w:val="0000FF"/>
                <w:kern w:val="2"/>
                <w:sz w:val="24"/>
                <w:szCs w:val="24"/>
                <w:highlight w:val="none"/>
                <w:lang w:val="en-US" w:eastAsia="zh-CN" w:bidi="ar-SA"/>
              </w:rPr>
              <w:t>应在全国排污许可证管理信息平台重新</w:t>
            </w:r>
            <w:r>
              <w:rPr>
                <w:rFonts w:hint="eastAsia" w:ascii="Times New Roman" w:hAnsi="Times New Roman" w:cs="Times New Roman"/>
                <w:color w:val="0000FF"/>
                <w:kern w:val="2"/>
                <w:sz w:val="24"/>
                <w:szCs w:val="24"/>
                <w:highlight w:val="none"/>
                <w:lang w:val="en-US" w:eastAsia="zh-CN" w:bidi="ar-SA"/>
              </w:rPr>
              <w:t>变更</w:t>
            </w:r>
            <w:r>
              <w:rPr>
                <w:rFonts w:hint="eastAsia" w:ascii="Times New Roman" w:hAnsi="Times New Roman" w:eastAsia="宋体" w:cs="Times New Roman"/>
                <w:color w:val="0000FF"/>
                <w:kern w:val="2"/>
                <w:sz w:val="24"/>
                <w:szCs w:val="24"/>
                <w:highlight w:val="none"/>
                <w:lang w:val="en-US" w:eastAsia="zh-CN" w:bidi="ar-SA"/>
              </w:rPr>
              <w:t>排污许可证。排污单位应制定自行监测方案，设置和维护监测设施，按照监测方案开展自行监测，做好质量保证和质量控制，记录和保存监测数据，依法开展信息公开工作。</w:t>
            </w:r>
          </w:p>
        </w:tc>
      </w:tr>
    </w:tbl>
    <w:p>
      <w:r>
        <w:br w:type="page"/>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六、结论</w:t>
      </w:r>
    </w:p>
    <w:tbl>
      <w:tblPr>
        <w:tblStyle w:val="2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7"/>
              <w:spacing w:line="364" w:lineRule="auto"/>
              <w:ind w:left="97" w:right="96" w:firstLine="480"/>
              <w:jc w:val="left"/>
              <w:rPr>
                <w:rFonts w:ascii="Times New Roman" w:hAnsi="Times New Roman" w:cs="Times New Roman"/>
                <w:color w:val="auto"/>
              </w:rPr>
            </w:pPr>
            <w:r>
              <w:rPr>
                <w:rFonts w:ascii="Times New Roman" w:hAnsi="Times New Roman" w:cs="Times New Roman"/>
                <w:color w:val="auto"/>
              </w:rPr>
              <w:t>综上所述，建设项目符合国家产业政策，</w:t>
            </w:r>
            <w:r>
              <w:rPr>
                <w:rFonts w:hint="eastAsia" w:cs="Times New Roman"/>
                <w:b w:val="0"/>
                <w:bCs/>
                <w:color w:val="auto"/>
                <w:kern w:val="2"/>
                <w:sz w:val="24"/>
                <w:szCs w:val="24"/>
                <w:highlight w:val="none"/>
                <w:lang w:val="en-US" w:eastAsia="zh-CN" w:bidi="ar-SA"/>
              </w:rPr>
              <w:t>区域环境质量总体上能达到环境标准要求；项目总图布置合理，本项目为扩建项目，</w:t>
            </w:r>
            <w:r>
              <w:rPr>
                <w:rFonts w:ascii="Times New Roman" w:hAnsi="Times New Roman" w:cs="Times New Roman"/>
                <w:color w:val="auto"/>
              </w:rPr>
              <w:t>建设单位应严格落实环境影响报告表提出的环保对策及措施，排放污染物能得到合理处置，工程对区域环境空气，水环境，声环境均不会产生明显的影响，对区域环境质量影响较小，从环保角度考虑，本项目建设是可行的。</w:t>
            </w:r>
          </w:p>
        </w:tc>
      </w:tr>
    </w:tbl>
    <w:p>
      <w:pPr>
        <w:pStyle w:val="19"/>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0"/>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pPr>
        <w:pStyle w:val="20"/>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3"/>
        <w:tblW w:w="50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292"/>
        <w:gridCol w:w="1767"/>
        <w:gridCol w:w="1228"/>
        <w:gridCol w:w="1764"/>
        <w:gridCol w:w="1645"/>
        <w:gridCol w:w="1540"/>
        <w:gridCol w:w="1907"/>
        <w:gridCol w:w="13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tcBorders>
              <w:tl2br w:val="single" w:color="auto" w:sz="4" w:space="0"/>
            </w:tcBorders>
            <w:tcMar>
              <w:left w:w="28" w:type="dxa"/>
              <w:right w:w="28" w:type="dxa"/>
            </w:tcMar>
            <w:vAlign w:val="center"/>
          </w:tcPr>
          <w:p>
            <w:pPr>
              <w:pStyle w:val="63"/>
              <w:spacing w:beforeLines="0" w:afterLines="0" w:line="240" w:lineRule="auto"/>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项目</w:t>
            </w:r>
          </w:p>
          <w:p>
            <w:pPr>
              <w:pStyle w:val="63"/>
              <w:spacing w:beforeLines="0" w:afterLines="0" w:line="240" w:lineRule="auto"/>
              <w:ind w:left="0" w:leftChars="0" w:firstLine="0" w:firstLineChars="0"/>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分类</w:t>
            </w:r>
          </w:p>
        </w:tc>
        <w:tc>
          <w:tcPr>
            <w:tcW w:w="475"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污染物名称</w:t>
            </w:r>
          </w:p>
        </w:tc>
        <w:tc>
          <w:tcPr>
            <w:tcW w:w="650"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现有工程排放量（固体废物产生量）</w:t>
            </w:r>
            <w:r>
              <w:rPr>
                <w:rFonts w:ascii="Times New Roman" w:hAnsi="Times New Roman" w:eastAsia="黑体"/>
                <w:snapToGrid w:val="0"/>
                <w:color w:val="auto"/>
                <w:spacing w:val="-6"/>
                <w:kern w:val="21"/>
                <w:sz w:val="21"/>
                <w:szCs w:val="21"/>
              </w:rPr>
              <w:fldChar w:fldCharType="begin"/>
            </w:r>
            <w:r>
              <w:rPr>
                <w:rFonts w:ascii="Times New Roman" w:hAnsi="Times New Roman" w:eastAsia="黑体"/>
                <w:snapToGrid w:val="0"/>
                <w:color w:val="auto"/>
                <w:spacing w:val="-6"/>
                <w:kern w:val="21"/>
                <w:sz w:val="21"/>
                <w:szCs w:val="21"/>
              </w:rPr>
              <w:instrText xml:space="preserve"> = 1 \* GB3 \* MERGEFORMAT </w:instrText>
            </w:r>
            <w:r>
              <w:rPr>
                <w:rFonts w:ascii="Times New Roman" w:hAnsi="Times New Roman" w:eastAsia="黑体"/>
                <w:snapToGrid w:val="0"/>
                <w:color w:val="auto"/>
                <w:spacing w:val="-6"/>
                <w:kern w:val="21"/>
                <w:sz w:val="21"/>
                <w:szCs w:val="21"/>
              </w:rPr>
              <w:fldChar w:fldCharType="separate"/>
            </w:r>
            <w:r>
              <w:rPr>
                <w:rFonts w:ascii="Times New Roman" w:hAnsi="Times New Roman" w:eastAsia="黑体"/>
                <w:color w:val="auto"/>
                <w:kern w:val="2"/>
                <w:sz w:val="21"/>
                <w:szCs w:val="21"/>
              </w:rPr>
              <w:t>①</w:t>
            </w:r>
            <w:r>
              <w:rPr>
                <w:rFonts w:ascii="Times New Roman" w:hAnsi="Times New Roman" w:eastAsia="黑体"/>
                <w:snapToGrid w:val="0"/>
                <w:color w:val="auto"/>
                <w:spacing w:val="-6"/>
                <w:kern w:val="21"/>
                <w:sz w:val="21"/>
                <w:szCs w:val="21"/>
              </w:rPr>
              <w:fldChar w:fldCharType="end"/>
            </w:r>
          </w:p>
        </w:tc>
        <w:tc>
          <w:tcPr>
            <w:tcW w:w="451"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现有工程许可排放量</w:t>
            </w:r>
            <w:r>
              <w:rPr>
                <w:rFonts w:ascii="Times New Roman" w:hAnsi="Times New Roman" w:eastAsia="黑体"/>
                <w:snapToGrid w:val="0"/>
                <w:color w:val="auto"/>
                <w:spacing w:val="-6"/>
                <w:kern w:val="21"/>
                <w:sz w:val="21"/>
                <w:szCs w:val="21"/>
              </w:rPr>
              <w:fldChar w:fldCharType="begin"/>
            </w:r>
            <w:r>
              <w:rPr>
                <w:rFonts w:ascii="Times New Roman" w:hAnsi="Times New Roman" w:eastAsia="黑体"/>
                <w:snapToGrid w:val="0"/>
                <w:color w:val="auto"/>
                <w:spacing w:val="-6"/>
                <w:kern w:val="21"/>
                <w:sz w:val="21"/>
                <w:szCs w:val="21"/>
              </w:rPr>
              <w:instrText xml:space="preserve"> = 2 \* GB3 \* MERGEFORMAT </w:instrText>
            </w:r>
            <w:r>
              <w:rPr>
                <w:rFonts w:ascii="Times New Roman" w:hAnsi="Times New Roman" w:eastAsia="黑体"/>
                <w:snapToGrid w:val="0"/>
                <w:color w:val="auto"/>
                <w:spacing w:val="-6"/>
                <w:kern w:val="21"/>
                <w:sz w:val="21"/>
                <w:szCs w:val="21"/>
              </w:rPr>
              <w:fldChar w:fldCharType="separate"/>
            </w:r>
            <w:r>
              <w:rPr>
                <w:rFonts w:ascii="Times New Roman" w:hAnsi="Times New Roman" w:eastAsia="黑体"/>
                <w:snapToGrid w:val="0"/>
                <w:color w:val="auto"/>
                <w:spacing w:val="-6"/>
                <w:kern w:val="21"/>
                <w:sz w:val="21"/>
                <w:szCs w:val="21"/>
              </w:rPr>
              <w:t>②</w:t>
            </w:r>
            <w:r>
              <w:rPr>
                <w:rFonts w:ascii="Times New Roman" w:hAnsi="Times New Roman" w:eastAsia="黑体"/>
                <w:snapToGrid w:val="0"/>
                <w:color w:val="auto"/>
                <w:spacing w:val="-6"/>
                <w:kern w:val="21"/>
                <w:sz w:val="21"/>
                <w:szCs w:val="21"/>
              </w:rPr>
              <w:fldChar w:fldCharType="end"/>
            </w:r>
          </w:p>
        </w:tc>
        <w:tc>
          <w:tcPr>
            <w:tcW w:w="649"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在建工程排放量（固体废物产生量）</w:t>
            </w:r>
            <w:r>
              <w:rPr>
                <w:rFonts w:ascii="Times New Roman" w:hAnsi="Times New Roman" w:eastAsia="黑体"/>
                <w:snapToGrid w:val="0"/>
                <w:color w:val="auto"/>
                <w:spacing w:val="-6"/>
                <w:kern w:val="21"/>
                <w:sz w:val="21"/>
                <w:szCs w:val="21"/>
              </w:rPr>
              <w:fldChar w:fldCharType="begin"/>
            </w:r>
            <w:r>
              <w:rPr>
                <w:rFonts w:ascii="Times New Roman" w:hAnsi="Times New Roman" w:eastAsia="黑体"/>
                <w:snapToGrid w:val="0"/>
                <w:color w:val="auto"/>
                <w:spacing w:val="-6"/>
                <w:kern w:val="21"/>
                <w:sz w:val="21"/>
                <w:szCs w:val="21"/>
              </w:rPr>
              <w:instrText xml:space="preserve"> = 3 \* GB3 \* MERGEFORMAT </w:instrText>
            </w:r>
            <w:r>
              <w:rPr>
                <w:rFonts w:ascii="Times New Roman" w:hAnsi="Times New Roman" w:eastAsia="黑体"/>
                <w:snapToGrid w:val="0"/>
                <w:color w:val="auto"/>
                <w:spacing w:val="-6"/>
                <w:kern w:val="21"/>
                <w:sz w:val="21"/>
                <w:szCs w:val="21"/>
              </w:rPr>
              <w:fldChar w:fldCharType="separate"/>
            </w:r>
            <w:r>
              <w:rPr>
                <w:rFonts w:ascii="Times New Roman" w:hAnsi="Times New Roman" w:eastAsia="黑体"/>
                <w:color w:val="auto"/>
                <w:kern w:val="2"/>
                <w:sz w:val="21"/>
                <w:szCs w:val="21"/>
              </w:rPr>
              <w:t>③</w:t>
            </w:r>
            <w:r>
              <w:rPr>
                <w:rFonts w:ascii="Times New Roman" w:hAnsi="Times New Roman" w:eastAsia="黑体"/>
                <w:snapToGrid w:val="0"/>
                <w:color w:val="auto"/>
                <w:spacing w:val="-6"/>
                <w:kern w:val="21"/>
                <w:sz w:val="21"/>
                <w:szCs w:val="21"/>
              </w:rPr>
              <w:fldChar w:fldCharType="end"/>
            </w:r>
          </w:p>
        </w:tc>
        <w:tc>
          <w:tcPr>
            <w:tcW w:w="605"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本项目排放量（固体废物产生量）</w:t>
            </w:r>
            <w:r>
              <w:rPr>
                <w:rFonts w:ascii="Times New Roman" w:hAnsi="Times New Roman" w:eastAsia="黑体"/>
                <w:snapToGrid w:val="0"/>
                <w:color w:val="auto"/>
                <w:spacing w:val="-6"/>
                <w:kern w:val="21"/>
                <w:sz w:val="21"/>
                <w:szCs w:val="21"/>
              </w:rPr>
              <w:fldChar w:fldCharType="begin"/>
            </w:r>
            <w:r>
              <w:rPr>
                <w:rFonts w:ascii="Times New Roman" w:hAnsi="Times New Roman" w:eastAsia="黑体"/>
                <w:snapToGrid w:val="0"/>
                <w:color w:val="auto"/>
                <w:spacing w:val="-6"/>
                <w:kern w:val="21"/>
                <w:sz w:val="21"/>
                <w:szCs w:val="21"/>
              </w:rPr>
              <w:instrText xml:space="preserve"> = 4 \* GB3 \* MERGEFORMAT </w:instrText>
            </w:r>
            <w:r>
              <w:rPr>
                <w:rFonts w:ascii="Times New Roman" w:hAnsi="Times New Roman" w:eastAsia="黑体"/>
                <w:snapToGrid w:val="0"/>
                <w:color w:val="auto"/>
                <w:spacing w:val="-6"/>
                <w:kern w:val="21"/>
                <w:sz w:val="21"/>
                <w:szCs w:val="21"/>
              </w:rPr>
              <w:fldChar w:fldCharType="separate"/>
            </w:r>
            <w:r>
              <w:rPr>
                <w:rFonts w:ascii="Times New Roman" w:hAnsi="Times New Roman" w:eastAsia="黑体"/>
                <w:color w:val="auto"/>
                <w:kern w:val="2"/>
                <w:sz w:val="21"/>
                <w:szCs w:val="21"/>
              </w:rPr>
              <w:t>④</w:t>
            </w:r>
            <w:r>
              <w:rPr>
                <w:rFonts w:ascii="Times New Roman" w:hAnsi="Times New Roman" w:eastAsia="黑体"/>
                <w:snapToGrid w:val="0"/>
                <w:color w:val="auto"/>
                <w:spacing w:val="-6"/>
                <w:kern w:val="21"/>
                <w:sz w:val="21"/>
                <w:szCs w:val="21"/>
              </w:rPr>
              <w:fldChar w:fldCharType="end"/>
            </w:r>
          </w:p>
        </w:tc>
        <w:tc>
          <w:tcPr>
            <w:tcW w:w="566"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16"/>
                <w:kern w:val="21"/>
                <w:sz w:val="21"/>
                <w:szCs w:val="21"/>
              </w:rPr>
            </w:pPr>
            <w:r>
              <w:rPr>
                <w:rFonts w:ascii="Times New Roman" w:hAnsi="Times New Roman" w:eastAsia="黑体"/>
                <w:snapToGrid w:val="0"/>
                <w:color w:val="auto"/>
                <w:spacing w:val="-16"/>
                <w:kern w:val="21"/>
                <w:sz w:val="21"/>
                <w:szCs w:val="21"/>
              </w:rPr>
              <w:t>以新带老削减量（新建项目不填）</w:t>
            </w:r>
            <w:r>
              <w:rPr>
                <w:rFonts w:ascii="Times New Roman" w:hAnsi="Times New Roman" w:eastAsia="黑体"/>
                <w:snapToGrid w:val="0"/>
                <w:color w:val="auto"/>
                <w:spacing w:val="-16"/>
                <w:kern w:val="21"/>
                <w:sz w:val="21"/>
                <w:szCs w:val="21"/>
              </w:rPr>
              <w:fldChar w:fldCharType="begin"/>
            </w:r>
            <w:r>
              <w:rPr>
                <w:rFonts w:ascii="Times New Roman" w:hAnsi="Times New Roman" w:eastAsia="黑体"/>
                <w:snapToGrid w:val="0"/>
                <w:color w:val="auto"/>
                <w:spacing w:val="-16"/>
                <w:kern w:val="21"/>
                <w:sz w:val="21"/>
                <w:szCs w:val="21"/>
              </w:rPr>
              <w:instrText xml:space="preserve"> = 5 \* GB3 \* MERGEFORMAT </w:instrText>
            </w:r>
            <w:r>
              <w:rPr>
                <w:rFonts w:ascii="Times New Roman" w:hAnsi="Times New Roman" w:eastAsia="黑体"/>
                <w:snapToGrid w:val="0"/>
                <w:color w:val="auto"/>
                <w:spacing w:val="-16"/>
                <w:kern w:val="21"/>
                <w:sz w:val="21"/>
                <w:szCs w:val="21"/>
              </w:rPr>
              <w:fldChar w:fldCharType="separate"/>
            </w:r>
            <w:r>
              <w:rPr>
                <w:rFonts w:ascii="Times New Roman" w:hAnsi="Times New Roman" w:eastAsia="黑体"/>
                <w:color w:val="auto"/>
                <w:kern w:val="2"/>
                <w:sz w:val="21"/>
                <w:szCs w:val="21"/>
              </w:rPr>
              <w:t>⑤</w:t>
            </w:r>
            <w:r>
              <w:rPr>
                <w:rFonts w:ascii="Times New Roman" w:hAnsi="Times New Roman" w:eastAsia="黑体"/>
                <w:snapToGrid w:val="0"/>
                <w:color w:val="auto"/>
                <w:spacing w:val="-16"/>
                <w:kern w:val="21"/>
                <w:sz w:val="21"/>
                <w:szCs w:val="21"/>
              </w:rPr>
              <w:fldChar w:fldCharType="end"/>
            </w:r>
          </w:p>
        </w:tc>
        <w:tc>
          <w:tcPr>
            <w:tcW w:w="701"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16"/>
                <w:kern w:val="21"/>
                <w:sz w:val="21"/>
                <w:szCs w:val="21"/>
              </w:rPr>
            </w:pPr>
            <w:r>
              <w:rPr>
                <w:rFonts w:ascii="Times New Roman" w:hAnsi="Times New Roman" w:eastAsia="黑体"/>
                <w:snapToGrid w:val="0"/>
                <w:color w:val="auto"/>
                <w:spacing w:val="-16"/>
                <w:kern w:val="21"/>
                <w:sz w:val="21"/>
                <w:szCs w:val="21"/>
              </w:rPr>
              <w:t>本项目建成后全厂排放量（固体废物产生量）</w:t>
            </w:r>
            <w:r>
              <w:rPr>
                <w:rFonts w:ascii="Times New Roman" w:hAnsi="Times New Roman" w:eastAsia="黑体"/>
                <w:snapToGrid w:val="0"/>
                <w:color w:val="auto"/>
                <w:spacing w:val="-16"/>
                <w:kern w:val="21"/>
                <w:sz w:val="21"/>
                <w:szCs w:val="21"/>
              </w:rPr>
              <w:fldChar w:fldCharType="begin"/>
            </w:r>
            <w:r>
              <w:rPr>
                <w:rFonts w:ascii="Times New Roman" w:hAnsi="Times New Roman" w:eastAsia="黑体"/>
                <w:snapToGrid w:val="0"/>
                <w:color w:val="auto"/>
                <w:spacing w:val="-16"/>
                <w:kern w:val="21"/>
                <w:sz w:val="21"/>
                <w:szCs w:val="21"/>
              </w:rPr>
              <w:instrText xml:space="preserve"> = 6 \* GB3 \* MERGEFORMAT </w:instrText>
            </w:r>
            <w:r>
              <w:rPr>
                <w:rFonts w:ascii="Times New Roman" w:hAnsi="Times New Roman" w:eastAsia="黑体"/>
                <w:snapToGrid w:val="0"/>
                <w:color w:val="auto"/>
                <w:spacing w:val="-16"/>
                <w:kern w:val="21"/>
                <w:sz w:val="21"/>
                <w:szCs w:val="21"/>
              </w:rPr>
              <w:fldChar w:fldCharType="separate"/>
            </w:r>
            <w:r>
              <w:rPr>
                <w:rFonts w:ascii="Times New Roman" w:hAnsi="Times New Roman" w:eastAsia="黑体"/>
                <w:color w:val="auto"/>
                <w:kern w:val="2"/>
                <w:sz w:val="21"/>
                <w:szCs w:val="21"/>
              </w:rPr>
              <w:t>⑥</w:t>
            </w:r>
            <w:r>
              <w:rPr>
                <w:rFonts w:ascii="Times New Roman" w:hAnsi="Times New Roman" w:eastAsia="黑体"/>
                <w:snapToGrid w:val="0"/>
                <w:color w:val="auto"/>
                <w:spacing w:val="-16"/>
                <w:kern w:val="21"/>
                <w:sz w:val="21"/>
                <w:szCs w:val="21"/>
              </w:rPr>
              <w:fldChar w:fldCharType="end"/>
            </w:r>
          </w:p>
        </w:tc>
        <w:tc>
          <w:tcPr>
            <w:tcW w:w="481" w:type="pct"/>
            <w:tcMar>
              <w:left w:w="28" w:type="dxa"/>
              <w:right w:w="28" w:type="dxa"/>
            </w:tcMar>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eastAsia="黑体"/>
                <w:snapToGrid w:val="0"/>
                <w:color w:val="auto"/>
                <w:spacing w:val="-6"/>
                <w:kern w:val="21"/>
                <w:sz w:val="21"/>
                <w:szCs w:val="21"/>
              </w:rPr>
            </w:pPr>
            <w:r>
              <w:rPr>
                <w:rFonts w:ascii="Times New Roman" w:hAnsi="Times New Roman" w:eastAsia="黑体"/>
                <w:snapToGrid w:val="0"/>
                <w:color w:val="auto"/>
                <w:spacing w:val="-6"/>
                <w:kern w:val="21"/>
                <w:sz w:val="21"/>
                <w:szCs w:val="21"/>
              </w:rPr>
              <w:t>变化量</w:t>
            </w:r>
            <w:r>
              <w:rPr>
                <w:rFonts w:ascii="Times New Roman" w:hAnsi="Times New Roman" w:eastAsia="黑体"/>
                <w:snapToGrid w:val="0"/>
                <w:color w:val="auto"/>
                <w:spacing w:val="-6"/>
                <w:kern w:val="21"/>
                <w:sz w:val="21"/>
                <w:szCs w:val="21"/>
              </w:rPr>
              <w:fldChar w:fldCharType="begin"/>
            </w:r>
            <w:r>
              <w:rPr>
                <w:rFonts w:ascii="Times New Roman" w:hAnsi="Times New Roman" w:eastAsia="黑体"/>
                <w:snapToGrid w:val="0"/>
                <w:color w:val="auto"/>
                <w:spacing w:val="-6"/>
                <w:kern w:val="21"/>
                <w:sz w:val="21"/>
                <w:szCs w:val="21"/>
              </w:rPr>
              <w:instrText xml:space="preserve"> = 7 \* GB3 \* MERGEFORMAT </w:instrText>
            </w:r>
            <w:r>
              <w:rPr>
                <w:rFonts w:ascii="Times New Roman" w:hAnsi="Times New Roman" w:eastAsia="黑体"/>
                <w:snapToGrid w:val="0"/>
                <w:color w:val="auto"/>
                <w:spacing w:val="-6"/>
                <w:kern w:val="21"/>
                <w:sz w:val="21"/>
                <w:szCs w:val="21"/>
              </w:rPr>
              <w:fldChar w:fldCharType="separate"/>
            </w:r>
            <w:r>
              <w:rPr>
                <w:rFonts w:ascii="Times New Roman" w:hAnsi="Times New Roman" w:eastAsia="黑体"/>
                <w:color w:val="auto"/>
                <w:kern w:val="2"/>
                <w:sz w:val="21"/>
                <w:szCs w:val="21"/>
              </w:rPr>
              <w:t>⑦</w:t>
            </w:r>
            <w:r>
              <w:rPr>
                <w:rFonts w:ascii="Times New Roman" w:hAnsi="Times New Roman" w:eastAsia="黑体"/>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8" w:type="pct"/>
            <w:vMerge w:val="restart"/>
            <w:vAlign w:val="center"/>
          </w:tcPr>
          <w:p>
            <w:pPr>
              <w:pStyle w:val="63"/>
              <w:spacing w:beforeLines="0" w:afterLines="0" w:line="240" w:lineRule="auto"/>
              <w:ind w:left="0" w:leftChars="0" w:firstLine="0" w:firstLineChars="0"/>
              <w:jc w:val="center"/>
              <w:rPr>
                <w:rFonts w:ascii="Times New Roman" w:hAnsi="Times New Roman"/>
                <w:bCs/>
                <w:snapToGrid w:val="0"/>
                <w:color w:val="auto"/>
                <w:kern w:val="21"/>
                <w:sz w:val="21"/>
                <w:szCs w:val="21"/>
              </w:rPr>
            </w:pPr>
            <w:r>
              <w:rPr>
                <w:rFonts w:ascii="Times New Roman" w:hAnsi="Times New Roman"/>
                <w:bCs/>
                <w:snapToGrid w:val="0"/>
                <w:color w:val="auto"/>
                <w:kern w:val="21"/>
                <w:sz w:val="21"/>
                <w:szCs w:val="21"/>
              </w:rPr>
              <w:t>废气</w:t>
            </w:r>
          </w:p>
        </w:tc>
        <w:tc>
          <w:tcPr>
            <w:tcW w:w="475" w:type="pct"/>
            <w:vAlign w:val="center"/>
          </w:tcPr>
          <w:p>
            <w:pPr>
              <w:jc w:val="center"/>
              <w:rPr>
                <w:bCs/>
                <w:snapToGrid w:val="0"/>
                <w:color w:val="auto"/>
                <w:kern w:val="21"/>
                <w:szCs w:val="21"/>
              </w:rPr>
            </w:pPr>
            <w:r>
              <w:rPr>
                <w:bCs/>
                <w:color w:val="auto"/>
                <w:szCs w:val="21"/>
              </w:rPr>
              <w:t>颗粒物</w:t>
            </w:r>
          </w:p>
        </w:tc>
        <w:tc>
          <w:tcPr>
            <w:tcW w:w="650"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hint="eastAsia" w:ascii="Times New Roman" w:hAnsi="Times New Roman" w:eastAsia="宋体"/>
                <w:b/>
                <w:snapToGrid w:val="0"/>
                <w:color w:val="auto"/>
                <w:kern w:val="21"/>
                <w:sz w:val="21"/>
                <w:szCs w:val="21"/>
                <w:lang w:eastAsia="zh-CN"/>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451"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49"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05"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eastAsia="宋体"/>
                <w:bCs/>
                <w:color w:val="auto"/>
                <w:szCs w:val="21"/>
                <w:lang w:val="en-US" w:eastAsia="zh-CN"/>
              </w:rPr>
            </w:pPr>
            <w:r>
              <w:rPr>
                <w:rFonts w:hint="eastAsia"/>
                <w:bCs/>
                <w:color w:val="auto"/>
                <w:szCs w:val="21"/>
                <w:lang w:val="en-US" w:eastAsia="zh-CN"/>
              </w:rPr>
              <w:t>0.134</w:t>
            </w:r>
            <w:r>
              <w:rPr>
                <w:rFonts w:hint="eastAsia" w:ascii="Times New Roman" w:hAnsi="Times New Roman" w:eastAsia="宋体" w:cs="Times New Roman"/>
                <w:color w:val="auto"/>
                <w:sz w:val="21"/>
                <w:szCs w:val="21"/>
                <w:highlight w:val="none"/>
              </w:rPr>
              <w:t>t/a</w:t>
            </w:r>
          </w:p>
        </w:tc>
        <w:tc>
          <w:tcPr>
            <w:tcW w:w="566"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bCs/>
                <w:color w:val="auto"/>
                <w:szCs w:val="21"/>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0.134</w:t>
            </w:r>
            <w:r>
              <w:rPr>
                <w:rFonts w:hint="eastAsia" w:ascii="Times New Roman" w:hAnsi="Times New Roman" w:eastAsia="宋体" w:cs="Times New Roman"/>
                <w:color w:val="auto"/>
                <w:sz w:val="21"/>
                <w:szCs w:val="21"/>
                <w:highlight w:val="none"/>
              </w:rPr>
              <w:t>t/a</w:t>
            </w:r>
          </w:p>
        </w:tc>
        <w:tc>
          <w:tcPr>
            <w:tcW w:w="48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+0.134</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8" w:type="pct"/>
            <w:vMerge w:val="continue"/>
            <w:vAlign w:val="center"/>
          </w:tcPr>
          <w:p>
            <w:pPr>
              <w:pStyle w:val="63"/>
              <w:spacing w:beforeLines="0" w:afterLines="0" w:line="240" w:lineRule="auto"/>
              <w:jc w:val="center"/>
              <w:rPr>
                <w:rFonts w:ascii="Times New Roman" w:hAnsi="Times New Roman"/>
                <w:bCs/>
                <w:snapToGrid w:val="0"/>
                <w:color w:val="auto"/>
                <w:kern w:val="21"/>
                <w:sz w:val="21"/>
                <w:szCs w:val="21"/>
              </w:rPr>
            </w:pPr>
          </w:p>
        </w:tc>
        <w:tc>
          <w:tcPr>
            <w:tcW w:w="475" w:type="pct"/>
            <w:vAlign w:val="center"/>
          </w:tcPr>
          <w:p>
            <w:pPr>
              <w:jc w:val="center"/>
              <w:rPr>
                <w:rFonts w:hint="eastAsia" w:eastAsia="宋体"/>
                <w:bCs/>
                <w:color w:val="auto"/>
                <w:szCs w:val="21"/>
                <w:lang w:eastAsia="zh-CN"/>
              </w:rPr>
            </w:pPr>
            <w:r>
              <w:rPr>
                <w:rFonts w:hint="eastAsia"/>
                <w:bCs/>
                <w:color w:val="auto"/>
                <w:szCs w:val="21"/>
                <w:lang w:eastAsia="zh-CN"/>
              </w:rPr>
              <w:t>非甲烷总烃</w:t>
            </w:r>
          </w:p>
        </w:tc>
        <w:tc>
          <w:tcPr>
            <w:tcW w:w="650"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ascii="Times New Roman" w:hAnsi="Times New Roman"/>
                <w:snapToGrid w:val="0"/>
                <w:color w:val="auto"/>
                <w:kern w:val="21"/>
                <w:sz w:val="21"/>
                <w:szCs w:val="21"/>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451"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49"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05"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eastAsia="宋体"/>
                <w:bCs/>
                <w:color w:val="auto"/>
                <w:szCs w:val="21"/>
                <w:lang w:val="en-US" w:eastAsia="zh-CN"/>
              </w:rPr>
            </w:pPr>
            <w:r>
              <w:rPr>
                <w:rFonts w:hint="eastAsia"/>
                <w:bCs/>
                <w:color w:val="auto"/>
                <w:szCs w:val="21"/>
                <w:lang w:val="en-US" w:eastAsia="zh-CN"/>
              </w:rPr>
              <w:t>0.0045</w:t>
            </w:r>
            <w:r>
              <w:rPr>
                <w:rFonts w:hint="eastAsia" w:ascii="Times New Roman" w:hAnsi="Times New Roman" w:eastAsia="宋体" w:cs="Times New Roman"/>
                <w:color w:val="auto"/>
                <w:sz w:val="21"/>
                <w:szCs w:val="21"/>
                <w:highlight w:val="none"/>
              </w:rPr>
              <w:t>t/a</w:t>
            </w:r>
          </w:p>
        </w:tc>
        <w:tc>
          <w:tcPr>
            <w:tcW w:w="566"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bCs/>
                <w:color w:val="auto"/>
                <w:szCs w:val="21"/>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0.0045</w:t>
            </w:r>
            <w:r>
              <w:rPr>
                <w:rFonts w:hint="eastAsia" w:ascii="Times New Roman" w:hAnsi="Times New Roman" w:eastAsia="宋体" w:cs="Times New Roman"/>
                <w:color w:val="auto"/>
                <w:sz w:val="21"/>
                <w:szCs w:val="21"/>
                <w:highlight w:val="none"/>
              </w:rPr>
              <w:t>t/a</w:t>
            </w:r>
          </w:p>
        </w:tc>
        <w:tc>
          <w:tcPr>
            <w:tcW w:w="48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+0.0045</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restart"/>
            <w:vAlign w:val="center"/>
          </w:tcPr>
          <w:p>
            <w:pPr>
              <w:pStyle w:val="63"/>
              <w:spacing w:beforeLines="0" w:afterLines="0" w:line="240" w:lineRule="auto"/>
              <w:ind w:left="0" w:leftChars="0" w:firstLine="0" w:firstLineChars="0"/>
              <w:jc w:val="center"/>
              <w:rPr>
                <w:rFonts w:ascii="Times New Roman" w:hAnsi="Times New Roman"/>
                <w:bCs/>
                <w:snapToGrid w:val="0"/>
                <w:color w:val="auto"/>
                <w:kern w:val="21"/>
                <w:sz w:val="21"/>
                <w:szCs w:val="21"/>
              </w:rPr>
            </w:pPr>
            <w:r>
              <w:rPr>
                <w:rFonts w:ascii="Times New Roman" w:hAnsi="Times New Roman"/>
                <w:bCs/>
                <w:snapToGrid w:val="0"/>
                <w:color w:val="auto"/>
                <w:kern w:val="21"/>
                <w:sz w:val="21"/>
                <w:szCs w:val="21"/>
              </w:rPr>
              <w:t>废水</w:t>
            </w:r>
          </w:p>
        </w:tc>
        <w:tc>
          <w:tcPr>
            <w:tcW w:w="475" w:type="pct"/>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COD</w:t>
            </w:r>
          </w:p>
        </w:tc>
        <w:tc>
          <w:tcPr>
            <w:tcW w:w="650" w:type="pct"/>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0.39</w:t>
            </w:r>
            <w:r>
              <w:rPr>
                <w:rFonts w:hint="eastAsia" w:ascii="Times New Roman" w:hAnsi="Times New Roman" w:eastAsia="宋体" w:cs="Times New Roman"/>
                <w:bCs/>
                <w:color w:val="auto"/>
                <w:szCs w:val="21"/>
                <w:lang w:eastAsia="zh-CN"/>
              </w:rPr>
              <w:t>t/a</w:t>
            </w:r>
          </w:p>
        </w:tc>
        <w:tc>
          <w:tcPr>
            <w:tcW w:w="451" w:type="pct"/>
            <w:vAlign w:val="center"/>
          </w:tcPr>
          <w:p>
            <w:pPr>
              <w:pStyle w:val="63"/>
              <w:spacing w:beforeLines="0" w:afterLines="0" w:line="360" w:lineRule="auto"/>
              <w:ind w:left="0" w:leftChars="0"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49" w:type="pct"/>
            <w:vAlign w:val="center"/>
          </w:tcPr>
          <w:p>
            <w:pPr>
              <w:pStyle w:val="63"/>
              <w:spacing w:beforeLines="0" w:afterLines="0" w:line="360" w:lineRule="auto"/>
              <w:ind w:left="0" w:leftChars="0"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05"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566"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0.39</w:t>
            </w:r>
            <w:r>
              <w:rPr>
                <w:rFonts w:hint="eastAsia" w:ascii="Times New Roman" w:hAnsi="Times New Roman" w:eastAsia="宋体" w:cs="Times New Roman"/>
                <w:bCs/>
                <w:color w:val="auto"/>
                <w:szCs w:val="21"/>
                <w:lang w:eastAsia="zh-CN"/>
              </w:rPr>
              <w:t>t/a</w:t>
            </w:r>
          </w:p>
        </w:tc>
        <w:tc>
          <w:tcPr>
            <w:tcW w:w="48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vAlign w:val="center"/>
          </w:tcPr>
          <w:p>
            <w:pPr>
              <w:pStyle w:val="63"/>
              <w:spacing w:beforeLines="0" w:afterLines="0" w:line="240" w:lineRule="auto"/>
              <w:jc w:val="center"/>
              <w:rPr>
                <w:rFonts w:ascii="Times New Roman" w:hAnsi="Times New Roman"/>
                <w:bCs/>
                <w:snapToGrid w:val="0"/>
                <w:color w:val="auto"/>
                <w:kern w:val="21"/>
                <w:sz w:val="21"/>
                <w:szCs w:val="21"/>
              </w:rPr>
            </w:pPr>
          </w:p>
        </w:tc>
        <w:tc>
          <w:tcPr>
            <w:tcW w:w="475" w:type="pct"/>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BOD5</w:t>
            </w:r>
          </w:p>
        </w:tc>
        <w:tc>
          <w:tcPr>
            <w:tcW w:w="650" w:type="pct"/>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0.08</w:t>
            </w:r>
            <w:r>
              <w:rPr>
                <w:rFonts w:hint="eastAsia" w:ascii="Times New Roman" w:hAnsi="Times New Roman" w:eastAsia="宋体" w:cs="Times New Roman"/>
                <w:bCs/>
                <w:color w:val="auto"/>
                <w:szCs w:val="21"/>
                <w:lang w:eastAsia="zh-CN"/>
              </w:rPr>
              <w:t>t/a</w:t>
            </w:r>
          </w:p>
        </w:tc>
        <w:tc>
          <w:tcPr>
            <w:tcW w:w="451" w:type="pct"/>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49" w:type="pct"/>
            <w:vAlign w:val="center"/>
          </w:tcPr>
          <w:p>
            <w:pPr>
              <w:pStyle w:val="63"/>
              <w:spacing w:before="0" w:beforeLines="0" w:beforeAutospacing="0" w:after="0" w:afterLines="0" w:afterAutospacing="0" w:line="240" w:lineRule="auto"/>
              <w:ind w:left="0" w:leftChars="0"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05"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566"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0.08</w:t>
            </w:r>
            <w:r>
              <w:rPr>
                <w:rFonts w:hint="eastAsia" w:ascii="Times New Roman" w:hAnsi="Times New Roman" w:eastAsia="宋体" w:cs="Times New Roman"/>
                <w:bCs/>
                <w:color w:val="auto"/>
                <w:szCs w:val="21"/>
                <w:lang w:eastAsia="zh-CN"/>
              </w:rPr>
              <w:t>t/a</w:t>
            </w:r>
          </w:p>
        </w:tc>
        <w:tc>
          <w:tcPr>
            <w:tcW w:w="48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vAlign w:val="center"/>
          </w:tcPr>
          <w:p>
            <w:pPr>
              <w:pStyle w:val="63"/>
              <w:spacing w:beforeLines="0" w:afterLines="0" w:line="240" w:lineRule="auto"/>
              <w:jc w:val="center"/>
              <w:rPr>
                <w:rFonts w:ascii="Times New Roman" w:hAnsi="Times New Roman"/>
                <w:bCs/>
                <w:snapToGrid w:val="0"/>
                <w:color w:val="auto"/>
                <w:kern w:val="21"/>
                <w:sz w:val="21"/>
                <w:szCs w:val="21"/>
              </w:rPr>
            </w:pPr>
          </w:p>
        </w:tc>
        <w:tc>
          <w:tcPr>
            <w:tcW w:w="475" w:type="pct"/>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SS</w:t>
            </w:r>
          </w:p>
        </w:tc>
        <w:tc>
          <w:tcPr>
            <w:tcW w:w="650" w:type="pct"/>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0.38</w:t>
            </w:r>
            <w:r>
              <w:rPr>
                <w:rFonts w:hint="eastAsia" w:ascii="Times New Roman" w:hAnsi="Times New Roman" w:eastAsia="宋体" w:cs="Times New Roman"/>
                <w:bCs/>
                <w:color w:val="auto"/>
                <w:szCs w:val="21"/>
                <w:lang w:eastAsia="zh-CN"/>
              </w:rPr>
              <w:t>t/a</w:t>
            </w:r>
          </w:p>
        </w:tc>
        <w:tc>
          <w:tcPr>
            <w:tcW w:w="451" w:type="pct"/>
            <w:vAlign w:val="center"/>
          </w:tcPr>
          <w:p>
            <w:pPr>
              <w:pStyle w:val="63"/>
              <w:spacing w:beforeLines="0" w:afterLines="0" w:line="360" w:lineRule="auto"/>
              <w:ind w:left="0" w:leftChars="0"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49" w:type="pct"/>
            <w:vAlign w:val="center"/>
          </w:tcPr>
          <w:p>
            <w:pPr>
              <w:pStyle w:val="63"/>
              <w:spacing w:beforeLines="0" w:afterLines="0" w:line="360" w:lineRule="auto"/>
              <w:ind w:left="0" w:leftChars="0"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05"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566"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0.38</w:t>
            </w:r>
            <w:r>
              <w:rPr>
                <w:rFonts w:hint="eastAsia" w:ascii="Times New Roman" w:hAnsi="Times New Roman" w:eastAsia="宋体" w:cs="Times New Roman"/>
                <w:bCs/>
                <w:color w:val="auto"/>
                <w:szCs w:val="21"/>
                <w:lang w:eastAsia="zh-CN"/>
              </w:rPr>
              <w:t>t/a</w:t>
            </w:r>
          </w:p>
        </w:tc>
        <w:tc>
          <w:tcPr>
            <w:tcW w:w="48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vAlign w:val="center"/>
          </w:tcPr>
          <w:p>
            <w:pPr>
              <w:pStyle w:val="63"/>
              <w:spacing w:beforeLines="0" w:afterLines="0" w:line="240" w:lineRule="auto"/>
              <w:ind w:left="0" w:leftChars="0" w:firstLine="0" w:firstLineChars="0"/>
              <w:jc w:val="center"/>
              <w:rPr>
                <w:rFonts w:ascii="Times New Roman" w:hAnsi="Times New Roman"/>
                <w:bCs/>
                <w:snapToGrid w:val="0"/>
                <w:color w:val="auto"/>
                <w:kern w:val="21"/>
                <w:sz w:val="21"/>
                <w:szCs w:val="21"/>
              </w:rPr>
            </w:pPr>
          </w:p>
        </w:tc>
        <w:tc>
          <w:tcPr>
            <w:tcW w:w="475" w:type="pct"/>
            <w:vAlign w:val="center"/>
          </w:tcPr>
          <w:p>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氨氮</w:t>
            </w:r>
          </w:p>
        </w:tc>
        <w:tc>
          <w:tcPr>
            <w:tcW w:w="650" w:type="pct"/>
            <w:vAlign w:val="center"/>
          </w:tcPr>
          <w:p>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w:t>
            </w:r>
            <w:r>
              <w:rPr>
                <w:rFonts w:hint="eastAsia" w:ascii="Times New Roman" w:hAnsi="Times New Roman" w:eastAsia="宋体" w:cs="Times New Roman"/>
                <w:bCs/>
                <w:color w:val="auto"/>
                <w:szCs w:val="21"/>
                <w:lang w:eastAsia="zh-CN"/>
              </w:rPr>
              <w:t>t/a</w:t>
            </w:r>
          </w:p>
        </w:tc>
        <w:tc>
          <w:tcPr>
            <w:tcW w:w="451"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w:t>
            </w:r>
          </w:p>
        </w:tc>
        <w:tc>
          <w:tcPr>
            <w:tcW w:w="649" w:type="pct"/>
            <w:vAlign w:val="center"/>
          </w:tcPr>
          <w:p>
            <w:pPr>
              <w:pStyle w:val="7"/>
              <w:spacing w:line="360" w:lineRule="auto"/>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w:t>
            </w:r>
          </w:p>
        </w:tc>
        <w:tc>
          <w:tcPr>
            <w:tcW w:w="605"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566"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0.06</w:t>
            </w:r>
            <w:r>
              <w:rPr>
                <w:rFonts w:hint="eastAsia" w:ascii="Times New Roman" w:hAnsi="Times New Roman" w:eastAsia="宋体" w:cs="Times New Roman"/>
                <w:bCs/>
                <w:color w:val="auto"/>
                <w:szCs w:val="21"/>
                <w:lang w:eastAsia="zh-CN"/>
              </w:rPr>
              <w:t>t/a</w:t>
            </w:r>
          </w:p>
        </w:tc>
        <w:tc>
          <w:tcPr>
            <w:tcW w:w="481" w:type="pct"/>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18" w:type="pct"/>
            <w:vMerge w:val="restart"/>
            <w:vAlign w:val="center"/>
          </w:tcPr>
          <w:p>
            <w:pPr>
              <w:pStyle w:val="63"/>
              <w:spacing w:beforeLines="0" w:afterLines="0" w:line="240" w:lineRule="auto"/>
              <w:ind w:left="0" w:leftChars="0" w:firstLine="0" w:firstLineChars="0"/>
              <w:jc w:val="both"/>
              <w:rPr>
                <w:rFonts w:ascii="Times New Roman" w:hAnsi="Times New Roman"/>
                <w:bCs/>
                <w:snapToGrid w:val="0"/>
                <w:color w:val="auto"/>
                <w:kern w:val="21"/>
                <w:sz w:val="21"/>
                <w:szCs w:val="21"/>
              </w:rPr>
            </w:pPr>
            <w:r>
              <w:rPr>
                <w:rFonts w:hint="eastAsia" w:ascii="Times New Roman" w:hAnsi="Times New Roman"/>
                <w:bCs/>
                <w:snapToGrid w:val="0"/>
                <w:color w:val="auto"/>
                <w:kern w:val="21"/>
                <w:sz w:val="21"/>
                <w:szCs w:val="21"/>
              </w:rPr>
              <w:t>一般工业固体废物</w:t>
            </w:r>
          </w:p>
        </w:tc>
        <w:tc>
          <w:tcPr>
            <w:tcW w:w="475" w:type="pct"/>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除尘器收集粉尘</w:t>
            </w:r>
          </w:p>
        </w:tc>
        <w:tc>
          <w:tcPr>
            <w:tcW w:w="650"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451" w:type="pct"/>
            <w:vAlign w:val="center"/>
          </w:tcPr>
          <w:p>
            <w:pPr>
              <w:pStyle w:val="7"/>
              <w:spacing w:line="360" w:lineRule="auto"/>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w:t>
            </w:r>
          </w:p>
        </w:tc>
        <w:tc>
          <w:tcPr>
            <w:tcW w:w="649" w:type="pct"/>
            <w:vAlign w:val="center"/>
          </w:tcPr>
          <w:p>
            <w:pPr>
              <w:pStyle w:val="7"/>
              <w:spacing w:line="36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05" w:type="pct"/>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2.556t/a</w:t>
            </w:r>
          </w:p>
        </w:tc>
        <w:tc>
          <w:tcPr>
            <w:tcW w:w="566"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2.556t/a</w:t>
            </w:r>
          </w:p>
        </w:tc>
        <w:tc>
          <w:tcPr>
            <w:tcW w:w="481" w:type="pct"/>
            <w:vAlign w:val="center"/>
          </w:tcPr>
          <w:p>
            <w:pPr>
              <w:keepNext w:val="0"/>
              <w:keepLines w:val="0"/>
              <w:pageBreakBefore w:val="0"/>
              <w:widowControl w:val="0"/>
              <w:tabs>
                <w:tab w:val="left" w:pos="0"/>
              </w:tabs>
              <w:kinsoku/>
              <w:wordWrap/>
              <w:overflowPunct/>
              <w:topLinePunct w:val="0"/>
              <w:autoSpaceDE/>
              <w:autoSpaceDN/>
              <w:bidi w:val="0"/>
              <w:adjustRightInd w:val="0"/>
              <w:spacing w:line="240" w:lineRule="atLeas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+2.556t/a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vAlign w:val="center"/>
          </w:tcPr>
          <w:p>
            <w:pPr>
              <w:pStyle w:val="63"/>
              <w:spacing w:beforeLines="0" w:afterLines="0" w:line="240" w:lineRule="auto"/>
              <w:ind w:left="0" w:leftChars="0" w:firstLine="0" w:firstLineChars="0"/>
              <w:jc w:val="center"/>
              <w:rPr>
                <w:rFonts w:ascii="Times New Roman" w:hAnsi="Times New Roman"/>
                <w:bCs/>
                <w:snapToGrid w:val="0"/>
                <w:color w:val="auto"/>
                <w:kern w:val="21"/>
                <w:sz w:val="21"/>
                <w:szCs w:val="21"/>
              </w:rPr>
            </w:pPr>
          </w:p>
        </w:tc>
        <w:tc>
          <w:tcPr>
            <w:tcW w:w="475" w:type="pct"/>
            <w:vAlign w:val="center"/>
          </w:tcPr>
          <w:p>
            <w:pPr>
              <w:pStyle w:val="63"/>
              <w:spacing w:beforeLines="0" w:afterLines="0" w:line="240" w:lineRule="auto"/>
              <w:ind w:left="0" w:leftChars="0" w:firstLine="0" w:firstLineChars="0"/>
              <w:jc w:val="center"/>
              <w:rPr>
                <w:rFonts w:hint="eastAsia" w:ascii="Times New Roman" w:hAnsi="Times New Roman" w:eastAsia="宋体"/>
                <w:bCs/>
                <w:snapToGrid w:val="0"/>
                <w:color w:val="auto"/>
                <w:kern w:val="21"/>
                <w:sz w:val="21"/>
                <w:szCs w:val="21"/>
                <w:lang w:eastAsia="zh-CN"/>
              </w:rPr>
            </w:pPr>
            <w:r>
              <w:rPr>
                <w:rFonts w:hint="default" w:ascii="Times New Roman" w:hAnsi="Times New Roman" w:eastAsia="宋体" w:cs="Times New Roman"/>
                <w:color w:val="auto"/>
                <w:sz w:val="21"/>
                <w:szCs w:val="21"/>
                <w:highlight w:val="none"/>
                <w:lang w:val="en-US" w:eastAsia="zh-CN"/>
              </w:rPr>
              <w:t>废塑粉滤芯及塑化废渣</w:t>
            </w:r>
          </w:p>
        </w:tc>
        <w:tc>
          <w:tcPr>
            <w:tcW w:w="650"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451" w:type="pct"/>
            <w:vAlign w:val="center"/>
          </w:tcPr>
          <w:p>
            <w:pPr>
              <w:pStyle w:val="7"/>
              <w:spacing w:line="360" w:lineRule="auto"/>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w:t>
            </w:r>
          </w:p>
        </w:tc>
        <w:tc>
          <w:tcPr>
            <w:tcW w:w="649" w:type="pct"/>
            <w:vAlign w:val="center"/>
          </w:tcPr>
          <w:p>
            <w:pPr>
              <w:pStyle w:val="7"/>
              <w:spacing w:line="360" w:lineRule="auto"/>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w:t>
            </w:r>
          </w:p>
        </w:tc>
        <w:tc>
          <w:tcPr>
            <w:tcW w:w="605" w:type="pct"/>
            <w:vAlign w:val="center"/>
          </w:tcPr>
          <w:p>
            <w:pPr>
              <w:pStyle w:val="63"/>
              <w:spacing w:beforeLines="0" w:afterLines="0" w:line="360" w:lineRule="auto"/>
              <w:ind w:left="0" w:leftChars="0"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0.01</w:t>
            </w:r>
            <w:r>
              <w:rPr>
                <w:rFonts w:hint="eastAsia" w:ascii="Times New Roman" w:hAnsi="Times New Roman" w:eastAsia="宋体" w:cs="Times New Roman"/>
                <w:color w:val="auto"/>
                <w:sz w:val="21"/>
                <w:szCs w:val="21"/>
                <w:highlight w:val="none"/>
                <w:lang w:val="en-US" w:eastAsia="zh-CN"/>
              </w:rPr>
              <w:t>t/a</w:t>
            </w:r>
          </w:p>
        </w:tc>
        <w:tc>
          <w:tcPr>
            <w:tcW w:w="566"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0.01</w:t>
            </w:r>
            <w:r>
              <w:rPr>
                <w:rFonts w:hint="eastAsia" w:ascii="Times New Roman" w:hAnsi="Times New Roman" w:eastAsia="宋体" w:cs="Times New Roman"/>
                <w:color w:val="auto"/>
                <w:sz w:val="21"/>
                <w:szCs w:val="21"/>
                <w:highlight w:val="none"/>
                <w:lang w:val="en-US" w:eastAsia="zh-CN"/>
              </w:rPr>
              <w:t>t/a</w:t>
            </w:r>
          </w:p>
        </w:tc>
        <w:tc>
          <w:tcPr>
            <w:tcW w:w="481"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+0.01</w:t>
            </w:r>
            <w:r>
              <w:rPr>
                <w:rFonts w:hint="eastAsia" w:ascii="Times New Roman" w:hAnsi="Times New Roman" w:eastAsia="宋体"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18" w:type="pct"/>
            <w:vMerge w:val="restart"/>
            <w:vAlign w:val="center"/>
          </w:tcPr>
          <w:p>
            <w:pPr>
              <w:pStyle w:val="63"/>
              <w:spacing w:beforeLines="0" w:afterLines="0" w:line="240" w:lineRule="auto"/>
              <w:ind w:left="0" w:leftChars="0" w:firstLine="0" w:firstLineChars="0"/>
              <w:jc w:val="center"/>
              <w:rPr>
                <w:rFonts w:hint="eastAsia" w:ascii="Times New Roman" w:hAnsi="Times New Roman" w:eastAsia="宋体"/>
                <w:bCs/>
                <w:snapToGrid w:val="0"/>
                <w:color w:val="auto"/>
                <w:kern w:val="21"/>
                <w:sz w:val="21"/>
                <w:szCs w:val="21"/>
                <w:lang w:eastAsia="zh-CN"/>
              </w:rPr>
            </w:pPr>
            <w:r>
              <w:rPr>
                <w:rFonts w:hint="eastAsia" w:ascii="Times New Roman" w:hAnsi="Times New Roman"/>
                <w:bCs/>
                <w:snapToGrid w:val="0"/>
                <w:color w:val="auto"/>
                <w:kern w:val="21"/>
                <w:sz w:val="21"/>
                <w:szCs w:val="21"/>
                <w:lang w:eastAsia="zh-CN"/>
              </w:rPr>
              <w:t>危险废物</w:t>
            </w:r>
          </w:p>
        </w:tc>
        <w:tc>
          <w:tcPr>
            <w:tcW w:w="475" w:type="pct"/>
            <w:vAlign w:val="center"/>
          </w:tcPr>
          <w:p>
            <w:pPr>
              <w:pStyle w:val="63"/>
              <w:spacing w:beforeLines="0" w:afterLines="0" w:line="240" w:lineRule="auto"/>
              <w:ind w:left="0" w:leftChars="0" w:firstLine="0" w:firstLineChars="0"/>
              <w:jc w:val="center"/>
              <w:rPr>
                <w:rFonts w:hint="eastAsia" w:ascii="Times New Roman" w:hAnsi="Times New Roman" w:eastAsia="宋体"/>
                <w:bCs/>
                <w:snapToGrid w:val="0"/>
                <w:color w:val="auto"/>
                <w:kern w:val="21"/>
                <w:sz w:val="21"/>
                <w:szCs w:val="21"/>
                <w:lang w:eastAsia="zh-CN"/>
              </w:rPr>
            </w:pPr>
            <w:r>
              <w:rPr>
                <w:rFonts w:hint="eastAsia" w:ascii="Times New Roman" w:hAnsi="Times New Roman"/>
                <w:bCs/>
                <w:snapToGrid w:val="0"/>
                <w:color w:val="auto"/>
                <w:kern w:val="21"/>
                <w:sz w:val="21"/>
                <w:szCs w:val="21"/>
                <w:lang w:eastAsia="zh-CN"/>
              </w:rPr>
              <w:t>废机油</w:t>
            </w:r>
          </w:p>
        </w:tc>
        <w:tc>
          <w:tcPr>
            <w:tcW w:w="650"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hint="eastAsia" w:ascii="Times New Roman" w:hAnsi="Times New Roman" w:eastAsia="宋体" w:cs="Times New Roman"/>
                <w:b/>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451"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w:t>
            </w:r>
          </w:p>
        </w:tc>
        <w:tc>
          <w:tcPr>
            <w:tcW w:w="649" w:type="pct"/>
            <w:vAlign w:val="center"/>
          </w:tcPr>
          <w:p>
            <w:pPr>
              <w:pStyle w:val="7"/>
              <w:spacing w:line="360" w:lineRule="auto"/>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w:t>
            </w:r>
          </w:p>
        </w:tc>
        <w:tc>
          <w:tcPr>
            <w:tcW w:w="605" w:type="pct"/>
            <w:vAlign w:val="center"/>
          </w:tcPr>
          <w:p>
            <w:pPr>
              <w:spacing w:line="360" w:lineRule="auto"/>
              <w:jc w:val="center"/>
              <w:rPr>
                <w:rFonts w:hint="default"/>
                <w:bCs/>
                <w:color w:val="auto"/>
                <w:szCs w:val="21"/>
                <w:lang w:val="en-US" w:eastAsia="zh-CN"/>
              </w:rPr>
            </w:pPr>
            <w:r>
              <w:rPr>
                <w:rFonts w:hint="eastAsia"/>
                <w:bCs/>
                <w:color w:val="auto"/>
                <w:szCs w:val="21"/>
                <w:lang w:val="en-US" w:eastAsia="zh-CN"/>
              </w:rPr>
              <w:t>0.2</w:t>
            </w:r>
            <w:r>
              <w:rPr>
                <w:rFonts w:hint="eastAsia" w:ascii="Times New Roman" w:hAnsi="Times New Roman" w:eastAsia="宋体" w:cs="Times New Roman"/>
                <w:color w:val="auto"/>
                <w:sz w:val="21"/>
                <w:szCs w:val="21"/>
                <w:highlight w:val="none"/>
              </w:rPr>
              <w:t>t/a</w:t>
            </w:r>
          </w:p>
        </w:tc>
        <w:tc>
          <w:tcPr>
            <w:tcW w:w="566" w:type="pc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spacing w:line="360" w:lineRule="auto"/>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0.2</w:t>
            </w:r>
            <w:r>
              <w:rPr>
                <w:rFonts w:hint="eastAsia" w:ascii="Times New Roman" w:hAnsi="Times New Roman" w:eastAsia="宋体" w:cs="Times New Roman"/>
                <w:color w:val="auto"/>
                <w:sz w:val="21"/>
                <w:szCs w:val="21"/>
                <w:highlight w:val="none"/>
              </w:rPr>
              <w:t>t/a</w:t>
            </w:r>
          </w:p>
        </w:tc>
        <w:tc>
          <w:tcPr>
            <w:tcW w:w="481" w:type="pct"/>
            <w:vAlign w:val="center"/>
          </w:tcPr>
          <w:p>
            <w:pPr>
              <w:spacing w:line="360" w:lineRule="auto"/>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+0.2</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18" w:type="pct"/>
            <w:vMerge w:val="continue"/>
            <w:vAlign w:val="center"/>
          </w:tcPr>
          <w:p>
            <w:pPr>
              <w:pStyle w:val="63"/>
              <w:spacing w:beforeLines="0" w:afterLines="0" w:line="240" w:lineRule="auto"/>
              <w:ind w:left="0" w:leftChars="0" w:firstLine="0" w:firstLineChars="0"/>
              <w:jc w:val="center"/>
            </w:pPr>
          </w:p>
        </w:tc>
        <w:tc>
          <w:tcPr>
            <w:tcW w:w="475" w:type="pct"/>
            <w:vAlign w:val="center"/>
          </w:tcPr>
          <w:p>
            <w:pPr>
              <w:pStyle w:val="63"/>
              <w:spacing w:beforeLines="0" w:afterLines="0" w:line="240" w:lineRule="auto"/>
              <w:ind w:left="0" w:leftChars="0" w:firstLine="0" w:firstLineChars="0"/>
              <w:jc w:val="center"/>
              <w:rPr>
                <w:rFonts w:hint="eastAsia" w:ascii="Times New Roman" w:hAnsi="Times New Roman" w:eastAsia="宋体"/>
                <w:bCs/>
                <w:snapToGrid w:val="0"/>
                <w:color w:val="auto"/>
                <w:kern w:val="21"/>
                <w:sz w:val="21"/>
                <w:szCs w:val="21"/>
                <w:lang w:eastAsia="zh-CN"/>
              </w:rPr>
            </w:pPr>
            <w:r>
              <w:rPr>
                <w:rFonts w:hint="eastAsia" w:ascii="Times New Roman" w:hAnsi="Times New Roman"/>
                <w:bCs/>
                <w:snapToGrid w:val="0"/>
                <w:color w:val="auto"/>
                <w:kern w:val="21"/>
                <w:sz w:val="21"/>
                <w:szCs w:val="21"/>
                <w:lang w:eastAsia="zh-CN"/>
              </w:rPr>
              <w:t>废活性炭</w:t>
            </w:r>
          </w:p>
        </w:tc>
        <w:tc>
          <w:tcPr>
            <w:tcW w:w="650" w:type="pct"/>
            <w:vAlign w:val="center"/>
          </w:tcPr>
          <w:p>
            <w:pPr>
              <w:pStyle w:val="63"/>
              <w:keepNext w:val="0"/>
              <w:keepLines w:val="0"/>
              <w:pageBreakBefore w:val="0"/>
              <w:widowControl w:val="0"/>
              <w:kinsoku/>
              <w:wordWrap/>
              <w:overflowPunct/>
              <w:topLinePunct w:val="0"/>
              <w:autoSpaceDE/>
              <w:autoSpaceDN/>
              <w:bidi w:val="0"/>
              <w:spacing w:beforeLines="0" w:afterLines="0" w:line="360" w:lineRule="auto"/>
              <w:ind w:left="0" w:leftChars="0" w:firstLine="0" w:firstLineChars="0"/>
              <w:jc w:val="center"/>
              <w:textAlignment w:val="auto"/>
              <w:rPr>
                <w:rFonts w:ascii="Times New Roman" w:hAnsi="Times New Roman" w:eastAsia="宋体" w:cs="Times New Roman"/>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451"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snapToGrid w:val="0"/>
                <w:color w:val="auto"/>
                <w:kern w:val="21"/>
                <w:sz w:val="21"/>
                <w:szCs w:val="21"/>
                <w:lang w:val="en-US" w:eastAsia="zh-CN"/>
              </w:rPr>
              <w:t>/</w:t>
            </w:r>
          </w:p>
        </w:tc>
        <w:tc>
          <w:tcPr>
            <w:tcW w:w="649" w:type="pct"/>
            <w:vAlign w:val="center"/>
          </w:tcPr>
          <w:p>
            <w:pPr>
              <w:pStyle w:val="7"/>
              <w:spacing w:line="360" w:lineRule="auto"/>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w:t>
            </w:r>
          </w:p>
        </w:tc>
        <w:tc>
          <w:tcPr>
            <w:tcW w:w="605" w:type="pct"/>
            <w:vAlign w:val="center"/>
          </w:tcPr>
          <w:p>
            <w:pPr>
              <w:pStyle w:val="63"/>
              <w:spacing w:beforeLines="0" w:afterLines="0" w:line="240" w:lineRule="auto"/>
              <w:ind w:left="0" w:leftChars="0" w:firstLine="0" w:firstLineChars="0"/>
              <w:jc w:val="center"/>
              <w:rPr>
                <w:rFonts w:hint="default" w:ascii="Times New Roman" w:hAnsi="Times New Roman" w:eastAsia="宋体"/>
                <w:bCs/>
                <w:snapToGrid w:val="0"/>
                <w:color w:val="auto"/>
                <w:kern w:val="21"/>
                <w:sz w:val="21"/>
                <w:szCs w:val="21"/>
                <w:lang w:val="en-US" w:eastAsia="zh-CN"/>
              </w:rPr>
            </w:pPr>
            <w:r>
              <w:rPr>
                <w:rFonts w:hint="eastAsia" w:ascii="Times New Roman" w:hAnsi="Times New Roman" w:eastAsia="宋体" w:cs="Times New Roman"/>
                <w:color w:val="auto"/>
                <w:sz w:val="21"/>
                <w:szCs w:val="21"/>
                <w:highlight w:val="none"/>
              </w:rPr>
              <w:t>0.00324t/a</w:t>
            </w:r>
          </w:p>
        </w:tc>
        <w:tc>
          <w:tcPr>
            <w:tcW w:w="566" w:type="pct"/>
            <w:vAlign w:val="center"/>
          </w:tcPr>
          <w:p>
            <w:pPr>
              <w:pStyle w:val="63"/>
              <w:spacing w:beforeLines="0" w:afterLines="0" w:line="360" w:lineRule="auto"/>
              <w:ind w:left="0" w:lef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pStyle w:val="63"/>
              <w:spacing w:beforeLines="0" w:afterLines="0" w:line="240" w:lineRule="auto"/>
              <w:ind w:left="0" w:leftChars="0" w:firstLine="0" w:firstLineChars="0"/>
              <w:jc w:val="center"/>
              <w:rPr>
                <w:rFonts w:hint="default" w:ascii="Times New Roman" w:hAnsi="Times New Roman" w:eastAsia="宋体" w:cs="Times New Roman"/>
                <w:bCs/>
                <w:snapToGrid w:val="0"/>
                <w:color w:val="auto"/>
                <w:kern w:val="21"/>
                <w:sz w:val="21"/>
                <w:szCs w:val="21"/>
                <w:lang w:val="en-US" w:eastAsia="zh-CN" w:bidi="ar-SA"/>
              </w:rPr>
            </w:pPr>
            <w:r>
              <w:rPr>
                <w:rFonts w:hint="eastAsia" w:ascii="Times New Roman" w:hAnsi="Times New Roman" w:eastAsia="宋体" w:cs="Times New Roman"/>
                <w:color w:val="auto"/>
                <w:sz w:val="21"/>
                <w:szCs w:val="21"/>
                <w:highlight w:val="none"/>
              </w:rPr>
              <w:t>0.00324t/a</w:t>
            </w:r>
          </w:p>
        </w:tc>
        <w:tc>
          <w:tcPr>
            <w:tcW w:w="481" w:type="pct"/>
            <w:vAlign w:val="center"/>
          </w:tcPr>
          <w:p>
            <w:pPr>
              <w:pStyle w:val="63"/>
              <w:spacing w:beforeLines="0" w:afterLines="0" w:line="240" w:lineRule="auto"/>
              <w:ind w:left="0" w:leftChars="0" w:firstLine="0" w:firstLineChars="0"/>
              <w:jc w:val="center"/>
              <w:rPr>
                <w:rFonts w:hint="default" w:ascii="Times New Roman" w:hAnsi="Times New Roman" w:eastAsia="宋体" w:cs="Times New Roman"/>
                <w:bCs/>
                <w:snapToGrid w:val="0"/>
                <w:color w:val="auto"/>
                <w:kern w:val="21"/>
                <w:sz w:val="21"/>
                <w:szCs w:val="21"/>
                <w:lang w:val="en-US" w:eastAsia="zh-CN" w:bidi="ar-SA"/>
              </w:rPr>
            </w:pPr>
            <w:r>
              <w:rPr>
                <w:rFonts w:hint="eastAsia" w:ascii="Times New Roman" w:hAnsi="Times New Roman"/>
                <w:bCs/>
                <w:snapToGrid w:val="0"/>
                <w:color w:val="auto"/>
                <w:kern w:val="21"/>
                <w:sz w:val="21"/>
                <w:szCs w:val="21"/>
                <w:lang w:val="en-US" w:eastAsia="zh-CN"/>
              </w:rPr>
              <w:t>+0.00324</w:t>
            </w:r>
            <w:r>
              <w:rPr>
                <w:rFonts w:hint="eastAsia"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Align w:val="center"/>
          </w:tcPr>
          <w:p>
            <w:pPr>
              <w:pStyle w:val="63"/>
              <w:spacing w:beforeLines="0" w:afterLines="0" w:line="240" w:lineRule="auto"/>
              <w:ind w:left="0" w:leftChars="0" w:firstLine="0" w:firstLineChars="0"/>
              <w:jc w:val="center"/>
              <w:rPr>
                <w:rFonts w:ascii="Times New Roman" w:hAnsi="Times New Roman"/>
                <w:bCs/>
                <w:snapToGrid w:val="0"/>
                <w:color w:val="auto"/>
                <w:kern w:val="21"/>
                <w:sz w:val="21"/>
                <w:szCs w:val="21"/>
              </w:rPr>
            </w:pPr>
            <w:r>
              <w:rPr>
                <w:rFonts w:ascii="Times New Roman" w:hAnsi="Times New Roman"/>
                <w:bCs/>
                <w:snapToGrid w:val="0"/>
                <w:color w:val="auto"/>
                <w:kern w:val="21"/>
                <w:sz w:val="21"/>
                <w:szCs w:val="21"/>
              </w:rPr>
              <w:t>生活垃圾</w:t>
            </w:r>
          </w:p>
        </w:tc>
        <w:tc>
          <w:tcPr>
            <w:tcW w:w="475" w:type="pct"/>
            <w:vAlign w:val="center"/>
          </w:tcPr>
          <w:p>
            <w:pPr>
              <w:pStyle w:val="63"/>
              <w:spacing w:beforeLines="0" w:afterLines="0" w:line="240" w:lineRule="auto"/>
              <w:ind w:left="0" w:leftChars="0" w:firstLine="0" w:firstLineChars="0"/>
              <w:jc w:val="center"/>
              <w:rPr>
                <w:rFonts w:ascii="Times New Roman" w:hAnsi="Times New Roman"/>
                <w:bCs/>
                <w:snapToGrid w:val="0"/>
                <w:color w:val="auto"/>
                <w:kern w:val="21"/>
                <w:sz w:val="21"/>
                <w:szCs w:val="21"/>
              </w:rPr>
            </w:pPr>
            <w:r>
              <w:rPr>
                <w:rFonts w:ascii="Times New Roman" w:hAnsi="Times New Roman"/>
                <w:bCs/>
                <w:snapToGrid w:val="0"/>
                <w:color w:val="auto"/>
                <w:kern w:val="21"/>
                <w:sz w:val="21"/>
                <w:szCs w:val="21"/>
              </w:rPr>
              <w:t>生活垃圾</w:t>
            </w:r>
          </w:p>
        </w:tc>
        <w:tc>
          <w:tcPr>
            <w:tcW w:w="650" w:type="pct"/>
            <w:vAlign w:val="center"/>
          </w:tcPr>
          <w:p>
            <w:pPr>
              <w:pStyle w:val="63"/>
              <w:spacing w:beforeLines="0" w:afterLines="0" w:line="360" w:lineRule="auto"/>
              <w:ind w:left="0" w:leftChars="0" w:firstLine="0" w:firstLineChars="0"/>
              <w:jc w:val="center"/>
              <w:rPr>
                <w:rFonts w:hint="default" w:ascii="Times New Roman" w:hAnsi="Times New Roman" w:eastAsia="宋体"/>
                <w:b/>
                <w:snapToGrid w:val="0"/>
                <w:color w:val="auto"/>
                <w:kern w:val="21"/>
                <w:sz w:val="21"/>
                <w:szCs w:val="21"/>
                <w:lang w:val="en-US" w:eastAsia="zh-CN"/>
              </w:rPr>
            </w:pPr>
            <w:r>
              <w:rPr>
                <w:rFonts w:hint="eastAsia" w:ascii="Times New Roman" w:hAnsi="Times New Roman"/>
                <w:snapToGrid w:val="0"/>
                <w:color w:val="auto"/>
                <w:kern w:val="21"/>
                <w:sz w:val="21"/>
                <w:szCs w:val="21"/>
                <w:lang w:val="en-US" w:eastAsia="zh-CN"/>
              </w:rPr>
              <w:t>30</w:t>
            </w:r>
            <w:r>
              <w:rPr>
                <w:rFonts w:hint="eastAsia" w:ascii="Times New Roman" w:hAnsi="Times New Roman" w:eastAsia="宋体" w:cs="Times New Roman"/>
                <w:color w:val="auto"/>
                <w:sz w:val="21"/>
                <w:szCs w:val="21"/>
                <w:highlight w:val="none"/>
              </w:rPr>
              <w:t>t/a</w:t>
            </w:r>
          </w:p>
        </w:tc>
        <w:tc>
          <w:tcPr>
            <w:tcW w:w="451" w:type="pct"/>
            <w:vAlign w:val="center"/>
          </w:tcPr>
          <w:p>
            <w:pPr>
              <w:pStyle w:val="63"/>
              <w:spacing w:beforeLines="0" w:afterLines="0" w:line="360" w:lineRule="auto"/>
              <w:ind w:left="0" w:leftChars="0"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w:t>
            </w:r>
          </w:p>
        </w:tc>
        <w:tc>
          <w:tcPr>
            <w:tcW w:w="649" w:type="pct"/>
            <w:vAlign w:val="center"/>
          </w:tcPr>
          <w:p>
            <w:pPr>
              <w:pStyle w:val="7"/>
              <w:spacing w:line="360" w:lineRule="auto"/>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w:t>
            </w:r>
          </w:p>
        </w:tc>
        <w:tc>
          <w:tcPr>
            <w:tcW w:w="605" w:type="pct"/>
            <w:vAlign w:val="center"/>
          </w:tcPr>
          <w:p>
            <w:pPr>
              <w:spacing w:line="360" w:lineRule="auto"/>
              <w:jc w:val="center"/>
              <w:rPr>
                <w:rFonts w:hint="default" w:eastAsia="宋体"/>
                <w:bCs/>
                <w:color w:val="auto"/>
                <w:szCs w:val="21"/>
                <w:lang w:val="en-US" w:eastAsia="zh-CN"/>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566" w:type="pct"/>
            <w:vAlign w:val="center"/>
          </w:tcPr>
          <w:p>
            <w:pPr>
              <w:spacing w:line="360" w:lineRule="auto"/>
              <w:jc w:val="center"/>
              <w:rPr>
                <w:snapToGrid w:val="0"/>
                <w:color w:val="auto"/>
                <w:kern w:val="21"/>
                <w:szCs w:val="21"/>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701" w:type="pct"/>
            <w:vAlign w:val="center"/>
          </w:tcPr>
          <w:p>
            <w:pPr>
              <w:spacing w:line="360" w:lineRule="auto"/>
              <w:jc w:val="center"/>
              <w:rPr>
                <w:bCs/>
                <w:color w:val="auto"/>
                <w:szCs w:val="21"/>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c>
          <w:tcPr>
            <w:tcW w:w="481" w:type="pct"/>
            <w:vAlign w:val="center"/>
          </w:tcPr>
          <w:p>
            <w:pPr>
              <w:spacing w:line="360" w:lineRule="auto"/>
              <w:jc w:val="center"/>
              <w:rPr>
                <w:rFonts w:hint="eastAsia" w:eastAsia="宋体"/>
                <w:bCs/>
                <w:color w:val="auto"/>
                <w:szCs w:val="21"/>
                <w:lang w:val="en-US" w:eastAsia="zh-CN"/>
              </w:rPr>
            </w:pPr>
            <w:r>
              <w:rPr>
                <w:rFonts w:hint="eastAsia" w:ascii="Times New Roman" w:hAnsi="Times New Roman"/>
                <w:snapToGrid w:val="0"/>
                <w:color w:val="auto"/>
                <w:kern w:val="21"/>
                <w:sz w:val="21"/>
                <w:szCs w:val="21"/>
                <w:lang w:val="en-US" w:eastAsia="zh-CN"/>
              </w:rPr>
              <w:t>0</w:t>
            </w:r>
            <w:r>
              <w:rPr>
                <w:rFonts w:hint="eastAsia" w:ascii="Times New Roman" w:hAnsi="Times New Roman" w:eastAsia="宋体" w:cs="Times New Roman"/>
                <w:color w:val="auto"/>
                <w:sz w:val="21"/>
                <w:szCs w:val="21"/>
                <w:highlight w:val="none"/>
              </w:rPr>
              <w:t>t/a</w:t>
            </w:r>
          </w:p>
        </w:tc>
      </w:tr>
    </w:tbl>
    <w:p>
      <w:pPr>
        <w:pStyle w:val="63"/>
        <w:spacing w:before="192" w:beforeLines="80" w:after="24"/>
        <w:jc w:val="left"/>
        <w:rPr>
          <w:rFonts w:ascii="Times New Roman" w:hAnsi="Times New Roman"/>
          <w:snapToGrid w:val="0"/>
          <w:color w:val="auto"/>
          <w:spacing w:val="-6"/>
          <w:kern w:val="21"/>
          <w:szCs w:val="21"/>
        </w:rPr>
        <w:sectPr>
          <w:footerReference r:id="rId4" w:type="default"/>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docGrid w:linePitch="312" w:charSpace="0"/>
        </w:sect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①</w:t>
      </w:r>
      <w:r>
        <w:rPr>
          <w:rFonts w:ascii="Times New Roman" w:hAnsi="Times New Roman"/>
          <w:snapToGrid w:val="0"/>
          <w:color w:val="auto"/>
          <w:spacing w:val="-6"/>
          <w:kern w:val="21"/>
          <w:szCs w:val="21"/>
        </w:rPr>
        <w:fldChar w:fldCharType="end"/>
      </w:r>
    </w:p>
    <w:p>
      <w:pPr>
        <w:spacing w:line="360" w:lineRule="auto"/>
        <w:jc w:val="left"/>
        <w:rPr>
          <w:b/>
          <w:bCs/>
          <w:color w:val="auto"/>
          <w:sz w:val="28"/>
          <w:szCs w:val="36"/>
        </w:rPr>
      </w:pPr>
      <w:r>
        <w:rPr>
          <w:b/>
          <w:bCs/>
          <w:color w:val="auto"/>
          <w:sz w:val="28"/>
          <w:szCs w:val="36"/>
        </w:rPr>
        <w:t>附图：</w:t>
      </w:r>
    </w:p>
    <w:p>
      <w:pPr>
        <w:spacing w:line="360" w:lineRule="auto"/>
        <w:ind w:firstLine="480" w:firstLineChars="200"/>
        <w:jc w:val="left"/>
        <w:rPr>
          <w:bCs/>
          <w:color w:val="auto"/>
          <w:sz w:val="24"/>
          <w:szCs w:val="32"/>
        </w:rPr>
      </w:pPr>
      <w:r>
        <w:rPr>
          <w:bCs/>
          <w:color w:val="auto"/>
          <w:sz w:val="24"/>
          <w:szCs w:val="32"/>
        </w:rPr>
        <w:t>附图1：项目地理位置图</w:t>
      </w:r>
    </w:p>
    <w:p>
      <w:pPr>
        <w:spacing w:line="360" w:lineRule="auto"/>
        <w:ind w:firstLine="480" w:firstLineChars="200"/>
        <w:jc w:val="left"/>
        <w:rPr>
          <w:bCs/>
          <w:color w:val="auto"/>
          <w:sz w:val="24"/>
          <w:szCs w:val="32"/>
        </w:rPr>
      </w:pPr>
      <w:r>
        <w:rPr>
          <w:bCs/>
          <w:color w:val="auto"/>
          <w:sz w:val="24"/>
          <w:szCs w:val="32"/>
        </w:rPr>
        <w:t>附图2：项目区周边关系图</w:t>
      </w:r>
    </w:p>
    <w:p>
      <w:pPr>
        <w:spacing w:line="360" w:lineRule="auto"/>
        <w:ind w:firstLine="480" w:firstLineChars="200"/>
        <w:jc w:val="left"/>
        <w:rPr>
          <w:rFonts w:hint="eastAsia"/>
          <w:bCs/>
          <w:color w:val="auto"/>
          <w:sz w:val="24"/>
          <w:szCs w:val="32"/>
          <w:lang w:val="en-US" w:eastAsia="zh-CN"/>
        </w:rPr>
      </w:pPr>
      <w:r>
        <w:rPr>
          <w:rFonts w:hint="eastAsia"/>
          <w:bCs/>
          <w:color w:val="auto"/>
          <w:sz w:val="24"/>
          <w:szCs w:val="32"/>
          <w:lang w:eastAsia="zh-CN"/>
        </w:rPr>
        <w:t>附图</w:t>
      </w:r>
      <w:r>
        <w:rPr>
          <w:rFonts w:hint="eastAsia"/>
          <w:bCs/>
          <w:color w:val="auto"/>
          <w:sz w:val="24"/>
          <w:szCs w:val="32"/>
          <w:lang w:val="en-US" w:eastAsia="zh-CN"/>
        </w:rPr>
        <w:t>3：</w:t>
      </w:r>
      <w:r>
        <w:rPr>
          <w:bCs/>
          <w:color w:val="auto"/>
          <w:sz w:val="24"/>
          <w:szCs w:val="32"/>
        </w:rPr>
        <w:t>项目</w:t>
      </w:r>
      <w:r>
        <w:rPr>
          <w:rFonts w:hint="eastAsia"/>
          <w:bCs/>
          <w:color w:val="auto"/>
          <w:sz w:val="24"/>
          <w:szCs w:val="32"/>
          <w:lang w:val="en-US" w:eastAsia="zh-CN"/>
        </w:rPr>
        <w:t>厂</w:t>
      </w:r>
      <w:r>
        <w:rPr>
          <w:bCs/>
          <w:color w:val="auto"/>
          <w:sz w:val="24"/>
          <w:szCs w:val="32"/>
        </w:rPr>
        <w:t>区平面布置图</w:t>
      </w:r>
    </w:p>
    <w:p>
      <w:pPr>
        <w:spacing w:line="360" w:lineRule="auto"/>
        <w:ind w:firstLine="480" w:firstLineChars="200"/>
        <w:jc w:val="left"/>
        <w:rPr>
          <w:bCs/>
          <w:color w:val="auto"/>
          <w:sz w:val="24"/>
          <w:szCs w:val="32"/>
        </w:rPr>
      </w:pPr>
      <w:r>
        <w:rPr>
          <w:bCs/>
          <w:color w:val="auto"/>
          <w:sz w:val="24"/>
          <w:szCs w:val="32"/>
        </w:rPr>
        <w:t>附图</w:t>
      </w:r>
      <w:r>
        <w:rPr>
          <w:rFonts w:hint="eastAsia"/>
          <w:bCs/>
          <w:color w:val="auto"/>
          <w:sz w:val="24"/>
          <w:szCs w:val="32"/>
          <w:lang w:val="en-US" w:eastAsia="zh-CN"/>
        </w:rPr>
        <w:t>4</w:t>
      </w:r>
      <w:r>
        <w:rPr>
          <w:bCs/>
          <w:color w:val="auto"/>
          <w:sz w:val="24"/>
          <w:szCs w:val="32"/>
        </w:rPr>
        <w:t>：项目环境管控单元</w:t>
      </w:r>
      <w:r>
        <w:rPr>
          <w:rFonts w:hint="eastAsia"/>
          <w:bCs/>
          <w:color w:val="auto"/>
          <w:sz w:val="24"/>
          <w:szCs w:val="32"/>
          <w:lang w:eastAsia="zh-CN"/>
        </w:rPr>
        <w:t>示意</w:t>
      </w:r>
      <w:r>
        <w:rPr>
          <w:bCs/>
          <w:color w:val="auto"/>
          <w:sz w:val="24"/>
          <w:szCs w:val="32"/>
        </w:rPr>
        <w:t>图</w:t>
      </w:r>
    </w:p>
    <w:p>
      <w:pPr>
        <w:pStyle w:val="22"/>
        <w:spacing w:after="0" w:line="360" w:lineRule="auto"/>
        <w:ind w:left="0" w:leftChars="0" w:firstLine="480"/>
        <w:jc w:val="left"/>
        <w:rPr>
          <w:bCs/>
          <w:color w:val="auto"/>
          <w:sz w:val="24"/>
          <w:szCs w:val="32"/>
        </w:rPr>
      </w:pPr>
      <w:r>
        <w:rPr>
          <w:bCs/>
          <w:color w:val="auto"/>
          <w:sz w:val="24"/>
          <w:szCs w:val="32"/>
        </w:rPr>
        <w:t>附图</w:t>
      </w:r>
      <w:r>
        <w:rPr>
          <w:rFonts w:hint="eastAsia"/>
          <w:bCs/>
          <w:color w:val="auto"/>
          <w:sz w:val="24"/>
          <w:szCs w:val="32"/>
          <w:lang w:val="en-US" w:eastAsia="zh-CN"/>
        </w:rPr>
        <w:t>5</w:t>
      </w:r>
      <w:r>
        <w:rPr>
          <w:bCs/>
          <w:color w:val="auto"/>
          <w:sz w:val="24"/>
          <w:szCs w:val="32"/>
        </w:rPr>
        <w:t>：</w:t>
      </w:r>
      <w:r>
        <w:rPr>
          <w:rFonts w:hint="eastAsia"/>
          <w:bCs/>
          <w:color w:val="auto"/>
          <w:sz w:val="24"/>
          <w:szCs w:val="32"/>
        </w:rPr>
        <w:t>环境质量现状监测点位图</w:t>
      </w:r>
    </w:p>
    <w:p>
      <w:pPr>
        <w:pStyle w:val="19"/>
        <w:ind w:firstLine="0" w:firstLineChars="0"/>
        <w:rPr>
          <w:b/>
          <w:bCs/>
          <w:color w:val="auto"/>
          <w:sz w:val="28"/>
          <w:szCs w:val="36"/>
        </w:rPr>
      </w:pPr>
    </w:p>
    <w:p>
      <w:pPr>
        <w:pStyle w:val="19"/>
        <w:ind w:firstLine="0" w:firstLineChars="0"/>
        <w:rPr>
          <w:b/>
          <w:bCs/>
          <w:color w:val="auto"/>
          <w:sz w:val="28"/>
          <w:szCs w:val="36"/>
        </w:rPr>
      </w:pPr>
      <w:r>
        <w:rPr>
          <w:b/>
          <w:bCs/>
          <w:color w:val="auto"/>
          <w:sz w:val="28"/>
          <w:szCs w:val="36"/>
        </w:rPr>
        <w:t>附件：</w:t>
      </w:r>
    </w:p>
    <w:p>
      <w:pPr>
        <w:spacing w:line="360" w:lineRule="auto"/>
        <w:ind w:firstLine="480" w:firstLineChars="200"/>
        <w:jc w:val="left"/>
        <w:rPr>
          <w:bCs/>
          <w:color w:val="auto"/>
          <w:sz w:val="24"/>
          <w:szCs w:val="32"/>
        </w:rPr>
      </w:pPr>
      <w:r>
        <w:rPr>
          <w:bCs/>
          <w:color w:val="auto"/>
          <w:sz w:val="24"/>
          <w:szCs w:val="32"/>
        </w:rPr>
        <w:t>附件1：委托书</w:t>
      </w:r>
    </w:p>
    <w:p>
      <w:pPr>
        <w:spacing w:line="360" w:lineRule="auto"/>
        <w:ind w:firstLine="480" w:firstLineChars="200"/>
        <w:jc w:val="left"/>
        <w:rPr>
          <w:bCs/>
          <w:color w:val="auto"/>
          <w:sz w:val="24"/>
          <w:szCs w:val="32"/>
        </w:rPr>
      </w:pPr>
      <w:r>
        <w:rPr>
          <w:bCs/>
          <w:color w:val="auto"/>
          <w:sz w:val="24"/>
          <w:szCs w:val="32"/>
        </w:rPr>
        <w:t>附件2：营业执照</w:t>
      </w:r>
    </w:p>
    <w:p>
      <w:pPr>
        <w:spacing w:line="360" w:lineRule="auto"/>
        <w:ind w:firstLine="480" w:firstLineChars="200"/>
        <w:jc w:val="left"/>
        <w:rPr>
          <w:rFonts w:hint="eastAsia"/>
          <w:bCs/>
          <w:color w:val="auto"/>
          <w:sz w:val="24"/>
          <w:szCs w:val="32"/>
          <w:lang w:eastAsia="zh-CN"/>
        </w:rPr>
      </w:pPr>
      <w:r>
        <w:rPr>
          <w:bCs/>
          <w:color w:val="auto"/>
          <w:sz w:val="24"/>
          <w:szCs w:val="32"/>
        </w:rPr>
        <w:t>附件3：</w:t>
      </w:r>
      <w:r>
        <w:rPr>
          <w:rFonts w:hint="eastAsia"/>
          <w:bCs/>
          <w:color w:val="auto"/>
          <w:sz w:val="24"/>
          <w:szCs w:val="32"/>
          <w:lang w:eastAsia="zh-CN"/>
        </w:rPr>
        <w:t>原有项目环评批复</w:t>
      </w:r>
    </w:p>
    <w:p>
      <w:pPr>
        <w:spacing w:line="360" w:lineRule="auto"/>
        <w:ind w:firstLine="480" w:firstLineChars="200"/>
        <w:jc w:val="left"/>
        <w:rPr>
          <w:rFonts w:hint="eastAsia" w:eastAsia="宋体"/>
          <w:bCs/>
          <w:color w:val="auto"/>
          <w:sz w:val="24"/>
          <w:szCs w:val="32"/>
          <w:lang w:eastAsia="zh-CN"/>
        </w:rPr>
      </w:pPr>
      <w:r>
        <w:rPr>
          <w:bCs/>
          <w:color w:val="auto"/>
          <w:sz w:val="24"/>
          <w:szCs w:val="32"/>
        </w:rPr>
        <w:t>附件</w:t>
      </w:r>
      <w:r>
        <w:rPr>
          <w:rFonts w:hint="eastAsia"/>
          <w:bCs/>
          <w:color w:val="auto"/>
          <w:sz w:val="24"/>
          <w:szCs w:val="32"/>
        </w:rPr>
        <w:t>4</w:t>
      </w:r>
      <w:r>
        <w:rPr>
          <w:bCs/>
          <w:color w:val="auto"/>
          <w:sz w:val="24"/>
          <w:szCs w:val="32"/>
        </w:rPr>
        <w:t>：</w:t>
      </w:r>
      <w:r>
        <w:rPr>
          <w:rFonts w:hint="eastAsia"/>
          <w:bCs/>
          <w:color w:val="auto"/>
          <w:sz w:val="24"/>
          <w:szCs w:val="32"/>
          <w:lang w:eastAsia="zh-CN"/>
        </w:rPr>
        <w:t>原有项目验收审核意见表</w:t>
      </w:r>
    </w:p>
    <w:p>
      <w:pPr>
        <w:spacing w:line="360" w:lineRule="auto"/>
        <w:ind w:firstLine="480" w:firstLineChars="200"/>
        <w:jc w:val="left"/>
        <w:rPr>
          <w:rFonts w:hint="eastAsia"/>
          <w:bCs/>
          <w:color w:val="auto"/>
          <w:sz w:val="24"/>
          <w:szCs w:val="32"/>
          <w:lang w:val="en-US" w:eastAsia="zh-CN"/>
        </w:rPr>
      </w:pPr>
      <w:r>
        <w:rPr>
          <w:rFonts w:hint="eastAsia"/>
          <w:bCs/>
          <w:color w:val="auto"/>
          <w:sz w:val="24"/>
          <w:szCs w:val="32"/>
          <w:lang w:eastAsia="zh-CN"/>
        </w:rPr>
        <w:t>附件</w:t>
      </w:r>
      <w:r>
        <w:rPr>
          <w:rFonts w:hint="eastAsia"/>
          <w:bCs/>
          <w:color w:val="auto"/>
          <w:sz w:val="24"/>
          <w:szCs w:val="32"/>
          <w:lang w:val="en-US" w:eastAsia="zh-CN"/>
        </w:rPr>
        <w:t>5：排污许可</w:t>
      </w:r>
    </w:p>
    <w:p>
      <w:pPr>
        <w:spacing w:line="360" w:lineRule="auto"/>
        <w:ind w:firstLine="480" w:firstLineChars="200"/>
        <w:jc w:val="left"/>
        <w:rPr>
          <w:rFonts w:hint="eastAsia" w:eastAsia="宋体"/>
          <w:bCs/>
          <w:color w:val="auto"/>
          <w:sz w:val="24"/>
          <w:szCs w:val="32"/>
          <w:lang w:eastAsia="zh-CN"/>
        </w:rPr>
      </w:pPr>
      <w:r>
        <w:rPr>
          <w:rFonts w:hint="eastAsia"/>
          <w:bCs/>
          <w:color w:val="auto"/>
          <w:sz w:val="24"/>
          <w:szCs w:val="32"/>
          <w:lang w:val="en-US" w:eastAsia="zh-CN"/>
        </w:rPr>
        <w:t>附件6：</w:t>
      </w:r>
      <w:r>
        <w:rPr>
          <w:rFonts w:hint="eastAsia"/>
          <w:bCs/>
          <w:color w:val="auto"/>
          <w:sz w:val="24"/>
          <w:szCs w:val="32"/>
          <w:lang w:eastAsia="zh-CN"/>
        </w:rPr>
        <w:t>租赁合同</w:t>
      </w:r>
    </w:p>
    <w:p>
      <w:pPr>
        <w:spacing w:line="360" w:lineRule="auto"/>
        <w:ind w:firstLine="480" w:firstLineChars="200"/>
        <w:jc w:val="left"/>
      </w:pPr>
      <w:r>
        <w:rPr>
          <w:bCs/>
          <w:color w:val="auto"/>
          <w:sz w:val="24"/>
          <w:szCs w:val="32"/>
        </w:rPr>
        <w:t>附件</w:t>
      </w:r>
      <w:r>
        <w:rPr>
          <w:rFonts w:hint="eastAsia"/>
          <w:bCs/>
          <w:color w:val="auto"/>
          <w:sz w:val="24"/>
          <w:szCs w:val="32"/>
          <w:lang w:val="en-US" w:eastAsia="zh-CN"/>
        </w:rPr>
        <w:t>7</w:t>
      </w:r>
      <w:r>
        <w:rPr>
          <w:bCs/>
          <w:color w:val="auto"/>
          <w:sz w:val="24"/>
          <w:szCs w:val="32"/>
        </w:rPr>
        <w:t>：特征污染物检测报告</w:t>
      </w:r>
      <w:bookmarkStart w:id="16" w:name="_GoBack"/>
      <w:bookmarkEnd w:id="16"/>
    </w:p>
    <w:sectPr>
      <w:pgSz w:w="11906" w:h="16838"/>
      <w:pgMar w:top="1440" w:right="1800" w:bottom="144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10FB212-749D-4624-B801-3670139212FB}"/>
  </w:font>
  <w:font w:name="黑体">
    <w:panose1 w:val="02010609060101010101"/>
    <w:charset w:val="86"/>
    <w:family w:val="auto"/>
    <w:pitch w:val="default"/>
    <w:sig w:usb0="800002BF" w:usb1="38CF7CFA" w:usb2="00000016" w:usb3="00000000" w:csb0="00040001" w:csb1="00000000"/>
    <w:embedRegular r:id="rId2" w:fontKey="{817F68BF-082F-435F-8DDF-7C7E22D33BE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87FEB02F-80EC-4F01-854A-B50E84792D9E}"/>
  </w:font>
  <w:font w:name="方正小标宋_GBK">
    <w:panose1 w:val="02000000000000000000"/>
    <w:charset w:val="86"/>
    <w:family w:val="script"/>
    <w:pitch w:val="default"/>
    <w:sig w:usb0="A00002BF" w:usb1="38CF7CFA" w:usb2="00082016" w:usb3="00000000" w:csb0="00040001" w:csb1="00000000"/>
    <w:embedRegular r:id="rId4" w:fontKey="{BC751612-5584-4CD0-A5BD-A0EE1B573481}"/>
  </w:font>
  <w:font w:name="楷体_GB2312">
    <w:panose1 w:val="02010609030101010101"/>
    <w:charset w:val="86"/>
    <w:family w:val="modern"/>
    <w:pitch w:val="default"/>
    <w:sig w:usb0="00000001" w:usb1="080E0000" w:usb2="00000000" w:usb3="00000000" w:csb0="00040000" w:csb1="00000000"/>
    <w:embedRegular r:id="rId5" w:fontKey="{B471BE8E-53FE-43DD-A145-95C025595861}"/>
  </w:font>
  <w:font w:name="仿宋">
    <w:panose1 w:val="02010609060101010101"/>
    <w:charset w:val="86"/>
    <w:family w:val="auto"/>
    <w:pitch w:val="default"/>
    <w:sig w:usb0="800002BF" w:usb1="38CF7CFA" w:usb2="00000016" w:usb3="00000000" w:csb0="00040001" w:csb1="00000000"/>
    <w:embedRegular r:id="rId6" w:fontKey="{098D0F7C-C7D9-4491-8977-68D2453BC75A}"/>
  </w:font>
  <w:font w:name="Wingdings 2">
    <w:panose1 w:val="05020102010507070707"/>
    <w:charset w:val="02"/>
    <w:family w:val="roman"/>
    <w:pitch w:val="default"/>
    <w:sig w:usb0="00000000" w:usb1="00000000" w:usb2="00000000" w:usb3="00000000" w:csb0="80000000" w:csb1="00000000"/>
    <w:embedRegular r:id="rId7" w:fontKey="{B09141D2-85CB-46F8-BDA4-609032093DF8}"/>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 </w:t>
                          </w:r>
                          <w:r>
                            <w:fldChar w:fldCharType="begin"/>
                          </w:r>
                          <w:r>
                            <w:instrText xml:space="preserve"> PAGE  \* MERGEFORMAT </w:instrText>
                          </w:r>
                          <w:r>
                            <w:fldChar w:fldCharType="separate"/>
                          </w:r>
                          <w:r>
                            <w:t>54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4"/>
                    </w:pPr>
                    <w:r>
                      <w:t xml:space="preserve">— </w:t>
                    </w:r>
                    <w:r>
                      <w:fldChar w:fldCharType="begin"/>
                    </w:r>
                    <w:r>
                      <w:instrText xml:space="preserve"> PAGE  \* MERGEFORMAT </w:instrText>
                    </w:r>
                    <w:r>
                      <w:fldChar w:fldCharType="separate"/>
                    </w:r>
                    <w:r>
                      <w:t>54</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kMmIxZTNhNTc2ZjUwZGQ4MDcwZjY2NjA5NTFhODkifQ=="/>
  </w:docVars>
  <w:rsids>
    <w:rsidRoot w:val="00000000"/>
    <w:rsid w:val="01FF4663"/>
    <w:rsid w:val="02671768"/>
    <w:rsid w:val="03692936"/>
    <w:rsid w:val="055406CA"/>
    <w:rsid w:val="06D53145"/>
    <w:rsid w:val="07F61805"/>
    <w:rsid w:val="087D5842"/>
    <w:rsid w:val="08C34054"/>
    <w:rsid w:val="08C571E9"/>
    <w:rsid w:val="08EB4EA1"/>
    <w:rsid w:val="0AD81455"/>
    <w:rsid w:val="0C5717FA"/>
    <w:rsid w:val="11555FED"/>
    <w:rsid w:val="15624376"/>
    <w:rsid w:val="17044E8F"/>
    <w:rsid w:val="1A030941"/>
    <w:rsid w:val="1D5C1047"/>
    <w:rsid w:val="20C25048"/>
    <w:rsid w:val="25B11AEA"/>
    <w:rsid w:val="25E54CB2"/>
    <w:rsid w:val="261E05A1"/>
    <w:rsid w:val="27212D88"/>
    <w:rsid w:val="284657F9"/>
    <w:rsid w:val="29E17ECF"/>
    <w:rsid w:val="2D1F7A54"/>
    <w:rsid w:val="2D8867FD"/>
    <w:rsid w:val="30086895"/>
    <w:rsid w:val="31A46759"/>
    <w:rsid w:val="33D311D2"/>
    <w:rsid w:val="34820E1B"/>
    <w:rsid w:val="3C277A0A"/>
    <w:rsid w:val="3F514D57"/>
    <w:rsid w:val="404C2125"/>
    <w:rsid w:val="42E12896"/>
    <w:rsid w:val="442B7D95"/>
    <w:rsid w:val="489A776F"/>
    <w:rsid w:val="4CC07F53"/>
    <w:rsid w:val="4D2A2031"/>
    <w:rsid w:val="50993A97"/>
    <w:rsid w:val="57741B12"/>
    <w:rsid w:val="59F57CF4"/>
    <w:rsid w:val="5B2335F4"/>
    <w:rsid w:val="5C29325C"/>
    <w:rsid w:val="5E27164D"/>
    <w:rsid w:val="6319742E"/>
    <w:rsid w:val="637F5A87"/>
    <w:rsid w:val="659463A6"/>
    <w:rsid w:val="67A7735B"/>
    <w:rsid w:val="6D0841F0"/>
    <w:rsid w:val="70ED5214"/>
    <w:rsid w:val="712B701F"/>
    <w:rsid w:val="74163C02"/>
    <w:rsid w:val="7D1B7757"/>
    <w:rsid w:val="7DD12CDF"/>
    <w:rsid w:val="7F7D5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2"/>
    <w:basedOn w:val="1"/>
    <w:next w:val="1"/>
    <w:autoRedefine/>
    <w:unhideWhenUsed/>
    <w:qFormat/>
    <w:uiPriority w:val="0"/>
    <w:pPr>
      <w:keepNext/>
      <w:keepLines/>
      <w:jc w:val="left"/>
      <w:outlineLvl w:val="1"/>
    </w:pPr>
    <w:rPr>
      <w:sz w:val="28"/>
    </w:rPr>
  </w:style>
  <w:style w:type="paragraph" w:styleId="4">
    <w:name w:val="heading 3"/>
    <w:basedOn w:val="1"/>
    <w:next w:val="1"/>
    <w:autoRedefine/>
    <w:unhideWhenUsed/>
    <w:qFormat/>
    <w:uiPriority w:val="0"/>
    <w:pPr>
      <w:keepNext/>
      <w:keepLines/>
      <w:spacing w:line="360" w:lineRule="auto"/>
      <w:jc w:val="left"/>
      <w:outlineLvl w:val="2"/>
    </w:pPr>
  </w:style>
  <w:style w:type="paragraph" w:styleId="5">
    <w:name w:val="heading 4"/>
    <w:basedOn w:val="1"/>
    <w:next w:val="1"/>
    <w:autoRedefine/>
    <w:qFormat/>
    <w:uiPriority w:val="0"/>
    <w:pPr>
      <w:keepNext/>
      <w:keepLines/>
      <w:spacing w:line="374" w:lineRule="auto"/>
      <w:outlineLvl w:val="3"/>
    </w:pPr>
    <w:rPr>
      <w:rFonts w:ascii="Arial" w:hAnsi="Arial" w:eastAsia="黑体"/>
      <w:b/>
      <w:bCs/>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rPr>
      <w:rFonts w:ascii="Calibri" w:hAnsi="Calibri"/>
    </w:rPr>
  </w:style>
  <w:style w:type="paragraph" w:styleId="7">
    <w:name w:val="Body Text"/>
    <w:basedOn w:val="1"/>
    <w:next w:val="8"/>
    <w:autoRedefine/>
    <w:qFormat/>
    <w:uiPriority w:val="1"/>
    <w:rPr>
      <w:rFonts w:ascii="宋体" w:hAnsi="宋体" w:cs="宋体"/>
      <w:sz w:val="24"/>
      <w:lang w:val="zh-CN" w:bidi="zh-CN"/>
    </w:rPr>
  </w:style>
  <w:style w:type="paragraph" w:customStyle="1" w:styleId="8">
    <w:name w:val="xl2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eastAsia="Times New Roman"/>
      <w:spacing w:val="0"/>
      <w:sz w:val="22"/>
      <w:szCs w:val="22"/>
    </w:rPr>
  </w:style>
  <w:style w:type="paragraph" w:styleId="9">
    <w:name w:val="caption"/>
    <w:basedOn w:val="1"/>
    <w:next w:val="1"/>
    <w:autoRedefine/>
    <w:qFormat/>
    <w:uiPriority w:val="0"/>
    <w:pPr>
      <w:spacing w:before="120" w:after="120" w:line="480" w:lineRule="exact"/>
      <w:jc w:val="center"/>
    </w:pPr>
    <w:rPr>
      <w:sz w:val="24"/>
    </w:rPr>
  </w:style>
  <w:style w:type="paragraph" w:styleId="10">
    <w:name w:val="annotation text"/>
    <w:basedOn w:val="1"/>
    <w:autoRedefine/>
    <w:semiHidden/>
    <w:qFormat/>
    <w:uiPriority w:val="0"/>
    <w:pPr>
      <w:jc w:val="left"/>
    </w:pPr>
    <w:rPr>
      <w:kern w:val="0"/>
      <w:sz w:val="24"/>
      <w:szCs w:val="20"/>
    </w:rPr>
  </w:style>
  <w:style w:type="paragraph" w:styleId="11">
    <w:name w:val="Body Text Indent"/>
    <w:basedOn w:val="1"/>
    <w:next w:val="12"/>
    <w:autoRedefine/>
    <w:qFormat/>
    <w:uiPriority w:val="0"/>
    <w:pPr>
      <w:spacing w:after="120"/>
      <w:ind w:left="420" w:leftChars="200"/>
    </w:pPr>
    <w:rPr>
      <w:kern w:val="0"/>
      <w:sz w:val="24"/>
      <w:szCs w:val="20"/>
    </w:rPr>
  </w:style>
  <w:style w:type="paragraph" w:styleId="12">
    <w:name w:val="Balloon Text"/>
    <w:basedOn w:val="1"/>
    <w:autoRedefine/>
    <w:semiHidden/>
    <w:qFormat/>
    <w:uiPriority w:val="0"/>
    <w:rPr>
      <w:kern w:val="0"/>
      <w:sz w:val="18"/>
      <w:szCs w:val="20"/>
    </w:rPr>
  </w:style>
  <w:style w:type="paragraph" w:styleId="13">
    <w:name w:val="Plain Text"/>
    <w:basedOn w:val="1"/>
    <w:autoRedefine/>
    <w:qFormat/>
    <w:uiPriority w:val="0"/>
    <w:pPr>
      <w:ind w:firstLine="560" w:firstLineChars="200"/>
    </w:pPr>
    <w:rPr>
      <w:rFonts w:ascii="宋体" w:hAnsi="Courier New" w:eastAsia="宋体"/>
      <w:bCs/>
      <w:color w:val="000000"/>
      <w:kern w:val="2"/>
      <w:sz w:val="28"/>
      <w:szCs w:val="28"/>
      <w:lang w:val="en-US" w:eastAsia="zh-CN" w:bidi="ar-SA"/>
    </w:rPr>
  </w:style>
  <w:style w:type="paragraph" w:styleId="14">
    <w:name w:val="footer"/>
    <w:basedOn w:val="1"/>
    <w:next w:val="1"/>
    <w:autoRedefine/>
    <w:qFormat/>
    <w:uiPriority w:val="99"/>
    <w:pPr>
      <w:tabs>
        <w:tab w:val="center" w:pos="4153"/>
        <w:tab w:val="right" w:pos="8306"/>
      </w:tabs>
      <w:snapToGrid w:val="0"/>
      <w:jc w:val="left"/>
    </w:pPr>
    <w:rPr>
      <w:kern w:val="0"/>
      <w:sz w:val="18"/>
      <w:szCs w:val="20"/>
    </w:rPr>
  </w:style>
  <w:style w:type="paragraph" w:styleId="15">
    <w:name w:val="header"/>
    <w:basedOn w:val="1"/>
    <w:next w:val="16"/>
    <w:autoRedefine/>
    <w:qFormat/>
    <w:uiPriority w:val="0"/>
    <w:pPr>
      <w:pBdr>
        <w:bottom w:val="single" w:color="auto" w:sz="6" w:space="1"/>
      </w:pBdr>
      <w:snapToGrid w:val="0"/>
      <w:jc w:val="center"/>
    </w:pPr>
    <w:rPr>
      <w:kern w:val="0"/>
      <w:sz w:val="18"/>
      <w:szCs w:val="18"/>
    </w:rPr>
  </w:style>
  <w:style w:type="paragraph" w:customStyle="1" w:styleId="16">
    <w:name w:val="样式5"/>
    <w:basedOn w:val="6"/>
    <w:autoRedefine/>
    <w:qFormat/>
    <w:uiPriority w:val="99"/>
    <w:pPr>
      <w:spacing w:line="440" w:lineRule="exact"/>
      <w:ind w:right="-105" w:rightChars="-50"/>
      <w:jc w:val="center"/>
    </w:pPr>
    <w:rPr>
      <w:rFonts w:ascii="宋体" w:hAnsi="宋体"/>
    </w:rPr>
  </w:style>
  <w:style w:type="paragraph" w:styleId="17">
    <w:name w:val="index heading"/>
    <w:basedOn w:val="1"/>
    <w:next w:val="18"/>
    <w:autoRedefine/>
    <w:qFormat/>
    <w:uiPriority w:val="99"/>
    <w:rPr>
      <w:szCs w:val="20"/>
    </w:rPr>
  </w:style>
  <w:style w:type="paragraph" w:styleId="18">
    <w:name w:val="index 1"/>
    <w:basedOn w:val="1"/>
    <w:next w:val="1"/>
    <w:autoRedefine/>
    <w:qFormat/>
    <w:uiPriority w:val="99"/>
    <w:pPr>
      <w:spacing w:line="320" w:lineRule="exact"/>
      <w:jc w:val="center"/>
    </w:pPr>
    <w:rPr>
      <w:color w:val="000000"/>
      <w:szCs w:val="21"/>
    </w:rPr>
  </w:style>
  <w:style w:type="paragraph" w:styleId="19">
    <w:name w:val="Body Text 2"/>
    <w:basedOn w:val="1"/>
    <w:autoRedefine/>
    <w:unhideWhenUsed/>
    <w:qFormat/>
    <w:uiPriority w:val="99"/>
    <w:pPr>
      <w:spacing w:line="360" w:lineRule="auto"/>
      <w:ind w:firstLine="602" w:firstLineChars="200"/>
      <w:jc w:val="left"/>
    </w:pPr>
    <w:rPr>
      <w:sz w:val="24"/>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7"/>
    <w:next w:val="1"/>
    <w:autoRedefine/>
    <w:qFormat/>
    <w:uiPriority w:val="0"/>
    <w:pPr>
      <w:ind w:firstLine="420" w:firstLineChars="100"/>
    </w:pPr>
    <w:rPr>
      <w:rFonts w:ascii="宋体" w:hAnsi="宋体"/>
    </w:rPr>
  </w:style>
  <w:style w:type="paragraph" w:styleId="22">
    <w:name w:val="Body Text First Indent 2"/>
    <w:basedOn w:val="11"/>
    <w:next w:val="7"/>
    <w:autoRedefine/>
    <w:qFormat/>
    <w:uiPriority w:val="0"/>
    <w:pPr>
      <w:ind w:firstLine="420" w:firstLineChars="200"/>
    </w:pPr>
    <w:rPr>
      <w:kern w:val="2"/>
      <w:sz w:val="21"/>
      <w:szCs w:val="24"/>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autoRedefine/>
    <w:qFormat/>
    <w:uiPriority w:val="0"/>
    <w:rPr>
      <w:color w:val="0000FF"/>
      <w:u w:val="single"/>
    </w:rPr>
  </w:style>
  <w:style w:type="paragraph" w:customStyle="1" w:styleId="27">
    <w:name w:val="PlainText"/>
    <w:basedOn w:val="1"/>
    <w:autoRedefine/>
    <w:qFormat/>
    <w:uiPriority w:val="0"/>
    <w:rPr>
      <w:rFonts w:ascii="宋体" w:hAnsi="Courier New"/>
    </w:rPr>
  </w:style>
  <w:style w:type="paragraph" w:customStyle="1" w:styleId="28">
    <w:name w:val="Default"/>
    <w:basedOn w:val="29"/>
    <w:next w:val="1"/>
    <w:autoRedefine/>
    <w:qFormat/>
    <w:uiPriority w:val="0"/>
    <w:pPr>
      <w:tabs>
        <w:tab w:val="left" w:pos="1845"/>
      </w:tabs>
      <w:autoSpaceDE w:val="0"/>
      <w:autoSpaceDN w:val="0"/>
    </w:pPr>
    <w:rPr>
      <w:rFonts w:ascii="宋体" w:cs="宋体"/>
      <w:sz w:val="24"/>
    </w:rPr>
  </w:style>
  <w:style w:type="paragraph" w:customStyle="1" w:styleId="29">
    <w:name w:val="纯文本1"/>
    <w:basedOn w:val="1"/>
    <w:autoRedefine/>
    <w:qFormat/>
    <w:uiPriority w:val="0"/>
    <w:rPr>
      <w:rFonts w:ascii="宋体" w:hAnsi="Courier New"/>
    </w:rPr>
  </w:style>
  <w:style w:type="paragraph" w:customStyle="1" w:styleId="30">
    <w:name w:val="样式 首行缩进:  2 字符1"/>
    <w:autoRedefine/>
    <w:qFormat/>
    <w:uiPriority w:val="0"/>
    <w:pPr>
      <w:adjustRightInd w:val="0"/>
      <w:snapToGrid w:val="0"/>
      <w:spacing w:line="360" w:lineRule="auto"/>
      <w:ind w:firstLine="480" w:firstLineChars="200"/>
    </w:pPr>
    <w:rPr>
      <w:rFonts w:ascii="Times New Roman" w:hAnsi="Times New Roman" w:eastAsia="Times New Roman" w:cs="宋体"/>
      <w:sz w:val="24"/>
      <w:lang w:val="en-US" w:eastAsia="zh-CN" w:bidi="ar-SA"/>
    </w:rPr>
  </w:style>
  <w:style w:type="paragraph" w:customStyle="1" w:styleId="31">
    <w:name w:val="Table Paragraph"/>
    <w:basedOn w:val="1"/>
    <w:autoRedefine/>
    <w:qFormat/>
    <w:uiPriority w:val="1"/>
    <w:rPr>
      <w:rFonts w:ascii="宋体" w:hAnsi="宋体" w:cs="宋体"/>
      <w:lang w:val="zh-CN" w:bidi="zh-CN"/>
    </w:rPr>
  </w:style>
  <w:style w:type="paragraph" w:customStyle="1" w:styleId="32">
    <w:name w:val="表格内容1"/>
    <w:basedOn w:val="1"/>
    <w:autoRedefine/>
    <w:qFormat/>
    <w:uiPriority w:val="0"/>
    <w:pPr>
      <w:widowControl/>
      <w:jc w:val="center"/>
    </w:pPr>
    <w:rPr>
      <w:kern w:val="0"/>
      <w:szCs w:val="21"/>
      <w:lang w:eastAsia="en-US" w:bidi="en-US"/>
    </w:rPr>
  </w:style>
  <w:style w:type="paragraph" w:customStyle="1" w:styleId="33">
    <w:name w:val="表格2"/>
    <w:basedOn w:val="6"/>
    <w:next w:val="19"/>
    <w:autoRedefine/>
    <w:qFormat/>
    <w:uiPriority w:val="0"/>
    <w:pPr>
      <w:spacing w:line="240" w:lineRule="auto"/>
      <w:ind w:firstLine="0" w:firstLineChars="0"/>
      <w:jc w:val="center"/>
    </w:pPr>
    <w:rPr>
      <w:rFonts w:ascii="Times New Roman" w:hAnsi="Times New Roman"/>
      <w:sz w:val="21"/>
      <w:szCs w:val="24"/>
    </w:rPr>
  </w:style>
  <w:style w:type="paragraph" w:customStyle="1" w:styleId="34">
    <w:name w:val="正文新"/>
    <w:basedOn w:val="1"/>
    <w:autoRedefine/>
    <w:qFormat/>
    <w:uiPriority w:val="0"/>
    <w:pPr>
      <w:spacing w:line="460" w:lineRule="exact"/>
      <w:ind w:firstLine="480" w:firstLineChars="200"/>
    </w:pPr>
    <w:rPr>
      <w:sz w:val="24"/>
    </w:rPr>
  </w:style>
  <w:style w:type="paragraph" w:customStyle="1" w:styleId="35">
    <w:name w:val="环评标题"/>
    <w:basedOn w:val="36"/>
    <w:autoRedefine/>
    <w:qFormat/>
    <w:uiPriority w:val="0"/>
    <w:rPr>
      <w:b/>
      <w:sz w:val="28"/>
    </w:rPr>
  </w:style>
  <w:style w:type="paragraph" w:customStyle="1" w:styleId="36">
    <w:name w:val="环评正文"/>
    <w:autoRedefine/>
    <w:qFormat/>
    <w:uiPriority w:val="0"/>
    <w:rPr>
      <w:rFonts w:ascii="Times New Roman" w:hAnsi="Times New Roman" w:eastAsia="宋体" w:cs="Times New Roman"/>
      <w:sz w:val="24"/>
      <w:lang w:val="en-US" w:eastAsia="zh-CN" w:bidi="ar-SA"/>
    </w:rPr>
  </w:style>
  <w:style w:type="paragraph" w:customStyle="1" w:styleId="37">
    <w:name w:val="样式 正文缩进正文缩进2正文缩进 Char Char正文缩进 Char Char Char Char正文缩进 Char ..."/>
    <w:basedOn w:val="6"/>
    <w:autoRedefine/>
    <w:qFormat/>
    <w:uiPriority w:val="99"/>
    <w:pPr>
      <w:ind w:firstLine="200"/>
    </w:pPr>
    <w:rPr>
      <w:rFonts w:cs="宋体"/>
    </w:rPr>
  </w:style>
  <w:style w:type="paragraph" w:customStyle="1" w:styleId="38">
    <w:name w:val="Body Text 21"/>
    <w:basedOn w:val="1"/>
    <w:autoRedefine/>
    <w:qFormat/>
    <w:uiPriority w:val="0"/>
    <w:pPr>
      <w:spacing w:after="120" w:line="480" w:lineRule="auto"/>
    </w:pPr>
  </w:style>
  <w:style w:type="paragraph" w:customStyle="1" w:styleId="39">
    <w:name w:val="Other|1"/>
    <w:basedOn w:val="1"/>
    <w:autoRedefine/>
    <w:qFormat/>
    <w:uiPriority w:val="0"/>
    <w:rPr>
      <w:rFonts w:ascii="宋体" w:hAnsi="宋体" w:cs="宋体"/>
    </w:rPr>
  </w:style>
  <w:style w:type="paragraph" w:customStyle="1" w:styleId="40">
    <w:name w:val="表头字体"/>
    <w:basedOn w:val="1"/>
    <w:autoRedefine/>
    <w:qFormat/>
    <w:uiPriority w:val="0"/>
    <w:pPr>
      <w:spacing w:line="360" w:lineRule="auto"/>
      <w:jc w:val="center"/>
    </w:pPr>
  </w:style>
  <w:style w:type="paragraph" w:customStyle="1" w:styleId="41">
    <w:name w:val="txt"/>
    <w:basedOn w:val="42"/>
    <w:autoRedefine/>
    <w:qFormat/>
    <w:uiPriority w:val="0"/>
    <w:rPr>
      <w:sz w:val="21"/>
      <w:szCs w:val="21"/>
    </w:rPr>
  </w:style>
  <w:style w:type="paragraph" w:customStyle="1" w:styleId="42">
    <w:name w:val="text"/>
    <w:basedOn w:val="1"/>
    <w:autoRedefine/>
    <w:qFormat/>
    <w:uiPriority w:val="0"/>
    <w:pPr>
      <w:wordWrap w:val="0"/>
      <w:spacing w:line="360" w:lineRule="auto"/>
      <w:ind w:firstLine="200" w:firstLineChars="200"/>
    </w:pPr>
    <w:rPr>
      <w:sz w:val="24"/>
      <w:szCs w:val="24"/>
    </w:rPr>
  </w:style>
  <w:style w:type="paragraph" w:customStyle="1" w:styleId="43">
    <w:name w:val="Table Text"/>
    <w:basedOn w:val="1"/>
    <w:autoRedefine/>
    <w:semiHidden/>
    <w:qFormat/>
    <w:uiPriority w:val="0"/>
    <w:rPr>
      <w:rFonts w:ascii="宋体" w:hAnsi="宋体" w:eastAsia="宋体" w:cs="宋体"/>
      <w:sz w:val="20"/>
      <w:szCs w:val="20"/>
      <w:lang w:val="en-US" w:eastAsia="en-US" w:bidi="ar-SA"/>
    </w:rPr>
  </w:style>
  <w:style w:type="paragraph" w:customStyle="1" w:styleId="44">
    <w:name w:val="默认段落字体 Para Char"/>
    <w:basedOn w:val="1"/>
    <w:next w:val="1"/>
    <w:autoRedefine/>
    <w:qFormat/>
    <w:uiPriority w:val="99"/>
    <w:pPr>
      <w:spacing w:line="360" w:lineRule="auto"/>
      <w:ind w:firstLine="200" w:firstLineChars="200"/>
    </w:pPr>
    <w:rPr>
      <w:rFonts w:ascii="宋体" w:hAnsi="宋体" w:cs="宋体"/>
      <w:sz w:val="24"/>
      <w:szCs w:val="24"/>
    </w:rPr>
  </w:style>
  <w:style w:type="paragraph" w:customStyle="1" w:styleId="45">
    <w:name w:val="0正文"/>
    <w:basedOn w:val="11"/>
    <w:next w:val="15"/>
    <w:autoRedefine/>
    <w:qFormat/>
    <w:uiPriority w:val="0"/>
    <w:pPr>
      <w:spacing w:line="360" w:lineRule="auto"/>
      <w:ind w:firstLine="720" w:firstLineChars="200"/>
      <w:jc w:val="left"/>
    </w:pPr>
  </w:style>
  <w:style w:type="paragraph" w:customStyle="1" w:styleId="46">
    <w:name w:val="表内文字"/>
    <w:basedOn w:val="1"/>
    <w:autoRedefine/>
    <w:qFormat/>
    <w:uiPriority w:val="1"/>
    <w:pPr>
      <w:spacing w:line="240" w:lineRule="auto"/>
      <w:ind w:firstLine="0" w:firstLineChars="0"/>
      <w:jc w:val="center"/>
    </w:pPr>
    <w:rPr>
      <w:rFonts w:ascii="宋体" w:hAnsi="宋体" w:cs="宋体"/>
      <w:sz w:val="21"/>
      <w:szCs w:val="24"/>
      <w:lang w:val="zh-CN" w:bidi="zh-CN"/>
    </w:rPr>
  </w:style>
  <w:style w:type="paragraph" w:customStyle="1" w:styleId="47">
    <w:name w:val="表头"/>
    <w:basedOn w:val="6"/>
    <w:next w:val="1"/>
    <w:autoRedefine/>
    <w:qFormat/>
    <w:uiPriority w:val="0"/>
    <w:pPr>
      <w:jc w:val="center"/>
    </w:pPr>
    <w:rPr>
      <w:rFonts w:hint="eastAsia"/>
      <w:b/>
      <w:bCs/>
      <w:szCs w:val="21"/>
    </w:rPr>
  </w:style>
  <w:style w:type="paragraph" w:customStyle="1" w:styleId="48">
    <w:name w:val="表格文字"/>
    <w:basedOn w:val="1"/>
    <w:autoRedefine/>
    <w:qFormat/>
    <w:uiPriority w:val="0"/>
    <w:pPr>
      <w:spacing w:line="300" w:lineRule="exact"/>
      <w:jc w:val="center"/>
    </w:pPr>
    <w:rPr>
      <w:rFonts w:ascii="宋体"/>
      <w:kern w:val="0"/>
      <w:szCs w:val="32"/>
    </w:rPr>
  </w:style>
  <w:style w:type="paragraph" w:customStyle="1" w:styleId="49">
    <w:name w:val="表头-ly"/>
    <w:basedOn w:val="20"/>
    <w:autoRedefine/>
    <w:qFormat/>
    <w:uiPriority w:val="0"/>
    <w:pPr>
      <w:widowControl w:val="0"/>
      <w:autoSpaceDE w:val="0"/>
      <w:spacing w:before="0" w:beforeAutospacing="0" w:after="0" w:afterAutospacing="0"/>
      <w:ind w:firstLine="200" w:firstLineChars="200"/>
      <w:jc w:val="both"/>
    </w:pPr>
    <w:rPr>
      <w:rFonts w:ascii="黑体" w:hAnsi="黑体" w:eastAsia="黑体"/>
      <w:bCs/>
      <w:kern w:val="2"/>
      <w:sz w:val="21"/>
      <w:szCs w:val="24"/>
    </w:rPr>
  </w:style>
  <w:style w:type="paragraph" w:customStyle="1" w:styleId="50">
    <w:name w:val="表头1"/>
    <w:basedOn w:val="1"/>
    <w:autoRedefine/>
    <w:qFormat/>
    <w:uiPriority w:val="0"/>
    <w:pPr>
      <w:widowControl w:val="0"/>
      <w:spacing w:line="240" w:lineRule="auto"/>
      <w:ind w:firstLine="0" w:firstLineChars="0"/>
      <w:jc w:val="center"/>
    </w:pPr>
    <w:rPr>
      <w:rFonts w:ascii="Calibri" w:hAnsi="Calibri" w:cs="宋体"/>
      <w:b/>
      <w:kern w:val="2"/>
      <w:sz w:val="21"/>
      <w:lang w:eastAsia="zh-CN"/>
    </w:rPr>
  </w:style>
  <w:style w:type="paragraph" w:customStyle="1" w:styleId="51">
    <w:name w:val="样式1"/>
    <w:basedOn w:val="17"/>
    <w:next w:val="1"/>
    <w:autoRedefine/>
    <w:qFormat/>
    <w:uiPriority w:val="0"/>
    <w:rPr>
      <w:sz w:val="21"/>
      <w:szCs w:val="22"/>
      <w:lang w:val="en-US" w:eastAsia="zh-CN" w:bidi="ar-SA"/>
    </w:rPr>
  </w:style>
  <w:style w:type="paragraph" w:customStyle="1" w:styleId="52">
    <w:name w:val="1 表头"/>
    <w:basedOn w:val="1"/>
    <w:autoRedefine/>
    <w:qFormat/>
    <w:uiPriority w:val="0"/>
    <w:pPr>
      <w:adjustRightInd w:val="0"/>
      <w:snapToGrid w:val="0"/>
      <w:jc w:val="center"/>
    </w:pPr>
    <w:rPr>
      <w:b/>
      <w:color w:val="000000"/>
      <w:szCs w:val="21"/>
    </w:rPr>
  </w:style>
  <w:style w:type="paragraph" w:customStyle="1" w:styleId="53">
    <w:name w:val="表格内容"/>
    <w:basedOn w:val="54"/>
    <w:next w:val="56"/>
    <w:autoRedefine/>
    <w:qFormat/>
    <w:uiPriority w:val="0"/>
    <w:pPr>
      <w:jc w:val="center"/>
    </w:pPr>
    <w:rPr>
      <w:rFonts w:ascii="Times New Roman" w:hAnsi="Times New Roman" w:eastAsia="宋体" w:cs="Times New Roman"/>
      <w:kern w:val="2"/>
      <w:sz w:val="21"/>
      <w:szCs w:val="24"/>
      <w:lang w:val="zh-TW" w:eastAsia="zh-TW" w:bidi="ar-SA"/>
    </w:rPr>
  </w:style>
  <w:style w:type="paragraph" w:customStyle="1" w:styleId="54">
    <w:name w:val="正文1"/>
    <w:basedOn w:val="55"/>
    <w:next w:val="1"/>
    <w:autoRedefine/>
    <w:qFormat/>
    <w:uiPriority w:val="0"/>
    <w:pPr>
      <w:spacing w:line="360" w:lineRule="auto"/>
      <w:ind w:firstLine="480" w:firstLineChars="200"/>
    </w:pPr>
    <w:rPr>
      <w:rFonts w:hAnsi="宋体"/>
      <w:sz w:val="24"/>
      <w:lang w:val="zh-CN"/>
    </w:rPr>
  </w:style>
  <w:style w:type="paragraph" w:customStyle="1" w:styleId="55">
    <w:name w:val="列出段落11"/>
    <w:basedOn w:val="1"/>
    <w:autoRedefine/>
    <w:qFormat/>
    <w:uiPriority w:val="34"/>
    <w:pPr>
      <w:ind w:firstLine="420"/>
    </w:pPr>
  </w:style>
  <w:style w:type="paragraph" w:customStyle="1" w:styleId="56">
    <w:name w:val="文本正文"/>
    <w:basedOn w:val="1"/>
    <w:autoRedefine/>
    <w:qFormat/>
    <w:uiPriority w:val="0"/>
    <w:pPr>
      <w:ind w:firstLine="480"/>
    </w:pPr>
  </w:style>
  <w:style w:type="paragraph" w:styleId="57">
    <w:name w:val="List Paragraph"/>
    <w:basedOn w:val="1"/>
    <w:autoRedefine/>
    <w:qFormat/>
    <w:uiPriority w:val="1"/>
    <w:pPr>
      <w:ind w:left="1892" w:hanging="360"/>
    </w:pPr>
    <w:rPr>
      <w:rFonts w:ascii="宋体" w:hAnsi="宋体" w:cs="宋体"/>
      <w:lang w:val="zh-CN" w:bidi="zh-CN"/>
    </w:rPr>
  </w:style>
  <w:style w:type="paragraph" w:customStyle="1" w:styleId="58">
    <w:name w:val="1正文段落"/>
    <w:basedOn w:val="1"/>
    <w:autoRedefine/>
    <w:qFormat/>
    <w:uiPriority w:val="99"/>
    <w:pPr>
      <w:spacing w:line="360" w:lineRule="auto"/>
      <w:ind w:firstLine="200" w:firstLineChars="200"/>
    </w:pPr>
    <w:rPr>
      <w:snapToGrid w:val="0"/>
      <w:kern w:val="0"/>
      <w:sz w:val="24"/>
      <w:szCs w:val="21"/>
    </w:rPr>
  </w:style>
  <w:style w:type="character" w:customStyle="1" w:styleId="59">
    <w:name w:val="textbig1"/>
    <w:basedOn w:val="25"/>
    <w:autoRedefine/>
    <w:qFormat/>
    <w:uiPriority w:val="0"/>
    <w:rPr>
      <w:sz w:val="18"/>
      <w:szCs w:val="18"/>
    </w:rPr>
  </w:style>
  <w:style w:type="paragraph" w:customStyle="1" w:styleId="60">
    <w:name w:val="表格内"/>
    <w:basedOn w:val="1"/>
    <w:autoRedefine/>
    <w:qFormat/>
    <w:uiPriority w:val="0"/>
    <w:pPr>
      <w:spacing w:line="360" w:lineRule="exact"/>
      <w:jc w:val="center"/>
    </w:pPr>
    <w:rPr>
      <w:snapToGrid w:val="0"/>
      <w:szCs w:val="21"/>
    </w:rPr>
  </w:style>
  <w:style w:type="paragraph" w:customStyle="1" w:styleId="61">
    <w:name w:val="Body text|1"/>
    <w:basedOn w:val="1"/>
    <w:autoRedefine/>
    <w:qFormat/>
    <w:uiPriority w:val="0"/>
    <w:pPr>
      <w:spacing w:line="480" w:lineRule="auto"/>
    </w:pPr>
    <w:rPr>
      <w:rFonts w:ascii="宋体" w:hAnsi="宋体" w:cs="宋体"/>
      <w:color w:val="878D9A"/>
      <w:sz w:val="20"/>
      <w:szCs w:val="20"/>
      <w:lang w:val="zh-TW" w:eastAsia="zh-TW" w:bidi="zh-TW"/>
    </w:rPr>
  </w:style>
  <w:style w:type="paragraph" w:customStyle="1" w:styleId="62">
    <w:name w:val="Body text|2"/>
    <w:basedOn w:val="1"/>
    <w:autoRedefine/>
    <w:qFormat/>
    <w:uiPriority w:val="0"/>
    <w:rPr>
      <w:rFonts w:ascii="宋体" w:hAnsi="宋体" w:cs="宋体"/>
      <w:b/>
      <w:bCs/>
      <w:color w:val="878D9A"/>
      <w:sz w:val="16"/>
      <w:szCs w:val="16"/>
      <w:lang w:val="zh-TW" w:eastAsia="zh-TW" w:bidi="zh-TW"/>
    </w:rPr>
  </w:style>
  <w:style w:type="paragraph" w:customStyle="1" w:styleId="63">
    <w:name w:val="表格"/>
    <w:basedOn w:val="6"/>
    <w:next w:val="1"/>
    <w:autoRedefine/>
    <w:qFormat/>
    <w:uiPriority w:val="0"/>
    <w:pPr>
      <w:adjustRightInd w:val="0"/>
      <w:snapToGrid w:val="0"/>
      <w:spacing w:beforeLines="10" w:afterLines="10" w:line="259" w:lineRule="auto"/>
      <w:jc w:val="center"/>
    </w:pPr>
  </w:style>
  <w:style w:type="paragraph" w:customStyle="1" w:styleId="64">
    <w:name w:val="A表头"/>
    <w:basedOn w:val="1"/>
    <w:next w:val="1"/>
    <w:autoRedefine/>
    <w:qFormat/>
    <w:uiPriority w:val="0"/>
    <w:pPr>
      <w:adjustRightInd w:val="0"/>
      <w:snapToGrid w:val="0"/>
      <w:spacing w:line="240" w:lineRule="auto"/>
      <w:ind w:firstLine="0" w:firstLineChars="0"/>
      <w:jc w:val="center"/>
    </w:pPr>
    <w:rPr>
      <w:rFonts w:cs="宋体"/>
      <w:b/>
      <w:szCs w:val="20"/>
    </w:rPr>
  </w:style>
  <w:style w:type="paragraph" w:customStyle="1" w:styleId="65">
    <w:name w:val="A表内"/>
    <w:basedOn w:val="64"/>
    <w:next w:val="1"/>
    <w:autoRedefine/>
    <w:qFormat/>
    <w:uiPriority w:val="0"/>
    <w:pPr>
      <w:adjustRightInd w:val="0"/>
      <w:snapToGrid w:val="0"/>
      <w:spacing w:line="240" w:lineRule="auto"/>
      <w:ind w:firstLine="0" w:firstLineChars="0"/>
      <w:jc w:val="center"/>
    </w:pPr>
    <w:rPr>
      <w:rFonts w:cs="宋体"/>
      <w:sz w:val="21"/>
      <w:szCs w:val="20"/>
    </w:rPr>
  </w:style>
  <w:style w:type="paragraph" w:customStyle="1" w:styleId="66">
    <w:name w:val="缩进"/>
    <w:basedOn w:val="1"/>
    <w:autoRedefine/>
    <w:qFormat/>
    <w:uiPriority w:val="0"/>
    <w:pPr>
      <w:spacing w:line="360" w:lineRule="auto"/>
      <w:ind w:firstLine="200" w:firstLineChars="200"/>
    </w:pPr>
    <w:rPr>
      <w:sz w:val="24"/>
    </w:rPr>
  </w:style>
  <w:style w:type="paragraph" w:customStyle="1" w:styleId="67">
    <w:name w:val="表格文字邓"/>
    <w:basedOn w:val="1"/>
    <w:autoRedefine/>
    <w:qFormat/>
    <w:uiPriority w:val="0"/>
    <w:pPr>
      <w:keepNext w:val="0"/>
      <w:keepLines w:val="0"/>
      <w:widowControl/>
      <w:suppressLineNumbers w:val="0"/>
      <w:snapToGrid w:val="0"/>
      <w:spacing w:before="0" w:beforeAutospacing="0" w:after="0" w:afterAutospacing="0" w:line="240" w:lineRule="exact"/>
      <w:ind w:left="0" w:right="0"/>
      <w:jc w:val="center"/>
    </w:pPr>
    <w:rPr>
      <w:rFonts w:hint="eastAsia" w:ascii="宋体" w:hAnsi="宋体" w:eastAsia="宋体" w:cs="Times New Roman"/>
      <w:color w:val="000000"/>
      <w:kern w:val="2"/>
      <w:sz w:val="18"/>
      <w:szCs w:val="18"/>
      <w:lang w:val="en-US" w:eastAsia="zh-CN" w:bidi="ar"/>
    </w:rPr>
  </w:style>
  <w:style w:type="paragraph" w:customStyle="1" w:styleId="68">
    <w:name w:val="B正文"/>
    <w:basedOn w:val="1"/>
    <w:autoRedefine/>
    <w:qFormat/>
    <w:uiPriority w:val="0"/>
    <w:pPr>
      <w:widowControl w:val="0"/>
      <w:ind w:firstLine="200"/>
      <w:jc w:val="both"/>
    </w:pPr>
    <w:rPr>
      <w:lang w:eastAsia="zh-CN"/>
    </w:rPr>
  </w:style>
  <w:style w:type="paragraph" w:customStyle="1" w:styleId="69">
    <w:name w:val="B表内"/>
    <w:basedOn w:val="1"/>
    <w:autoRedefine/>
    <w:qFormat/>
    <w:uiPriority w:val="0"/>
    <w:pPr>
      <w:widowControl w:val="0"/>
      <w:spacing w:line="0" w:lineRule="atLeast"/>
      <w:ind w:firstLine="0" w:firstLineChars="0"/>
      <w:jc w:val="center"/>
    </w:pPr>
    <w:rPr>
      <w:rFonts w:ascii="宋体" w:hAnsi="宋体"/>
      <w:kern w:val="2"/>
      <w:sz w:val="21"/>
      <w:szCs w:val="20"/>
    </w:rPr>
  </w:style>
  <w:style w:type="table" w:customStyle="1" w:styleId="70">
    <w:name w:val="Table Normal"/>
    <w:basedOn w:val="23"/>
    <w:autoRedefine/>
    <w:semiHidden/>
    <w:unhideWhenUsed/>
    <w:qFormat/>
    <w:uiPriority w:val="0"/>
    <w:tblPr>
      <w:tblCellMar>
        <w:top w:w="0" w:type="dxa"/>
        <w:left w:w="0" w:type="dxa"/>
        <w:bottom w:w="0" w:type="dxa"/>
        <w:right w:w="0" w:type="dxa"/>
      </w:tblCellMar>
    </w:tblPr>
  </w:style>
  <w:style w:type="paragraph" w:customStyle="1" w:styleId="71">
    <w:name w:val="！正文"/>
    <w:basedOn w:val="1"/>
    <w:autoRedefine/>
    <w:qFormat/>
    <w:uiPriority w:val="0"/>
    <w:pPr>
      <w:spacing w:line="500" w:lineRule="exact"/>
      <w:ind w:firstLine="20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wmf"/><Relationship Id="rId26" Type="http://schemas.openxmlformats.org/officeDocument/2006/relationships/oleObject" Target="embeddings/oleObject2.bin"/><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wmf"/><Relationship Id="rId22" Type="http://schemas.openxmlformats.org/officeDocument/2006/relationships/oleObject" Target="embeddings/oleObject1.bin"/><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35496</Words>
  <Characters>40512</Characters>
  <Lines>0</Lines>
  <Paragraphs>0</Paragraphs>
  <TotalTime>2</TotalTime>
  <ScaleCrop>false</ScaleCrop>
  <LinksUpToDate>false</LinksUpToDate>
  <CharactersWithSpaces>40823</CharactersWithSpaces>
  <Application>WPS Office_12.1.0.16704_F1E327BC-269C-435d-A152-05C5408002CA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2024-01-30T04:28:00Z</dcterms:created>
  <dc:creator>Administrator</dc:creator>
  <cp:lastModifiedBy>李诗瑶</cp:lastModifiedBy>
  <cp:lastPrinted>2024-03-21T03:09:00Z</cp:lastPrinted>
  <dcterms:modified xsi:type="dcterms:W3CDTF">2024-03-29T10:48:40Z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5A35DAEF78B643919915FFC1A82728F8_12</vt:lpwstr>
  </property>
</Properties>
</file>