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color w:val="auto"/>
          <w:sz w:val="36"/>
          <w:szCs w:val="36"/>
        </w:rPr>
      </w:pPr>
    </w:p>
    <w:p>
      <w:pPr>
        <w:rPr>
          <w:rFonts w:ascii="仿宋_GB2312" w:hAnsi="仿宋_GB2312" w:eastAsia="仿宋_GB2312" w:cs="仿宋_GB2312"/>
          <w:color w:val="auto"/>
          <w:sz w:val="36"/>
          <w:szCs w:val="36"/>
        </w:rPr>
      </w:pPr>
    </w:p>
    <w:p>
      <w:pPr>
        <w:rPr>
          <w:rFonts w:ascii="仿宋_GB2312" w:hAnsi="仿宋_GB2312" w:eastAsia="仿宋_GB2312" w:cs="仿宋_GB2312"/>
          <w:color w:val="auto"/>
          <w:sz w:val="36"/>
          <w:szCs w:val="36"/>
        </w:rPr>
      </w:pPr>
    </w:p>
    <w:p>
      <w:pPr>
        <w:ind w:left="0" w:leftChars="0" w:firstLine="0" w:firstLineChars="0"/>
        <w:rPr>
          <w:rFonts w:hint="eastAsia" w:ascii="仿宋_GB2312" w:hAnsi="仿宋_GB2312" w:eastAsia="仿宋_GB2312" w:cs="仿宋_GB2312"/>
          <w:color w:val="auto"/>
          <w:sz w:val="36"/>
          <w:szCs w:val="36"/>
        </w:rPr>
      </w:pPr>
    </w:p>
    <w:p>
      <w:pPr>
        <w:adjustRightInd w:val="0"/>
        <w:snapToGrid w:val="0"/>
        <w:spacing w:line="240" w:lineRule="auto"/>
        <w:ind w:firstLine="0" w:firstLineChars="0"/>
        <w:jc w:val="center"/>
        <w:outlineLvl w:val="0"/>
        <w:rPr>
          <w:rFonts w:hint="eastAsia" w:ascii="方正小标宋_GBK" w:hAnsi="Times New Roman" w:eastAsia="方正小标宋_GBK" w:cs="Times New Roman"/>
          <w:bCs/>
          <w:color w:val="auto"/>
          <w:sz w:val="72"/>
          <w:szCs w:val="72"/>
        </w:rPr>
      </w:pPr>
      <w:r>
        <w:rPr>
          <w:rFonts w:hint="eastAsia" w:ascii="黑体" w:hAnsi="黑体" w:eastAsia="黑体" w:cs="黑体"/>
          <w:bCs/>
          <w:color w:val="auto"/>
          <w:sz w:val="72"/>
          <w:szCs w:val="72"/>
        </w:rPr>
        <w:t>建设项目环境影响报告表</w:t>
      </w:r>
    </w:p>
    <w:p>
      <w:pPr>
        <w:adjustRightInd w:val="0"/>
        <w:snapToGrid w:val="0"/>
        <w:spacing w:before="192" w:beforeLines="80"/>
        <w:jc w:val="center"/>
        <w:rPr>
          <w:rFonts w:hint="eastAsia" w:ascii="楷体_GB2312" w:eastAsia="楷体_GB2312"/>
          <w:bCs/>
          <w:color w:val="auto"/>
          <w:sz w:val="48"/>
          <w:szCs w:val="48"/>
        </w:rPr>
      </w:pPr>
      <w:r>
        <w:rPr>
          <w:rFonts w:hint="eastAsia" w:ascii="楷体_GB2312" w:eastAsia="楷体_GB2312"/>
          <w:bCs/>
          <w:color w:val="auto"/>
          <w:sz w:val="48"/>
          <w:szCs w:val="48"/>
        </w:rPr>
        <w:t>（污染影响类）</w:t>
      </w:r>
    </w:p>
    <w:p>
      <w:pPr>
        <w:adjustRightInd w:val="0"/>
        <w:snapToGrid w:val="0"/>
        <w:spacing w:line="288" w:lineRule="auto"/>
        <w:jc w:val="center"/>
        <w:outlineLvl w:val="0"/>
        <w:rPr>
          <w:rFonts w:ascii="华文仿宋" w:hAnsi="华文仿宋" w:eastAsia="华文仿宋" w:cs="华文仿宋"/>
          <w:color w:val="auto"/>
          <w:kern w:val="44"/>
          <w:sz w:val="44"/>
          <w:szCs w:val="44"/>
        </w:rPr>
      </w:pPr>
    </w:p>
    <w:p>
      <w:pPr>
        <w:jc w:val="center"/>
        <w:rPr>
          <w:rFonts w:eastAsia="仿宋"/>
          <w:color w:val="auto"/>
          <w:sz w:val="52"/>
          <w:szCs w:val="52"/>
        </w:rPr>
      </w:pPr>
    </w:p>
    <w:p>
      <w:pPr>
        <w:ind w:firstLine="1040"/>
        <w:rPr>
          <w:rFonts w:eastAsia="仿宋"/>
          <w:color w:val="auto"/>
          <w:sz w:val="44"/>
          <w:szCs w:val="44"/>
        </w:rPr>
      </w:pPr>
    </w:p>
    <w:p>
      <w:pPr>
        <w:ind w:firstLine="1040"/>
        <w:rPr>
          <w:rFonts w:eastAsia="仿宋"/>
          <w:color w:val="auto"/>
          <w:sz w:val="44"/>
          <w:szCs w:val="44"/>
        </w:rPr>
      </w:pPr>
    </w:p>
    <w:p>
      <w:pPr>
        <w:rPr>
          <w:rFonts w:eastAsia="仿宋"/>
          <w:color w:val="auto"/>
          <w:sz w:val="44"/>
          <w:szCs w:val="44"/>
        </w:rPr>
      </w:pPr>
    </w:p>
    <w:p>
      <w:pPr>
        <w:keepNext w:val="0"/>
        <w:keepLines w:val="0"/>
        <w:pageBreakBefore w:val="0"/>
        <w:widowControl w:val="0"/>
        <w:tabs>
          <w:tab w:val="left" w:pos="965"/>
        </w:tabs>
        <w:kinsoku/>
        <w:wordWrap/>
        <w:overflowPunct/>
        <w:topLinePunct w:val="0"/>
        <w:autoSpaceDE/>
        <w:autoSpaceDN/>
        <w:bidi w:val="0"/>
        <w:adjustRightInd w:val="0"/>
        <w:snapToGrid w:val="0"/>
        <w:spacing w:line="360" w:lineRule="auto"/>
        <w:ind w:left="2359" w:leftChars="230" w:hanging="1807" w:hangingChars="500"/>
        <w:jc w:val="both"/>
        <w:textAlignment w:val="auto"/>
        <w:rPr>
          <w:rFonts w:hint="default" w:ascii="仿宋_GB2312" w:hAnsi="Times New Roman" w:eastAsia="仿宋_GB2312" w:cs="Times New Roman"/>
          <w:color w:val="auto"/>
          <w:sz w:val="36"/>
          <w:szCs w:val="36"/>
          <w:lang w:val="en-US" w:eastAsia="zh-CN"/>
        </w:rPr>
      </w:pPr>
      <w:r>
        <w:rPr>
          <w:rFonts w:hint="eastAsia" w:ascii="仿宋_GB2312" w:hAnsi="Times New Roman" w:eastAsia="仿宋_GB2312" w:cs="Times New Roman"/>
          <w:color w:val="auto"/>
          <w:sz w:val="36"/>
          <w:szCs w:val="36"/>
        </w:rPr>
        <w:t>项目名称：</w:t>
      </w:r>
      <w:r>
        <w:rPr>
          <w:rFonts w:hint="eastAsia" w:eastAsia="仿宋_GB2312" w:cs="Times New Roman"/>
          <w:b w:val="0"/>
          <w:bCs/>
          <w:color w:val="auto"/>
          <w:sz w:val="36"/>
          <w:szCs w:val="36"/>
          <w:u w:val="single"/>
          <w:lang w:eastAsia="zh-CN"/>
        </w:rPr>
        <w:t>吉木萨尔县绿色洗消中心项目</w:t>
      </w:r>
      <w:r>
        <w:rPr>
          <w:rFonts w:hint="eastAsia" w:eastAsia="仿宋_GB2312" w:cs="Times New Roman"/>
          <w:b w:val="0"/>
          <w:bCs/>
          <w:color w:val="auto"/>
          <w:sz w:val="36"/>
          <w:szCs w:val="36"/>
          <w:u w:val="single"/>
          <w:lang w:val="en-US" w:eastAsia="zh-CN"/>
        </w:rPr>
        <w:t xml:space="preserve">       </w:t>
      </w:r>
    </w:p>
    <w:p>
      <w:pPr>
        <w:keepNext w:val="0"/>
        <w:keepLines w:val="0"/>
        <w:pageBreakBefore w:val="0"/>
        <w:widowControl w:val="0"/>
        <w:tabs>
          <w:tab w:val="left" w:pos="965"/>
        </w:tabs>
        <w:kinsoku/>
        <w:wordWrap/>
        <w:overflowPunct/>
        <w:topLinePunct w:val="0"/>
        <w:autoSpaceDE/>
        <w:autoSpaceDN/>
        <w:bidi w:val="0"/>
        <w:adjustRightInd w:val="0"/>
        <w:snapToGrid w:val="0"/>
        <w:spacing w:line="240" w:lineRule="auto"/>
        <w:ind w:left="2359" w:leftChars="230" w:hanging="1807" w:hangingChars="500"/>
        <w:jc w:val="both"/>
        <w:textAlignment w:val="auto"/>
        <w:rPr>
          <w:rFonts w:hint="default" w:ascii="仿宋_GB2312" w:hAnsi="Times New Roman" w:eastAsia="仿宋_GB2312" w:cs="Times New Roman"/>
          <w:b w:val="0"/>
          <w:bCs/>
          <w:color w:val="auto"/>
          <w:sz w:val="36"/>
          <w:szCs w:val="36"/>
          <w:u w:val="single"/>
          <w:lang w:val="en-US" w:eastAsia="zh-CN"/>
        </w:rPr>
      </w:pPr>
      <w:r>
        <w:rPr>
          <w:rFonts w:hint="eastAsia" w:ascii="仿宋_GB2312" w:hAnsi="Times New Roman" w:eastAsia="仿宋_GB2312" w:cs="Times New Roman"/>
          <w:color w:val="auto"/>
          <w:sz w:val="36"/>
          <w:szCs w:val="36"/>
        </w:rPr>
        <w:t>建设单位（盖章）：</w:t>
      </w:r>
      <w:r>
        <w:rPr>
          <w:rFonts w:hint="eastAsia" w:ascii="仿宋_GB2312" w:hAnsi="Times New Roman" w:eastAsia="仿宋_GB2312" w:cs="Times New Roman"/>
          <w:b w:val="0"/>
          <w:bCs/>
          <w:color w:val="auto"/>
          <w:sz w:val="36"/>
          <w:szCs w:val="36"/>
          <w:u w:val="single"/>
          <w:lang w:val="en-US" w:eastAsia="zh-CN"/>
        </w:rPr>
        <w:t>吉木萨尔县鸿至兴洗涤服务有限公司</w:t>
      </w:r>
      <w:r>
        <w:rPr>
          <w:rFonts w:hint="eastAsia" w:ascii="仿宋_GB2312" w:eastAsia="仿宋_GB2312" w:cs="Times New Roman"/>
          <w:b w:val="0"/>
          <w:bCs/>
          <w:color w:val="auto"/>
          <w:sz w:val="36"/>
          <w:szCs w:val="36"/>
          <w:u w:val="single"/>
          <w:lang w:val="en-US" w:eastAsia="zh-CN"/>
        </w:rPr>
        <w:t xml:space="preserve">                               </w:t>
      </w:r>
    </w:p>
    <w:p>
      <w:pPr>
        <w:keepNext w:val="0"/>
        <w:keepLines w:val="0"/>
        <w:pageBreakBefore w:val="0"/>
        <w:widowControl w:val="0"/>
        <w:tabs>
          <w:tab w:val="left" w:pos="922"/>
        </w:tabs>
        <w:kinsoku/>
        <w:wordWrap/>
        <w:overflowPunct/>
        <w:topLinePunct w:val="0"/>
        <w:autoSpaceDE/>
        <w:autoSpaceDN/>
        <w:bidi w:val="0"/>
        <w:adjustRightInd w:val="0"/>
        <w:snapToGrid w:val="0"/>
        <w:spacing w:line="360" w:lineRule="auto"/>
        <w:ind w:left="2357" w:leftChars="229" w:hanging="1807" w:hangingChars="500"/>
        <w:jc w:val="both"/>
        <w:textAlignment w:val="auto"/>
        <w:rPr>
          <w:rFonts w:hint="default" w:ascii="仿宋_GB2312" w:hAnsi="Times New Roman" w:eastAsia="仿宋_GB2312" w:cs="Times New Roman"/>
          <w:color w:val="auto"/>
          <w:sz w:val="36"/>
          <w:szCs w:val="36"/>
          <w:lang w:val="en-US" w:eastAsia="zh-CN"/>
        </w:rPr>
      </w:pPr>
      <w:r>
        <w:rPr>
          <w:rFonts w:hint="eastAsia" w:ascii="仿宋_GB2312" w:hAnsi="Times New Roman" w:eastAsia="仿宋_GB2312" w:cs="Times New Roman"/>
          <w:color w:val="auto"/>
          <w:sz w:val="36"/>
          <w:szCs w:val="36"/>
        </w:rPr>
        <w:t>编制日期：</w:t>
      </w:r>
      <w:r>
        <w:rPr>
          <w:rFonts w:hint="default" w:ascii="Times New Roman" w:hAnsi="Times New Roman" w:eastAsia="仿宋_GB2312" w:cs="Times New Roman"/>
          <w:b w:val="0"/>
          <w:bCs/>
          <w:color w:val="auto"/>
          <w:sz w:val="36"/>
          <w:szCs w:val="36"/>
          <w:u w:val="single"/>
        </w:rPr>
        <w:t xml:space="preserve"> 二〇二</w:t>
      </w:r>
      <w:r>
        <w:rPr>
          <w:rFonts w:hint="eastAsia" w:eastAsia="仿宋_GB2312" w:cs="Times New Roman"/>
          <w:b w:val="0"/>
          <w:bCs/>
          <w:color w:val="auto"/>
          <w:sz w:val="36"/>
          <w:szCs w:val="36"/>
          <w:u w:val="single"/>
          <w:lang w:val="en-US" w:eastAsia="zh-CN"/>
        </w:rPr>
        <w:t>四</w:t>
      </w:r>
      <w:r>
        <w:rPr>
          <w:rFonts w:hint="default" w:ascii="Times New Roman" w:hAnsi="Times New Roman" w:eastAsia="仿宋_GB2312" w:cs="Times New Roman"/>
          <w:b w:val="0"/>
          <w:bCs/>
          <w:color w:val="auto"/>
          <w:sz w:val="36"/>
          <w:szCs w:val="36"/>
          <w:u w:val="single"/>
        </w:rPr>
        <w:t>年</w:t>
      </w:r>
      <w:r>
        <w:rPr>
          <w:rFonts w:hint="eastAsia" w:eastAsia="仿宋_GB2312" w:cs="Times New Roman"/>
          <w:b w:val="0"/>
          <w:bCs/>
          <w:color w:val="auto"/>
          <w:sz w:val="36"/>
          <w:szCs w:val="36"/>
          <w:u w:val="single"/>
          <w:lang w:val="en-US" w:eastAsia="zh-CN"/>
        </w:rPr>
        <w:t>一</w:t>
      </w:r>
      <w:r>
        <w:rPr>
          <w:rFonts w:hint="default" w:ascii="Times New Roman" w:hAnsi="Times New Roman" w:eastAsia="仿宋_GB2312" w:cs="Times New Roman"/>
          <w:b w:val="0"/>
          <w:bCs/>
          <w:color w:val="auto"/>
          <w:sz w:val="36"/>
          <w:szCs w:val="36"/>
          <w:u w:val="single"/>
        </w:rPr>
        <w:t xml:space="preserve">月        </w:t>
      </w:r>
      <w:r>
        <w:rPr>
          <w:rFonts w:hint="eastAsia" w:eastAsia="仿宋_GB2312" w:cs="Times New Roman"/>
          <w:b w:val="0"/>
          <w:bCs/>
          <w:color w:val="auto"/>
          <w:sz w:val="36"/>
          <w:szCs w:val="36"/>
          <w:u w:val="single"/>
          <w:lang w:val="en-US" w:eastAsia="zh-CN"/>
        </w:rPr>
        <w:t xml:space="preserve">    </w:t>
      </w:r>
      <w:r>
        <w:rPr>
          <w:rFonts w:hint="default" w:ascii="Times New Roman" w:hAnsi="Times New Roman" w:eastAsia="仿宋_GB2312" w:cs="Times New Roman"/>
          <w:b w:val="0"/>
          <w:bCs/>
          <w:color w:val="auto"/>
          <w:sz w:val="36"/>
          <w:szCs w:val="36"/>
          <w:u w:val="single"/>
        </w:rPr>
        <w:t xml:space="preserve">   </w:t>
      </w:r>
      <w:r>
        <w:rPr>
          <w:rFonts w:hint="default" w:ascii="Times New Roman" w:hAnsi="Times New Roman" w:eastAsia="仿宋_GB2312" w:cs="Times New Roman"/>
          <w:b w:val="0"/>
          <w:bCs/>
          <w:color w:val="auto"/>
          <w:sz w:val="36"/>
          <w:szCs w:val="36"/>
          <w:u w:val="single"/>
          <w:lang w:val="en-US" w:eastAsia="zh-CN"/>
        </w:rPr>
        <w:t xml:space="preserve"> </w:t>
      </w:r>
      <w:r>
        <w:rPr>
          <w:rFonts w:hint="eastAsia" w:eastAsia="仿宋_GB2312" w:cs="Times New Roman"/>
          <w:b w:val="0"/>
          <w:bCs/>
          <w:color w:val="auto"/>
          <w:sz w:val="36"/>
          <w:szCs w:val="36"/>
          <w:u w:val="single"/>
          <w:lang w:val="en-US" w:eastAsia="zh-CN"/>
        </w:rPr>
        <w:t xml:space="preserve">   </w:t>
      </w:r>
    </w:p>
    <w:p>
      <w:pPr>
        <w:adjustRightInd w:val="0"/>
        <w:snapToGrid w:val="0"/>
        <w:spacing w:line="288" w:lineRule="auto"/>
        <w:ind w:firstLine="1040"/>
        <w:rPr>
          <w:rFonts w:ascii="仿宋_GB2312" w:eastAsia="仿宋_GB2312"/>
          <w:color w:val="auto"/>
          <w:sz w:val="36"/>
          <w:szCs w:val="36"/>
          <w:u w:val="single"/>
        </w:rPr>
      </w:pPr>
      <w:bookmarkStart w:id="0" w:name="_Hlk57884087"/>
    </w:p>
    <w:p>
      <w:pPr>
        <w:adjustRightInd w:val="0"/>
        <w:snapToGrid w:val="0"/>
        <w:spacing w:line="288" w:lineRule="auto"/>
        <w:ind w:firstLine="1040"/>
        <w:rPr>
          <w:rFonts w:ascii="仿宋_GB2312" w:eastAsia="仿宋_GB2312"/>
          <w:color w:val="auto"/>
          <w:sz w:val="36"/>
          <w:szCs w:val="36"/>
        </w:rPr>
      </w:pPr>
    </w:p>
    <w:p>
      <w:pPr>
        <w:adjustRightInd w:val="0"/>
        <w:snapToGrid w:val="0"/>
        <w:spacing w:line="288" w:lineRule="auto"/>
        <w:rPr>
          <w:rFonts w:hint="eastAsia" w:ascii="仿宋_GB2312" w:eastAsia="仿宋_GB2312"/>
          <w:color w:val="auto"/>
          <w:sz w:val="36"/>
          <w:szCs w:val="36"/>
        </w:rPr>
      </w:pPr>
    </w:p>
    <w:p>
      <w:pPr>
        <w:adjustRightInd w:val="0"/>
        <w:snapToGrid w:val="0"/>
        <w:spacing w:line="288" w:lineRule="auto"/>
        <w:rPr>
          <w:rFonts w:hint="eastAsia" w:ascii="仿宋_GB2312" w:eastAsia="仿宋_GB2312"/>
          <w:color w:val="auto"/>
          <w:sz w:val="36"/>
          <w:szCs w:val="36"/>
        </w:rPr>
      </w:pPr>
    </w:p>
    <w:bookmarkEnd w:id="0"/>
    <w:p>
      <w:pPr>
        <w:pStyle w:val="2"/>
        <w:keepNext w:val="0"/>
        <w:keepLines w:val="0"/>
        <w:pageBreakBefore w:val="0"/>
        <w:widowControl w:val="0"/>
        <w:kinsoku/>
        <w:wordWrap/>
        <w:overflowPunct/>
        <w:topLinePunct w:val="0"/>
        <w:autoSpaceDE/>
        <w:autoSpaceDN/>
        <w:bidi w:val="0"/>
        <w:adjustRightInd/>
        <w:snapToGrid/>
        <w:ind w:left="0" w:leftChars="0" w:firstLine="0"/>
        <w:jc w:val="center"/>
        <w:textAlignment w:val="auto"/>
        <w:rPr>
          <w:rFonts w:hint="eastAsia" w:ascii="Times New Roman" w:hAnsi="Times New Roman" w:eastAsia="仿宋" w:cs="Times New Roman"/>
          <w:b w:val="0"/>
          <w:bCs/>
          <w:color w:val="auto"/>
          <w:sz w:val="36"/>
          <w:szCs w:val="36"/>
          <w:u w:val="single"/>
          <w:lang w:val="en-US" w:eastAsia="zh-CN"/>
        </w:rPr>
      </w:pPr>
      <w:r>
        <w:rPr>
          <w:rFonts w:hint="eastAsia" w:ascii="楷体_GB2312" w:hAnsi="Times New Roman" w:eastAsia="楷体_GB2312" w:cs="Times New Roman"/>
          <w:b w:val="0"/>
          <w:bCs/>
          <w:color w:val="auto"/>
          <w:kern w:val="2"/>
          <w:sz w:val="36"/>
          <w:szCs w:val="36"/>
          <w:lang w:val="en-US" w:eastAsia="zh-CN" w:bidi="ar-SA"/>
        </w:rPr>
        <w:t>中华人民共和国生态环境部制</w:t>
      </w:r>
    </w:p>
    <w:p>
      <w:pPr>
        <w:pStyle w:val="5"/>
        <w:keepNext/>
        <w:keepLines/>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eastAsia="宋体"/>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rPr>
          <w:rFonts w:hint="default" w:eastAsia="宋体"/>
          <w:lang w:val="en-US" w:eastAsia="zh-CN"/>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pStyle w:val="6"/>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r>
        <w:drawing>
          <wp:inline distT="0" distB="0" distL="114300" distR="114300">
            <wp:extent cx="5245100" cy="8072120"/>
            <wp:effectExtent l="0" t="0" r="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2"/>
                    <a:stretch>
                      <a:fillRect/>
                    </a:stretch>
                  </pic:blipFill>
                  <pic:spPr>
                    <a:xfrm>
                      <a:off x="0" y="0"/>
                      <a:ext cx="5245100" cy="8072120"/>
                    </a:xfrm>
                    <a:prstGeom prst="rect">
                      <a:avLst/>
                    </a:prstGeom>
                    <a:noFill/>
                    <a:ln>
                      <a:noFill/>
                    </a:ln>
                  </pic:spPr>
                </pic:pic>
              </a:graphicData>
            </a:graphic>
          </wp:inline>
        </w:drawing>
      </w:r>
    </w:p>
    <w:p>
      <w:pPr>
        <w:pStyle w:val="5"/>
        <w:numPr>
          <w:ilvl w:val="0"/>
          <w:numId w:val="2"/>
        </w:numPr>
        <w:spacing w:line="360" w:lineRule="auto"/>
      </w:pPr>
      <w:r>
        <w:rPr>
          <w:rFonts w:hint="eastAsia"/>
        </w:rPr>
        <w:t>建设项目基本情况</w:t>
      </w:r>
    </w:p>
    <w:tbl>
      <w:tblPr>
        <w:tblStyle w:val="27"/>
        <w:tblW w:w="8522"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522"/>
        <w:gridCol w:w="1640"/>
        <w:gridCol w:w="1677"/>
        <w:gridCol w:w="1773"/>
        <w:gridCol w:w="291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2162" w:type="dxa"/>
            <w:gridSpan w:val="2"/>
            <w:tcBorders>
              <w:tl2br w:val="nil"/>
              <w:tr2bl w:val="nil"/>
            </w:tcBorders>
            <w:shd w:val="clear" w:color="auto" w:fill="FFFFFF"/>
            <w:vAlign w:val="center"/>
          </w:tcPr>
          <w:p>
            <w:pPr>
              <w:spacing w:line="360" w:lineRule="auto"/>
              <w:jc w:val="center"/>
            </w:pPr>
            <w:r>
              <w:t>建设项目名称</w:t>
            </w:r>
          </w:p>
        </w:tc>
        <w:tc>
          <w:tcPr>
            <w:tcW w:w="6360" w:type="dxa"/>
            <w:gridSpan w:val="3"/>
            <w:tcBorders>
              <w:tl2br w:val="nil"/>
              <w:tr2bl w:val="nil"/>
            </w:tcBorders>
            <w:shd w:val="clear" w:color="auto" w:fill="FFFFFF"/>
            <w:vAlign w:val="center"/>
          </w:tcPr>
          <w:p>
            <w:pPr>
              <w:tabs>
                <w:tab w:val="left" w:pos="1266"/>
                <w:tab w:val="center" w:pos="3132"/>
              </w:tabs>
              <w:jc w:val="center"/>
              <w:rPr>
                <w:rFonts w:hint="eastAsia" w:eastAsia="宋体"/>
                <w:b w:val="0"/>
                <w:bCs/>
                <w:lang w:eastAsia="zh-CN"/>
              </w:rPr>
            </w:pPr>
            <w:r>
              <w:rPr>
                <w:rFonts w:hint="eastAsia"/>
                <w:b w:val="0"/>
                <w:bCs/>
                <w:lang w:eastAsia="zh-CN"/>
              </w:rPr>
              <w:t>吉木萨尔县绿色洗消中心项目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2162" w:type="dxa"/>
            <w:gridSpan w:val="2"/>
            <w:tcBorders>
              <w:tl2br w:val="nil"/>
              <w:tr2bl w:val="nil"/>
            </w:tcBorders>
            <w:shd w:val="clear" w:color="auto" w:fill="FFFFFF"/>
            <w:vAlign w:val="center"/>
          </w:tcPr>
          <w:p>
            <w:pPr>
              <w:spacing w:line="360" w:lineRule="auto"/>
              <w:jc w:val="center"/>
            </w:pPr>
            <w:r>
              <w:t>项目代码</w:t>
            </w:r>
          </w:p>
        </w:tc>
        <w:tc>
          <w:tcPr>
            <w:tcW w:w="6360" w:type="dxa"/>
            <w:gridSpan w:val="3"/>
            <w:tcBorders>
              <w:tl2br w:val="nil"/>
              <w:tr2bl w:val="nil"/>
            </w:tcBorders>
            <w:shd w:val="clear" w:color="auto" w:fill="FFFFFF"/>
            <w:vAlign w:val="center"/>
          </w:tcPr>
          <w:p>
            <w:pPr>
              <w:spacing w:line="360" w:lineRule="auto"/>
              <w:jc w:val="center"/>
              <w:rPr>
                <w:rFonts w:hint="eastAsia" w:eastAsia="宋体"/>
                <w:b w:val="0"/>
                <w:bCs/>
                <w:lang w:eastAsia="zh-CN"/>
              </w:rPr>
            </w:pPr>
            <w:r>
              <w:rPr>
                <w:rFonts w:hint="eastAsia"/>
                <w:b w:val="0"/>
                <w:bCs/>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2162" w:type="dxa"/>
            <w:gridSpan w:val="2"/>
            <w:tcBorders>
              <w:tl2br w:val="nil"/>
              <w:tr2bl w:val="nil"/>
            </w:tcBorders>
            <w:shd w:val="clear" w:color="auto" w:fill="FFFFFF"/>
            <w:vAlign w:val="center"/>
          </w:tcPr>
          <w:p>
            <w:pPr>
              <w:spacing w:line="360" w:lineRule="auto"/>
              <w:jc w:val="center"/>
              <w:rPr>
                <w:color w:val="auto"/>
              </w:rPr>
            </w:pPr>
            <w:r>
              <w:rPr>
                <w:color w:val="auto"/>
              </w:rPr>
              <w:t>建设单位联系人</w:t>
            </w:r>
          </w:p>
        </w:tc>
        <w:tc>
          <w:tcPr>
            <w:tcW w:w="1677" w:type="dxa"/>
            <w:tcBorders>
              <w:tl2br w:val="nil"/>
              <w:tr2bl w:val="nil"/>
            </w:tcBorders>
            <w:shd w:val="clear" w:color="auto" w:fill="FFFFFF"/>
            <w:vAlign w:val="center"/>
          </w:tcPr>
          <w:p>
            <w:pPr>
              <w:spacing w:line="360" w:lineRule="auto"/>
              <w:jc w:val="center"/>
              <w:rPr>
                <w:rFonts w:hint="default" w:eastAsia="宋体"/>
                <w:b w:val="0"/>
                <w:bCs/>
                <w:color w:val="auto"/>
                <w:lang w:val="en-US" w:eastAsia="zh-CN"/>
              </w:rPr>
            </w:pPr>
            <w:r>
              <w:rPr>
                <w:rFonts w:hint="eastAsia"/>
                <w:b w:val="0"/>
                <w:bCs/>
                <w:lang w:val="en-US" w:eastAsia="zh-CN"/>
              </w:rPr>
              <w:t>朱磊</w:t>
            </w:r>
          </w:p>
        </w:tc>
        <w:tc>
          <w:tcPr>
            <w:tcW w:w="1773" w:type="dxa"/>
            <w:tcBorders>
              <w:tl2br w:val="nil"/>
              <w:tr2bl w:val="nil"/>
            </w:tcBorders>
            <w:shd w:val="clear" w:color="auto" w:fill="FFFFFF"/>
            <w:vAlign w:val="center"/>
          </w:tcPr>
          <w:p>
            <w:pPr>
              <w:spacing w:line="360" w:lineRule="auto"/>
              <w:jc w:val="center"/>
              <w:rPr>
                <w:b w:val="0"/>
                <w:bCs/>
                <w:color w:val="auto"/>
              </w:rPr>
            </w:pPr>
            <w:r>
              <w:rPr>
                <w:color w:val="auto"/>
              </w:rPr>
              <w:t>联系方式</w:t>
            </w:r>
          </w:p>
        </w:tc>
        <w:tc>
          <w:tcPr>
            <w:tcW w:w="2910" w:type="dxa"/>
            <w:tcBorders>
              <w:tl2br w:val="nil"/>
              <w:tr2bl w:val="nil"/>
            </w:tcBorders>
            <w:shd w:val="clear" w:color="auto" w:fill="FFFFFF"/>
            <w:vAlign w:val="center"/>
          </w:tcPr>
          <w:p>
            <w:pPr>
              <w:spacing w:line="360" w:lineRule="auto"/>
              <w:jc w:val="center"/>
              <w:rPr>
                <w:rFonts w:hint="default" w:eastAsia="宋体"/>
                <w:b w:val="0"/>
                <w:bCs/>
                <w:lang w:val="en-US" w:eastAsia="zh-CN"/>
              </w:rPr>
            </w:pPr>
            <w:r>
              <w:rPr>
                <w:rFonts w:hint="eastAsia"/>
                <w:b w:val="0"/>
                <w:bCs/>
                <w:lang w:val="en-US" w:eastAsia="zh-CN"/>
              </w:rPr>
              <w:t>15999128879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2162" w:type="dxa"/>
            <w:gridSpan w:val="2"/>
            <w:tcBorders>
              <w:tl2br w:val="nil"/>
              <w:tr2bl w:val="nil"/>
            </w:tcBorders>
            <w:shd w:val="clear" w:color="auto" w:fill="FFFFFF"/>
            <w:vAlign w:val="center"/>
          </w:tcPr>
          <w:p>
            <w:pPr>
              <w:spacing w:line="360" w:lineRule="auto"/>
              <w:jc w:val="center"/>
            </w:pPr>
            <w:r>
              <w:t>建设地点</w:t>
            </w:r>
          </w:p>
        </w:tc>
        <w:tc>
          <w:tcPr>
            <w:tcW w:w="6360" w:type="dxa"/>
            <w:gridSpan w:val="3"/>
            <w:tcBorders>
              <w:tl2br w:val="nil"/>
              <w:tr2bl w:val="nil"/>
            </w:tcBorders>
            <w:shd w:val="clear" w:color="auto" w:fill="FFFFFF"/>
            <w:vAlign w:val="center"/>
          </w:tcPr>
          <w:p>
            <w:pPr>
              <w:jc w:val="center"/>
              <w:rPr>
                <w:rFonts w:hint="default" w:eastAsia="宋体"/>
                <w:b w:val="0"/>
                <w:bCs/>
                <w:lang w:val="en-US" w:eastAsia="zh-CN"/>
              </w:rPr>
            </w:pPr>
            <w:r>
              <w:rPr>
                <w:rFonts w:hint="eastAsia"/>
                <w:b w:val="0"/>
                <w:bCs/>
                <w:lang w:val="en-US" w:eastAsia="zh-CN"/>
              </w:rPr>
              <w:t>新疆维吾尔自治区昌吉回族自治州吉木萨尔县北庭综合物流园内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2162" w:type="dxa"/>
            <w:gridSpan w:val="2"/>
            <w:tcBorders>
              <w:tl2br w:val="nil"/>
              <w:tr2bl w:val="nil"/>
            </w:tcBorders>
            <w:shd w:val="clear" w:color="auto" w:fill="FFFFFF"/>
            <w:vAlign w:val="center"/>
          </w:tcPr>
          <w:p>
            <w:pPr>
              <w:spacing w:line="360" w:lineRule="auto"/>
              <w:jc w:val="center"/>
            </w:pPr>
            <w:r>
              <w:t>地理坐标</w:t>
            </w:r>
          </w:p>
        </w:tc>
        <w:tc>
          <w:tcPr>
            <w:tcW w:w="6360" w:type="dxa"/>
            <w:gridSpan w:val="3"/>
            <w:tcBorders>
              <w:tl2br w:val="nil"/>
              <w:tr2bl w:val="nil"/>
            </w:tcBorders>
            <w:shd w:val="clear" w:color="auto" w:fill="FFFFFF"/>
            <w:vAlign w:val="center"/>
          </w:tcPr>
          <w:p>
            <w:pPr>
              <w:spacing w:line="360" w:lineRule="auto"/>
              <w:jc w:val="center"/>
              <w:rPr>
                <w:b w:val="0"/>
                <w:bCs/>
              </w:rPr>
            </w:pPr>
            <w:r>
              <w:rPr>
                <w:b w:val="0"/>
                <w:bCs/>
              </w:rPr>
              <w:t>（8</w:t>
            </w:r>
            <w:r>
              <w:rPr>
                <w:rFonts w:hint="eastAsia"/>
                <w:b w:val="0"/>
                <w:bCs/>
                <w:lang w:val="en-US" w:eastAsia="zh-CN"/>
              </w:rPr>
              <w:t>9</w:t>
            </w:r>
            <w:r>
              <w:rPr>
                <w:b w:val="0"/>
                <w:bCs/>
              </w:rPr>
              <w:t>度</w:t>
            </w:r>
            <w:r>
              <w:rPr>
                <w:rFonts w:hint="eastAsia"/>
                <w:b w:val="0"/>
                <w:bCs/>
              </w:rPr>
              <w:t>1</w:t>
            </w:r>
            <w:r>
              <w:rPr>
                <w:rFonts w:hint="eastAsia"/>
                <w:b w:val="0"/>
                <w:bCs/>
                <w:lang w:val="en-US" w:eastAsia="zh-CN"/>
              </w:rPr>
              <w:t>4</w:t>
            </w:r>
            <w:r>
              <w:rPr>
                <w:b w:val="0"/>
                <w:bCs/>
              </w:rPr>
              <w:t>分</w:t>
            </w:r>
            <w:r>
              <w:rPr>
                <w:rFonts w:hint="eastAsia"/>
                <w:b w:val="0"/>
                <w:bCs/>
                <w:lang w:val="en-US" w:eastAsia="zh-CN"/>
              </w:rPr>
              <w:t>13.835</w:t>
            </w:r>
            <w:r>
              <w:rPr>
                <w:b w:val="0"/>
                <w:bCs/>
              </w:rPr>
              <w:t>秒，4</w:t>
            </w:r>
            <w:r>
              <w:rPr>
                <w:rFonts w:hint="eastAsia"/>
                <w:b w:val="0"/>
                <w:bCs/>
                <w:lang w:val="en-US" w:eastAsia="zh-CN"/>
              </w:rPr>
              <w:t>3</w:t>
            </w:r>
            <w:r>
              <w:rPr>
                <w:b w:val="0"/>
                <w:bCs/>
              </w:rPr>
              <w:t>度</w:t>
            </w:r>
            <w:r>
              <w:rPr>
                <w:rFonts w:hint="eastAsia"/>
                <w:b w:val="0"/>
                <w:bCs/>
                <w:lang w:val="en-US" w:eastAsia="zh-CN"/>
              </w:rPr>
              <w:t>59</w:t>
            </w:r>
            <w:r>
              <w:rPr>
                <w:b w:val="0"/>
                <w:bCs/>
              </w:rPr>
              <w:t>分</w:t>
            </w:r>
            <w:r>
              <w:rPr>
                <w:rFonts w:hint="eastAsia"/>
                <w:b w:val="0"/>
                <w:bCs/>
                <w:lang w:val="en-US" w:eastAsia="zh-CN"/>
              </w:rPr>
              <w:t>18.670</w:t>
            </w:r>
            <w:r>
              <w:rPr>
                <w:b w:val="0"/>
                <w:bCs/>
              </w:rPr>
              <w:t>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2162" w:type="dxa"/>
            <w:gridSpan w:val="2"/>
            <w:tcBorders>
              <w:tl2br w:val="nil"/>
              <w:tr2bl w:val="nil"/>
            </w:tcBorders>
            <w:shd w:val="clear" w:color="auto" w:fill="FFFFFF"/>
            <w:vAlign w:val="center"/>
          </w:tcPr>
          <w:p>
            <w:pPr>
              <w:jc w:val="center"/>
            </w:pPr>
            <w:r>
              <w:t>国民经济</w:t>
            </w:r>
          </w:p>
          <w:p>
            <w:pPr>
              <w:jc w:val="center"/>
            </w:pPr>
            <w:r>
              <w:t>行业类别</w:t>
            </w:r>
          </w:p>
        </w:tc>
        <w:tc>
          <w:tcPr>
            <w:tcW w:w="1677" w:type="dxa"/>
            <w:tcBorders>
              <w:tl2br w:val="nil"/>
              <w:tr2bl w:val="nil"/>
            </w:tcBorders>
            <w:shd w:val="clear" w:color="auto" w:fill="FFFFFF"/>
            <w:vAlign w:val="center"/>
          </w:tcPr>
          <w:p>
            <w:pPr>
              <w:jc w:val="center"/>
              <w:rPr>
                <w:b w:val="0"/>
                <w:bCs/>
              </w:rPr>
            </w:pPr>
            <w:r>
              <w:rPr>
                <w:rFonts w:hint="default"/>
                <w:b w:val="0"/>
                <w:bCs/>
                <w:color w:val="auto"/>
                <w:lang w:val="en-US" w:eastAsia="zh-CN"/>
              </w:rPr>
              <w:t>D4430热力生产和供应</w:t>
            </w:r>
          </w:p>
        </w:tc>
        <w:tc>
          <w:tcPr>
            <w:tcW w:w="1773" w:type="dxa"/>
            <w:tcBorders>
              <w:tl2br w:val="nil"/>
              <w:tr2bl w:val="nil"/>
            </w:tcBorders>
            <w:shd w:val="clear" w:color="auto" w:fill="FFFFFF"/>
            <w:vAlign w:val="center"/>
          </w:tcPr>
          <w:p>
            <w:pPr>
              <w:jc w:val="center"/>
            </w:pPr>
            <w:bookmarkStart w:id="1" w:name="_Hlk49843745"/>
            <w:r>
              <w:t>建设项目</w:t>
            </w:r>
          </w:p>
          <w:p>
            <w:pPr>
              <w:jc w:val="center"/>
            </w:pPr>
            <w:r>
              <w:t>行业类别</w:t>
            </w:r>
            <w:bookmarkEnd w:id="1"/>
          </w:p>
        </w:tc>
        <w:tc>
          <w:tcPr>
            <w:tcW w:w="2910" w:type="dxa"/>
            <w:tcBorders>
              <w:tl2br w:val="nil"/>
              <w:tr2bl w:val="nil"/>
            </w:tcBorders>
            <w:shd w:val="clear" w:color="auto" w:fill="FFFFFF"/>
            <w:vAlign w:val="center"/>
          </w:tcPr>
          <w:p>
            <w:pPr>
              <w:jc w:val="center"/>
              <w:rPr>
                <w:b w:val="0"/>
                <w:bCs/>
              </w:rPr>
            </w:pPr>
            <w:r>
              <w:rPr>
                <w:b w:val="0"/>
                <w:bCs/>
              </w:rPr>
              <w:t>91</w:t>
            </w:r>
            <w:r>
              <w:rPr>
                <w:rFonts w:hint="eastAsia"/>
                <w:b w:val="0"/>
                <w:bCs/>
                <w:lang w:eastAsia="zh-CN"/>
              </w:rPr>
              <w:t>－</w:t>
            </w:r>
            <w:r>
              <w:rPr>
                <w:b w:val="0"/>
                <w:bCs/>
              </w:rPr>
              <w:t>热力生产和供应工程（包括建设单位自建自用的供热工程）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2162" w:type="dxa"/>
            <w:gridSpan w:val="2"/>
            <w:tcBorders>
              <w:tl2br w:val="nil"/>
              <w:tr2bl w:val="nil"/>
            </w:tcBorders>
            <w:shd w:val="clear" w:color="auto" w:fill="FFFFFF"/>
            <w:vAlign w:val="center"/>
          </w:tcPr>
          <w:p>
            <w:pPr>
              <w:jc w:val="center"/>
            </w:pPr>
            <w:r>
              <w:t>建设性质</w:t>
            </w:r>
          </w:p>
        </w:tc>
        <w:tc>
          <w:tcPr>
            <w:tcW w:w="1677" w:type="dxa"/>
            <w:tcBorders>
              <w:tl2br w:val="nil"/>
              <w:tr2bl w:val="nil"/>
            </w:tcBorders>
            <w:shd w:val="clear" w:color="auto" w:fill="FFFFFF"/>
            <w:vAlign w:val="center"/>
          </w:tcPr>
          <w:p>
            <w:pPr>
              <w:jc w:val="both"/>
              <w:rPr>
                <w:b w:val="0"/>
                <w:bCs/>
              </w:rPr>
            </w:pPr>
            <w:r>
              <w:rPr>
                <w:b w:val="0"/>
                <w:bCs/>
              </w:rPr>
              <w:sym w:font="Wingdings 2" w:char="0052"/>
            </w:r>
            <w:r>
              <w:rPr>
                <w:b w:val="0"/>
                <w:bCs/>
              </w:rPr>
              <w:t>新建（迁建）</w:t>
            </w:r>
          </w:p>
          <w:p>
            <w:pPr>
              <w:jc w:val="both"/>
              <w:rPr>
                <w:b w:val="0"/>
                <w:bCs/>
              </w:rPr>
            </w:pPr>
            <w:r>
              <w:rPr>
                <w:b w:val="0"/>
                <w:bCs/>
              </w:rPr>
              <w:sym w:font="Wingdings 2" w:char="00A3"/>
            </w:r>
            <w:r>
              <w:rPr>
                <w:b w:val="0"/>
                <w:bCs/>
              </w:rPr>
              <w:t>改建</w:t>
            </w:r>
          </w:p>
          <w:p>
            <w:pPr>
              <w:jc w:val="both"/>
              <w:rPr>
                <w:b w:val="0"/>
                <w:bCs/>
              </w:rPr>
            </w:pPr>
            <w:r>
              <w:rPr>
                <w:b w:val="0"/>
                <w:bCs/>
              </w:rPr>
              <w:sym w:font="Wingdings 2" w:char="00A3"/>
            </w:r>
            <w:r>
              <w:rPr>
                <w:b w:val="0"/>
                <w:bCs/>
              </w:rPr>
              <w:t>扩建</w:t>
            </w:r>
          </w:p>
          <w:p>
            <w:pPr>
              <w:jc w:val="both"/>
              <w:rPr>
                <w:b w:val="0"/>
                <w:bCs/>
              </w:rPr>
            </w:pPr>
            <w:r>
              <w:rPr>
                <w:b w:val="0"/>
                <w:bCs/>
              </w:rPr>
              <w:sym w:font="Wingdings 2" w:char="00A3"/>
            </w:r>
            <w:r>
              <w:rPr>
                <w:b w:val="0"/>
                <w:bCs/>
              </w:rPr>
              <w:t>技术改造</w:t>
            </w:r>
          </w:p>
        </w:tc>
        <w:tc>
          <w:tcPr>
            <w:tcW w:w="1773" w:type="dxa"/>
            <w:tcBorders>
              <w:tl2br w:val="nil"/>
              <w:tr2bl w:val="nil"/>
            </w:tcBorders>
            <w:shd w:val="clear" w:color="auto" w:fill="FFFFFF"/>
            <w:vAlign w:val="center"/>
          </w:tcPr>
          <w:p>
            <w:pPr>
              <w:jc w:val="center"/>
            </w:pPr>
            <w:r>
              <w:t>建设项目</w:t>
            </w:r>
          </w:p>
          <w:p>
            <w:pPr>
              <w:jc w:val="center"/>
            </w:pPr>
            <w:r>
              <w:t>申报情形</w:t>
            </w:r>
          </w:p>
        </w:tc>
        <w:tc>
          <w:tcPr>
            <w:tcW w:w="2910" w:type="dxa"/>
            <w:tcBorders>
              <w:tl2br w:val="nil"/>
              <w:tr2bl w:val="nil"/>
            </w:tcBorders>
            <w:shd w:val="clear" w:color="auto" w:fill="FFFFFF"/>
            <w:tcMar>
              <w:top w:w="0" w:type="dxa"/>
              <w:left w:w="108" w:type="dxa"/>
              <w:bottom w:w="0" w:type="dxa"/>
              <w:right w:w="0" w:type="dxa"/>
            </w:tcMar>
            <w:vAlign w:val="center"/>
          </w:tcPr>
          <w:p>
            <w:pPr>
              <w:jc w:val="both"/>
              <w:rPr>
                <w:b w:val="0"/>
                <w:bCs/>
              </w:rPr>
            </w:pPr>
            <w:r>
              <w:rPr>
                <w:b w:val="0"/>
                <w:bCs/>
              </w:rPr>
              <w:sym w:font="Wingdings 2" w:char="0052"/>
            </w:r>
            <w:r>
              <w:rPr>
                <w:b w:val="0"/>
                <w:bCs/>
              </w:rPr>
              <w:t>首次申报项目</w:t>
            </w:r>
          </w:p>
          <w:p>
            <w:pPr>
              <w:jc w:val="both"/>
              <w:rPr>
                <w:b w:val="0"/>
                <w:bCs/>
              </w:rPr>
            </w:pPr>
            <w:r>
              <w:rPr>
                <w:b w:val="0"/>
                <w:bCs/>
              </w:rPr>
              <w:t>□不予批准后再次申报项目</w:t>
            </w:r>
          </w:p>
          <w:p>
            <w:pPr>
              <w:jc w:val="both"/>
              <w:rPr>
                <w:b w:val="0"/>
                <w:bCs/>
              </w:rPr>
            </w:pPr>
            <w:r>
              <w:rPr>
                <w:b w:val="0"/>
                <w:bCs/>
              </w:rPr>
              <w:t>□超五年重新审核项目</w:t>
            </w:r>
          </w:p>
          <w:p>
            <w:pPr>
              <w:jc w:val="both"/>
              <w:rPr>
                <w:b w:val="0"/>
                <w:bCs/>
              </w:rPr>
            </w:pPr>
            <w:r>
              <w:rPr>
                <w:b w:val="0"/>
                <w:bCs/>
              </w:rPr>
              <w:t>□重大变动重新报批项目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36" w:hRule="atLeast"/>
        </w:trPr>
        <w:tc>
          <w:tcPr>
            <w:tcW w:w="2162" w:type="dxa"/>
            <w:gridSpan w:val="2"/>
            <w:tcBorders>
              <w:tl2br w:val="nil"/>
              <w:tr2bl w:val="nil"/>
            </w:tcBorders>
            <w:shd w:val="clear" w:color="auto" w:fill="FFFFFF"/>
            <w:vAlign w:val="center"/>
          </w:tcPr>
          <w:p>
            <w:pPr>
              <w:jc w:val="center"/>
            </w:pPr>
            <w:r>
              <w:t>项目审批（核准/</w:t>
            </w:r>
          </w:p>
          <w:p>
            <w:pPr>
              <w:jc w:val="center"/>
            </w:pPr>
            <w:r>
              <w:t>备案）部门（选填）</w:t>
            </w:r>
          </w:p>
        </w:tc>
        <w:tc>
          <w:tcPr>
            <w:tcW w:w="1677" w:type="dxa"/>
            <w:tcBorders>
              <w:tl2br w:val="nil"/>
              <w:tr2bl w:val="nil"/>
            </w:tcBorders>
            <w:shd w:val="clear" w:color="auto" w:fill="FFFFFF"/>
            <w:vAlign w:val="center"/>
          </w:tcPr>
          <w:p>
            <w:pPr>
              <w:jc w:val="center"/>
              <w:rPr>
                <w:rFonts w:hint="eastAsia" w:eastAsia="宋体"/>
                <w:b w:val="0"/>
                <w:bCs/>
                <w:lang w:eastAsia="zh-CN"/>
              </w:rPr>
            </w:pPr>
            <w:r>
              <w:rPr>
                <w:rFonts w:hint="eastAsia"/>
                <w:b w:val="0"/>
                <w:bCs/>
                <w:lang w:val="en-US" w:eastAsia="zh-CN"/>
              </w:rPr>
              <w:t>/</w:t>
            </w:r>
          </w:p>
        </w:tc>
        <w:tc>
          <w:tcPr>
            <w:tcW w:w="1773" w:type="dxa"/>
            <w:tcBorders>
              <w:tl2br w:val="nil"/>
              <w:tr2bl w:val="nil"/>
            </w:tcBorders>
            <w:shd w:val="clear" w:color="auto" w:fill="FFFFFF"/>
            <w:vAlign w:val="center"/>
          </w:tcPr>
          <w:p>
            <w:pPr>
              <w:jc w:val="center"/>
            </w:pPr>
            <w:r>
              <w:t>项目审批（核准/备案）文号（选填）</w:t>
            </w:r>
          </w:p>
        </w:tc>
        <w:tc>
          <w:tcPr>
            <w:tcW w:w="2910" w:type="dxa"/>
            <w:tcBorders>
              <w:tl2br w:val="nil"/>
              <w:tr2bl w:val="nil"/>
            </w:tcBorders>
            <w:shd w:val="clear" w:color="auto" w:fill="FFFFFF"/>
            <w:vAlign w:val="center"/>
          </w:tcPr>
          <w:p>
            <w:pPr>
              <w:adjustRightInd w:val="0"/>
              <w:snapToGrid w:val="0"/>
              <w:jc w:val="center"/>
              <w:rPr>
                <w:rFonts w:hint="eastAsia" w:eastAsia="宋体"/>
                <w:b w:val="0"/>
                <w:bCs/>
                <w:lang w:eastAsia="zh-CN"/>
              </w:rPr>
            </w:pPr>
            <w:r>
              <w:rPr>
                <w:rFonts w:hint="eastAsia"/>
                <w:b w:val="0"/>
                <w:bCs/>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2162" w:type="dxa"/>
            <w:gridSpan w:val="2"/>
            <w:tcBorders>
              <w:tl2br w:val="nil"/>
              <w:tr2bl w:val="nil"/>
            </w:tcBorders>
            <w:shd w:val="clear" w:color="auto" w:fill="FFFFFF"/>
            <w:vAlign w:val="center"/>
          </w:tcPr>
          <w:p>
            <w:pPr>
              <w:jc w:val="center"/>
              <w:rPr>
                <w:color w:val="auto"/>
              </w:rPr>
            </w:pPr>
            <w:r>
              <w:rPr>
                <w:color w:val="auto"/>
              </w:rPr>
              <w:t>总投资（万元）</w:t>
            </w:r>
          </w:p>
        </w:tc>
        <w:tc>
          <w:tcPr>
            <w:tcW w:w="1677" w:type="dxa"/>
            <w:tcBorders>
              <w:tl2br w:val="nil"/>
              <w:tr2bl w:val="nil"/>
            </w:tcBorders>
            <w:shd w:val="clear" w:color="auto" w:fill="FFFFFF"/>
            <w:vAlign w:val="center"/>
          </w:tcPr>
          <w:p>
            <w:pPr>
              <w:jc w:val="center"/>
              <w:rPr>
                <w:rFonts w:hint="default"/>
                <w:b w:val="0"/>
                <w:bCs/>
                <w:color w:val="auto"/>
                <w:highlight w:val="none"/>
                <w:lang w:val="en-US"/>
              </w:rPr>
            </w:pPr>
            <w:r>
              <w:rPr>
                <w:rFonts w:hint="eastAsia"/>
                <w:b w:val="0"/>
                <w:bCs/>
                <w:color w:val="auto"/>
                <w:highlight w:val="none"/>
                <w:lang w:val="en-US" w:eastAsia="zh-CN"/>
              </w:rPr>
              <w:t>400.00</w:t>
            </w:r>
          </w:p>
        </w:tc>
        <w:tc>
          <w:tcPr>
            <w:tcW w:w="1773" w:type="dxa"/>
            <w:tcBorders>
              <w:tl2br w:val="nil"/>
              <w:tr2bl w:val="nil"/>
            </w:tcBorders>
            <w:shd w:val="clear" w:color="auto" w:fill="FFFFFF"/>
            <w:vAlign w:val="center"/>
          </w:tcPr>
          <w:p>
            <w:pPr>
              <w:jc w:val="center"/>
              <w:rPr>
                <w:color w:val="auto"/>
              </w:rPr>
            </w:pPr>
            <w:r>
              <w:rPr>
                <w:color w:val="auto"/>
              </w:rPr>
              <w:t>环保投资</w:t>
            </w:r>
          </w:p>
          <w:p>
            <w:pPr>
              <w:jc w:val="center"/>
              <w:rPr>
                <w:color w:val="auto"/>
              </w:rPr>
            </w:pPr>
            <w:r>
              <w:rPr>
                <w:color w:val="auto"/>
              </w:rPr>
              <w:t>（万元）</w:t>
            </w:r>
          </w:p>
        </w:tc>
        <w:tc>
          <w:tcPr>
            <w:tcW w:w="2910" w:type="dxa"/>
            <w:tcBorders>
              <w:tl2br w:val="nil"/>
              <w:tr2bl w:val="nil"/>
            </w:tcBorders>
            <w:shd w:val="clear" w:color="auto" w:fill="FFFFFF"/>
            <w:vAlign w:val="center"/>
          </w:tcPr>
          <w:p>
            <w:pPr>
              <w:jc w:val="center"/>
              <w:rPr>
                <w:b w:val="0"/>
                <w:bCs/>
                <w:color w:val="auto"/>
              </w:rPr>
            </w:pPr>
            <w:r>
              <w:rPr>
                <w:rFonts w:hint="eastAsia"/>
                <w:b w:val="0"/>
                <w:bCs/>
                <w:color w:val="auto"/>
                <w:highlight w:val="none"/>
                <w:lang w:val="en-US" w:eastAsia="zh-CN"/>
              </w:rPr>
              <w:t>110</w:t>
            </w:r>
            <w:r>
              <w:rPr>
                <w:b w:val="0"/>
                <w:bCs/>
                <w:color w:val="auto"/>
                <w:highlight w:val="none"/>
              </w:rPr>
              <w:t>.</w:t>
            </w:r>
            <w:r>
              <w:rPr>
                <w:rFonts w:hint="eastAsia"/>
                <w:b w:val="0"/>
                <w:bCs/>
                <w:color w:val="auto"/>
                <w:highlight w:val="none"/>
                <w:lang w:val="en-US" w:eastAsia="zh-CN"/>
              </w:rPr>
              <w:t>0</w:t>
            </w:r>
            <w:r>
              <w:rPr>
                <w:b w:val="0"/>
                <w:bCs/>
                <w:color w:val="auto"/>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67" w:hRule="atLeast"/>
        </w:trPr>
        <w:tc>
          <w:tcPr>
            <w:tcW w:w="2162" w:type="dxa"/>
            <w:gridSpan w:val="2"/>
            <w:tcBorders>
              <w:tl2br w:val="nil"/>
              <w:tr2bl w:val="nil"/>
            </w:tcBorders>
            <w:shd w:val="clear" w:color="auto" w:fill="FFFFFF"/>
            <w:vAlign w:val="center"/>
          </w:tcPr>
          <w:p>
            <w:pPr>
              <w:jc w:val="center"/>
              <w:rPr>
                <w:color w:val="auto"/>
              </w:rPr>
            </w:pPr>
            <w:r>
              <w:rPr>
                <w:color w:val="auto"/>
              </w:rPr>
              <w:t>环保投资占比（%）</w:t>
            </w:r>
          </w:p>
        </w:tc>
        <w:tc>
          <w:tcPr>
            <w:tcW w:w="1677" w:type="dxa"/>
            <w:tcBorders>
              <w:tl2br w:val="nil"/>
              <w:tr2bl w:val="nil"/>
            </w:tcBorders>
            <w:shd w:val="clear" w:color="auto" w:fill="FFFFFF"/>
            <w:vAlign w:val="center"/>
          </w:tcPr>
          <w:p>
            <w:pPr>
              <w:jc w:val="center"/>
              <w:rPr>
                <w:rFonts w:hint="default"/>
                <w:b w:val="0"/>
                <w:bCs/>
                <w:color w:val="auto"/>
                <w:highlight w:val="none"/>
                <w:lang w:val="en-US"/>
              </w:rPr>
            </w:pPr>
            <w:r>
              <w:rPr>
                <w:rFonts w:hint="eastAsia"/>
                <w:b w:val="0"/>
                <w:bCs/>
                <w:color w:val="auto"/>
                <w:highlight w:val="none"/>
                <w:lang w:val="en-US" w:eastAsia="zh-CN"/>
              </w:rPr>
              <w:t>27.5</w:t>
            </w:r>
          </w:p>
        </w:tc>
        <w:tc>
          <w:tcPr>
            <w:tcW w:w="1773" w:type="dxa"/>
            <w:tcBorders>
              <w:tl2br w:val="nil"/>
              <w:tr2bl w:val="nil"/>
            </w:tcBorders>
            <w:shd w:val="clear" w:color="auto" w:fill="FFFFFF"/>
            <w:vAlign w:val="center"/>
          </w:tcPr>
          <w:p>
            <w:pPr>
              <w:jc w:val="center"/>
              <w:rPr>
                <w:color w:val="auto"/>
              </w:rPr>
            </w:pPr>
            <w:r>
              <w:rPr>
                <w:color w:val="auto"/>
              </w:rPr>
              <w:t>施工工期</w:t>
            </w:r>
          </w:p>
        </w:tc>
        <w:tc>
          <w:tcPr>
            <w:tcW w:w="2910" w:type="dxa"/>
            <w:tcBorders>
              <w:tl2br w:val="nil"/>
              <w:tr2bl w:val="nil"/>
            </w:tcBorders>
            <w:shd w:val="clear" w:color="auto" w:fill="FFFFFF"/>
            <w:vAlign w:val="center"/>
          </w:tcPr>
          <w:p>
            <w:pPr>
              <w:jc w:val="center"/>
              <w:rPr>
                <w:b w:val="0"/>
                <w:bCs/>
                <w:color w:val="auto"/>
              </w:rPr>
            </w:pPr>
            <w:r>
              <w:rPr>
                <w:rFonts w:hint="eastAsia"/>
                <w:b w:val="0"/>
                <w:bCs/>
                <w:color w:val="auto"/>
                <w:lang w:val="en-US" w:eastAsia="zh-CN"/>
              </w:rPr>
              <w:t>3</w:t>
            </w:r>
            <w:r>
              <w:rPr>
                <w:rFonts w:hint="eastAsia"/>
                <w:b w:val="0"/>
                <w:bCs/>
                <w:color w:val="auto"/>
              </w:rPr>
              <w:t>个月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59" w:hRule="atLeast"/>
        </w:trPr>
        <w:tc>
          <w:tcPr>
            <w:tcW w:w="2162" w:type="dxa"/>
            <w:gridSpan w:val="2"/>
            <w:tcBorders>
              <w:tl2br w:val="nil"/>
              <w:tr2bl w:val="nil"/>
            </w:tcBorders>
            <w:shd w:val="clear" w:color="auto" w:fill="FFFFFF"/>
            <w:vAlign w:val="center"/>
          </w:tcPr>
          <w:p>
            <w:pPr>
              <w:jc w:val="center"/>
            </w:pPr>
            <w:r>
              <w:t>是否开工建设</w:t>
            </w:r>
          </w:p>
        </w:tc>
        <w:tc>
          <w:tcPr>
            <w:tcW w:w="1677" w:type="dxa"/>
            <w:tcBorders>
              <w:tl2br w:val="nil"/>
              <w:tr2bl w:val="nil"/>
            </w:tcBorders>
            <w:shd w:val="clear" w:color="auto" w:fill="FFFFFF"/>
            <w:vAlign w:val="center"/>
          </w:tcPr>
          <w:p>
            <w:pPr>
              <w:jc w:val="both"/>
              <w:rPr>
                <w:b w:val="0"/>
                <w:bCs/>
                <w:color w:val="auto"/>
              </w:rPr>
            </w:pPr>
            <w:r>
              <w:rPr>
                <w:b w:val="0"/>
                <w:bCs/>
                <w:color w:val="auto"/>
              </w:rPr>
              <w:sym w:font="Wingdings 2" w:char="0052"/>
            </w:r>
            <w:r>
              <w:rPr>
                <w:b w:val="0"/>
                <w:bCs/>
                <w:color w:val="auto"/>
              </w:rPr>
              <w:t>否</w:t>
            </w:r>
          </w:p>
          <w:p>
            <w:pPr>
              <w:jc w:val="both"/>
              <w:rPr>
                <w:b w:val="0"/>
                <w:bCs/>
                <w:color w:val="auto"/>
              </w:rPr>
            </w:pPr>
            <w:r>
              <w:rPr>
                <w:b w:val="0"/>
                <w:bCs/>
                <w:color w:val="auto"/>
              </w:rPr>
              <w:sym w:font="Wingdings 2" w:char="00A3"/>
            </w:r>
            <w:r>
              <w:rPr>
                <w:b w:val="0"/>
                <w:bCs/>
                <w:color w:val="auto"/>
              </w:rPr>
              <w:t>是</w:t>
            </w:r>
          </w:p>
        </w:tc>
        <w:tc>
          <w:tcPr>
            <w:tcW w:w="1773" w:type="dxa"/>
            <w:tcBorders>
              <w:tl2br w:val="nil"/>
              <w:tr2bl w:val="nil"/>
            </w:tcBorders>
            <w:shd w:val="clear" w:color="auto" w:fill="FFFFFF"/>
            <w:vAlign w:val="center"/>
          </w:tcPr>
          <w:p>
            <w:pPr>
              <w:jc w:val="center"/>
              <w:rPr>
                <w:color w:val="auto"/>
              </w:rPr>
            </w:pPr>
            <w:r>
              <w:rPr>
                <w:color w:val="auto"/>
              </w:rPr>
              <w:t>用地（用海）</w:t>
            </w:r>
          </w:p>
          <w:p>
            <w:pPr>
              <w:jc w:val="center"/>
              <w:rPr>
                <w:color w:val="auto"/>
              </w:rPr>
            </w:pPr>
            <w:r>
              <w:rPr>
                <w:color w:val="auto"/>
              </w:rPr>
              <w:t>面积（m</w:t>
            </w:r>
            <w:r>
              <w:rPr>
                <w:color w:val="auto"/>
                <w:vertAlign w:val="superscript"/>
              </w:rPr>
              <w:t>2</w:t>
            </w:r>
            <w:r>
              <w:rPr>
                <w:color w:val="auto"/>
              </w:rPr>
              <w:t>）</w:t>
            </w:r>
          </w:p>
        </w:tc>
        <w:tc>
          <w:tcPr>
            <w:tcW w:w="2910" w:type="dxa"/>
            <w:tcBorders>
              <w:tl2br w:val="nil"/>
              <w:tr2bl w:val="nil"/>
            </w:tcBorders>
            <w:shd w:val="clear" w:color="auto" w:fill="FFFFFF"/>
            <w:vAlign w:val="center"/>
          </w:tcPr>
          <w:p>
            <w:pPr>
              <w:jc w:val="center"/>
              <w:rPr>
                <w:b w:val="0"/>
                <w:bCs/>
                <w:color w:val="auto"/>
              </w:rPr>
            </w:pPr>
            <w:r>
              <w:rPr>
                <w:rFonts w:hint="eastAsia"/>
                <w:b w:val="0"/>
                <w:bCs/>
                <w:color w:val="auto"/>
                <w:lang w:val="en-US" w:eastAsia="zh-CN"/>
              </w:rPr>
              <w:t>800</w:t>
            </w:r>
            <w:r>
              <w:rPr>
                <w:b w:val="0"/>
                <w:bCs/>
                <w:color w:val="auto"/>
              </w:rPr>
              <w:t>.</w:t>
            </w:r>
            <w:r>
              <w:rPr>
                <w:rFonts w:hint="eastAsia"/>
                <w:b w:val="0"/>
                <w:bCs/>
                <w:color w:val="auto"/>
              </w:rPr>
              <w:t>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73" w:hRule="atLeast"/>
        </w:trPr>
        <w:tc>
          <w:tcPr>
            <w:tcW w:w="2162" w:type="dxa"/>
            <w:gridSpan w:val="2"/>
            <w:tcBorders>
              <w:tl2br w:val="nil"/>
              <w:tr2bl w:val="nil"/>
            </w:tcBorders>
            <w:shd w:val="clear" w:color="auto" w:fill="FFFFFF"/>
            <w:vAlign w:val="center"/>
          </w:tcPr>
          <w:p>
            <w:pPr>
              <w:jc w:val="center"/>
            </w:pPr>
            <w:r>
              <w:t>专项评价设置情况</w:t>
            </w:r>
          </w:p>
        </w:tc>
        <w:tc>
          <w:tcPr>
            <w:tcW w:w="6360" w:type="dxa"/>
            <w:gridSpan w:val="3"/>
            <w:tcBorders>
              <w:tl2br w:val="nil"/>
              <w:tr2bl w:val="nil"/>
            </w:tcBorders>
            <w:shd w:val="clear" w:color="auto" w:fill="FFFFFF"/>
            <w:vAlign w:val="center"/>
          </w:tcPr>
          <w:p>
            <w:pPr>
              <w:jc w:val="center"/>
              <w:rPr>
                <w:b w:val="0"/>
                <w:bCs/>
              </w:rPr>
            </w:pPr>
            <w:r>
              <w:rPr>
                <w:b w:val="0"/>
                <w:bCs/>
              </w:rPr>
              <w:t>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834" w:hRule="atLeast"/>
        </w:trPr>
        <w:tc>
          <w:tcPr>
            <w:tcW w:w="2162" w:type="dxa"/>
            <w:gridSpan w:val="2"/>
            <w:tcBorders>
              <w:tl2br w:val="nil"/>
              <w:tr2bl w:val="nil"/>
            </w:tcBorders>
            <w:shd w:val="clear" w:color="auto" w:fill="FFFFFF"/>
            <w:vAlign w:val="center"/>
          </w:tcPr>
          <w:p>
            <w:pPr>
              <w:jc w:val="center"/>
              <w:rPr>
                <w:b w:val="0"/>
              </w:rPr>
            </w:pPr>
            <w:r>
              <w:rPr>
                <w:rFonts w:hint="eastAsia"/>
              </w:rPr>
              <w:t>规划情况</w:t>
            </w:r>
          </w:p>
        </w:tc>
        <w:tc>
          <w:tcPr>
            <w:tcW w:w="6360" w:type="dxa"/>
            <w:gridSpan w:val="3"/>
            <w:tcBorders>
              <w:tl2br w:val="nil"/>
              <w:tr2bl w:val="nil"/>
            </w:tcBorders>
            <w:shd w:val="clear" w:color="auto" w:fill="FFFFFF"/>
            <w:vAlign w:val="center"/>
          </w:tcPr>
          <w:p>
            <w:pPr>
              <w:pStyle w:val="22"/>
              <w:bidi w:val="0"/>
              <w:ind w:left="0" w:leftChars="0" w:firstLine="0" w:firstLineChars="0"/>
              <w:jc w:val="left"/>
              <w:rPr>
                <w:rFonts w:hint="eastAsia"/>
                <w:b/>
                <w:bCs w:val="0"/>
                <w:kern w:val="0"/>
                <w:lang w:val="en-US" w:eastAsia="zh-CN"/>
              </w:rPr>
            </w:pPr>
            <w:r>
              <w:rPr>
                <w:rFonts w:hint="eastAsia"/>
                <w:b/>
                <w:bCs w:val="0"/>
                <w:kern w:val="0"/>
                <w:lang w:val="en-US" w:eastAsia="zh-CN"/>
              </w:rPr>
              <w:t>规划文件：</w:t>
            </w:r>
            <w:r>
              <w:rPr>
                <w:rFonts w:hint="eastAsia"/>
                <w:b w:val="0"/>
                <w:bCs/>
                <w:kern w:val="0"/>
                <w:lang w:val="en-US" w:eastAsia="zh-CN"/>
              </w:rPr>
              <w:t>《吉木萨尔县县城总体规划（2012-2030年）》</w:t>
            </w:r>
          </w:p>
          <w:p>
            <w:pPr>
              <w:pStyle w:val="22"/>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ascii="Times New Roman" w:hAnsi="Times New Roman" w:eastAsia="宋体"/>
                <w:b w:val="0"/>
                <w:bCs/>
                <w:kern w:val="0"/>
                <w:lang w:val="en-US" w:eastAsia="zh-CN"/>
              </w:rPr>
            </w:pPr>
            <w:r>
              <w:rPr>
                <w:rFonts w:hint="eastAsia" w:ascii="Times New Roman" w:hAnsi="Times New Roman" w:eastAsia="宋体"/>
                <w:b w:val="0"/>
                <w:bCs/>
                <w:kern w:val="0"/>
                <w:lang w:val="en-US" w:eastAsia="zh-CN"/>
              </w:rPr>
              <w:t>2013年5月</w:t>
            </w:r>
          </w:p>
          <w:p>
            <w:pPr>
              <w:pStyle w:val="22"/>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b w:val="0"/>
                <w:bCs/>
                <w:kern w:val="0"/>
                <w:lang w:val="en-US" w:eastAsia="zh-CN"/>
              </w:rPr>
            </w:pPr>
            <w:r>
              <w:rPr>
                <w:rFonts w:hint="default" w:ascii="Times New Roman" w:hAnsi="Times New Roman" w:eastAsia="宋体"/>
                <w:b w:val="0"/>
                <w:bCs/>
                <w:kern w:val="0"/>
                <w:lang w:val="en-US" w:eastAsia="zh-CN"/>
              </w:rPr>
              <w:t>中国建筑设计研究院</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834" w:hRule="atLeast"/>
        </w:trPr>
        <w:tc>
          <w:tcPr>
            <w:tcW w:w="2162" w:type="dxa"/>
            <w:gridSpan w:val="2"/>
            <w:tcBorders>
              <w:tl2br w:val="nil"/>
              <w:tr2bl w:val="nil"/>
            </w:tcBorders>
            <w:shd w:val="clear" w:color="auto" w:fill="FFFFFF"/>
            <w:vAlign w:val="center"/>
          </w:tcPr>
          <w:p>
            <w:pPr>
              <w:jc w:val="center"/>
            </w:pPr>
            <w:r>
              <w:rPr>
                <w:rFonts w:hint="eastAsia"/>
              </w:rPr>
              <w:t>规划环境影响</w:t>
            </w:r>
          </w:p>
          <w:p>
            <w:pPr>
              <w:jc w:val="center"/>
            </w:pPr>
            <w:r>
              <w:rPr>
                <w:rFonts w:hint="eastAsia"/>
              </w:rPr>
              <w:t>评价情况</w:t>
            </w:r>
          </w:p>
        </w:tc>
        <w:tc>
          <w:tcPr>
            <w:tcW w:w="6360" w:type="dxa"/>
            <w:gridSpan w:val="3"/>
            <w:tcBorders>
              <w:tl2br w:val="nil"/>
              <w:tr2bl w:val="nil"/>
            </w:tcBorders>
            <w:shd w:val="clear" w:color="auto" w:fill="FFFFFF"/>
            <w:vAlign w:val="center"/>
          </w:tcPr>
          <w:p>
            <w:pPr>
              <w:pStyle w:val="22"/>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lang w:val="en-US" w:eastAsia="zh-CN"/>
              </w:rPr>
            </w:pPr>
            <w:r>
              <w:rPr>
                <w:b w:val="0"/>
                <w:bCs/>
              </w:rPr>
              <w:t>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603" w:hRule="atLeast"/>
        </w:trPr>
        <w:tc>
          <w:tcPr>
            <w:tcW w:w="522" w:type="dxa"/>
            <w:tcBorders>
              <w:tl2br w:val="nil"/>
              <w:tr2bl w:val="nil"/>
            </w:tcBorders>
            <w:shd w:val="clear" w:color="auto" w:fill="FFFFFF"/>
            <w:vAlign w:val="center"/>
          </w:tcPr>
          <w:p>
            <w:pPr>
              <w:jc w:val="center"/>
            </w:pPr>
            <w:r>
              <w:rPr>
                <w:rFonts w:hint="eastAsia" w:ascii="宋体" w:hAnsi="宋体" w:cs="宋体"/>
                <w:snapToGrid w:val="0"/>
                <w:kern w:val="0"/>
                <w:szCs w:val="21"/>
              </w:rPr>
              <w:t>规划及规划环境影响评价符合性分析</w:t>
            </w:r>
          </w:p>
        </w:tc>
        <w:tc>
          <w:tcPr>
            <w:tcW w:w="8000" w:type="dxa"/>
            <w:gridSpan w:val="4"/>
            <w:tcBorders>
              <w:tl2br w:val="nil"/>
              <w:tr2bl w:val="nil"/>
            </w:tcBorders>
            <w:shd w:val="clear" w:color="auto" w:fill="FFFFFF"/>
            <w:vAlign w:val="center"/>
          </w:tcPr>
          <w:p>
            <w:pPr>
              <w:pStyle w:val="22"/>
              <w:keepNext w:val="0"/>
              <w:keepLines w:val="0"/>
              <w:pageBreakBefore w:val="0"/>
              <w:widowControl w:val="0"/>
              <w:numPr>
                <w:ilvl w:val="0"/>
                <w:numId w:val="3"/>
              </w:numPr>
              <w:kinsoku/>
              <w:wordWrap/>
              <w:overflowPunct/>
              <w:topLinePunct w:val="0"/>
              <w:autoSpaceDE/>
              <w:autoSpaceDN/>
              <w:bidi w:val="0"/>
              <w:adjustRightInd/>
              <w:snapToGrid/>
              <w:ind w:firstLine="0" w:firstLineChars="0"/>
              <w:jc w:val="left"/>
              <w:textAlignment w:val="auto"/>
              <w:rPr>
                <w:rFonts w:hint="eastAsia" w:ascii="Times New Roman" w:hAnsi="Times New Roman" w:eastAsia="宋体" w:cstheme="minorBidi"/>
                <w:b/>
                <w:kern w:val="2"/>
                <w:sz w:val="28"/>
                <w:szCs w:val="24"/>
                <w:lang w:val="en-US" w:eastAsia="zh-CN" w:bidi="ar-SA"/>
              </w:rPr>
            </w:pPr>
            <w:r>
              <w:rPr>
                <w:rFonts w:hint="eastAsia" w:ascii="Times New Roman" w:hAnsi="Times New Roman" w:eastAsia="宋体" w:cstheme="minorBidi"/>
                <w:b/>
                <w:kern w:val="2"/>
                <w:sz w:val="28"/>
                <w:szCs w:val="24"/>
                <w:lang w:val="en-US" w:eastAsia="zh-CN" w:bidi="ar-SA"/>
              </w:rPr>
              <w:t>与《吉木萨尔县县城总体规划（2012-2030年）》符合性分析</w:t>
            </w:r>
          </w:p>
          <w:p>
            <w:pPr>
              <w:pStyle w:val="22"/>
              <w:bidi w:val="0"/>
              <w:jc w:val="both"/>
              <w:rPr>
                <w:rFonts w:hint="default" w:ascii="Times New Roman" w:hAnsi="Times New Roman" w:cs="Times New Roman"/>
              </w:rPr>
            </w:pPr>
            <w:r>
              <w:rPr>
                <w:rFonts w:hint="default" w:ascii="Times New Roman" w:hAnsi="Times New Roman" w:cs="Times New Roman"/>
              </w:rPr>
              <w:t>吉木萨尔县位于天山山脉东段北麓，准葛尔盆地东南缘。地处东经88°30</w:t>
            </w:r>
            <w:r>
              <w:rPr>
                <w:rFonts w:hint="eastAsia" w:ascii="Times New Roman" w:hAnsi="Times New Roman" w:cs="Times New Roman"/>
                <w:lang w:val="en-US" w:eastAsia="zh-CN"/>
              </w:rPr>
              <w:t>′</w:t>
            </w:r>
            <w:r>
              <w:rPr>
                <w:rFonts w:hint="default" w:ascii="Times New Roman" w:hAnsi="Times New Roman" w:cs="Times New Roman"/>
              </w:rPr>
              <w:t>-89°30</w:t>
            </w:r>
            <w:r>
              <w:rPr>
                <w:rFonts w:hint="eastAsia" w:ascii="Times New Roman" w:hAnsi="Times New Roman" w:cs="Times New Roman"/>
                <w:lang w:val="en-US" w:eastAsia="zh-CN"/>
              </w:rPr>
              <w:t>′</w:t>
            </w:r>
            <w:r>
              <w:rPr>
                <w:rFonts w:hint="default" w:ascii="Times New Roman" w:hAnsi="Times New Roman" w:cs="Times New Roman"/>
              </w:rPr>
              <w:t>，北纬43°30′-45°30′，东临奇台县，西接阜康市，南以天山分水岭与吐鲁番及乌鲁木齐县为界，北越卡拉麦岭山与富蕴县交接。</w:t>
            </w:r>
          </w:p>
          <w:p>
            <w:pPr>
              <w:pStyle w:val="22"/>
              <w:bidi w:val="0"/>
              <w:jc w:val="both"/>
              <w:rPr>
                <w:rFonts w:hint="eastAsia" w:ascii="Times New Roman" w:hAnsi="Times New Roman" w:eastAsia="宋体" w:cstheme="minorBidi"/>
                <w:b/>
                <w:kern w:val="2"/>
                <w:szCs w:val="24"/>
                <w:lang w:val="en-US" w:eastAsia="zh-CN" w:bidi="ar-SA"/>
              </w:rPr>
            </w:pPr>
            <w:r>
              <w:rPr>
                <w:rFonts w:hint="default" w:ascii="Times New Roman" w:hAnsi="Times New Roman" w:cs="Times New Roman"/>
              </w:rPr>
              <w:t>吉木萨尔县城西距自治区首府乌鲁木齐165公里，距昌吉回族自治州首府昌吉市206公里，东距奇台县40公里，距哈密市550公里。</w:t>
            </w:r>
          </w:p>
          <w:p>
            <w:pPr>
              <w:pStyle w:val="22"/>
              <w:bidi w:val="0"/>
              <w:jc w:val="both"/>
            </w:pPr>
            <w:r>
              <w:rPr>
                <w:rFonts w:hint="eastAsia"/>
                <w:lang w:eastAsia="zh-CN"/>
              </w:rPr>
              <w:t>（</w:t>
            </w:r>
            <w:r>
              <w:rPr>
                <w:rFonts w:hint="eastAsia"/>
                <w:lang w:val="en-US" w:eastAsia="zh-CN"/>
              </w:rPr>
              <w:t>1）</w:t>
            </w:r>
            <w:r>
              <w:rPr>
                <w:rFonts w:hint="eastAsia"/>
              </w:rPr>
              <w:t>给水</w:t>
            </w:r>
          </w:p>
          <w:p>
            <w:pPr>
              <w:pStyle w:val="22"/>
              <w:bidi w:val="0"/>
              <w:jc w:val="both"/>
              <w:rPr>
                <w:rFonts w:hint="eastAsia"/>
              </w:rPr>
            </w:pPr>
            <w:r>
              <w:rPr>
                <w:rFonts w:hint="eastAsia"/>
              </w:rPr>
              <w:t>吉木萨尔县县城现有水厂一座，水源采用地下水，供水能力为4500m³/日。水厂建有水源井3眼，1眼备用，800m³清水池1座，新修建2400m³清水池1座。水厂处理工艺为消毒杀菌—清水池—二次消毒—送往用户。根据城镇地形特点，城区采用重力供水，管网成树状分布。输配水管网主要分布在中心路、乌奇公路、满城路、文化路、文明路、北庭路等路段。管径从DN400mm到DN100mm，总长度为11km，采用管材为铸铁管，胶圈接口。</w:t>
            </w:r>
          </w:p>
          <w:p>
            <w:pPr>
              <w:pStyle w:val="22"/>
              <w:bidi w:val="0"/>
              <w:jc w:val="both"/>
            </w:pPr>
            <w:r>
              <w:rPr>
                <w:rFonts w:hint="eastAsia"/>
                <w:lang w:eastAsia="zh-CN"/>
              </w:rPr>
              <w:t>（</w:t>
            </w:r>
            <w:r>
              <w:rPr>
                <w:rFonts w:hint="eastAsia"/>
                <w:lang w:val="en-US" w:eastAsia="zh-CN"/>
              </w:rPr>
              <w:t>2）</w:t>
            </w:r>
            <w:r>
              <w:rPr>
                <w:rFonts w:hint="eastAsia"/>
              </w:rPr>
              <w:t>排水</w:t>
            </w:r>
          </w:p>
          <w:p>
            <w:pPr>
              <w:pStyle w:val="22"/>
              <w:bidi w:val="0"/>
              <w:jc w:val="both"/>
              <w:rPr>
                <w:rFonts w:hint="eastAsia"/>
              </w:rPr>
            </w:pPr>
            <w:r>
              <w:rPr>
                <w:rFonts w:hint="eastAsia"/>
              </w:rPr>
              <w:t>吉木萨尔县县城，共修建排水管道（d400mm，d600mm）5050.4m。现状排水量约为3500m³/d，排水系统采用不完全分流式。</w:t>
            </w:r>
          </w:p>
          <w:p>
            <w:pPr>
              <w:pStyle w:val="22"/>
              <w:bidi w:val="0"/>
              <w:jc w:val="both"/>
            </w:pPr>
            <w:r>
              <w:rPr>
                <w:rFonts w:hint="eastAsia"/>
              </w:rPr>
              <w:t>项目用水由已建</w:t>
            </w:r>
            <w:r>
              <w:rPr>
                <w:rFonts w:hint="eastAsia"/>
                <w:lang w:val="en-US" w:eastAsia="zh-CN"/>
              </w:rPr>
              <w:t>市政</w:t>
            </w:r>
            <w:r>
              <w:rPr>
                <w:rFonts w:hint="eastAsia"/>
              </w:rPr>
              <w:t>供水管道供给，生活污水经</w:t>
            </w:r>
            <w:r>
              <w:rPr>
                <w:rFonts w:hint="eastAsia"/>
                <w:lang w:val="en-US" w:eastAsia="zh-CN"/>
              </w:rPr>
              <w:t>物流园</w:t>
            </w:r>
            <w:r>
              <w:rPr>
                <w:rFonts w:hint="eastAsia"/>
              </w:rPr>
              <w:t>排水管网最终进入</w:t>
            </w:r>
            <w:r>
              <w:rPr>
                <w:rFonts w:hint="eastAsia"/>
                <w:lang w:val="en-US" w:eastAsia="zh-CN"/>
              </w:rPr>
              <w:t>吉木萨尔县第二污水处理厂</w:t>
            </w:r>
            <w:r>
              <w:rPr>
                <w:rFonts w:hint="eastAsia"/>
              </w:rPr>
              <w:t>，项目污染物排放量较少，且采取了严格的治理和处理、处置措施，在一定程度上减少了污染物的排放，污染物均能达标排放。项目完成后，综合排污水平低且综合效益好，属于鼓励发展的产业，符合环保准入门槛要求。</w:t>
            </w:r>
          </w:p>
          <w:p>
            <w:pPr>
              <w:pStyle w:val="22"/>
              <w:bidi w:val="0"/>
              <w:jc w:val="both"/>
              <w:rPr>
                <w:rFonts w:hint="default"/>
                <w:lang w:val="en-US" w:eastAsia="zh-CN"/>
              </w:rPr>
            </w:pPr>
            <w:r>
              <w:rPr>
                <w:rFonts w:hint="eastAsia"/>
              </w:rPr>
              <w:t>综上，本项目的建设符合</w:t>
            </w:r>
            <w:r>
              <w:rPr>
                <w:rFonts w:hint="eastAsia"/>
                <w:lang w:val="en-US" w:eastAsia="zh-CN"/>
              </w:rPr>
              <w:t>《吉木萨尔县县城总体规划（2012-2030年）》</w:t>
            </w:r>
            <w:r>
              <w:rPr>
                <w:rFonts w:hint="eastAsia"/>
              </w:rPr>
              <w:t>的相关要求。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522" w:type="dxa"/>
            <w:tcBorders>
              <w:tl2br w:val="nil"/>
              <w:tr2bl w:val="nil"/>
            </w:tcBorders>
            <w:shd w:val="clear" w:color="auto" w:fill="FFFFFF"/>
            <w:vAlign w:val="center"/>
          </w:tcPr>
          <w:p>
            <w:pPr>
              <w:autoSpaceDE w:val="0"/>
              <w:autoSpaceDN w:val="0"/>
              <w:adjustRightInd w:val="0"/>
              <w:snapToGrid w:val="0"/>
              <w:jc w:val="center"/>
              <w:rPr>
                <w:rFonts w:ascii="宋体" w:hAnsi="宋体" w:cs="宋体"/>
                <w:kern w:val="0"/>
                <w:sz w:val="21"/>
                <w:szCs w:val="21"/>
              </w:rPr>
            </w:pPr>
            <w:r>
              <w:rPr>
                <w:rFonts w:hint="eastAsia" w:ascii="宋体" w:hAnsi="宋体" w:cs="宋体"/>
                <w:kern w:val="0"/>
                <w:szCs w:val="21"/>
              </w:rPr>
              <w:t>其他符合性分析</w:t>
            </w:r>
          </w:p>
        </w:tc>
        <w:tc>
          <w:tcPr>
            <w:tcW w:w="8000" w:type="dxa"/>
            <w:gridSpan w:val="4"/>
            <w:tcBorders>
              <w:tl2br w:val="nil"/>
              <w:tr2bl w:val="nil"/>
            </w:tcBorders>
            <w:shd w:val="clear" w:color="auto" w:fill="FFFFFF"/>
            <w:vAlign w:val="center"/>
          </w:tcPr>
          <w:p>
            <w:pPr>
              <w:pStyle w:val="6"/>
              <w:numPr>
                <w:ilvl w:val="0"/>
                <w:numId w:val="4"/>
              </w:numPr>
              <w:jc w:val="both"/>
              <w:outlineLvl w:val="1"/>
            </w:pPr>
            <w:r>
              <w:t>产业政策符合性分析</w:t>
            </w:r>
          </w:p>
          <w:p>
            <w:pPr>
              <w:pStyle w:val="22"/>
              <w:ind w:firstLine="480"/>
              <w:jc w:val="both"/>
            </w:pPr>
            <w:r>
              <w:t>根据国家发展和改革委员会令第</w:t>
            </w:r>
            <w:r>
              <w:rPr>
                <w:rFonts w:hint="eastAsia"/>
                <w:lang w:val="en-US" w:eastAsia="zh-CN"/>
              </w:rPr>
              <w:t>4</w:t>
            </w:r>
            <w:r>
              <w:t>9号令《产业结构调整指导目录</w:t>
            </w:r>
            <w:r>
              <w:rPr>
                <w:rFonts w:hint="eastAsia"/>
              </w:rPr>
              <w:t>（2019年本）的决定（2021修订版）</w:t>
            </w:r>
            <w:r>
              <w:rPr>
                <w:rFonts w:hint="default" w:ascii="Times New Roman" w:hAnsi="Times New Roman" w:cs="Times New Roman"/>
                <w:color w:val="auto"/>
                <w:sz w:val="24"/>
                <w:szCs w:val="24"/>
                <w:lang w:val="en-US" w:eastAsia="zh-CN"/>
              </w:rPr>
              <w:t>本项目不属于</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rPr>
              <w:t>限制类</w:t>
            </w:r>
            <w:r>
              <w:rPr>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rPr>
              <w:t>淘汰类和鼓励类</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rPr>
              <w:t>，</w:t>
            </w:r>
            <w:r>
              <w:rPr>
                <w:rFonts w:hint="default" w:ascii="Times New Roman" w:hAnsi="Times New Roman" w:cs="Times New Roman"/>
                <w:color w:val="auto"/>
                <w:sz w:val="24"/>
                <w:szCs w:val="24"/>
                <w:lang w:val="en-US" w:eastAsia="zh-CN"/>
              </w:rPr>
              <w:t>属于</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rPr>
              <w:t>允许类</w:t>
            </w:r>
            <w:r>
              <w:rPr>
                <w:rFonts w:hint="eastAsia" w:ascii="Times New Roman" w:hAnsi="Times New Roman" w:cs="Times New Roman"/>
                <w:color w:val="auto"/>
                <w:sz w:val="24"/>
                <w:szCs w:val="24"/>
                <w:lang w:val="en-US" w:eastAsia="zh-CN"/>
              </w:rPr>
              <w:t>”规定范畴，</w:t>
            </w:r>
            <w:r>
              <w:rPr>
                <w:rFonts w:hint="eastAsia"/>
              </w:rPr>
              <w:t>因此，本项目符合现行国家产业政策的有关要求。</w:t>
            </w:r>
          </w:p>
          <w:p>
            <w:pPr>
              <w:pStyle w:val="6"/>
              <w:numPr>
                <w:ilvl w:val="0"/>
                <w:numId w:val="4"/>
              </w:numPr>
              <w:jc w:val="both"/>
              <w:outlineLvl w:val="1"/>
            </w:pPr>
            <w:r>
              <w:t>“三线一单”符合性分析</w:t>
            </w:r>
          </w:p>
          <w:p>
            <w:pPr>
              <w:pStyle w:val="22"/>
              <w:numPr>
                <w:ilvl w:val="0"/>
                <w:numId w:val="5"/>
              </w:numPr>
              <w:ind w:firstLine="480"/>
              <w:jc w:val="both"/>
            </w:pPr>
            <w:r>
              <w:t>根据《关于以改善环境质量为核心加强环境影响评价管理的通知》（环环评</w:t>
            </w:r>
            <w:r>
              <w:rPr>
                <w:rFonts w:hint="eastAsia"/>
                <w:lang w:eastAsia="zh-CN"/>
              </w:rPr>
              <w:t>〔</w:t>
            </w:r>
            <w:r>
              <w:t>2016</w:t>
            </w:r>
            <w:r>
              <w:rPr>
                <w:rFonts w:hint="eastAsia"/>
                <w:lang w:eastAsia="zh-CN"/>
              </w:rPr>
              <w:t>〕</w:t>
            </w:r>
            <w:r>
              <w:t>150号）和《新疆维吾尔自治区“三线一单”生态环境分区管控方案》（新政发</w:t>
            </w:r>
            <w:r>
              <w:rPr>
                <w:rFonts w:hint="eastAsia"/>
                <w:lang w:eastAsia="zh-CN"/>
              </w:rPr>
              <w:t>〔</w:t>
            </w:r>
            <w:r>
              <w:t>2021</w:t>
            </w:r>
            <w:r>
              <w:rPr>
                <w:rFonts w:hint="eastAsia"/>
                <w:lang w:eastAsia="zh-CN"/>
              </w:rPr>
              <w:t>〕</w:t>
            </w:r>
            <w:r>
              <w:t>18号）要求，落实</w:t>
            </w:r>
            <w:r>
              <w:rPr>
                <w:lang w:val="zh-CN"/>
              </w:rPr>
              <w:t>“生</w:t>
            </w:r>
            <w:r>
              <w:t>态保护红线、环境质量底线、资源利用上线和生态环境准入清单</w:t>
            </w:r>
            <w:r>
              <w:rPr>
                <w:lang w:val="zh-CN"/>
              </w:rPr>
              <w:t>”（简</w:t>
            </w:r>
            <w:r>
              <w:t>称“三线一单”）约束，更好地发挥环评制度从源头防范环境污染和生态破坏的作用，加快推进改善环境质量。本项目建设与新疆维吾尔自治区“三线一单”的符合性分析见表</w:t>
            </w:r>
            <w:r>
              <w:rPr>
                <w:rFonts w:hint="eastAsia"/>
              </w:rPr>
              <w:t>1-</w:t>
            </w:r>
            <w:r>
              <w:rPr>
                <w:rFonts w:hint="eastAsia"/>
                <w:lang w:val="en-US" w:eastAsia="zh-CN"/>
              </w:rPr>
              <w:t>1</w:t>
            </w:r>
            <w:r>
              <w:t>。</w:t>
            </w:r>
          </w:p>
          <w:p>
            <w:pPr>
              <w:pStyle w:val="32"/>
            </w:pPr>
            <w:r>
              <w:t>表</w:t>
            </w:r>
            <w:r>
              <w:rPr>
                <w:rFonts w:hint="eastAsia"/>
              </w:rPr>
              <w:t>1-</w:t>
            </w:r>
            <w:r>
              <w:rPr>
                <w:rFonts w:hint="eastAsia"/>
                <w:lang w:val="en-US" w:eastAsia="zh-CN"/>
              </w:rPr>
              <w:t>1</w:t>
            </w:r>
            <w:r>
              <w:t xml:space="preserve">    新疆维吾尔自治区“三线一单”符合性分析一览表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5"/>
              <w:gridCol w:w="2783"/>
              <w:gridCol w:w="3325"/>
              <w:gridCol w:w="8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86" w:type="pct"/>
                  <w:gridSpan w:val="2"/>
                  <w:tcBorders>
                    <w:bottom w:val="single" w:color="auto" w:sz="12" w:space="0"/>
                  </w:tcBorders>
                  <w:vAlign w:val="center"/>
                </w:tcPr>
                <w:p>
                  <w:pPr>
                    <w:pStyle w:val="33"/>
                    <w:rPr>
                      <w:b/>
                      <w:bCs/>
                    </w:rPr>
                  </w:pPr>
                  <w:r>
                    <w:rPr>
                      <w:b/>
                      <w:bCs/>
                    </w:rPr>
                    <w:t>内容</w:t>
                  </w:r>
                </w:p>
              </w:tc>
              <w:tc>
                <w:tcPr>
                  <w:tcW w:w="2136" w:type="pct"/>
                  <w:tcBorders>
                    <w:bottom w:val="single" w:color="auto" w:sz="12" w:space="0"/>
                  </w:tcBorders>
                  <w:vAlign w:val="center"/>
                </w:tcPr>
                <w:p>
                  <w:pPr>
                    <w:pStyle w:val="33"/>
                    <w:rPr>
                      <w:b/>
                      <w:bCs/>
                    </w:rPr>
                  </w:pPr>
                  <w:r>
                    <w:rPr>
                      <w:b/>
                      <w:bCs/>
                    </w:rPr>
                    <w:t>本项目工程概况</w:t>
                  </w:r>
                </w:p>
              </w:tc>
              <w:tc>
                <w:tcPr>
                  <w:tcW w:w="577" w:type="pct"/>
                  <w:tcBorders>
                    <w:bottom w:val="single" w:color="auto" w:sz="12" w:space="0"/>
                  </w:tcBorders>
                  <w:vAlign w:val="center"/>
                </w:tcPr>
                <w:p>
                  <w:pPr>
                    <w:pStyle w:val="33"/>
                    <w:rPr>
                      <w:b/>
                      <w:bCs/>
                    </w:rPr>
                  </w:pPr>
                  <w:r>
                    <w:rPr>
                      <w:b/>
                      <w:bCs/>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8" w:type="pct"/>
                  <w:tcBorders>
                    <w:top w:val="single" w:color="auto" w:sz="12" w:space="0"/>
                    <w:tl2br w:val="nil"/>
                    <w:tr2bl w:val="nil"/>
                  </w:tcBorders>
                  <w:vAlign w:val="center"/>
                </w:tcPr>
                <w:p>
                  <w:pPr>
                    <w:pStyle w:val="33"/>
                  </w:pPr>
                  <w:r>
                    <w:t>生态保护红线</w:t>
                  </w:r>
                </w:p>
              </w:tc>
              <w:tc>
                <w:tcPr>
                  <w:tcW w:w="1788" w:type="pct"/>
                  <w:tcBorders>
                    <w:top w:val="single" w:color="auto" w:sz="12" w:space="0"/>
                    <w:tl2br w:val="nil"/>
                    <w:tr2bl w:val="nil"/>
                  </w:tcBorders>
                  <w:vAlign w:val="center"/>
                </w:tcPr>
                <w:p>
                  <w:pPr>
                    <w:pStyle w:val="33"/>
                    <w:jc w:val="both"/>
                  </w:pPr>
                  <w:r>
                    <w:rPr>
                      <w:rFonts w:hint="eastAsia"/>
                    </w:rPr>
                    <w:t>按照“生态功能不降低、面积不减少、性质不改变”的基本要求</w:t>
                  </w:r>
                  <w:r>
                    <w:rPr>
                      <w:rFonts w:hint="eastAsia"/>
                      <w:lang w:eastAsia="zh-CN"/>
                    </w:rPr>
                    <w:t>，</w:t>
                  </w:r>
                  <w:r>
                    <w:rPr>
                      <w:rFonts w:hint="eastAsia"/>
                    </w:rPr>
                    <w:t>对划定的生态保护红线实施严格管控，保障和维护国家生态安全的底线和生命线</w:t>
                  </w:r>
                </w:p>
              </w:tc>
              <w:tc>
                <w:tcPr>
                  <w:tcW w:w="2136" w:type="pct"/>
                  <w:tcBorders>
                    <w:top w:val="single" w:color="auto" w:sz="12" w:space="0"/>
                    <w:tl2br w:val="nil"/>
                    <w:tr2bl w:val="nil"/>
                  </w:tcBorders>
                  <w:vAlign w:val="center"/>
                </w:tcPr>
                <w:p>
                  <w:pPr>
                    <w:pStyle w:val="33"/>
                    <w:jc w:val="both"/>
                  </w:pPr>
                  <w:r>
                    <w:t>项目占地不涉及自然保护区、森林公园、风景名胜区、世界文化自然遗产、地质公园等禁止开发的区域。本项目</w:t>
                  </w:r>
                  <w:r>
                    <w:rPr>
                      <w:rFonts w:hint="eastAsia"/>
                      <w:lang w:val="en-US" w:eastAsia="zh-CN"/>
                    </w:rPr>
                    <w:t>为新建项目不新增</w:t>
                  </w:r>
                  <w:r>
                    <w:t>占地，项目建成后不会恶化区域生态环境现状，满足生态保护红线</w:t>
                  </w:r>
                  <w:r>
                    <w:rPr>
                      <w:lang w:val="en-US" w:eastAsia="zh-CN"/>
                    </w:rPr>
                    <w:t>及《新疆维吾尔自治区“三线一单”生态环境分区管控方案》</w:t>
                  </w:r>
                  <w:r>
                    <w:t>要求。</w:t>
                  </w:r>
                </w:p>
              </w:tc>
              <w:tc>
                <w:tcPr>
                  <w:tcW w:w="577" w:type="pct"/>
                  <w:tcBorders>
                    <w:top w:val="single" w:color="auto" w:sz="12" w:space="0"/>
                    <w:tl2br w:val="nil"/>
                    <w:tr2bl w:val="nil"/>
                  </w:tcBorders>
                  <w:vAlign w:val="center"/>
                </w:tcPr>
                <w:p>
                  <w:pPr>
                    <w:pStyle w:val="33"/>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8" w:type="pct"/>
                  <w:tcBorders>
                    <w:tl2br w:val="nil"/>
                    <w:tr2bl w:val="nil"/>
                  </w:tcBorders>
                  <w:vAlign w:val="center"/>
                </w:tcPr>
                <w:p>
                  <w:pPr>
                    <w:pStyle w:val="33"/>
                  </w:pPr>
                  <w:r>
                    <w:t>资源利用上线</w:t>
                  </w:r>
                </w:p>
              </w:tc>
              <w:tc>
                <w:tcPr>
                  <w:tcW w:w="1788" w:type="pct"/>
                  <w:tcBorders>
                    <w:tl2br w:val="nil"/>
                    <w:tr2bl w:val="nil"/>
                  </w:tcBorders>
                  <w:vAlign w:val="center"/>
                </w:tcPr>
                <w:p>
                  <w:pPr>
                    <w:pStyle w:val="33"/>
                    <w:jc w:val="both"/>
                  </w:pPr>
                  <w:r>
                    <w:rPr>
                      <w:rFonts w:hint="eastAsia"/>
                    </w:rPr>
                    <w:t>强化节约集约利用，持续提升资源能源利用效率，水资源、土地资源、能源消耗等达到国家、自治区下达的总量和强度控制目标。加快区域低碳发展</w:t>
                  </w:r>
                  <w:r>
                    <w:rPr>
                      <w:rFonts w:hint="eastAsia"/>
                      <w:lang w:eastAsia="zh-CN"/>
                    </w:rPr>
                    <w:t>，</w:t>
                  </w:r>
                  <w:r>
                    <w:rPr>
                      <w:rFonts w:hint="eastAsia"/>
                    </w:rPr>
                    <w:t>积极推动乌鲁木齐市、昌吉市、伊宁市、和田市等4个国家级低碳试点城市发挥低碳试点示范和引领作用。</w:t>
                  </w:r>
                </w:p>
              </w:tc>
              <w:tc>
                <w:tcPr>
                  <w:tcW w:w="2136" w:type="pct"/>
                  <w:tcBorders>
                    <w:tl2br w:val="nil"/>
                    <w:tr2bl w:val="nil"/>
                  </w:tcBorders>
                  <w:vAlign w:val="center"/>
                </w:tcPr>
                <w:p>
                  <w:pPr>
                    <w:pStyle w:val="33"/>
                    <w:jc w:val="both"/>
                  </w:pPr>
                  <w:r>
                    <w:t>本项目用电由</w:t>
                  </w:r>
                  <w:r>
                    <w:rPr>
                      <w:rFonts w:hint="eastAsia"/>
                      <w:lang w:val="en-US" w:eastAsia="zh-CN"/>
                    </w:rPr>
                    <w:t>市政</w:t>
                  </w:r>
                  <w:r>
                    <w:t>电网供应，</w:t>
                  </w:r>
                  <w:r>
                    <w:rPr>
                      <w:rFonts w:hint="eastAsia"/>
                      <w:lang w:val="en-US" w:eastAsia="zh-CN"/>
                    </w:rPr>
                    <w:t>项目</w:t>
                  </w:r>
                  <w:r>
                    <w:t>用水为</w:t>
                  </w:r>
                  <w:r>
                    <w:rPr>
                      <w:rFonts w:hint="eastAsia"/>
                      <w:lang w:val="en-US" w:eastAsia="zh-CN"/>
                    </w:rPr>
                    <w:t>市政</w:t>
                  </w:r>
                  <w:r>
                    <w:t>供水管网接入，项目在营运过程中消耗一定的资源，项目对区域资源消耗量相对于区域资源利用总量较少，符合资源利用上线要求。</w:t>
                  </w:r>
                </w:p>
              </w:tc>
              <w:tc>
                <w:tcPr>
                  <w:tcW w:w="577" w:type="pct"/>
                  <w:tcBorders>
                    <w:tl2br w:val="nil"/>
                    <w:tr2bl w:val="nil"/>
                  </w:tcBorders>
                  <w:vAlign w:val="center"/>
                </w:tcPr>
                <w:p>
                  <w:pPr>
                    <w:pStyle w:val="33"/>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8" w:type="pct"/>
                  <w:tcBorders>
                    <w:tl2br w:val="nil"/>
                    <w:tr2bl w:val="nil"/>
                  </w:tcBorders>
                  <w:vAlign w:val="center"/>
                </w:tcPr>
                <w:p>
                  <w:pPr>
                    <w:pStyle w:val="33"/>
                  </w:pPr>
                  <w:r>
                    <w:t>环境质量底线</w:t>
                  </w:r>
                </w:p>
              </w:tc>
              <w:tc>
                <w:tcPr>
                  <w:tcW w:w="1788" w:type="pct"/>
                  <w:tcBorders>
                    <w:tl2br w:val="nil"/>
                    <w:tr2bl w:val="nil"/>
                  </w:tcBorders>
                  <w:vAlign w:val="center"/>
                </w:tcPr>
                <w:p>
                  <w:pPr>
                    <w:pStyle w:val="33"/>
                    <w:jc w:val="both"/>
                  </w:pPr>
                  <w:r>
                    <w:rPr>
                      <w:rFonts w:hint="eastAsia"/>
                    </w:rPr>
                    <w:t>全区水环境质量持续改善，受污染地表水体得到有效治理，饮用水安全保障水平持续提升，地下水超采得到严格控制，地下水水质保持稳定</w:t>
                  </w:r>
                  <w:r>
                    <w:rPr>
                      <w:rFonts w:hint="eastAsia"/>
                      <w:lang w:eastAsia="zh-CN"/>
                    </w:rPr>
                    <w:t>；</w:t>
                  </w:r>
                  <w:r>
                    <w:rPr>
                      <w:rFonts w:hint="eastAsia"/>
                    </w:rPr>
                    <w:t>全区环境空气质量有所提升，重污染天数持续减少，已达标城市环境空气质量保持稳定，未达标城市环境空气质量持续改善，沙尘影响严重地区做好防风固沙、生态环境保护修复等工作</w:t>
                  </w:r>
                  <w:r>
                    <w:rPr>
                      <w:rFonts w:hint="eastAsia"/>
                      <w:lang w:eastAsia="zh-CN"/>
                    </w:rPr>
                    <w:t>；</w:t>
                  </w:r>
                  <w:r>
                    <w:rPr>
                      <w:rFonts w:hint="eastAsia"/>
                    </w:rPr>
                    <w:t>全区土壤环境质量保持稳定，污染地块安全利用水平稳中有升，土壤环境风险得到进一步管控。</w:t>
                  </w:r>
                </w:p>
              </w:tc>
              <w:tc>
                <w:tcPr>
                  <w:tcW w:w="2136" w:type="pct"/>
                  <w:tcBorders>
                    <w:tl2br w:val="nil"/>
                    <w:tr2bl w:val="nil"/>
                  </w:tcBorders>
                  <w:vAlign w:val="center"/>
                </w:tcPr>
                <w:p>
                  <w:pPr>
                    <w:pStyle w:val="33"/>
                    <w:jc w:val="both"/>
                  </w:pPr>
                  <w:r>
                    <w:t>大气环境：本项目生产过程中大气污染物达标排放，排放总量少，对周围环境影响小。水环境：</w:t>
                  </w:r>
                  <w:r>
                    <w:rPr>
                      <w:rFonts w:hint="eastAsia"/>
                      <w:color w:val="auto"/>
                      <w:lang w:val="en-US" w:eastAsia="zh-CN"/>
                    </w:rPr>
                    <w:t>本项目区不设置食堂及宿舍，无生活污水产生，洗涤废水经污水处理站处理后与锅炉排污水及软水制备废水一并排入市政污水管网。</w:t>
                  </w:r>
                  <w:r>
                    <w:rPr>
                      <w:color w:val="auto"/>
                    </w:rPr>
                    <w:t>声环境：项目无较大的</w:t>
                  </w:r>
                  <w:r>
                    <w:t>噪声源，声环境质量良好。</w:t>
                  </w:r>
                  <w:r>
                    <w:rPr>
                      <w:rFonts w:hint="eastAsia"/>
                      <w:lang w:val="en-US" w:eastAsia="zh-CN"/>
                    </w:rPr>
                    <w:t>固废：</w:t>
                  </w:r>
                  <w:r>
                    <w:rPr>
                      <w:rFonts w:hint="eastAsia"/>
                      <w:color w:val="auto"/>
                      <w:lang w:val="en-US" w:eastAsia="zh-CN"/>
                    </w:rPr>
                    <w:t>项目固体废物主要为废包装物集中收集后外售；</w:t>
                  </w:r>
                  <w:r>
                    <w:rPr>
                      <w:rFonts w:hint="eastAsia"/>
                      <w:b w:val="0"/>
                      <w:bCs w:val="0"/>
                      <w:color w:val="auto"/>
                      <w:sz w:val="21"/>
                      <w:szCs w:val="21"/>
                      <w:lang w:val="en-US" w:eastAsia="zh-CN"/>
                    </w:rPr>
                    <w:t>废离子交换树脂，定期由厂家上门更换带走不在厂区储存，污泥定期清掏委托环卫部门清运</w:t>
                  </w:r>
                  <w:r>
                    <w:rPr>
                      <w:rFonts w:hint="eastAsia"/>
                      <w:color w:val="auto"/>
                      <w:lang w:val="en-US" w:eastAsia="zh-CN"/>
                    </w:rPr>
                    <w:t>；</w:t>
                  </w:r>
                  <w:r>
                    <w:t>综上，项目对周围环境的影响有限，不会降低当地的大气环境质量，符合环境质量底线要求。</w:t>
                  </w:r>
                </w:p>
              </w:tc>
              <w:tc>
                <w:tcPr>
                  <w:tcW w:w="577" w:type="pct"/>
                  <w:tcBorders>
                    <w:tl2br w:val="nil"/>
                    <w:tr2bl w:val="nil"/>
                  </w:tcBorders>
                  <w:vAlign w:val="center"/>
                </w:tcPr>
                <w:p>
                  <w:pPr>
                    <w:pStyle w:val="33"/>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86" w:type="pct"/>
                  <w:gridSpan w:val="2"/>
                  <w:tcBorders>
                    <w:tl2br w:val="nil"/>
                    <w:tr2bl w:val="nil"/>
                  </w:tcBorders>
                  <w:vAlign w:val="center"/>
                </w:tcPr>
                <w:p>
                  <w:pPr>
                    <w:pStyle w:val="33"/>
                    <w:jc w:val="center"/>
                  </w:pPr>
                  <w:r>
                    <w:rPr>
                      <w:rFonts w:hint="eastAsia"/>
                      <w:lang w:eastAsia="zh-CN"/>
                    </w:rPr>
                    <w:t>生态环境准入</w:t>
                  </w:r>
                  <w:r>
                    <w:t>清单</w:t>
                  </w:r>
                </w:p>
              </w:tc>
              <w:tc>
                <w:tcPr>
                  <w:tcW w:w="2136" w:type="pct"/>
                  <w:tcBorders>
                    <w:tl2br w:val="nil"/>
                    <w:tr2bl w:val="nil"/>
                  </w:tcBorders>
                  <w:vAlign w:val="center"/>
                </w:tcPr>
                <w:p>
                  <w:pPr>
                    <w:pStyle w:val="33"/>
                    <w:jc w:val="both"/>
                  </w:pPr>
                  <w:r>
                    <w:t>本项目未列入《新疆重点生态功能区产业准入负面清单》中限制类和禁止类。</w:t>
                  </w:r>
                </w:p>
              </w:tc>
              <w:tc>
                <w:tcPr>
                  <w:tcW w:w="577" w:type="pct"/>
                  <w:tcBorders>
                    <w:tl2br w:val="nil"/>
                    <w:tr2bl w:val="nil"/>
                  </w:tcBorders>
                  <w:vAlign w:val="center"/>
                </w:tcPr>
                <w:p>
                  <w:pPr>
                    <w:pStyle w:val="33"/>
                  </w:pPr>
                  <w:r>
                    <w:t>符合</w:t>
                  </w:r>
                </w:p>
              </w:tc>
            </w:tr>
          </w:tbl>
          <w:p>
            <w:pPr>
              <w:pStyle w:val="22"/>
              <w:numPr>
                <w:ilvl w:val="0"/>
                <w:numId w:val="5"/>
              </w:numPr>
              <w:ind w:firstLine="480"/>
              <w:jc w:val="both"/>
            </w:pPr>
            <w:r>
              <w:t>本项目建设与</w:t>
            </w:r>
            <w:r>
              <w:rPr>
                <w:rFonts w:hint="eastAsia"/>
              </w:rPr>
              <w:t>《</w:t>
            </w:r>
            <w:r>
              <w:t>新疆维吾尔自治区</w:t>
            </w:r>
            <w:r>
              <w:rPr>
                <w:rFonts w:hint="eastAsia"/>
              </w:rPr>
              <w:t>七大片区</w:t>
            </w:r>
            <w:r>
              <w:t>“三线一单”生态环境分区管控</w:t>
            </w:r>
            <w:r>
              <w:rPr>
                <w:rFonts w:hint="eastAsia"/>
              </w:rPr>
              <w:t>要求</w:t>
            </w:r>
            <w:r>
              <w:t>》（新政发</w:t>
            </w:r>
            <w:r>
              <w:rPr>
                <w:rFonts w:hint="eastAsia"/>
                <w:lang w:eastAsia="zh-CN"/>
              </w:rPr>
              <w:t>〔</w:t>
            </w:r>
            <w:r>
              <w:t>2021</w:t>
            </w:r>
            <w:r>
              <w:rPr>
                <w:rFonts w:hint="eastAsia"/>
                <w:lang w:eastAsia="zh-CN"/>
              </w:rPr>
              <w:t>〕</w:t>
            </w:r>
            <w:r>
              <w:t>1</w:t>
            </w:r>
            <w:r>
              <w:rPr>
                <w:rFonts w:hint="eastAsia"/>
              </w:rPr>
              <w:t>62</w:t>
            </w:r>
            <w:r>
              <w:t>号）的符合性分析见表</w:t>
            </w:r>
            <w:r>
              <w:rPr>
                <w:rFonts w:hint="eastAsia"/>
              </w:rPr>
              <w:t>1-</w:t>
            </w:r>
            <w:r>
              <w:rPr>
                <w:rFonts w:hint="eastAsia"/>
                <w:lang w:val="en-US" w:eastAsia="zh-CN"/>
              </w:rPr>
              <w:t>2</w:t>
            </w:r>
            <w:r>
              <w:rPr>
                <w:rFonts w:hint="eastAsia"/>
              </w:rPr>
              <w:t>。</w:t>
            </w:r>
          </w:p>
          <w:p>
            <w:pPr>
              <w:pStyle w:val="32"/>
            </w:pPr>
            <w:r>
              <w:t>表</w:t>
            </w:r>
            <w:r>
              <w:rPr>
                <w:rFonts w:hint="eastAsia"/>
              </w:rPr>
              <w:t>1-</w:t>
            </w:r>
            <w:r>
              <w:rPr>
                <w:rFonts w:hint="eastAsia"/>
                <w:lang w:val="en-US" w:eastAsia="zh-CN"/>
              </w:rPr>
              <w:t>2</w:t>
            </w:r>
            <w:r>
              <w:t xml:space="preserve">    新疆维吾尔自治区</w:t>
            </w:r>
            <w:r>
              <w:rPr>
                <w:rFonts w:hint="eastAsia"/>
              </w:rPr>
              <w:t>七大片区</w:t>
            </w:r>
            <w:r>
              <w:t>“三线一单”符合性分析一览表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3362"/>
              <w:gridCol w:w="2758"/>
              <w:gridCol w:w="8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51" w:type="pct"/>
                  <w:gridSpan w:val="2"/>
                  <w:tcBorders>
                    <w:bottom w:val="single" w:color="auto" w:sz="12" w:space="0"/>
                  </w:tcBorders>
                  <w:vAlign w:val="center"/>
                </w:tcPr>
                <w:p>
                  <w:pPr>
                    <w:pStyle w:val="33"/>
                    <w:rPr>
                      <w:b/>
                      <w:bCs/>
                    </w:rPr>
                  </w:pPr>
                  <w:r>
                    <w:rPr>
                      <w:b/>
                      <w:bCs/>
                    </w:rPr>
                    <w:t>内容</w:t>
                  </w:r>
                </w:p>
              </w:tc>
              <w:tc>
                <w:tcPr>
                  <w:tcW w:w="1772" w:type="pct"/>
                  <w:tcBorders>
                    <w:bottom w:val="single" w:color="auto" w:sz="12" w:space="0"/>
                  </w:tcBorders>
                  <w:vAlign w:val="center"/>
                </w:tcPr>
                <w:p>
                  <w:pPr>
                    <w:pStyle w:val="33"/>
                    <w:rPr>
                      <w:b/>
                      <w:bCs/>
                    </w:rPr>
                  </w:pPr>
                  <w:r>
                    <w:rPr>
                      <w:b/>
                      <w:bCs/>
                    </w:rPr>
                    <w:t>本项目工程概况</w:t>
                  </w:r>
                </w:p>
              </w:tc>
              <w:tc>
                <w:tcPr>
                  <w:tcW w:w="576" w:type="pct"/>
                  <w:tcBorders>
                    <w:bottom w:val="single" w:color="auto" w:sz="12" w:space="0"/>
                  </w:tcBorders>
                  <w:vAlign w:val="center"/>
                </w:tcPr>
                <w:p>
                  <w:pPr>
                    <w:pStyle w:val="33"/>
                    <w:rPr>
                      <w:b/>
                      <w:bCs/>
                    </w:rPr>
                  </w:pPr>
                  <w:r>
                    <w:rPr>
                      <w:b/>
                      <w:bCs/>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tcBorders>
                    <w:top w:val="single" w:color="auto" w:sz="12" w:space="0"/>
                    <w:bottom w:val="single" w:color="auto" w:sz="4" w:space="0"/>
                  </w:tcBorders>
                  <w:vAlign w:val="center"/>
                </w:tcPr>
                <w:p>
                  <w:pPr>
                    <w:pStyle w:val="33"/>
                    <w:rPr>
                      <w:lang w:val="en-US" w:eastAsia="zh-CN"/>
                    </w:rPr>
                  </w:pPr>
                  <w:r>
                    <w:rPr>
                      <w:rFonts w:hint="eastAsia"/>
                      <w:lang w:val="en-US" w:eastAsia="zh-CN"/>
                    </w:rPr>
                    <w:t>空间布局约束</w:t>
                  </w:r>
                </w:p>
              </w:tc>
              <w:tc>
                <w:tcPr>
                  <w:tcW w:w="2159" w:type="pct"/>
                  <w:tcBorders>
                    <w:top w:val="single" w:color="auto" w:sz="12" w:space="0"/>
                    <w:bottom w:val="single" w:color="auto" w:sz="4" w:space="0"/>
                  </w:tcBorders>
                  <w:vAlign w:val="center"/>
                </w:tcPr>
                <w:p>
                  <w:pPr>
                    <w:pStyle w:val="33"/>
                    <w:rPr>
                      <w:rFonts w:hint="eastAsia"/>
                      <w:lang w:val="en-US" w:eastAsia="zh-CN"/>
                    </w:rPr>
                  </w:pPr>
                  <w:r>
                    <w:rPr>
                      <w:rFonts w:hint="eastAsia"/>
                      <w:lang w:val="en-US" w:eastAsia="zh-CN"/>
                    </w:rPr>
                    <w:t>严格执行国家、自治区产业政策和环境准入要求，严禁“三高”项目进新疆，坚决遏制“两高”项目盲目发展。不得在水源涵养区、饮用水水源保护区内和河流、湖泊、水库周围建设重化工、涉重金属等工业污染项目。</w:t>
                  </w:r>
                </w:p>
              </w:tc>
              <w:tc>
                <w:tcPr>
                  <w:tcW w:w="1772" w:type="pct"/>
                  <w:tcBorders>
                    <w:top w:val="single" w:color="auto" w:sz="12" w:space="0"/>
                    <w:bottom w:val="single" w:color="auto" w:sz="4" w:space="0"/>
                  </w:tcBorders>
                  <w:vAlign w:val="center"/>
                </w:tcPr>
                <w:p>
                  <w:pPr>
                    <w:pStyle w:val="33"/>
                    <w:jc w:val="left"/>
                    <w:rPr>
                      <w:lang w:val="en-US" w:eastAsia="zh-CN"/>
                    </w:rPr>
                  </w:pPr>
                  <w:r>
                    <w:rPr>
                      <w:rFonts w:hint="eastAsia"/>
                      <w:lang w:val="en-US" w:eastAsia="zh-CN"/>
                    </w:rPr>
                    <w:t>本项目严格执行国家、自治区产业政策和环境准入要求；项目为</w:t>
                  </w:r>
                  <w:r>
                    <w:rPr>
                      <w:bCs/>
                      <w:lang w:val="en-US" w:eastAsia="zh-CN"/>
                    </w:rPr>
                    <w:t>热力生产和供应工程</w:t>
                  </w:r>
                  <w:r>
                    <w:rPr>
                      <w:rFonts w:hint="eastAsia"/>
                      <w:bCs/>
                      <w:lang w:val="en-US" w:eastAsia="zh-CN"/>
                    </w:rPr>
                    <w:t>；项目位于吉木萨尔县北庭综合物流园内，项目区周边无水源涵养区、饮用水水源保护区内和河流、湖泊、水库等；</w:t>
                  </w:r>
                </w:p>
              </w:tc>
              <w:tc>
                <w:tcPr>
                  <w:tcW w:w="576" w:type="pct"/>
                  <w:tcBorders>
                    <w:top w:val="single" w:color="auto" w:sz="12" w:space="0"/>
                    <w:bottom w:val="single" w:color="auto" w:sz="4" w:space="0"/>
                  </w:tcBorders>
                  <w:vAlign w:val="center"/>
                </w:tcPr>
                <w:p>
                  <w:pPr>
                    <w:pStyle w:val="33"/>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tcBorders>
                    <w:top w:val="single" w:color="auto" w:sz="4" w:space="0"/>
                  </w:tcBorders>
                  <w:vAlign w:val="center"/>
                </w:tcPr>
                <w:p>
                  <w:pPr>
                    <w:pStyle w:val="33"/>
                  </w:pPr>
                  <w:r>
                    <w:t>污染物排放管控</w:t>
                  </w:r>
                </w:p>
              </w:tc>
              <w:tc>
                <w:tcPr>
                  <w:tcW w:w="2159" w:type="pct"/>
                  <w:tcBorders>
                    <w:top w:val="single" w:color="auto" w:sz="4" w:space="0"/>
                  </w:tcBorders>
                  <w:vAlign w:val="center"/>
                </w:tcPr>
                <w:p>
                  <w:pPr>
                    <w:pStyle w:val="33"/>
                  </w:pPr>
                  <w:r>
                    <w:rPr>
                      <w:rFonts w:hint="eastAsia"/>
                    </w:rPr>
                    <w:t>深入开展燃煤锅炉污染综合整治，深化工业炉窑综合治理。加强“散乱污”企业综合整治。减少水污染物排放，持续改善水环境质量。不断提高工业用水重复利用率。</w:t>
                  </w:r>
                </w:p>
              </w:tc>
              <w:tc>
                <w:tcPr>
                  <w:tcW w:w="1772" w:type="pct"/>
                  <w:tcBorders>
                    <w:top w:val="single" w:color="auto" w:sz="4" w:space="0"/>
                  </w:tcBorders>
                  <w:vAlign w:val="center"/>
                </w:tcPr>
                <w:p>
                  <w:pPr>
                    <w:pStyle w:val="33"/>
                    <w:jc w:val="both"/>
                    <w:rPr>
                      <w:lang w:val="en-US"/>
                    </w:rPr>
                  </w:pPr>
                  <w:r>
                    <w:rPr>
                      <w:rFonts w:hint="eastAsia"/>
                      <w:lang w:val="en-US" w:eastAsia="zh-CN"/>
                    </w:rPr>
                    <w:t>项目采用天然气为燃料，燃气锅炉采用</w:t>
                  </w:r>
                  <w:r>
                    <w:rPr>
                      <w:rFonts w:hint="eastAsia"/>
                      <w:color w:val="auto"/>
                      <w:lang w:val="en-US" w:eastAsia="zh-CN"/>
                    </w:rPr>
                    <w:t>低氮燃烧器工艺+烟气再循环技术</w:t>
                  </w:r>
                  <w:r>
                    <w:rPr>
                      <w:rFonts w:hint="eastAsia"/>
                      <w:lang w:val="en-US" w:eastAsia="zh-CN"/>
                    </w:rPr>
                    <w:t>，废气可达标排放</w:t>
                  </w:r>
                  <w:r>
                    <w:rPr>
                      <w:rFonts w:hint="eastAsia"/>
                      <w:bCs/>
                      <w:lang w:val="en-US" w:eastAsia="zh-CN"/>
                    </w:rPr>
                    <w:t>；</w:t>
                  </w:r>
                  <w:r>
                    <w:rPr>
                      <w:rFonts w:hint="eastAsia"/>
                      <w:color w:val="auto"/>
                      <w:lang w:val="en-US" w:eastAsia="zh-CN"/>
                    </w:rPr>
                    <w:t>洗涤废水经污水处理站处理后与锅炉排污水及软水制备废水一并排入市政污水管网</w:t>
                  </w:r>
                </w:p>
              </w:tc>
              <w:tc>
                <w:tcPr>
                  <w:tcW w:w="576" w:type="pct"/>
                  <w:tcBorders>
                    <w:top w:val="single" w:color="auto" w:sz="4" w:space="0"/>
                  </w:tcBorders>
                  <w:vAlign w:val="center"/>
                </w:tcPr>
                <w:p>
                  <w:pPr>
                    <w:pStyle w:val="33"/>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tcBorders>
                    <w:tl2br w:val="nil"/>
                    <w:tr2bl w:val="nil"/>
                  </w:tcBorders>
                  <w:vAlign w:val="center"/>
                </w:tcPr>
                <w:p>
                  <w:pPr>
                    <w:pStyle w:val="33"/>
                  </w:pPr>
                  <w:r>
                    <w:t>环境风险防控</w:t>
                  </w:r>
                </w:p>
              </w:tc>
              <w:tc>
                <w:tcPr>
                  <w:tcW w:w="2159" w:type="pct"/>
                  <w:tcBorders>
                    <w:tl2br w:val="nil"/>
                    <w:tr2bl w:val="nil"/>
                  </w:tcBorders>
                  <w:vAlign w:val="center"/>
                </w:tcPr>
                <w:p>
                  <w:pPr>
                    <w:pStyle w:val="33"/>
                  </w:pPr>
                  <w:r>
                    <w:rPr>
                      <w:rFonts w:hint="eastAsia"/>
                    </w:rPr>
                    <w:t>禁止在化工</w:t>
                  </w:r>
                  <w:r>
                    <w:rPr>
                      <w:rFonts w:hint="eastAsia"/>
                      <w:lang w:eastAsia="zh-CN"/>
                    </w:rPr>
                    <w:t>市政</w:t>
                  </w:r>
                  <w:r>
                    <w:rPr>
                      <w:rFonts w:hint="eastAsia"/>
                    </w:rPr>
                    <w:t>外新建、扩建危险化学品生产项目。严格落实危险废物处置相关要求。加强重点流域水环境风险管控，保障水环境安全。</w:t>
                  </w:r>
                </w:p>
              </w:tc>
              <w:tc>
                <w:tcPr>
                  <w:tcW w:w="1772" w:type="pct"/>
                  <w:tcBorders>
                    <w:tl2br w:val="nil"/>
                    <w:tr2bl w:val="nil"/>
                  </w:tcBorders>
                  <w:vAlign w:val="center"/>
                </w:tcPr>
                <w:p>
                  <w:pPr>
                    <w:pStyle w:val="33"/>
                    <w:jc w:val="both"/>
                    <w:rPr>
                      <w:lang w:val="en-US" w:eastAsia="zh-CN"/>
                    </w:rPr>
                  </w:pPr>
                  <w:r>
                    <w:rPr>
                      <w:rFonts w:hint="eastAsia"/>
                      <w:lang w:val="en-US" w:eastAsia="zh-CN"/>
                    </w:rPr>
                    <w:t>本项目为热</w:t>
                  </w:r>
                  <w:r>
                    <w:rPr>
                      <w:b w:val="0"/>
                      <w:bCs/>
                    </w:rPr>
                    <w:t>力生产和供应工程</w:t>
                  </w:r>
                  <w:r>
                    <w:rPr>
                      <w:rFonts w:hint="eastAsia"/>
                      <w:lang w:val="en-US" w:eastAsia="zh-CN"/>
                    </w:rPr>
                    <w:t>建设项目；项目生产过程中</w:t>
                  </w:r>
                  <w:r>
                    <w:rPr>
                      <w:rFonts w:hint="eastAsia" w:ascii="宋体" w:hAnsi="宋体" w:cs="宋体"/>
                      <w:szCs w:val="21"/>
                    </w:rPr>
                    <w:t>对阀门</w:t>
                  </w:r>
                  <w:r>
                    <w:rPr>
                      <w:rFonts w:hint="eastAsia" w:ascii="宋体" w:hAnsi="宋体" w:cs="宋体"/>
                      <w:szCs w:val="21"/>
                      <w:lang w:eastAsia="zh-CN"/>
                    </w:rPr>
                    <w:t>、</w:t>
                  </w:r>
                  <w:r>
                    <w:rPr>
                      <w:rFonts w:hint="eastAsia" w:ascii="宋体" w:hAnsi="宋体" w:cs="宋体"/>
                      <w:szCs w:val="21"/>
                      <w:lang w:val="en-US" w:eastAsia="zh-CN"/>
                    </w:rPr>
                    <w:t>储罐、收尘设施</w:t>
                  </w:r>
                  <w:r>
                    <w:rPr>
                      <w:rFonts w:hint="eastAsia" w:ascii="宋体" w:hAnsi="宋体" w:cs="宋体"/>
                      <w:szCs w:val="21"/>
                    </w:rPr>
                    <w:t>等进行定期巡查和检测，确保不发生“跑、冒”等污染事故</w:t>
                  </w:r>
                </w:p>
              </w:tc>
              <w:tc>
                <w:tcPr>
                  <w:tcW w:w="576" w:type="pct"/>
                  <w:tcBorders>
                    <w:tl2br w:val="nil"/>
                    <w:tr2bl w:val="nil"/>
                  </w:tcBorders>
                  <w:vAlign w:val="center"/>
                </w:tcPr>
                <w:p>
                  <w:pPr>
                    <w:pStyle w:val="33"/>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tcBorders>
                    <w:tl2br w:val="nil"/>
                    <w:tr2bl w:val="nil"/>
                  </w:tcBorders>
                  <w:vAlign w:val="center"/>
                </w:tcPr>
                <w:p>
                  <w:pPr>
                    <w:pStyle w:val="33"/>
                  </w:pPr>
                  <w:r>
                    <w:t>资源利用效率要求</w:t>
                  </w:r>
                </w:p>
              </w:tc>
              <w:tc>
                <w:tcPr>
                  <w:tcW w:w="2159" w:type="pct"/>
                  <w:tcBorders>
                    <w:tl2br w:val="nil"/>
                    <w:tr2bl w:val="nil"/>
                  </w:tcBorders>
                  <w:vAlign w:val="center"/>
                </w:tcPr>
                <w:p>
                  <w:pPr>
                    <w:pStyle w:val="33"/>
                    <w:jc w:val="left"/>
                  </w:pPr>
                  <w:r>
                    <w:rPr>
                      <w:rFonts w:hint="eastAsia"/>
                    </w:rPr>
                    <w:t>优化能源结构，控制煤炭等化石能源使用量，鼓励使用清洁能源，协同推进减污降碳。全面实施节水工程，合理开发利用水资源，提升水资源利用效率，保障生态用水，严防地下水超采。</w:t>
                  </w:r>
                </w:p>
              </w:tc>
              <w:tc>
                <w:tcPr>
                  <w:tcW w:w="1772" w:type="pct"/>
                  <w:tcBorders>
                    <w:tl2br w:val="nil"/>
                    <w:tr2bl w:val="nil"/>
                  </w:tcBorders>
                  <w:vAlign w:val="center"/>
                </w:tcPr>
                <w:p>
                  <w:pPr>
                    <w:pStyle w:val="33"/>
                    <w:jc w:val="left"/>
                    <w:rPr>
                      <w:lang w:val="en-US" w:eastAsia="zh-CN"/>
                    </w:rPr>
                  </w:pPr>
                  <w:r>
                    <w:rPr>
                      <w:rFonts w:hint="eastAsia"/>
                      <w:lang w:val="en-US" w:eastAsia="zh-CN"/>
                    </w:rPr>
                    <w:t>项目采用天然气为热源，项目用水为市政供水。</w:t>
                  </w:r>
                </w:p>
              </w:tc>
              <w:tc>
                <w:tcPr>
                  <w:tcW w:w="576" w:type="pct"/>
                  <w:tcBorders>
                    <w:tl2br w:val="nil"/>
                    <w:tr2bl w:val="nil"/>
                  </w:tcBorders>
                  <w:vAlign w:val="center"/>
                </w:tcPr>
                <w:p>
                  <w:pPr>
                    <w:pStyle w:val="33"/>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1" w:type="pct"/>
                  <w:tcBorders>
                    <w:tl2br w:val="nil"/>
                    <w:tr2bl w:val="nil"/>
                  </w:tcBorders>
                  <w:vAlign w:val="center"/>
                </w:tcPr>
                <w:p>
                  <w:pPr>
                    <w:pStyle w:val="33"/>
                  </w:pPr>
                  <w:r>
                    <w:t>乌昌石片区</w:t>
                  </w:r>
                  <w:r>
                    <w:rPr>
                      <w:rFonts w:hint="eastAsia"/>
                      <w:lang w:val="en-US" w:eastAsia="zh-CN"/>
                    </w:rPr>
                    <w:t>管控要求</w:t>
                  </w:r>
                </w:p>
              </w:tc>
              <w:tc>
                <w:tcPr>
                  <w:tcW w:w="2159" w:type="pct"/>
                  <w:tcBorders>
                    <w:tl2br w:val="nil"/>
                    <w:tr2bl w:val="nil"/>
                  </w:tcBorders>
                  <w:vAlign w:val="center"/>
                </w:tcPr>
                <w:p>
                  <w:pPr>
                    <w:pStyle w:val="33"/>
                    <w:jc w:val="left"/>
                  </w:pPr>
                  <w:r>
                    <w:rPr>
                      <w:rFonts w:hint="eastAsia"/>
                    </w:rPr>
                    <w:t>坚持属地负责与区域大气污染联防联控相结合，以明显降低细颗粒物浓度为重点，协同推进“乌-昌-石”同防同治区域大气环境治理。强化与生产建设兵团第六师、第八师、第十一师、第十二师的同防同治，所有新建、改建、扩建工业项目执行最严格的大气污染物排放标准，强化氮氧化物深度治理，确保区域环境空气质量持续改善。</w:t>
                  </w:r>
                </w:p>
              </w:tc>
              <w:tc>
                <w:tcPr>
                  <w:tcW w:w="1772" w:type="pct"/>
                  <w:tcBorders>
                    <w:tl2br w:val="nil"/>
                    <w:tr2bl w:val="nil"/>
                  </w:tcBorders>
                  <w:vAlign w:val="center"/>
                </w:tcPr>
                <w:p>
                  <w:pPr>
                    <w:pStyle w:val="33"/>
                    <w:bidi w:val="0"/>
                    <w:jc w:val="left"/>
                    <w:rPr>
                      <w:lang w:val="en-US" w:eastAsia="zh-CN"/>
                    </w:rPr>
                  </w:pPr>
                  <w:r>
                    <w:rPr>
                      <w:rFonts w:hint="eastAsia"/>
                      <w:lang w:val="en-US" w:eastAsia="zh-CN"/>
                    </w:rPr>
                    <w:t>本项目位于</w:t>
                  </w:r>
                  <w:r>
                    <w:rPr>
                      <w:rFonts w:hint="eastAsia"/>
                      <w:bCs/>
                      <w:lang w:val="en-US" w:eastAsia="zh-CN"/>
                    </w:rPr>
                    <w:t>吉木萨尔县北庭综合物流园内</w:t>
                  </w:r>
                  <w:r>
                    <w:rPr>
                      <w:rFonts w:hint="eastAsia"/>
                      <w:lang w:val="en-US" w:eastAsia="zh-CN"/>
                    </w:rPr>
                    <w:t>，企业用燃气锅炉为项目提供热源，采用低氮燃烧工艺+烟气再循环，烟气可满足《锅炉大气污染物排放标准》（GB13271-2014）大气污染物特别排放浓度限值、《关于开展自治区2022年度夏秋季大气污染防治“冬病夏治”工作的通知》（新环大气函〔2022〕483号）》</w:t>
                  </w:r>
                </w:p>
              </w:tc>
              <w:tc>
                <w:tcPr>
                  <w:tcW w:w="576" w:type="pct"/>
                  <w:tcBorders>
                    <w:tl2br w:val="nil"/>
                    <w:tr2bl w:val="nil"/>
                  </w:tcBorders>
                  <w:vAlign w:val="center"/>
                </w:tcPr>
                <w:p>
                  <w:pPr>
                    <w:pStyle w:val="33"/>
                  </w:pPr>
                  <w:r>
                    <w:t>符合</w:t>
                  </w:r>
                </w:p>
              </w:tc>
            </w:tr>
          </w:tbl>
          <w:p>
            <w:pPr>
              <w:pStyle w:val="22"/>
              <w:numPr>
                <w:ilvl w:val="0"/>
                <w:numId w:val="5"/>
              </w:numPr>
              <w:ind w:firstLine="480"/>
              <w:jc w:val="both"/>
            </w:pPr>
            <w:r>
              <w:t>本项目建设与</w:t>
            </w:r>
            <w:r>
              <w:rPr>
                <w:rFonts w:hint="eastAsia"/>
              </w:rPr>
              <w:t>《昌吉回族自治州“三线一单”生态环境分区管控方案及生态环境准入清单》符合性分析</w:t>
            </w:r>
          </w:p>
          <w:p>
            <w:pPr>
              <w:pStyle w:val="22"/>
              <w:ind w:firstLine="480"/>
              <w:jc w:val="both"/>
            </w:pPr>
            <w:r>
              <w:rPr>
                <w:rFonts w:hint="eastAsia"/>
              </w:rPr>
              <w:t>本项目位于</w:t>
            </w:r>
            <w:r>
              <w:rPr>
                <w:rFonts w:hint="eastAsia"/>
                <w:bCs/>
                <w:lang w:val="en-US" w:eastAsia="zh-CN"/>
              </w:rPr>
              <w:t>吉木萨尔县北庭综合物流园内</w:t>
            </w:r>
            <w:r>
              <w:rPr>
                <w:rFonts w:hint="eastAsia"/>
              </w:rPr>
              <w:t>，根据《昌吉回族自治州“三线一单”生态环境分区管控方案及生态环境准入清单》本项目所属为文件中“吉木萨尔县中心城区”中的重点管控单元</w:t>
            </w:r>
            <w:r>
              <w:rPr>
                <w:rFonts w:ascii="Times New Roman" w:hAnsi="Times New Roman" w:eastAsia="仿宋" w:cs="Times New Roman"/>
                <w:kern w:val="0"/>
                <w:sz w:val="24"/>
                <w:szCs w:val="24"/>
              </w:rPr>
              <w:t>ZH65232720001</w:t>
            </w:r>
            <w:r>
              <w:rPr>
                <w:rFonts w:hint="eastAsia"/>
              </w:rPr>
              <w:t>。</w:t>
            </w:r>
            <w:r>
              <w:rPr>
                <w:rFonts w:hint="eastAsia" w:cs="Times New Roman"/>
              </w:rPr>
              <w:t>本项目与其符合情况见下表1-</w:t>
            </w:r>
            <w:r>
              <w:rPr>
                <w:rFonts w:hint="eastAsia" w:cs="Times New Roman"/>
                <w:lang w:val="en-US" w:eastAsia="zh-CN"/>
              </w:rPr>
              <w:t>3</w:t>
            </w:r>
            <w:r>
              <w:rPr>
                <w:rFonts w:hint="eastAsia" w:cs="Times New Roman"/>
              </w:rPr>
              <w:t>。</w:t>
            </w:r>
          </w:p>
          <w:p>
            <w:pPr>
              <w:pStyle w:val="32"/>
            </w:pPr>
            <w:r>
              <w:t>表</w:t>
            </w:r>
            <w:r>
              <w:rPr>
                <w:rFonts w:hint="eastAsia"/>
              </w:rPr>
              <w:t>1-</w:t>
            </w:r>
            <w:r>
              <w:rPr>
                <w:rFonts w:hint="eastAsia"/>
                <w:lang w:val="en-US" w:eastAsia="zh-CN"/>
              </w:rPr>
              <w:t>3</w:t>
            </w:r>
            <w:r>
              <w:t xml:space="preserve">   昌吉回族自治州“三线一单”符合性分析一览表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5"/>
              <w:gridCol w:w="3621"/>
              <w:gridCol w:w="2396"/>
              <w:gridCol w:w="9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76" w:type="pct"/>
                  <w:gridSpan w:val="2"/>
                  <w:tcBorders>
                    <w:bottom w:val="single" w:color="auto" w:sz="12" w:space="0"/>
                  </w:tcBorders>
                  <w:vAlign w:val="center"/>
                </w:tcPr>
                <w:p>
                  <w:pPr>
                    <w:pStyle w:val="33"/>
                    <w:rPr>
                      <w:b/>
                      <w:bCs/>
                    </w:rPr>
                  </w:pPr>
                  <w:r>
                    <w:rPr>
                      <w:b/>
                      <w:bCs/>
                    </w:rPr>
                    <w:t>管控要求</w:t>
                  </w:r>
                </w:p>
              </w:tc>
              <w:tc>
                <w:tcPr>
                  <w:tcW w:w="1539" w:type="pct"/>
                  <w:tcBorders>
                    <w:bottom w:val="single" w:color="auto" w:sz="12" w:space="0"/>
                  </w:tcBorders>
                  <w:vAlign w:val="center"/>
                </w:tcPr>
                <w:p>
                  <w:pPr>
                    <w:pStyle w:val="33"/>
                    <w:rPr>
                      <w:b/>
                      <w:bCs/>
                    </w:rPr>
                  </w:pPr>
                  <w:r>
                    <w:rPr>
                      <w:b/>
                      <w:bCs/>
                    </w:rPr>
                    <w:t>本项目工程概况</w:t>
                  </w:r>
                </w:p>
              </w:tc>
              <w:tc>
                <w:tcPr>
                  <w:tcW w:w="584" w:type="pct"/>
                  <w:tcBorders>
                    <w:bottom w:val="single" w:color="auto" w:sz="12" w:space="0"/>
                  </w:tcBorders>
                  <w:vAlign w:val="center"/>
                </w:tcPr>
                <w:p>
                  <w:pPr>
                    <w:pStyle w:val="33"/>
                    <w:rPr>
                      <w:b/>
                      <w:bCs/>
                    </w:rPr>
                  </w:pPr>
                  <w:r>
                    <w:rPr>
                      <w:b/>
                      <w:bCs/>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0" w:type="pct"/>
                  <w:tcBorders>
                    <w:top w:val="single" w:color="auto" w:sz="12" w:space="0"/>
                  </w:tcBorders>
                  <w:vAlign w:val="center"/>
                </w:tcPr>
                <w:p>
                  <w:pPr>
                    <w:pStyle w:val="33"/>
                    <w:jc w:val="left"/>
                  </w:pPr>
                  <w:r>
                    <w:t>空间布局约束</w:t>
                  </w:r>
                </w:p>
              </w:tc>
              <w:tc>
                <w:tcPr>
                  <w:tcW w:w="2326" w:type="pct"/>
                  <w:tcBorders>
                    <w:top w:val="single" w:color="auto" w:sz="12" w:space="0"/>
                  </w:tcBorders>
                  <w:vAlign w:val="center"/>
                </w:tcPr>
                <w:p>
                  <w:pPr>
                    <w:pStyle w:val="33"/>
                    <w:jc w:val="left"/>
                  </w:pPr>
                  <w:r>
                    <w:t>1、执行自治区总体准入要求中关于重点管控单元空间布局约束的准入要求。</w:t>
                  </w:r>
                </w:p>
                <w:p>
                  <w:pPr>
                    <w:pStyle w:val="33"/>
                    <w:jc w:val="left"/>
                  </w:pPr>
                  <w:r>
                    <w:t>2、禁止在建成区新建每小时35蒸吨以下燃煤锅炉。</w:t>
                  </w:r>
                </w:p>
                <w:p>
                  <w:pPr>
                    <w:pStyle w:val="33"/>
                    <w:jc w:val="left"/>
                  </w:pPr>
                  <w:r>
                    <w:rPr>
                      <w:rFonts w:hint="eastAsia"/>
                    </w:rPr>
                    <w:t>3</w:t>
                  </w:r>
                  <w:r>
                    <w:t>、禁止在居民住宅区等人口密集区域和机关、医院、学校、幼儿园、养老院等其他需要特殊保护的区域及其周边，新建、改建和扩建石化、焦化、制药、油漆、塑料、橡胶、造纸、饲料等易产生恶臭气体的生产项目，或者从事其他产生恶臭气体的生产经营活动。</w:t>
                  </w:r>
                </w:p>
                <w:p>
                  <w:pPr>
                    <w:pStyle w:val="33"/>
                    <w:jc w:val="left"/>
                  </w:pPr>
                  <w:r>
                    <w:rPr>
                      <w:rFonts w:hint="eastAsia"/>
                    </w:rPr>
                    <w:t>4</w:t>
                  </w:r>
                  <w:r>
                    <w:t>、禁止在集中供热管网覆盖地区新建、扩建分散燃煤供热锅炉。</w:t>
                  </w:r>
                </w:p>
                <w:p>
                  <w:pPr>
                    <w:pStyle w:val="33"/>
                    <w:jc w:val="left"/>
                  </w:pPr>
                  <w:r>
                    <w:rPr>
                      <w:rFonts w:hint="eastAsia"/>
                    </w:rPr>
                    <w:t>5</w:t>
                  </w:r>
                  <w:r>
                    <w:t>、高污染燃料禁燃区内的单位、个体经营户和个人禁止新建、扩建使用高污染燃料的设施，禁止生产、销售、燃用高污染燃料。</w:t>
                  </w:r>
                </w:p>
                <w:p>
                  <w:pPr>
                    <w:pStyle w:val="33"/>
                    <w:jc w:val="left"/>
                  </w:pPr>
                  <w:r>
                    <w:rPr>
                      <w:rFonts w:hint="eastAsia"/>
                    </w:rPr>
                    <w:t>6</w:t>
                  </w:r>
                  <w:r>
                    <w:t>、在高污染燃料禁燃区内已建成的使用高污染燃料的设施，应当在县人民政府规定的期限内停止燃用高污染燃料，改用天然气、页岩气、液化气、油气、电等清洁能源或者在规定的期限内拆除。</w:t>
                  </w:r>
                </w:p>
                <w:p>
                  <w:pPr>
                    <w:pStyle w:val="33"/>
                    <w:jc w:val="left"/>
                  </w:pPr>
                  <w:r>
                    <w:rPr>
                      <w:rFonts w:hint="eastAsia"/>
                    </w:rPr>
                    <w:t>7</w:t>
                  </w:r>
                  <w:r>
                    <w:t>、坚决取缔热电联产或集中供热管网覆盖区域内的燃煤设施，实施管网供热替代散煤。</w:t>
                  </w:r>
                </w:p>
              </w:tc>
              <w:tc>
                <w:tcPr>
                  <w:tcW w:w="1539" w:type="pct"/>
                  <w:tcBorders>
                    <w:top w:val="single" w:color="auto" w:sz="12" w:space="0"/>
                  </w:tcBorders>
                  <w:vAlign w:val="center"/>
                </w:tcPr>
                <w:p>
                  <w:pPr>
                    <w:pStyle w:val="33"/>
                    <w:jc w:val="left"/>
                    <w:rPr>
                      <w:rFonts w:hint="eastAsia"/>
                    </w:rPr>
                  </w:pPr>
                  <w:r>
                    <w:rPr>
                      <w:rFonts w:hint="eastAsia"/>
                    </w:rPr>
                    <w:t>1、本项目</w:t>
                  </w:r>
                  <w:r>
                    <w:rPr>
                      <w:rFonts w:hint="eastAsia"/>
                      <w:lang w:val="en-US" w:eastAsia="zh-CN"/>
                    </w:rPr>
                    <w:t>严格执行</w:t>
                  </w:r>
                  <w:r>
                    <w:t>自治区总体准入要求中关于重点管控单元空间布局约束的准入要求</w:t>
                  </w:r>
                  <w:r>
                    <w:rPr>
                      <w:rFonts w:hint="eastAsia"/>
                    </w:rPr>
                    <w:t>。</w:t>
                  </w:r>
                </w:p>
                <w:p>
                  <w:pPr>
                    <w:pStyle w:val="33"/>
                    <w:bidi w:val="0"/>
                    <w:jc w:val="left"/>
                    <w:rPr>
                      <w:rFonts w:hint="eastAsia"/>
                      <w:lang w:val="en-US" w:eastAsia="zh-CN"/>
                    </w:rPr>
                  </w:pPr>
                  <w:r>
                    <w:rPr>
                      <w:rFonts w:hint="eastAsia"/>
                      <w:lang w:val="en-US" w:eastAsia="zh-CN"/>
                    </w:rPr>
                    <w:t>2、本项目建设1台2t/h燃气锅炉；</w:t>
                  </w:r>
                </w:p>
                <w:p>
                  <w:pPr>
                    <w:pStyle w:val="33"/>
                    <w:bidi w:val="0"/>
                    <w:jc w:val="left"/>
                    <w:rPr>
                      <w:rFonts w:hint="eastAsia"/>
                      <w:lang w:val="en-US" w:eastAsia="zh-CN"/>
                    </w:rPr>
                  </w:pPr>
                  <w:r>
                    <w:rPr>
                      <w:rFonts w:hint="eastAsia"/>
                      <w:lang w:val="en-US" w:eastAsia="zh-CN"/>
                    </w:rPr>
                    <w:t>3、本项目属于</w:t>
                  </w:r>
                  <w:r>
                    <w:rPr>
                      <w:rFonts w:hint="eastAsia"/>
                      <w:color w:val="auto"/>
                      <w:lang w:val="en-US" w:eastAsia="zh-CN"/>
                    </w:rPr>
                    <w:t>洗染服务业</w:t>
                  </w:r>
                  <w:r>
                    <w:rPr>
                      <w:rFonts w:hint="eastAsia"/>
                      <w:lang w:val="en-US" w:eastAsia="zh-CN"/>
                    </w:rPr>
                    <w:t>配套的燃气供热锅炉建设项目，不属于</w:t>
                  </w:r>
                  <w:r>
                    <w:t>石化、焦化、制药、油漆、塑料、橡胶、造纸、饲料等易产生恶臭气体的生产项目</w:t>
                  </w:r>
                  <w:r>
                    <w:rPr>
                      <w:rFonts w:hint="eastAsia"/>
                      <w:lang w:val="en-US" w:eastAsia="zh-CN"/>
                    </w:rPr>
                    <w:t>；</w:t>
                  </w:r>
                </w:p>
                <w:p>
                  <w:pPr>
                    <w:pStyle w:val="33"/>
                    <w:bidi w:val="0"/>
                    <w:jc w:val="left"/>
                    <w:rPr>
                      <w:rFonts w:hint="eastAsia" w:eastAsia="宋体"/>
                      <w:lang w:val="en-US" w:eastAsia="zh-CN"/>
                    </w:rPr>
                  </w:pPr>
                  <w:r>
                    <w:rPr>
                      <w:rFonts w:hint="eastAsia" w:eastAsia="宋体"/>
                      <w:lang w:val="en-US" w:eastAsia="zh-CN"/>
                    </w:rPr>
                    <w:t>4、本项目</w:t>
                  </w:r>
                  <w:r>
                    <w:rPr>
                      <w:rFonts w:hint="eastAsia"/>
                      <w:lang w:val="en-US" w:eastAsia="zh-CN"/>
                    </w:rPr>
                    <w:t>新建</w:t>
                  </w:r>
                  <w:r>
                    <w:rPr>
                      <w:rFonts w:hint="eastAsia" w:eastAsia="宋体"/>
                      <w:lang w:val="en-US" w:eastAsia="zh-CN"/>
                    </w:rPr>
                    <w:t>1台</w:t>
                  </w:r>
                  <w:r>
                    <w:rPr>
                      <w:rFonts w:hint="eastAsia"/>
                      <w:lang w:val="en-US" w:eastAsia="zh-CN"/>
                    </w:rPr>
                    <w:t>2</w:t>
                  </w:r>
                  <w:r>
                    <w:rPr>
                      <w:rFonts w:hint="eastAsia" w:eastAsia="宋体"/>
                      <w:lang w:val="en-US" w:eastAsia="zh-CN"/>
                    </w:rPr>
                    <w:t>t/h燃气锅炉；</w:t>
                  </w:r>
                </w:p>
                <w:p>
                  <w:pPr>
                    <w:pStyle w:val="33"/>
                    <w:bidi w:val="0"/>
                    <w:jc w:val="left"/>
                    <w:rPr>
                      <w:rFonts w:hint="eastAsia" w:eastAsia="宋体"/>
                      <w:lang w:val="en-US" w:eastAsia="zh-CN"/>
                    </w:rPr>
                  </w:pPr>
                  <w:r>
                    <w:rPr>
                      <w:rFonts w:hint="eastAsia" w:eastAsia="宋体"/>
                      <w:lang w:val="en-US" w:eastAsia="zh-CN"/>
                    </w:rPr>
                    <w:t>5、本项目燃料为清洁能源天然气，不属于高排放、高污染、高耗能项目，符合国家和自治区环境保护标准的项目要求。</w:t>
                  </w:r>
                </w:p>
                <w:p>
                  <w:pPr>
                    <w:pStyle w:val="33"/>
                    <w:bidi w:val="0"/>
                    <w:jc w:val="left"/>
                    <w:rPr>
                      <w:rFonts w:hint="default"/>
                      <w:lang w:val="en-US" w:eastAsia="zh-CN"/>
                    </w:rPr>
                  </w:pPr>
                  <w:r>
                    <w:rPr>
                      <w:rFonts w:hint="eastAsia"/>
                      <w:lang w:val="en-US" w:eastAsia="zh-CN"/>
                    </w:rPr>
                    <w:t>6、本项目属于配套的燃气供热锅炉建设项目。</w:t>
                  </w:r>
                </w:p>
              </w:tc>
              <w:tc>
                <w:tcPr>
                  <w:tcW w:w="584" w:type="pct"/>
                  <w:tcBorders>
                    <w:top w:val="single" w:color="auto" w:sz="12" w:space="0"/>
                  </w:tcBorders>
                  <w:vAlign w:val="center"/>
                </w:tcPr>
                <w:p>
                  <w:pPr>
                    <w:pStyle w:val="33"/>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0" w:type="pct"/>
                  <w:tcBorders>
                    <w:tl2br w:val="nil"/>
                    <w:tr2bl w:val="nil"/>
                  </w:tcBorders>
                  <w:vAlign w:val="center"/>
                </w:tcPr>
                <w:p>
                  <w:pPr>
                    <w:pStyle w:val="33"/>
                    <w:jc w:val="left"/>
                  </w:pPr>
                  <w:r>
                    <w:t>污染物排放管控</w:t>
                  </w:r>
                </w:p>
              </w:tc>
              <w:tc>
                <w:tcPr>
                  <w:tcW w:w="2326" w:type="pct"/>
                  <w:tcBorders>
                    <w:tl2br w:val="nil"/>
                    <w:tr2bl w:val="nil"/>
                  </w:tcBorders>
                  <w:vAlign w:val="center"/>
                </w:tcPr>
                <w:p>
                  <w:pPr>
                    <w:pStyle w:val="33"/>
                    <w:jc w:val="left"/>
                  </w:pPr>
                  <w:r>
                    <w:t>1、执行自治区总体准入要求中关于重点管控单元污染物排放管控的准入要求。</w:t>
                  </w:r>
                </w:p>
              </w:tc>
              <w:tc>
                <w:tcPr>
                  <w:tcW w:w="1539" w:type="pct"/>
                  <w:tcBorders>
                    <w:tl2br w:val="nil"/>
                    <w:tr2bl w:val="nil"/>
                  </w:tcBorders>
                  <w:vAlign w:val="center"/>
                </w:tcPr>
                <w:p>
                  <w:pPr>
                    <w:pStyle w:val="33"/>
                    <w:jc w:val="left"/>
                    <w:rPr>
                      <w:rFonts w:hint="default"/>
                      <w:lang w:val="en-US" w:eastAsia="zh-CN"/>
                    </w:rPr>
                  </w:pPr>
                  <w:r>
                    <w:t>1、本项目执行自治区总体准入要求中关于重点管控单元污染物排放管控的准入要求。</w:t>
                  </w:r>
                </w:p>
              </w:tc>
              <w:tc>
                <w:tcPr>
                  <w:tcW w:w="584" w:type="pct"/>
                  <w:tcBorders>
                    <w:tl2br w:val="nil"/>
                    <w:tr2bl w:val="nil"/>
                  </w:tcBorders>
                  <w:vAlign w:val="center"/>
                </w:tcPr>
                <w:p>
                  <w:pPr>
                    <w:pStyle w:val="33"/>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0" w:type="pct"/>
                  <w:tcBorders>
                    <w:tl2br w:val="nil"/>
                    <w:tr2bl w:val="nil"/>
                  </w:tcBorders>
                  <w:vAlign w:val="center"/>
                </w:tcPr>
                <w:p>
                  <w:pPr>
                    <w:pStyle w:val="33"/>
                    <w:jc w:val="left"/>
                  </w:pPr>
                  <w:r>
                    <w:t>环境风险防控</w:t>
                  </w:r>
                </w:p>
              </w:tc>
              <w:tc>
                <w:tcPr>
                  <w:tcW w:w="2326" w:type="pct"/>
                  <w:tcBorders>
                    <w:tl2br w:val="nil"/>
                    <w:tr2bl w:val="nil"/>
                  </w:tcBorders>
                  <w:vAlign w:val="center"/>
                </w:tcPr>
                <w:p>
                  <w:pPr>
                    <w:pStyle w:val="33"/>
                    <w:jc w:val="left"/>
                  </w:pPr>
                  <w:r>
                    <w:t>1、执行自治区总体准入要求中关于重点管控单元环境风险防控的准入要求。</w:t>
                  </w:r>
                </w:p>
              </w:tc>
              <w:tc>
                <w:tcPr>
                  <w:tcW w:w="1539" w:type="pct"/>
                  <w:tcBorders>
                    <w:tl2br w:val="nil"/>
                    <w:tr2bl w:val="nil"/>
                  </w:tcBorders>
                  <w:vAlign w:val="center"/>
                </w:tcPr>
                <w:p>
                  <w:pPr>
                    <w:pStyle w:val="33"/>
                    <w:bidi w:val="0"/>
                    <w:jc w:val="left"/>
                    <w:rPr>
                      <w:rFonts w:hint="default"/>
                      <w:lang w:val="en-US" w:eastAsia="zh-CN"/>
                    </w:rPr>
                  </w:pPr>
                  <w:r>
                    <w:rPr>
                      <w:lang w:val="en-US" w:eastAsia="zh-CN"/>
                    </w:rPr>
                    <w:t>1、项目不</w:t>
                  </w:r>
                  <w:r>
                    <w:t>执行自治区总体准入要求中关于重点管控单元环境风险防控的准入要求</w:t>
                  </w:r>
                </w:p>
              </w:tc>
              <w:tc>
                <w:tcPr>
                  <w:tcW w:w="584" w:type="pct"/>
                  <w:tcBorders>
                    <w:tl2br w:val="nil"/>
                    <w:tr2bl w:val="nil"/>
                  </w:tcBorders>
                  <w:vAlign w:val="center"/>
                </w:tcPr>
                <w:p>
                  <w:pPr>
                    <w:pStyle w:val="33"/>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0" w:type="pct"/>
                  <w:tcBorders>
                    <w:tl2br w:val="nil"/>
                    <w:tr2bl w:val="nil"/>
                  </w:tcBorders>
                  <w:vAlign w:val="center"/>
                </w:tcPr>
                <w:p>
                  <w:pPr>
                    <w:pStyle w:val="33"/>
                    <w:jc w:val="left"/>
                  </w:pPr>
                  <w:r>
                    <w:t>资源利用效率要求</w:t>
                  </w:r>
                </w:p>
              </w:tc>
              <w:tc>
                <w:tcPr>
                  <w:tcW w:w="2326" w:type="pct"/>
                  <w:tcBorders>
                    <w:tl2br w:val="nil"/>
                    <w:tr2bl w:val="nil"/>
                  </w:tcBorders>
                  <w:vAlign w:val="center"/>
                </w:tcPr>
                <w:p>
                  <w:pPr>
                    <w:pStyle w:val="33"/>
                    <w:jc w:val="left"/>
                  </w:pPr>
                  <w:r>
                    <w:t>1、执行自治区总体准入要求中关于重点管控单元资源利用效率的准入要求。</w:t>
                  </w:r>
                </w:p>
              </w:tc>
              <w:tc>
                <w:tcPr>
                  <w:tcW w:w="1539" w:type="pct"/>
                  <w:tcBorders>
                    <w:tl2br w:val="nil"/>
                    <w:tr2bl w:val="nil"/>
                  </w:tcBorders>
                  <w:vAlign w:val="center"/>
                </w:tcPr>
                <w:p>
                  <w:pPr>
                    <w:pStyle w:val="33"/>
                    <w:bidi w:val="0"/>
                    <w:jc w:val="left"/>
                    <w:rPr>
                      <w:rFonts w:hint="default"/>
                      <w:lang w:val="en-US" w:eastAsia="zh-CN"/>
                    </w:rPr>
                  </w:pPr>
                  <w:r>
                    <w:rPr>
                      <w:rFonts w:hint="eastAsia"/>
                    </w:rPr>
                    <w:t>1、本项目符合</w:t>
                  </w:r>
                  <w:r>
                    <w:t>自治区总体准入要求中关于重点管控单元资源利用要求的准入要求</w:t>
                  </w:r>
                  <w:r>
                    <w:rPr>
                      <w:rFonts w:hint="eastAsia"/>
                      <w:lang w:eastAsia="zh-CN"/>
                    </w:rPr>
                    <w:t>；</w:t>
                  </w:r>
                </w:p>
              </w:tc>
              <w:tc>
                <w:tcPr>
                  <w:tcW w:w="584" w:type="pct"/>
                  <w:tcBorders>
                    <w:tl2br w:val="nil"/>
                    <w:tr2bl w:val="nil"/>
                  </w:tcBorders>
                  <w:vAlign w:val="center"/>
                </w:tcPr>
                <w:p>
                  <w:pPr>
                    <w:pStyle w:val="33"/>
                  </w:pPr>
                  <w:r>
                    <w:t>符合</w:t>
                  </w:r>
                </w:p>
              </w:tc>
            </w:tr>
          </w:tbl>
          <w:p>
            <w:pPr>
              <w:pStyle w:val="6"/>
              <w:numPr>
                <w:ilvl w:val="0"/>
                <w:numId w:val="4"/>
              </w:numPr>
              <w:jc w:val="both"/>
              <w:outlineLvl w:val="1"/>
            </w:pPr>
            <w:r>
              <w:rPr>
                <w:rFonts w:hint="eastAsia"/>
              </w:rPr>
              <w:t>与《新疆维吾尔自治区</w:t>
            </w:r>
            <w:r>
              <w:fldChar w:fldCharType="begin"/>
            </w:r>
            <w:r>
              <w:instrText xml:space="preserve"> HYPERLINK "http://www.chndaqi.com/news/field?fid=47" \t "https://www.chndaqi.com/news/_blank" \o "大气污染防治" </w:instrText>
            </w:r>
            <w:r>
              <w:fldChar w:fldCharType="separate"/>
            </w:r>
            <w:r>
              <w:rPr>
                <w:rFonts w:hint="eastAsia"/>
              </w:rPr>
              <w:t>大气污染防治</w:t>
            </w:r>
            <w:r>
              <w:rPr>
                <w:rFonts w:hint="eastAsia"/>
              </w:rPr>
              <w:fldChar w:fldCharType="end"/>
            </w:r>
            <w:r>
              <w:rPr>
                <w:rFonts w:hint="eastAsia"/>
              </w:rPr>
              <w:t>条例》符合性分析</w:t>
            </w:r>
          </w:p>
          <w:p>
            <w:pPr>
              <w:pStyle w:val="22"/>
              <w:ind w:firstLine="480"/>
              <w:jc w:val="both"/>
              <w:rPr>
                <w:rFonts w:hint="eastAsia"/>
              </w:rPr>
            </w:pPr>
            <w:r>
              <w:rPr>
                <w:rFonts w:hint="eastAsia"/>
              </w:rPr>
              <w:t>新疆维吾尔自治区</w:t>
            </w:r>
            <w:r>
              <w:fldChar w:fldCharType="begin"/>
            </w:r>
            <w:r>
              <w:instrText xml:space="preserve"> HYPERLINK "http://www.chndaqi.com/news/field?fid=47" \t "https://www.chndaqi.com/news/_blank" \o "大气污染防治" </w:instrText>
            </w:r>
            <w:r>
              <w:fldChar w:fldCharType="separate"/>
            </w:r>
            <w:r>
              <w:rPr>
                <w:rFonts w:hint="eastAsia"/>
              </w:rPr>
              <w:t>大气污染防治</w:t>
            </w:r>
            <w:r>
              <w:rPr>
                <w:rFonts w:hint="eastAsia"/>
              </w:rPr>
              <w:fldChar w:fldCharType="end"/>
            </w:r>
            <w:r>
              <w:rPr>
                <w:rFonts w:hint="eastAsia"/>
              </w:rPr>
              <w:t>条例第二十四条提出：推进城市建成区、工业</w:t>
            </w:r>
            <w:r>
              <w:rPr>
                <w:rFonts w:hint="eastAsia"/>
                <w:lang w:eastAsia="zh-CN"/>
              </w:rPr>
              <w:t>市政</w:t>
            </w:r>
            <w:r>
              <w:rPr>
                <w:rFonts w:hint="eastAsia"/>
              </w:rPr>
              <w:t>实行集中供热，使用清洁燃料。在集中供热</w:t>
            </w:r>
            <w:r>
              <w:fldChar w:fldCharType="begin"/>
            </w:r>
            <w:r>
              <w:instrText xml:space="preserve"> HYPERLINK "http://www.h2o-china.com/news/field?fid=16" \t "https://www.chndaqi.com/news/_blank" \o "管网" </w:instrText>
            </w:r>
            <w:r>
              <w:fldChar w:fldCharType="separate"/>
            </w:r>
            <w:r>
              <w:rPr>
                <w:rFonts w:hint="eastAsia"/>
              </w:rPr>
              <w:t>管网</w:t>
            </w:r>
            <w:r>
              <w:rPr>
                <w:rFonts w:hint="eastAsia"/>
              </w:rPr>
              <w:fldChar w:fldCharType="end"/>
            </w:r>
            <w:r>
              <w:rPr>
                <w:rFonts w:hint="eastAsia"/>
              </w:rPr>
              <w:t>覆盖区域内，禁止新建、改建、扩建燃煤供热锅炉，集中供热管网覆盖前，已建成使用的燃煤供热锅炉应当限期停止使用。在集中供热未覆盖的区域，鼓励使用清洁能源替代，推广使用高效节能环保型锅炉。</w:t>
            </w:r>
          </w:p>
          <w:p>
            <w:pPr>
              <w:pStyle w:val="22"/>
              <w:ind w:firstLine="480"/>
              <w:jc w:val="both"/>
            </w:pPr>
            <w:r>
              <w:rPr>
                <w:rFonts w:hint="eastAsia"/>
              </w:rPr>
              <w:t>本项目</w:t>
            </w:r>
            <w:r>
              <w:rPr>
                <w:rFonts w:hint="eastAsia"/>
                <w:lang w:val="en-US" w:eastAsia="zh-CN"/>
              </w:rPr>
              <w:t>为燃气蒸汽锅炉新建项目，</w:t>
            </w:r>
            <w:r>
              <w:rPr>
                <w:rFonts w:hint="eastAsia"/>
              </w:rPr>
              <w:t>燃料采用天然气，</w:t>
            </w:r>
            <w:r>
              <w:rPr>
                <w:rFonts w:hint="eastAsia"/>
                <w:lang w:val="en-US" w:eastAsia="zh-CN"/>
              </w:rPr>
              <w:t>冬季供暖采用电采暖，</w:t>
            </w:r>
            <w:r>
              <w:rPr>
                <w:rFonts w:hint="eastAsia"/>
              </w:rPr>
              <w:t>符合新疆维吾尔自治区</w:t>
            </w:r>
            <w:r>
              <w:fldChar w:fldCharType="begin"/>
            </w:r>
            <w:r>
              <w:instrText xml:space="preserve"> HYPERLINK "http://www.chndaqi.com/news/field?fid=47" \t "https://www.chndaqi.com/news/_blank" \o "大气污染防治" </w:instrText>
            </w:r>
            <w:r>
              <w:fldChar w:fldCharType="separate"/>
            </w:r>
            <w:r>
              <w:rPr>
                <w:rFonts w:hint="eastAsia"/>
              </w:rPr>
              <w:t>大气污染防治</w:t>
            </w:r>
            <w:r>
              <w:rPr>
                <w:rFonts w:hint="eastAsia"/>
              </w:rPr>
              <w:fldChar w:fldCharType="end"/>
            </w:r>
            <w:r>
              <w:rPr>
                <w:rFonts w:hint="eastAsia"/>
              </w:rPr>
              <w:t>条例管理要求。</w:t>
            </w:r>
          </w:p>
          <w:p>
            <w:pPr>
              <w:pStyle w:val="6"/>
              <w:numPr>
                <w:ilvl w:val="0"/>
                <w:numId w:val="4"/>
              </w:numPr>
              <w:jc w:val="both"/>
              <w:outlineLvl w:val="1"/>
            </w:pPr>
            <w:r>
              <w:rPr>
                <w:rFonts w:hint="eastAsia"/>
              </w:rPr>
              <w:t>与</w:t>
            </w:r>
            <w:r>
              <w:rPr>
                <w:rFonts w:hint="eastAsia" w:ascii="Times New Roman" w:hAnsi="Times New Roman"/>
                <w:b/>
                <w:bCs/>
                <w:color w:val="auto"/>
                <w:lang w:val="en-US" w:eastAsia="zh-CN"/>
              </w:rPr>
              <w:t>《自治区大气污染防治行动计划实施方案》新政发〔2014〕35号</w:t>
            </w:r>
            <w:r>
              <w:rPr>
                <w:rFonts w:hint="eastAsia"/>
              </w:rPr>
              <w:t>符合性分析</w:t>
            </w:r>
          </w:p>
          <w:p>
            <w:pPr>
              <w:pStyle w:val="22"/>
              <w:bidi w:val="0"/>
              <w:jc w:val="both"/>
              <w:rPr>
                <w:rFonts w:hint="eastAsia"/>
                <w:lang w:val="en-US" w:eastAsia="zh-CN"/>
              </w:rPr>
            </w:pPr>
            <w:r>
              <w:rPr>
                <w:rFonts w:hint="eastAsia"/>
                <w:lang w:val="en-US" w:eastAsia="zh-CN"/>
              </w:rPr>
              <w:t>自治区大气污染防治行动计划实施方案中提出：实施燃煤锅炉整治。加快热力和燃气管网建设，通过热电联产、集中供热等工程建设，到2017年底，除必要保留的以外，全区城市建成区基本淘汰每小时10蒸吨及以下燃煤锅炉，禁止新建每小时20蒸吨以下燃煤锅炉......加快清洁能源替代利用。在满足最严格的环保和水资源管理要求的前提下，加快煤制天然气产业化和规模化步伐。加大天然气勘探开发力度。积极开发利用风能、太阳能、生物质能。加快煤层气开发步伐，科学有序发展水电。提高清洁能源、可再生能源在能源结构中的比例。新增天然气应优先保障居民生活或用于替代燃煤。</w:t>
            </w:r>
          </w:p>
          <w:p>
            <w:pPr>
              <w:pStyle w:val="22"/>
              <w:bidi w:val="0"/>
              <w:jc w:val="both"/>
              <w:rPr>
                <w:rFonts w:hint="default"/>
                <w:lang w:val="en-US" w:eastAsia="zh-CN"/>
              </w:rPr>
            </w:pPr>
            <w:r>
              <w:rPr>
                <w:rFonts w:hint="eastAsia"/>
                <w:lang w:val="en-US" w:eastAsia="zh-CN"/>
              </w:rPr>
              <w:t>本项目采用天然气为燃料为生产供热，天然气属于清洁能源，锅炉废气采用</w:t>
            </w:r>
            <w:r>
              <w:rPr>
                <w:rFonts w:hint="eastAsia"/>
                <w:color w:val="auto"/>
                <w:lang w:val="en-US" w:eastAsia="zh-CN"/>
              </w:rPr>
              <w:t>低氮燃烧器工艺+烟气再循环技术</w:t>
            </w:r>
            <w:r>
              <w:rPr>
                <w:rFonts w:hint="eastAsia"/>
                <w:lang w:val="en-US" w:eastAsia="zh-CN"/>
              </w:rPr>
              <w:t>，烟气可达标排放；符合《自治区大气污染防治行动计划实施方案》新政发〔2014〕35号的要求。</w:t>
            </w:r>
          </w:p>
          <w:p>
            <w:pPr>
              <w:pStyle w:val="6"/>
              <w:numPr>
                <w:ilvl w:val="0"/>
                <w:numId w:val="4"/>
              </w:numPr>
              <w:jc w:val="both"/>
              <w:outlineLvl w:val="1"/>
            </w:pPr>
            <w:r>
              <w:rPr>
                <w:rFonts w:hint="eastAsia"/>
              </w:rPr>
              <w:t>《新疆维吾尔自治区生态环境保护“十四五”规划》</w:t>
            </w:r>
            <w:r>
              <w:t>符合性分析</w:t>
            </w:r>
          </w:p>
          <w:p>
            <w:pPr>
              <w:pStyle w:val="22"/>
              <w:ind w:firstLine="480"/>
              <w:jc w:val="both"/>
            </w:pPr>
            <w:r>
              <w:rPr>
                <w:rFonts w:hint="eastAsia"/>
              </w:rPr>
              <w:t>《新疆维吾尔自治区生态环境保护“十四五”规划》</w:t>
            </w:r>
            <w:r>
              <w:t>中与本项目有关内容进行相符性对照，本项目符合性分析见表1-</w:t>
            </w:r>
            <w:r>
              <w:rPr>
                <w:rFonts w:hint="eastAsia"/>
                <w:lang w:val="en-US" w:eastAsia="zh-CN"/>
              </w:rPr>
              <w:t>4</w:t>
            </w:r>
            <w:r>
              <w:t>。</w:t>
            </w:r>
          </w:p>
          <w:p>
            <w:pPr>
              <w:pStyle w:val="32"/>
              <w:rPr>
                <w:w w:val="99"/>
              </w:rPr>
            </w:pPr>
            <w:r>
              <w:rPr>
                <w:w w:val="99"/>
              </w:rPr>
              <w:t>表1-</w:t>
            </w:r>
            <w:r>
              <w:rPr>
                <w:rFonts w:hint="eastAsia"/>
                <w:w w:val="99"/>
                <w:lang w:val="en-US" w:eastAsia="zh-CN"/>
              </w:rPr>
              <w:t>4</w:t>
            </w:r>
            <w:r>
              <w:rPr>
                <w:w w:val="99"/>
              </w:rPr>
              <w:t>与</w:t>
            </w:r>
            <w:r>
              <w:rPr>
                <w:rFonts w:hint="eastAsia"/>
                <w:w w:val="99"/>
              </w:rPr>
              <w:t>新疆维吾尔自治区生态环境保护“十四五”规划</w:t>
            </w:r>
            <w:r>
              <w:rPr>
                <w:w w:val="99"/>
              </w:rPr>
              <w:t>符合性分析一览表</w:t>
            </w:r>
          </w:p>
          <w:tbl>
            <w:tblPr>
              <w:tblStyle w:val="27"/>
              <w:tblW w:w="4998" w:type="pct"/>
              <w:tblInd w:w="0" w:type="dxa"/>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3392"/>
              <w:gridCol w:w="2821"/>
              <w:gridCol w:w="864"/>
            </w:tblGrid>
            <w:tr>
              <w:tblPrEx>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PrEx>
              <w:tc>
                <w:tcPr>
                  <w:tcW w:w="453" w:type="pct"/>
                  <w:tcBorders>
                    <w:bottom w:val="single" w:color="000000" w:sz="12" w:space="0"/>
                    <w:tl2br w:val="nil"/>
                    <w:tr2bl w:val="nil"/>
                  </w:tcBorders>
                  <w:vAlign w:val="center"/>
                </w:tcPr>
                <w:p>
                  <w:pPr>
                    <w:pStyle w:val="33"/>
                    <w:widowControl w:val="0"/>
                    <w:rPr>
                      <w:b/>
                      <w:bCs/>
                      <w:lang w:val="en-US" w:eastAsia="zh-CN"/>
                    </w:rPr>
                  </w:pPr>
                  <w:r>
                    <w:rPr>
                      <w:rFonts w:hint="eastAsia"/>
                      <w:b/>
                      <w:bCs/>
                      <w:lang w:val="en-US" w:eastAsia="zh-CN"/>
                    </w:rPr>
                    <w:t>序号</w:t>
                  </w:r>
                </w:p>
              </w:tc>
              <w:tc>
                <w:tcPr>
                  <w:tcW w:w="2179" w:type="pct"/>
                  <w:tcBorders>
                    <w:bottom w:val="single" w:color="000000" w:sz="12" w:space="0"/>
                    <w:tl2br w:val="nil"/>
                    <w:tr2bl w:val="nil"/>
                  </w:tcBorders>
                  <w:vAlign w:val="center"/>
                </w:tcPr>
                <w:p>
                  <w:pPr>
                    <w:pStyle w:val="33"/>
                    <w:widowControl w:val="0"/>
                    <w:rPr>
                      <w:b/>
                      <w:bCs/>
                      <w:lang w:val="en-US" w:eastAsia="zh-CN"/>
                    </w:rPr>
                  </w:pPr>
                  <w:r>
                    <w:rPr>
                      <w:rFonts w:hint="eastAsia"/>
                      <w:b/>
                      <w:bCs/>
                      <w:lang w:val="en-US" w:eastAsia="zh-CN"/>
                    </w:rPr>
                    <w:t>文件要求</w:t>
                  </w:r>
                </w:p>
              </w:tc>
              <w:tc>
                <w:tcPr>
                  <w:tcW w:w="1812" w:type="pct"/>
                  <w:tcBorders>
                    <w:bottom w:val="single" w:color="000000" w:sz="12" w:space="0"/>
                    <w:tl2br w:val="nil"/>
                    <w:tr2bl w:val="nil"/>
                  </w:tcBorders>
                  <w:vAlign w:val="center"/>
                </w:tcPr>
                <w:p>
                  <w:pPr>
                    <w:pStyle w:val="33"/>
                    <w:widowControl w:val="0"/>
                    <w:rPr>
                      <w:b/>
                      <w:bCs/>
                      <w:lang w:val="en-US" w:eastAsia="zh-CN"/>
                    </w:rPr>
                  </w:pPr>
                  <w:r>
                    <w:rPr>
                      <w:rFonts w:hint="eastAsia"/>
                      <w:b/>
                      <w:bCs/>
                      <w:lang w:val="en-US" w:eastAsia="zh-CN"/>
                    </w:rPr>
                    <w:t>本项目建设情况</w:t>
                  </w:r>
                </w:p>
              </w:tc>
              <w:tc>
                <w:tcPr>
                  <w:tcW w:w="555" w:type="pct"/>
                  <w:tcBorders>
                    <w:bottom w:val="single" w:color="000000" w:sz="12" w:space="0"/>
                    <w:tl2br w:val="nil"/>
                    <w:tr2bl w:val="nil"/>
                  </w:tcBorders>
                  <w:vAlign w:val="center"/>
                </w:tcPr>
                <w:p>
                  <w:pPr>
                    <w:pStyle w:val="33"/>
                    <w:widowControl w:val="0"/>
                    <w:rPr>
                      <w:b/>
                      <w:bCs/>
                      <w:lang w:val="en-US" w:eastAsia="zh-CN"/>
                    </w:rPr>
                  </w:pPr>
                  <w:r>
                    <w:rPr>
                      <w:rFonts w:hint="eastAsia"/>
                      <w:b/>
                      <w:bCs/>
                      <w:lang w:val="en-US" w:eastAsia="zh-CN"/>
                    </w:rPr>
                    <w:t>符合性</w:t>
                  </w:r>
                </w:p>
              </w:tc>
            </w:tr>
            <w:tr>
              <w:tblPrEx>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3" w:type="pct"/>
                  <w:tcBorders>
                    <w:top w:val="single" w:color="000000" w:sz="12" w:space="0"/>
                    <w:tl2br w:val="nil"/>
                    <w:tr2bl w:val="nil"/>
                  </w:tcBorders>
                  <w:vAlign w:val="center"/>
                </w:tcPr>
                <w:p>
                  <w:pPr>
                    <w:pStyle w:val="33"/>
                    <w:widowControl w:val="0"/>
                    <w:rPr>
                      <w:lang w:val="en-US" w:eastAsia="zh-CN"/>
                    </w:rPr>
                  </w:pPr>
                  <w:r>
                    <w:rPr>
                      <w:rFonts w:hint="eastAsia"/>
                      <w:lang w:val="en-US" w:eastAsia="zh-CN"/>
                    </w:rPr>
                    <w:t>1</w:t>
                  </w:r>
                </w:p>
              </w:tc>
              <w:tc>
                <w:tcPr>
                  <w:tcW w:w="2179" w:type="pct"/>
                  <w:tcBorders>
                    <w:top w:val="single" w:color="000000" w:sz="12" w:space="0"/>
                    <w:tl2br w:val="nil"/>
                    <w:tr2bl w:val="nil"/>
                  </w:tcBorders>
                  <w:vAlign w:val="center"/>
                </w:tcPr>
                <w:p>
                  <w:pPr>
                    <w:pStyle w:val="33"/>
                    <w:widowControl w:val="0"/>
                    <w:jc w:val="both"/>
                    <w:rPr>
                      <w:lang w:val="en-US" w:eastAsia="zh-CN"/>
                    </w:rPr>
                  </w:pPr>
                  <w:r>
                    <w:rPr>
                      <w:lang w:val="en-US" w:eastAsia="zh-CN"/>
                    </w:rPr>
                    <w:t>严格控制煤炭消费。加强能耗“双控”管理，合理控制能源消费增量，优化能源消费结构，对“乌—昌—石”“奎—独—乌”等重点区域实施新建用煤项目等量或减量替代。</w:t>
                  </w:r>
                </w:p>
              </w:tc>
              <w:tc>
                <w:tcPr>
                  <w:tcW w:w="1812" w:type="pct"/>
                  <w:tcBorders>
                    <w:top w:val="single" w:color="000000" w:sz="12" w:space="0"/>
                    <w:tl2br w:val="nil"/>
                    <w:tr2bl w:val="nil"/>
                  </w:tcBorders>
                  <w:vAlign w:val="center"/>
                </w:tcPr>
                <w:p>
                  <w:pPr>
                    <w:pStyle w:val="33"/>
                    <w:widowControl w:val="0"/>
                    <w:jc w:val="both"/>
                    <w:rPr>
                      <w:lang w:val="en-US" w:eastAsia="zh-CN"/>
                    </w:rPr>
                  </w:pPr>
                  <w:r>
                    <w:rPr>
                      <w:rFonts w:hint="eastAsia"/>
                      <w:bCs/>
                      <w:lang w:val="en-US" w:eastAsia="zh-CN"/>
                    </w:rPr>
                    <w:t>项目采用天然气</w:t>
                  </w:r>
                  <w:r>
                    <w:rPr>
                      <w:rFonts w:hint="eastAsia"/>
                      <w:lang w:val="en-US" w:eastAsia="zh-CN"/>
                    </w:rPr>
                    <w:t>蒸汽锅炉</w:t>
                  </w:r>
                  <w:r>
                    <w:rPr>
                      <w:rFonts w:hint="eastAsia"/>
                      <w:bCs/>
                      <w:lang w:val="en-US" w:eastAsia="zh-CN"/>
                    </w:rPr>
                    <w:t>用于生产供热，根据</w:t>
                  </w:r>
                  <w:r>
                    <w:t>《产业结构调整指导目录（201</w:t>
                  </w:r>
                  <w:r>
                    <w:rPr>
                      <w:lang w:val="en-US" w:eastAsia="zh-CN"/>
                    </w:rPr>
                    <w:t>9</w:t>
                  </w:r>
                  <w:r>
                    <w:t>年本）》</w:t>
                  </w:r>
                  <w:r>
                    <w:rPr>
                      <w:rFonts w:hint="eastAsia"/>
                      <w:lang w:val="en-US" w:eastAsia="zh-CN"/>
                    </w:rPr>
                    <w:t>属允许类建设项目，项目污染物均达标排放</w:t>
                  </w:r>
                </w:p>
              </w:tc>
              <w:tc>
                <w:tcPr>
                  <w:tcW w:w="555" w:type="pct"/>
                  <w:tcBorders>
                    <w:top w:val="single" w:color="000000" w:sz="12" w:space="0"/>
                    <w:tl2br w:val="nil"/>
                    <w:tr2bl w:val="nil"/>
                  </w:tcBorders>
                  <w:vAlign w:val="center"/>
                </w:tcPr>
                <w:p>
                  <w:pPr>
                    <w:pStyle w:val="33"/>
                    <w:widowControl w:val="0"/>
                    <w:rPr>
                      <w:lang w:val="en-US" w:eastAsia="zh-CN"/>
                    </w:rPr>
                  </w:pPr>
                  <w:r>
                    <w:rPr>
                      <w:rFonts w:hint="eastAsia"/>
                      <w:lang w:val="en-US" w:eastAsia="zh-CN"/>
                    </w:rPr>
                    <w:t>符合</w:t>
                  </w:r>
                </w:p>
              </w:tc>
            </w:tr>
            <w:tr>
              <w:tblPrEx>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3" w:type="pct"/>
                  <w:tcBorders>
                    <w:tl2br w:val="nil"/>
                    <w:tr2bl w:val="nil"/>
                  </w:tcBorders>
                  <w:vAlign w:val="center"/>
                </w:tcPr>
                <w:p>
                  <w:pPr>
                    <w:pStyle w:val="33"/>
                    <w:widowControl w:val="0"/>
                    <w:rPr>
                      <w:lang w:val="en-US" w:eastAsia="zh-CN"/>
                    </w:rPr>
                  </w:pPr>
                  <w:r>
                    <w:rPr>
                      <w:rFonts w:hint="eastAsia"/>
                      <w:lang w:val="en-US" w:eastAsia="zh-CN"/>
                    </w:rPr>
                    <w:t>2</w:t>
                  </w:r>
                </w:p>
              </w:tc>
              <w:tc>
                <w:tcPr>
                  <w:tcW w:w="2179" w:type="pct"/>
                  <w:tcBorders>
                    <w:tl2br w:val="nil"/>
                    <w:tr2bl w:val="nil"/>
                  </w:tcBorders>
                  <w:vAlign w:val="center"/>
                </w:tcPr>
                <w:p>
                  <w:pPr>
                    <w:pStyle w:val="33"/>
                    <w:widowControl w:val="0"/>
                    <w:jc w:val="both"/>
                    <w:rPr>
                      <w:lang w:val="en-US" w:eastAsia="zh-CN"/>
                    </w:rPr>
                  </w:pPr>
                  <w:r>
                    <w:rPr>
                      <w:lang w:val="en-US" w:eastAsia="zh-CN"/>
                    </w:rPr>
                    <w:t>深入推进重点区域大气污染治理。燃气锅炉低氮燃烧改造</w:t>
                  </w:r>
                </w:p>
              </w:tc>
              <w:tc>
                <w:tcPr>
                  <w:tcW w:w="1812" w:type="pct"/>
                  <w:tcBorders>
                    <w:tl2br w:val="nil"/>
                    <w:tr2bl w:val="nil"/>
                  </w:tcBorders>
                  <w:vAlign w:val="center"/>
                </w:tcPr>
                <w:p>
                  <w:pPr>
                    <w:pStyle w:val="33"/>
                    <w:widowControl w:val="0"/>
                    <w:jc w:val="both"/>
                    <w:rPr>
                      <w:lang w:val="en-US" w:eastAsia="zh-CN"/>
                    </w:rPr>
                  </w:pPr>
                  <w:r>
                    <w:rPr>
                      <w:rFonts w:hint="eastAsia"/>
                      <w:lang w:val="en-US" w:eastAsia="zh-CN"/>
                    </w:rPr>
                    <w:t>项目</w:t>
                  </w:r>
                  <w:r>
                    <w:rPr>
                      <w:rFonts w:hint="eastAsia"/>
                      <w:bCs/>
                      <w:lang w:val="en-US" w:eastAsia="zh-CN"/>
                    </w:rPr>
                    <w:t>采用天然气</w:t>
                  </w:r>
                  <w:r>
                    <w:rPr>
                      <w:rFonts w:hint="eastAsia"/>
                      <w:lang w:val="en-US" w:eastAsia="zh-CN"/>
                    </w:rPr>
                    <w:t>蒸汽锅炉</w:t>
                  </w:r>
                  <w:r>
                    <w:rPr>
                      <w:rFonts w:hint="eastAsia"/>
                      <w:bCs/>
                      <w:lang w:val="en-US" w:eastAsia="zh-CN"/>
                    </w:rPr>
                    <w:t>用于生产供热，废气</w:t>
                  </w:r>
                  <w:r>
                    <w:rPr>
                      <w:rFonts w:hint="eastAsia"/>
                      <w:lang w:val="en-US" w:eastAsia="zh-CN"/>
                    </w:rPr>
                    <w:t>采用</w:t>
                  </w:r>
                  <w:r>
                    <w:rPr>
                      <w:rFonts w:hint="eastAsia"/>
                      <w:color w:val="auto"/>
                      <w:lang w:val="en-US" w:eastAsia="zh-CN"/>
                    </w:rPr>
                    <w:t>低氮燃烧器工艺+烟气再循环技术</w:t>
                  </w:r>
                  <w:r>
                    <w:rPr>
                      <w:rFonts w:hint="eastAsia"/>
                      <w:lang w:val="en-US" w:eastAsia="zh-CN"/>
                    </w:rPr>
                    <w:t>，烟气可达标排放</w:t>
                  </w:r>
                </w:p>
              </w:tc>
              <w:tc>
                <w:tcPr>
                  <w:tcW w:w="555" w:type="pct"/>
                  <w:tcBorders>
                    <w:tl2br w:val="nil"/>
                    <w:tr2bl w:val="nil"/>
                  </w:tcBorders>
                  <w:vAlign w:val="center"/>
                </w:tcPr>
                <w:p>
                  <w:pPr>
                    <w:pStyle w:val="33"/>
                    <w:widowControl w:val="0"/>
                    <w:rPr>
                      <w:lang w:val="en-US" w:eastAsia="zh-CN"/>
                    </w:rPr>
                  </w:pPr>
                  <w:r>
                    <w:rPr>
                      <w:rFonts w:hint="eastAsia"/>
                      <w:lang w:val="en-US" w:eastAsia="zh-CN"/>
                    </w:rPr>
                    <w:t>符合</w:t>
                  </w:r>
                </w:p>
              </w:tc>
            </w:tr>
          </w:tbl>
          <w:p>
            <w:pPr>
              <w:pStyle w:val="6"/>
              <w:numPr>
                <w:ilvl w:val="0"/>
                <w:numId w:val="4"/>
              </w:numPr>
              <w:jc w:val="both"/>
              <w:outlineLvl w:val="1"/>
            </w:pPr>
            <w:r>
              <w:rPr>
                <w:rFonts w:hint="eastAsia"/>
                <w:lang w:val="en-US" w:eastAsia="zh-CN"/>
              </w:rPr>
              <w:t>与《吉木萨尔县2022年度夏秋季大气污染防治“冬病夏治”工作方案》的符合性分析</w:t>
            </w:r>
          </w:p>
          <w:p>
            <w:pPr>
              <w:pStyle w:val="22"/>
              <w:bidi w:val="0"/>
              <w:jc w:val="both"/>
            </w:pPr>
            <w:r>
              <w:rPr>
                <w:rFonts w:hint="eastAsia"/>
                <w:lang w:val="en-US" w:eastAsia="zh-CN"/>
              </w:rPr>
              <w:t>根据《吉木萨尔县2022年度夏秋季大气污染防治“冬病夏治”工作方案》“</w:t>
            </w:r>
            <w:r>
              <w:rPr>
                <w:lang w:val="en-US" w:eastAsia="zh-CN"/>
              </w:rPr>
              <w:t>加大燃料清洁低碳化替代，加大工业炉窑综合治理工作。大力推进电能替代煤炭，积极稳妥推进以气代煤，因地制宜推进生物质等能源代煤，开展氢能源代煤示范。新建、改建、扩建加热炉、热处理炉、干燥炉、熔化炉采用清洁低碳能源，不得使用煤炭等高污染燃料</w:t>
            </w:r>
            <w:r>
              <w:rPr>
                <w:rFonts w:hint="eastAsia"/>
                <w:lang w:val="en-US" w:eastAsia="zh-CN"/>
              </w:rPr>
              <w:t>；</w:t>
            </w:r>
            <w:r>
              <w:rPr>
                <w:lang w:val="en-US" w:eastAsia="zh-CN"/>
              </w:rPr>
              <w:t>现有使用高污染燃料的工业炉窑改用工业余热、电能、天然气等</w:t>
            </w:r>
            <w:r>
              <w:rPr>
                <w:rFonts w:hint="eastAsia"/>
                <w:lang w:val="en-US" w:eastAsia="zh-CN"/>
              </w:rPr>
              <w:t>；</w:t>
            </w:r>
            <w:r>
              <w:rPr>
                <w:lang w:val="en-US" w:eastAsia="zh-CN"/>
              </w:rPr>
              <w:t>使用煤气发生炉的企业采用清洁能源替代，或者采取园区（集群）集中供气、分散使用的方式，全面淘汰间歇式固定床煤气发生炉。</w:t>
            </w:r>
            <w:r>
              <w:rPr>
                <w:rFonts w:hint="eastAsia"/>
                <w:lang w:val="en-US" w:eastAsia="zh-CN"/>
              </w:rPr>
              <w:t>”</w:t>
            </w:r>
          </w:p>
          <w:p>
            <w:pPr>
              <w:pStyle w:val="22"/>
              <w:bidi w:val="0"/>
              <w:jc w:val="both"/>
              <w:rPr>
                <w:rFonts w:hint="default"/>
                <w:lang w:val="en-US" w:eastAsia="zh-CN"/>
              </w:rPr>
            </w:pPr>
            <w:r>
              <w:rPr>
                <w:rFonts w:hint="eastAsia"/>
                <w:lang w:val="en-US" w:eastAsia="zh-CN"/>
              </w:rPr>
              <w:t>本项目供热采用1台2t/h的天然气锅炉，天然气属于</w:t>
            </w:r>
            <w:r>
              <w:rPr>
                <w:lang w:val="en-US" w:eastAsia="zh-CN"/>
              </w:rPr>
              <w:t>清洁能源</w:t>
            </w:r>
            <w:r>
              <w:rPr>
                <w:rFonts w:hint="eastAsia"/>
                <w:lang w:val="en-US" w:eastAsia="zh-CN"/>
              </w:rPr>
              <w:t>，符合《吉木萨尔县2022年度夏秋季大气污染防治“冬病夏治”工作方案》管理要求。</w:t>
            </w:r>
          </w:p>
          <w:p>
            <w:pPr>
              <w:pStyle w:val="6"/>
              <w:numPr>
                <w:ilvl w:val="0"/>
                <w:numId w:val="4"/>
              </w:numPr>
              <w:jc w:val="both"/>
              <w:outlineLvl w:val="1"/>
            </w:pPr>
            <w:r>
              <w:rPr>
                <w:rFonts w:hint="eastAsia"/>
              </w:rPr>
              <w:t>选址合理性分析</w:t>
            </w:r>
          </w:p>
          <w:p>
            <w:pPr>
              <w:pStyle w:val="22"/>
              <w:ind w:firstLine="480"/>
              <w:jc w:val="both"/>
              <w:rPr>
                <w:rFonts w:hint="eastAsia" w:eastAsia="宋体"/>
                <w:color w:val="auto"/>
                <w:lang w:eastAsia="zh-CN"/>
              </w:rPr>
            </w:pPr>
            <w:r>
              <w:rPr>
                <w:color w:val="auto"/>
              </w:rPr>
              <w:t>本项目选址位于</w:t>
            </w:r>
            <w:r>
              <w:rPr>
                <w:rFonts w:hint="eastAsia"/>
                <w:color w:val="auto"/>
                <w:lang w:val="en-US" w:eastAsia="zh-CN"/>
              </w:rPr>
              <w:t>新疆</w:t>
            </w:r>
            <w:r>
              <w:rPr>
                <w:b w:val="0"/>
                <w:bCs/>
                <w:color w:val="auto"/>
              </w:rPr>
              <w:t>昌吉</w:t>
            </w:r>
            <w:r>
              <w:rPr>
                <w:rFonts w:hint="eastAsia"/>
                <w:b w:val="0"/>
                <w:bCs/>
                <w:color w:val="auto"/>
              </w:rPr>
              <w:t>回族自治州</w:t>
            </w:r>
            <w:r>
              <w:rPr>
                <w:rFonts w:hint="eastAsia"/>
                <w:color w:val="auto"/>
                <w:lang w:val="en-US" w:eastAsia="zh-CN"/>
              </w:rPr>
              <w:t>吉木萨尔县北庭综合物流园内</w:t>
            </w:r>
            <w:r>
              <w:rPr>
                <w:rFonts w:hint="eastAsia"/>
                <w:color w:val="auto"/>
              </w:rPr>
              <w:t>，</w:t>
            </w:r>
            <w:r>
              <w:rPr>
                <w:rFonts w:cs="Times New Roman"/>
                <w:color w:val="auto"/>
                <w:kern w:val="0"/>
                <w:lang w:bidi="ar"/>
              </w:rPr>
              <w:t>项目</w:t>
            </w:r>
            <w:r>
              <w:rPr>
                <w:rFonts w:hint="eastAsia" w:cs="Times New Roman"/>
                <w:color w:val="auto"/>
                <w:kern w:val="0"/>
                <w:lang w:val="en-US" w:eastAsia="zh-CN" w:bidi="ar"/>
              </w:rPr>
              <w:t>租赁吉木萨尔县北庭春物流园有限责任公司现有生产厂房</w:t>
            </w:r>
            <w:r>
              <w:rPr>
                <w:rFonts w:hint="default"/>
                <w:color w:val="auto"/>
                <w:lang w:val="en-US" w:eastAsia="zh-CN"/>
              </w:rPr>
              <w:t>。</w:t>
            </w:r>
            <w:r>
              <w:rPr>
                <w:rFonts w:hint="eastAsia" w:cs="Times New Roman"/>
                <w:color w:val="auto"/>
                <w:kern w:val="0"/>
                <w:lang w:val="en-US" w:eastAsia="zh-CN" w:bidi="ar"/>
              </w:rPr>
              <w:t>不新增占地，</w:t>
            </w:r>
            <w:r>
              <w:rPr>
                <w:rFonts w:cs="Times New Roman"/>
                <w:color w:val="auto"/>
                <w:kern w:val="0"/>
                <w:lang w:bidi="ar"/>
              </w:rPr>
              <w:t>不存在制约因素，不占用基本农田、生态红线</w:t>
            </w:r>
            <w:r>
              <w:rPr>
                <w:rFonts w:hint="eastAsia" w:cs="Times New Roman"/>
                <w:color w:val="auto"/>
                <w:kern w:val="0"/>
                <w:lang w:eastAsia="zh-CN" w:bidi="ar"/>
              </w:rPr>
              <w:t>；</w:t>
            </w:r>
          </w:p>
          <w:p>
            <w:pPr>
              <w:pStyle w:val="22"/>
              <w:ind w:firstLine="480"/>
              <w:jc w:val="both"/>
            </w:pPr>
            <w:r>
              <w:rPr>
                <w:rFonts w:hint="eastAsia"/>
                <w:color w:val="auto"/>
              </w:rPr>
              <w:t>本项目选址属于</w:t>
            </w:r>
            <w:r>
              <w:rPr>
                <w:rFonts w:hint="eastAsia"/>
                <w:color w:val="auto"/>
                <w:sz w:val="24"/>
                <w:lang w:val="en-US" w:eastAsia="zh-CN"/>
              </w:rPr>
              <w:t>物流仓储用地</w:t>
            </w:r>
            <w:r>
              <w:rPr>
                <w:rFonts w:hint="eastAsia"/>
                <w:color w:val="auto"/>
              </w:rPr>
              <w:t>。</w:t>
            </w:r>
            <w:r>
              <w:rPr>
                <w:color w:val="auto"/>
              </w:rPr>
              <w:t>项目选址地区不属于特殊保护地区、社会关注区和特殊地貌景观区，也</w:t>
            </w:r>
            <w:r>
              <w:t>无重点保护生态品种及濒危生物物种，文物古迹等。</w:t>
            </w:r>
            <w:r>
              <w:rPr>
                <w:rFonts w:hint="eastAsia"/>
                <w:color w:val="auto"/>
                <w:lang w:val="en-US" w:eastAsia="zh-CN"/>
              </w:rPr>
              <w:t>项目区东侧为物流园内部道路，南侧为林地，西侧为吉彩路，北侧为物流园入口；</w:t>
            </w:r>
            <w:r>
              <w:rPr>
                <w:rFonts w:hint="eastAsia" w:ascii="Times New Roman" w:hAnsi="Times New Roman" w:eastAsia="宋体" w:cs="Times New Roman"/>
                <w:color w:val="auto"/>
                <w:lang w:val="en-US" w:eastAsia="zh-CN"/>
              </w:rPr>
              <w:t>周边</w:t>
            </w:r>
            <w:r>
              <w:rPr>
                <w:rFonts w:hint="eastAsia" w:ascii="Times New Roman" w:hAnsi="Times New Roman" w:eastAsia="宋体" w:cs="Times New Roman"/>
                <w:color w:val="auto"/>
              </w:rPr>
              <w:t>无对环境质量要求较高的食品及医疗在生产企业，主要为</w:t>
            </w:r>
            <w:r>
              <w:rPr>
                <w:rFonts w:hint="eastAsia" w:ascii="Times New Roman" w:hAnsi="Times New Roman" w:eastAsia="宋体" w:cs="Times New Roman"/>
                <w:color w:val="auto"/>
                <w:lang w:val="en-US" w:eastAsia="zh-CN"/>
              </w:rPr>
              <w:t>农资店、汽车修理铺等</w:t>
            </w:r>
            <w:r>
              <w:rPr>
                <w:rFonts w:hint="eastAsia" w:ascii="Times New Roman" w:hAnsi="Times New Roman" w:eastAsia="宋体" w:cs="Times New Roman"/>
                <w:color w:val="auto"/>
              </w:rPr>
              <w:t>，项目所在区域环境敏感程度一般</w:t>
            </w:r>
            <w:r>
              <w:rPr>
                <w:rFonts w:ascii="Times New Roman" w:hAnsi="Times New Roman" w:eastAsia="宋体" w:cs="Times New Roman"/>
                <w:color w:val="auto"/>
              </w:rPr>
              <w:t>，无相互制约性企业</w:t>
            </w:r>
            <w:r>
              <w:rPr>
                <w:rFonts w:hint="eastAsia" w:ascii="Times New Roman" w:hAnsi="Times New Roman" w:eastAsia="宋体" w:cs="Times New Roman"/>
                <w:color w:val="auto"/>
              </w:rPr>
              <w:t>。</w:t>
            </w:r>
            <w:r>
              <w:rPr>
                <w:rFonts w:hint="eastAsia"/>
              </w:rPr>
              <w:t>项目区紧邻道路，交通运输满足建设期及运行期的原材料和燃料运输；项目周边给水、供电设施齐全。</w:t>
            </w:r>
          </w:p>
          <w:p>
            <w:pPr>
              <w:pStyle w:val="22"/>
              <w:ind w:firstLine="480"/>
              <w:jc w:val="both"/>
              <w:rPr>
                <w:rFonts w:hint="eastAsia"/>
              </w:rPr>
            </w:pPr>
            <w:r>
              <w:t>综上，本项目基础设施便于依托，评价范围内没有自然保护区、风景名胜区、水源保护区等敏感区，项目运营时不会导致本地区环境质量的下降，项目选址合理</w:t>
            </w:r>
            <w:r>
              <w:rPr>
                <w:rFonts w:hint="eastAsia"/>
              </w:rPr>
              <w:t>。</w:t>
            </w:r>
          </w:p>
          <w:p>
            <w:pPr>
              <w:pStyle w:val="22"/>
              <w:ind w:left="0" w:leftChars="0" w:firstLine="0" w:firstLineChars="0"/>
              <w:jc w:val="both"/>
              <w:rPr>
                <w:rFonts w:hint="eastAsia"/>
              </w:rPr>
            </w:pPr>
          </w:p>
          <w:p>
            <w:pPr>
              <w:pStyle w:val="22"/>
              <w:ind w:left="0" w:leftChars="0" w:firstLine="0" w:firstLineChars="0"/>
              <w:jc w:val="both"/>
              <w:rPr>
                <w:rFonts w:hint="eastAsia"/>
              </w:rPr>
            </w:pPr>
          </w:p>
          <w:p>
            <w:pPr>
              <w:pStyle w:val="22"/>
              <w:ind w:left="0" w:leftChars="0" w:firstLine="0" w:firstLineChars="0"/>
              <w:jc w:val="both"/>
              <w:rPr>
                <w:rFonts w:hint="eastAsia"/>
              </w:rPr>
            </w:pPr>
          </w:p>
          <w:p>
            <w:pPr>
              <w:pStyle w:val="22"/>
              <w:ind w:left="0" w:leftChars="0" w:firstLine="0" w:firstLineChars="0"/>
              <w:jc w:val="both"/>
              <w:rPr>
                <w:rFonts w:hint="eastAsia"/>
              </w:rPr>
            </w:pPr>
          </w:p>
          <w:p>
            <w:pPr>
              <w:pStyle w:val="22"/>
              <w:ind w:left="0" w:leftChars="0" w:firstLine="0" w:firstLineChars="0"/>
              <w:jc w:val="both"/>
              <w:rPr>
                <w:rFonts w:hint="eastAsia"/>
              </w:rPr>
            </w:pPr>
          </w:p>
          <w:p>
            <w:pPr>
              <w:pStyle w:val="22"/>
              <w:ind w:left="0" w:leftChars="0" w:firstLine="0" w:firstLineChars="0"/>
              <w:jc w:val="both"/>
              <w:rPr>
                <w:rFonts w:hint="eastAsia"/>
              </w:rPr>
            </w:pPr>
          </w:p>
          <w:p>
            <w:pPr>
              <w:pStyle w:val="22"/>
              <w:ind w:left="0" w:leftChars="0" w:firstLine="0" w:firstLineChars="0"/>
              <w:jc w:val="both"/>
              <w:rPr>
                <w:rFonts w:hint="eastAsia"/>
              </w:rPr>
            </w:pPr>
          </w:p>
          <w:p>
            <w:pPr>
              <w:pStyle w:val="22"/>
              <w:ind w:left="0" w:leftChars="0" w:firstLine="0" w:firstLineChars="0"/>
              <w:jc w:val="both"/>
              <w:rPr>
                <w:rFonts w:hint="eastAsia"/>
              </w:rPr>
            </w:pPr>
          </w:p>
          <w:p>
            <w:pPr>
              <w:pStyle w:val="22"/>
              <w:ind w:left="0" w:leftChars="0" w:firstLine="0" w:firstLineChars="0"/>
              <w:jc w:val="both"/>
              <w:rPr>
                <w:rFonts w:hint="eastAsia"/>
              </w:rPr>
            </w:pPr>
          </w:p>
          <w:p>
            <w:pPr>
              <w:pStyle w:val="22"/>
              <w:ind w:left="0" w:leftChars="0" w:firstLine="0" w:firstLineChars="0"/>
              <w:jc w:val="both"/>
              <w:rPr>
                <w:rFonts w:hint="eastAsia"/>
              </w:rPr>
            </w:pPr>
          </w:p>
          <w:p>
            <w:pPr>
              <w:pStyle w:val="22"/>
              <w:ind w:left="0" w:leftChars="0" w:firstLine="0" w:firstLineChars="0"/>
              <w:jc w:val="both"/>
              <w:rPr>
                <w:rFonts w:hint="eastAsia"/>
              </w:rPr>
            </w:pPr>
          </w:p>
          <w:p>
            <w:pPr>
              <w:pStyle w:val="22"/>
              <w:ind w:left="0" w:leftChars="0" w:firstLine="0" w:firstLineChars="0"/>
              <w:jc w:val="both"/>
              <w:rPr>
                <w:rFonts w:hint="eastAsia"/>
              </w:rPr>
            </w:pPr>
          </w:p>
          <w:p>
            <w:pPr>
              <w:pStyle w:val="22"/>
              <w:ind w:left="0" w:leftChars="0" w:firstLine="0" w:firstLineChars="0"/>
              <w:jc w:val="both"/>
              <w:rPr>
                <w:rFonts w:hint="eastAsia"/>
              </w:rPr>
            </w:pPr>
          </w:p>
        </w:tc>
      </w:tr>
    </w:tbl>
    <w:p>
      <w:p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5"/>
        <w:numPr>
          <w:ilvl w:val="0"/>
          <w:numId w:val="2"/>
        </w:numPr>
      </w:pPr>
      <w:r>
        <w:rPr>
          <w:rFonts w:hint="eastAsia"/>
        </w:rPr>
        <w:t>建设项目工程分析</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0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5" w:type="dxa"/>
            <w:tcBorders>
              <w:tl2br w:val="nil"/>
              <w:tr2bl w:val="nil"/>
            </w:tcBorders>
            <w:vAlign w:val="center"/>
          </w:tcPr>
          <w:p>
            <w:pPr>
              <w:jc w:val="center"/>
              <w:rPr>
                <w:color w:val="auto"/>
              </w:rPr>
            </w:pPr>
            <w:r>
              <w:rPr>
                <w:rFonts w:hint="eastAsia" w:cs="宋体"/>
                <w:color w:val="auto"/>
              </w:rPr>
              <w:t>建设内容</w:t>
            </w:r>
          </w:p>
        </w:tc>
        <w:tc>
          <w:tcPr>
            <w:tcW w:w="8067" w:type="dxa"/>
            <w:tcBorders>
              <w:tl2br w:val="nil"/>
              <w:tr2bl w:val="nil"/>
            </w:tcBorders>
          </w:tcPr>
          <w:p>
            <w:pPr>
              <w:pStyle w:val="6"/>
              <w:numPr>
                <w:ilvl w:val="0"/>
                <w:numId w:val="6"/>
              </w:numPr>
              <w:jc w:val="both"/>
              <w:outlineLvl w:val="1"/>
              <w:rPr>
                <w:color w:val="auto"/>
              </w:rPr>
            </w:pPr>
            <w:r>
              <w:rPr>
                <w:rFonts w:hint="eastAsia"/>
                <w:color w:val="auto"/>
                <w:lang w:val="en-US" w:eastAsia="zh-CN"/>
              </w:rPr>
              <w:t>项目基本情况</w:t>
            </w:r>
          </w:p>
          <w:p>
            <w:pPr>
              <w:pStyle w:val="7"/>
              <w:bidi w:val="0"/>
              <w:jc w:val="both"/>
              <w:rPr>
                <w:rFonts w:hint="default"/>
                <w:color w:val="auto"/>
                <w:lang w:val="en-US" w:eastAsia="zh-CN"/>
              </w:rPr>
            </w:pPr>
            <w:r>
              <w:rPr>
                <w:rFonts w:hint="eastAsia"/>
                <w:color w:val="auto"/>
                <w:lang w:val="en-US" w:eastAsia="zh-CN"/>
              </w:rPr>
              <w:t>1.1项目背景</w:t>
            </w:r>
          </w:p>
          <w:p>
            <w:pPr>
              <w:pStyle w:val="22"/>
              <w:bidi w:val="0"/>
              <w:jc w:val="both"/>
              <w:rPr>
                <w:rFonts w:hint="eastAsia"/>
                <w:color w:val="auto"/>
                <w:lang w:val="en-US" w:eastAsia="zh-CN"/>
              </w:rPr>
            </w:pPr>
            <w:r>
              <w:rPr>
                <w:rFonts w:hint="eastAsia"/>
                <w:b w:val="0"/>
                <w:bCs/>
                <w:color w:val="auto"/>
                <w:lang w:val="en-US" w:eastAsia="zh-CN"/>
              </w:rPr>
              <w:t>本项目租用</w:t>
            </w:r>
            <w:r>
              <w:rPr>
                <w:rFonts w:hint="eastAsia" w:cs="Times New Roman"/>
                <w:color w:val="auto"/>
                <w:kern w:val="0"/>
                <w:lang w:val="en-US" w:eastAsia="zh-CN" w:bidi="ar"/>
              </w:rPr>
              <w:t>吉木萨尔县北庭春物流园有限责任公司现有生产厂房</w:t>
            </w:r>
            <w:r>
              <w:rPr>
                <w:rFonts w:hint="eastAsia"/>
                <w:b w:val="0"/>
                <w:bCs/>
                <w:color w:val="auto"/>
                <w:lang w:val="en-US" w:eastAsia="zh-CN"/>
              </w:rPr>
              <w:t>位于</w:t>
            </w:r>
            <w:r>
              <w:rPr>
                <w:rFonts w:hint="eastAsia"/>
                <w:color w:val="auto"/>
                <w:lang w:eastAsia="zh-CN"/>
              </w:rPr>
              <w:t>吉木萨尔县北庭综合物流园内</w:t>
            </w:r>
            <w:r>
              <w:rPr>
                <w:rFonts w:hint="eastAsia"/>
                <w:color w:val="auto"/>
                <w:lang w:val="en-US" w:eastAsia="zh-CN"/>
              </w:rPr>
              <w:t>，租用面积800m</w:t>
            </w:r>
            <w:r>
              <w:rPr>
                <w:rFonts w:hint="eastAsia"/>
                <w:color w:val="auto"/>
                <w:vertAlign w:val="superscript"/>
                <w:lang w:val="en-US" w:eastAsia="zh-CN"/>
              </w:rPr>
              <w:t>2</w:t>
            </w:r>
            <w:r>
              <w:rPr>
                <w:rFonts w:hint="eastAsia"/>
                <w:color w:val="auto"/>
                <w:lang w:val="en-US" w:eastAsia="zh-CN"/>
              </w:rPr>
              <w:t>，项目建成后布草年洗涤量达73万套的生产规模配套建设1台2t/h燃气蒸汽锅炉用于生产供热。</w:t>
            </w:r>
          </w:p>
          <w:p>
            <w:pPr>
              <w:pStyle w:val="22"/>
              <w:bidi w:val="0"/>
              <w:jc w:val="both"/>
              <w:rPr>
                <w:rFonts w:hint="default"/>
                <w:color w:val="auto"/>
                <w:lang w:val="en-US" w:eastAsia="zh-CN"/>
              </w:rPr>
            </w:pPr>
            <w:r>
              <w:rPr>
                <w:rFonts w:hint="eastAsia"/>
                <w:color w:val="auto"/>
                <w:lang w:val="en-US" w:eastAsia="zh-CN"/>
              </w:rPr>
              <w:t>本项目主要洗涤对象：酒店布草。</w:t>
            </w:r>
          </w:p>
          <w:p>
            <w:pPr>
              <w:pStyle w:val="7"/>
              <w:jc w:val="both"/>
              <w:outlineLvl w:val="2"/>
              <w:rPr>
                <w:color w:val="auto"/>
              </w:rPr>
            </w:pPr>
            <w:r>
              <w:rPr>
                <w:rFonts w:hint="eastAsia"/>
                <w:color w:val="auto"/>
              </w:rPr>
              <w:t>1.</w:t>
            </w:r>
            <w:r>
              <w:rPr>
                <w:rFonts w:hint="eastAsia"/>
                <w:color w:val="auto"/>
                <w:lang w:val="en-US" w:eastAsia="zh-CN"/>
              </w:rPr>
              <w:t>2</w:t>
            </w:r>
            <w:r>
              <w:rPr>
                <w:rFonts w:hint="eastAsia"/>
                <w:color w:val="auto"/>
              </w:rPr>
              <w:t xml:space="preserve"> 项目建设内容</w:t>
            </w:r>
          </w:p>
          <w:p>
            <w:pPr>
              <w:pStyle w:val="22"/>
              <w:ind w:firstLine="480"/>
              <w:jc w:val="both"/>
              <w:rPr>
                <w:rFonts w:hint="default" w:eastAsia="宋体"/>
                <w:color w:val="auto"/>
                <w:lang w:val="en-US" w:eastAsia="zh-CN"/>
              </w:rPr>
            </w:pPr>
            <w:r>
              <w:rPr>
                <w:rFonts w:hint="eastAsia"/>
                <w:color w:val="auto"/>
                <w:lang w:val="en-US" w:eastAsia="zh-CN"/>
              </w:rPr>
              <w:t>本项目主要建设内容见表2-1。</w:t>
            </w:r>
          </w:p>
          <w:p>
            <w:pPr>
              <w:pStyle w:val="32"/>
              <w:rPr>
                <w:rFonts w:hint="eastAsia"/>
                <w:color w:val="auto"/>
              </w:rPr>
            </w:pPr>
            <w:r>
              <w:rPr>
                <w:rFonts w:hint="eastAsia"/>
                <w:color w:val="auto"/>
              </w:rPr>
              <w:t>表2-1    项目建设内容一览表</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9"/>
              <w:gridCol w:w="1099"/>
              <w:gridCol w:w="4781"/>
              <w:gridCol w:w="7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tcBorders>
                    <w:bottom w:val="single" w:color="auto" w:sz="12" w:space="0"/>
                  </w:tcBorders>
                  <w:vAlign w:val="center"/>
                </w:tcPr>
                <w:p>
                  <w:pPr>
                    <w:pStyle w:val="33"/>
                    <w:widowControl w:val="0"/>
                    <w:bidi w:val="0"/>
                    <w:rPr>
                      <w:rFonts w:hint="default"/>
                      <w:b/>
                      <w:bCs/>
                      <w:color w:val="auto"/>
                      <w:lang w:val="en-US" w:eastAsia="zh-CN"/>
                    </w:rPr>
                  </w:pPr>
                  <w:r>
                    <w:rPr>
                      <w:rFonts w:hint="eastAsia"/>
                      <w:b/>
                      <w:bCs/>
                      <w:color w:val="auto"/>
                      <w:lang w:val="en-US" w:eastAsia="zh-CN"/>
                    </w:rPr>
                    <w:t>工程类型</w:t>
                  </w:r>
                </w:p>
              </w:tc>
              <w:tc>
                <w:tcPr>
                  <w:tcW w:w="700" w:type="pct"/>
                  <w:tcBorders>
                    <w:bottom w:val="single" w:color="auto" w:sz="12" w:space="0"/>
                  </w:tcBorders>
                  <w:vAlign w:val="center"/>
                </w:tcPr>
                <w:p>
                  <w:pPr>
                    <w:pStyle w:val="33"/>
                    <w:widowControl w:val="0"/>
                    <w:bidi w:val="0"/>
                    <w:rPr>
                      <w:rFonts w:hint="default"/>
                      <w:b/>
                      <w:bCs/>
                      <w:color w:val="auto"/>
                      <w:lang w:val="en-US" w:eastAsia="zh-CN"/>
                    </w:rPr>
                  </w:pPr>
                  <w:r>
                    <w:rPr>
                      <w:rFonts w:hint="eastAsia"/>
                      <w:b/>
                      <w:bCs/>
                      <w:color w:val="auto"/>
                      <w:lang w:val="en-US" w:eastAsia="zh-CN"/>
                    </w:rPr>
                    <w:t>工程名称</w:t>
                  </w:r>
                </w:p>
              </w:tc>
              <w:tc>
                <w:tcPr>
                  <w:tcW w:w="3045" w:type="pct"/>
                  <w:tcBorders>
                    <w:bottom w:val="single" w:color="auto" w:sz="12" w:space="0"/>
                  </w:tcBorders>
                  <w:vAlign w:val="center"/>
                </w:tcPr>
                <w:p>
                  <w:pPr>
                    <w:pStyle w:val="33"/>
                    <w:widowControl w:val="0"/>
                    <w:bidi w:val="0"/>
                    <w:rPr>
                      <w:rFonts w:hint="default"/>
                      <w:b/>
                      <w:bCs/>
                      <w:color w:val="auto"/>
                      <w:lang w:val="en-US" w:eastAsia="zh-CN"/>
                    </w:rPr>
                  </w:pPr>
                  <w:r>
                    <w:rPr>
                      <w:rFonts w:hint="eastAsia"/>
                      <w:b/>
                      <w:bCs/>
                      <w:color w:val="auto"/>
                      <w:lang w:val="en-US" w:eastAsia="zh-CN"/>
                    </w:rPr>
                    <w:t>建设内容</w:t>
                  </w:r>
                </w:p>
              </w:tc>
              <w:tc>
                <w:tcPr>
                  <w:tcW w:w="502" w:type="pct"/>
                  <w:tcBorders>
                    <w:bottom w:val="single" w:color="auto" w:sz="12" w:space="0"/>
                  </w:tcBorders>
                  <w:vAlign w:val="center"/>
                </w:tcPr>
                <w:p>
                  <w:pPr>
                    <w:pStyle w:val="33"/>
                    <w:widowControl w:val="0"/>
                    <w:bidi w:val="0"/>
                    <w:rPr>
                      <w:rFonts w:hint="default"/>
                      <w:b/>
                      <w:bCs/>
                      <w:color w:val="auto"/>
                      <w:lang w:val="en-US" w:eastAsia="zh-CN"/>
                    </w:rPr>
                  </w:pPr>
                  <w:r>
                    <w:rPr>
                      <w:rFonts w:hint="eastAsia"/>
                      <w:b/>
                      <w:bCs/>
                      <w:color w:val="auto"/>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restart"/>
                  <w:tcBorders>
                    <w:top w:val="single" w:color="auto" w:sz="12" w:space="0"/>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主体工程</w:t>
                  </w:r>
                </w:p>
              </w:tc>
              <w:tc>
                <w:tcPr>
                  <w:tcW w:w="700" w:type="pct"/>
                  <w:tcBorders>
                    <w:top w:val="single" w:color="auto" w:sz="12" w:space="0"/>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生产车间</w:t>
                  </w:r>
                </w:p>
              </w:tc>
              <w:tc>
                <w:tcPr>
                  <w:tcW w:w="3045" w:type="pct"/>
                  <w:tcBorders>
                    <w:top w:val="single" w:color="auto" w:sz="12" w:space="0"/>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占地面积770平方米，位于项目区西侧</w:t>
                  </w:r>
                </w:p>
              </w:tc>
              <w:tc>
                <w:tcPr>
                  <w:tcW w:w="502" w:type="pct"/>
                  <w:tcBorders>
                    <w:top w:val="single" w:color="auto" w:sz="12" w:space="0"/>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pStyle w:val="33"/>
                    <w:widowControl w:val="0"/>
                    <w:bidi w:val="0"/>
                    <w:rPr>
                      <w:rFonts w:hint="eastAsia"/>
                      <w:color w:val="auto"/>
                      <w:lang w:val="en-US" w:eastAsia="zh-CN"/>
                    </w:rPr>
                  </w:pPr>
                </w:p>
              </w:tc>
              <w:tc>
                <w:tcPr>
                  <w:tcW w:w="700" w:type="pct"/>
                  <w:tcBorders>
                    <w:tl2br w:val="nil"/>
                    <w:tr2bl w:val="nil"/>
                  </w:tcBorders>
                  <w:vAlign w:val="center"/>
                </w:tcPr>
                <w:p>
                  <w:pPr>
                    <w:pStyle w:val="33"/>
                    <w:widowControl w:val="0"/>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锅炉房</w:t>
                  </w:r>
                </w:p>
              </w:tc>
              <w:tc>
                <w:tcPr>
                  <w:tcW w:w="3045" w:type="pct"/>
                  <w:tcBorders>
                    <w:tl2br w:val="nil"/>
                    <w:tr2bl w:val="nil"/>
                  </w:tcBorders>
                  <w:vAlign w:val="center"/>
                </w:tcPr>
                <w:p>
                  <w:pPr>
                    <w:pStyle w:val="33"/>
                    <w:widowControl w:val="0"/>
                    <w:bidi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占地面积30平方米，位于项目区南侧</w:t>
                  </w:r>
                </w:p>
              </w:tc>
              <w:tc>
                <w:tcPr>
                  <w:tcW w:w="502"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restar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公用工程</w:t>
                  </w:r>
                </w:p>
              </w:tc>
              <w:tc>
                <w:tcPr>
                  <w:tcW w:w="700"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供水工程</w:t>
                  </w:r>
                </w:p>
              </w:tc>
              <w:tc>
                <w:tcPr>
                  <w:tcW w:w="3045"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市政供水管网</w:t>
                  </w:r>
                </w:p>
              </w:tc>
              <w:tc>
                <w:tcPr>
                  <w:tcW w:w="502" w:type="pct"/>
                  <w:tcBorders>
                    <w:tl2br w:val="nil"/>
                    <w:tr2bl w:val="nil"/>
                  </w:tcBorders>
                  <w:vAlign w:val="center"/>
                </w:tcPr>
                <w:p>
                  <w:pPr>
                    <w:pStyle w:val="33"/>
                    <w:widowControl w:val="0"/>
                    <w:bidi w:val="0"/>
                    <w:rPr>
                      <w:rFonts w:hint="eastAsia"/>
                      <w:color w:val="auto"/>
                      <w:lang w:val="en-US" w:eastAsia="zh-CN"/>
                    </w:rPr>
                  </w:pPr>
                  <w:r>
                    <w:rPr>
                      <w:rFonts w:hint="eastAsia"/>
                      <w:color w:val="auto"/>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pStyle w:val="33"/>
                    <w:widowControl w:val="0"/>
                    <w:bidi w:val="0"/>
                    <w:rPr>
                      <w:rFonts w:hint="default"/>
                      <w:color w:val="auto"/>
                      <w:lang w:val="en-US" w:eastAsia="zh-CN"/>
                    </w:rPr>
                  </w:pPr>
                </w:p>
              </w:tc>
              <w:tc>
                <w:tcPr>
                  <w:tcW w:w="700"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供电工程</w:t>
                  </w:r>
                </w:p>
              </w:tc>
              <w:tc>
                <w:tcPr>
                  <w:tcW w:w="3045"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市政电网</w:t>
                  </w:r>
                </w:p>
              </w:tc>
              <w:tc>
                <w:tcPr>
                  <w:tcW w:w="502" w:type="pct"/>
                  <w:tcBorders>
                    <w:tl2br w:val="nil"/>
                    <w:tr2bl w:val="nil"/>
                  </w:tcBorders>
                  <w:vAlign w:val="center"/>
                </w:tcPr>
                <w:p>
                  <w:pPr>
                    <w:pStyle w:val="33"/>
                    <w:widowControl w:val="0"/>
                    <w:bidi w:val="0"/>
                    <w:rPr>
                      <w:rFonts w:hint="eastAsia"/>
                      <w:color w:val="auto"/>
                      <w:lang w:val="en-US" w:eastAsia="zh-CN"/>
                    </w:rPr>
                  </w:pPr>
                  <w:r>
                    <w:rPr>
                      <w:rFonts w:hint="eastAsia"/>
                      <w:color w:val="auto"/>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pStyle w:val="33"/>
                    <w:widowControl w:val="0"/>
                    <w:bidi w:val="0"/>
                    <w:rPr>
                      <w:rFonts w:hint="default"/>
                      <w:color w:val="auto"/>
                      <w:lang w:val="en-US" w:eastAsia="zh-CN"/>
                    </w:rPr>
                  </w:pPr>
                </w:p>
              </w:tc>
              <w:tc>
                <w:tcPr>
                  <w:tcW w:w="700"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供气</w:t>
                  </w:r>
                </w:p>
              </w:tc>
              <w:tc>
                <w:tcPr>
                  <w:tcW w:w="3045"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天然气管网</w:t>
                  </w:r>
                </w:p>
              </w:tc>
              <w:tc>
                <w:tcPr>
                  <w:tcW w:w="502" w:type="pct"/>
                  <w:tcBorders>
                    <w:tl2br w:val="nil"/>
                    <w:tr2bl w:val="nil"/>
                  </w:tcBorders>
                  <w:vAlign w:val="center"/>
                </w:tcPr>
                <w:p>
                  <w:pPr>
                    <w:pStyle w:val="33"/>
                    <w:widowControl w:val="0"/>
                    <w:bidi w:val="0"/>
                    <w:rPr>
                      <w:rFonts w:hint="eastAsia"/>
                      <w:color w:val="auto"/>
                      <w:lang w:val="en-US" w:eastAsia="zh-CN"/>
                    </w:rPr>
                  </w:pPr>
                  <w:r>
                    <w:rPr>
                      <w:rFonts w:hint="eastAsia"/>
                      <w:color w:val="auto"/>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pStyle w:val="33"/>
                    <w:widowControl w:val="0"/>
                    <w:bidi w:val="0"/>
                    <w:rPr>
                      <w:rFonts w:hint="default"/>
                      <w:color w:val="auto"/>
                      <w:lang w:val="en-US" w:eastAsia="zh-CN"/>
                    </w:rPr>
                  </w:pPr>
                </w:p>
              </w:tc>
              <w:tc>
                <w:tcPr>
                  <w:tcW w:w="700"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供热工程</w:t>
                  </w:r>
                </w:p>
              </w:tc>
              <w:tc>
                <w:tcPr>
                  <w:tcW w:w="3045"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新建1台</w:t>
                  </w:r>
                  <w:r>
                    <w:rPr>
                      <w:rFonts w:hint="eastAsia" w:cs="Times New Roman"/>
                      <w:color w:val="auto"/>
                      <w:lang w:val="en-US" w:eastAsia="zh-CN"/>
                    </w:rPr>
                    <w:t>2</w:t>
                  </w:r>
                  <w:r>
                    <w:rPr>
                      <w:rFonts w:hint="eastAsia"/>
                      <w:color w:val="auto"/>
                      <w:lang w:val="en-US" w:eastAsia="zh-CN"/>
                    </w:rPr>
                    <w:t>t/h天然气蒸汽锅炉</w:t>
                  </w:r>
                </w:p>
              </w:tc>
              <w:tc>
                <w:tcPr>
                  <w:tcW w:w="502" w:type="pct"/>
                  <w:tcBorders>
                    <w:tl2br w:val="nil"/>
                    <w:tr2bl w:val="nil"/>
                  </w:tcBorders>
                  <w:vAlign w:val="center"/>
                </w:tcPr>
                <w:p>
                  <w:pPr>
                    <w:pStyle w:val="33"/>
                    <w:widowControl w:val="0"/>
                    <w:bidi w:val="0"/>
                    <w:rPr>
                      <w:rFonts w:hint="eastAsia"/>
                      <w:color w:val="auto"/>
                      <w:lang w:val="en-US" w:eastAsia="zh-CN"/>
                    </w:rPr>
                  </w:pPr>
                  <w:r>
                    <w:rPr>
                      <w:rFonts w:hint="eastAsia"/>
                      <w:color w:val="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pStyle w:val="33"/>
                    <w:widowControl w:val="0"/>
                    <w:bidi w:val="0"/>
                    <w:rPr>
                      <w:rFonts w:hint="default"/>
                      <w:color w:val="auto"/>
                      <w:lang w:val="en-US" w:eastAsia="zh-CN"/>
                    </w:rPr>
                  </w:pPr>
                </w:p>
              </w:tc>
              <w:tc>
                <w:tcPr>
                  <w:tcW w:w="700"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供暖</w:t>
                  </w:r>
                </w:p>
              </w:tc>
              <w:tc>
                <w:tcPr>
                  <w:tcW w:w="3045"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冬季值班人员采用电采暖</w:t>
                  </w:r>
                </w:p>
              </w:tc>
              <w:tc>
                <w:tcPr>
                  <w:tcW w:w="502" w:type="pct"/>
                  <w:tcBorders>
                    <w:tl2br w:val="nil"/>
                    <w:tr2bl w:val="nil"/>
                  </w:tcBorders>
                  <w:vAlign w:val="center"/>
                </w:tcPr>
                <w:p>
                  <w:pPr>
                    <w:pStyle w:val="33"/>
                    <w:widowControl w:val="0"/>
                    <w:bidi w:val="0"/>
                    <w:rPr>
                      <w:rFonts w:hint="eastAsia"/>
                      <w:color w:val="auto"/>
                      <w:lang w:val="en-US" w:eastAsia="zh-CN"/>
                    </w:rPr>
                  </w:pPr>
                  <w:r>
                    <w:rPr>
                      <w:rFonts w:hint="eastAsia"/>
                      <w:color w:val="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pStyle w:val="33"/>
                    <w:widowControl w:val="0"/>
                    <w:bidi w:val="0"/>
                    <w:rPr>
                      <w:rFonts w:hint="default"/>
                      <w:color w:val="auto"/>
                      <w:lang w:val="en-US" w:eastAsia="zh-CN"/>
                    </w:rPr>
                  </w:pPr>
                </w:p>
              </w:tc>
              <w:tc>
                <w:tcPr>
                  <w:tcW w:w="700"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排水工程</w:t>
                  </w:r>
                </w:p>
              </w:tc>
              <w:tc>
                <w:tcPr>
                  <w:tcW w:w="3045" w:type="pct"/>
                  <w:tcBorders>
                    <w:tl2br w:val="nil"/>
                    <w:tr2bl w:val="nil"/>
                  </w:tcBorders>
                  <w:vAlign w:val="center"/>
                </w:tcPr>
                <w:p>
                  <w:pPr>
                    <w:pStyle w:val="33"/>
                    <w:widowControl w:val="0"/>
                    <w:bidi w:val="0"/>
                    <w:rPr>
                      <w:rFonts w:hint="default" w:eastAsia="宋体"/>
                      <w:color w:val="auto"/>
                      <w:lang w:val="en-US" w:eastAsia="zh-CN"/>
                    </w:rPr>
                  </w:pPr>
                  <w:r>
                    <w:rPr>
                      <w:rFonts w:hint="eastAsia"/>
                      <w:color w:val="auto"/>
                      <w:lang w:val="en-US" w:eastAsia="zh-CN"/>
                    </w:rPr>
                    <w:t>洗涤废水经污水处理站处理后与锅炉排污水及软水制备废水一并排入市政污水管网</w:t>
                  </w:r>
                </w:p>
              </w:tc>
              <w:tc>
                <w:tcPr>
                  <w:tcW w:w="502" w:type="pct"/>
                  <w:tcBorders>
                    <w:tl2br w:val="nil"/>
                    <w:tr2bl w:val="nil"/>
                  </w:tcBorders>
                  <w:vAlign w:val="center"/>
                </w:tcPr>
                <w:p>
                  <w:pPr>
                    <w:pStyle w:val="33"/>
                    <w:widowControl w:val="0"/>
                    <w:bidi w:val="0"/>
                    <w:rPr>
                      <w:rFonts w:hint="eastAsia"/>
                      <w:color w:val="auto"/>
                      <w:lang w:val="en-US" w:eastAsia="zh-CN"/>
                    </w:rPr>
                  </w:pPr>
                  <w:r>
                    <w:rPr>
                      <w:rFonts w:hint="eastAsia"/>
                      <w:color w:val="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restar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环保工程</w:t>
                  </w:r>
                </w:p>
              </w:tc>
              <w:tc>
                <w:tcPr>
                  <w:tcW w:w="700"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废气治理</w:t>
                  </w:r>
                </w:p>
              </w:tc>
              <w:tc>
                <w:tcPr>
                  <w:tcW w:w="3045" w:type="pct"/>
                  <w:tcBorders>
                    <w:tl2br w:val="nil"/>
                    <w:tr2bl w:val="nil"/>
                  </w:tcBorders>
                  <w:vAlign w:val="center"/>
                </w:tcPr>
                <w:p>
                  <w:pPr>
                    <w:pStyle w:val="33"/>
                    <w:widowControl w:val="0"/>
                    <w:bidi w:val="0"/>
                    <w:rPr>
                      <w:rFonts w:hint="default"/>
                      <w:color w:val="auto"/>
                      <w:lang w:val="en-US" w:eastAsia="zh-CN"/>
                    </w:rPr>
                  </w:pPr>
                  <w:r>
                    <w:rPr>
                      <w:rFonts w:hint="default"/>
                      <w:color w:val="auto"/>
                      <w:lang w:val="en-US" w:eastAsia="zh-CN"/>
                    </w:rPr>
                    <w:t>低氮燃烧</w:t>
                  </w:r>
                  <w:r>
                    <w:rPr>
                      <w:rFonts w:hint="eastAsia"/>
                      <w:color w:val="auto"/>
                      <w:lang w:val="en-US" w:eastAsia="zh-CN"/>
                    </w:rPr>
                    <w:t>技术+烟气再循环工艺</w:t>
                  </w:r>
                  <w:r>
                    <w:rPr>
                      <w:rFonts w:hint="default"/>
                      <w:color w:val="auto"/>
                      <w:lang w:val="en-US" w:eastAsia="zh-CN"/>
                    </w:rPr>
                    <w:t>，</w:t>
                  </w:r>
                  <w:r>
                    <w:rPr>
                      <w:rFonts w:hint="eastAsia"/>
                      <w:color w:val="auto"/>
                      <w:lang w:val="en-US" w:eastAsia="zh-CN"/>
                    </w:rPr>
                    <w:t>1</w:t>
                  </w:r>
                  <w:r>
                    <w:rPr>
                      <w:rFonts w:hint="default"/>
                      <w:color w:val="auto"/>
                      <w:lang w:val="en-US" w:eastAsia="zh-CN"/>
                    </w:rPr>
                    <w:t>根</w:t>
                  </w:r>
                  <w:r>
                    <w:rPr>
                      <w:rFonts w:hint="eastAsia"/>
                      <w:color w:val="auto"/>
                      <w:lang w:val="en-US" w:eastAsia="zh-CN"/>
                    </w:rPr>
                    <w:t>8</w:t>
                  </w:r>
                  <w:r>
                    <w:rPr>
                      <w:rFonts w:hint="default"/>
                      <w:color w:val="auto"/>
                      <w:lang w:val="en-US" w:eastAsia="zh-CN"/>
                    </w:rPr>
                    <w:t>m的烟囱</w:t>
                  </w:r>
                </w:p>
              </w:tc>
              <w:tc>
                <w:tcPr>
                  <w:tcW w:w="502"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pStyle w:val="33"/>
                    <w:widowControl w:val="0"/>
                    <w:bidi w:val="0"/>
                    <w:rPr>
                      <w:rFonts w:hint="default"/>
                      <w:color w:val="auto"/>
                      <w:lang w:val="en-US" w:eastAsia="zh-CN"/>
                    </w:rPr>
                  </w:pPr>
                </w:p>
              </w:tc>
              <w:tc>
                <w:tcPr>
                  <w:tcW w:w="700"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废水治理</w:t>
                  </w:r>
                </w:p>
              </w:tc>
              <w:tc>
                <w:tcPr>
                  <w:tcW w:w="3045"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洗涤废水经污水处理站处理后与锅炉排污水及软水制备废水一并排入市政污水管网</w:t>
                  </w:r>
                </w:p>
              </w:tc>
              <w:tc>
                <w:tcPr>
                  <w:tcW w:w="502" w:type="pct"/>
                  <w:tcBorders>
                    <w:tl2br w:val="nil"/>
                    <w:tr2bl w:val="nil"/>
                  </w:tcBorders>
                  <w:vAlign w:val="center"/>
                </w:tcPr>
                <w:p>
                  <w:pPr>
                    <w:pStyle w:val="33"/>
                    <w:widowControl w:val="0"/>
                    <w:bidi w:val="0"/>
                    <w:rPr>
                      <w:rFonts w:hint="eastAsia"/>
                      <w:color w:val="auto"/>
                      <w:lang w:val="en-US" w:eastAsia="zh-CN"/>
                    </w:rPr>
                  </w:pPr>
                  <w:r>
                    <w:rPr>
                      <w:rFonts w:hint="eastAsia"/>
                      <w:color w:val="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pStyle w:val="33"/>
                    <w:widowControl w:val="0"/>
                    <w:bidi w:val="0"/>
                    <w:rPr>
                      <w:rFonts w:hint="default"/>
                      <w:color w:val="auto"/>
                      <w:lang w:val="en-US" w:eastAsia="zh-CN"/>
                    </w:rPr>
                  </w:pPr>
                </w:p>
              </w:tc>
              <w:tc>
                <w:tcPr>
                  <w:tcW w:w="700"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噪声治理</w:t>
                  </w:r>
                </w:p>
              </w:tc>
              <w:tc>
                <w:tcPr>
                  <w:tcW w:w="3045"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厂房隔声、基础减震</w:t>
                  </w:r>
                </w:p>
              </w:tc>
              <w:tc>
                <w:tcPr>
                  <w:tcW w:w="502" w:type="pct"/>
                  <w:tcBorders>
                    <w:tl2br w:val="nil"/>
                    <w:tr2bl w:val="nil"/>
                  </w:tcBorders>
                  <w:vAlign w:val="center"/>
                </w:tcPr>
                <w:p>
                  <w:pPr>
                    <w:pStyle w:val="33"/>
                    <w:widowControl w:val="0"/>
                    <w:bidi w:val="0"/>
                    <w:rPr>
                      <w:rFonts w:hint="eastAsia"/>
                      <w:color w:val="auto"/>
                      <w:lang w:val="en-US" w:eastAsia="zh-CN"/>
                    </w:rPr>
                  </w:pPr>
                  <w:r>
                    <w:rPr>
                      <w:rFonts w:hint="eastAsia"/>
                      <w:color w:val="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pStyle w:val="33"/>
                    <w:widowControl w:val="0"/>
                    <w:bidi w:val="0"/>
                    <w:rPr>
                      <w:rFonts w:hint="default"/>
                      <w:color w:val="auto"/>
                      <w:lang w:val="en-US" w:eastAsia="zh-CN"/>
                    </w:rPr>
                  </w:pPr>
                </w:p>
              </w:tc>
              <w:tc>
                <w:tcPr>
                  <w:tcW w:w="700"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固废治理</w:t>
                  </w:r>
                </w:p>
              </w:tc>
              <w:tc>
                <w:tcPr>
                  <w:tcW w:w="3045" w:type="pct"/>
                  <w:tcBorders>
                    <w:tl2br w:val="nil"/>
                    <w:tr2bl w:val="nil"/>
                  </w:tcBorders>
                  <w:vAlign w:val="center"/>
                </w:tcPr>
                <w:p>
                  <w:pPr>
                    <w:pStyle w:val="33"/>
                    <w:widowControl w:val="0"/>
                    <w:bidi w:val="0"/>
                    <w:rPr>
                      <w:rFonts w:hint="default"/>
                      <w:color w:val="auto"/>
                      <w:lang w:val="en-US" w:eastAsia="zh-CN"/>
                    </w:rPr>
                  </w:pPr>
                  <w:r>
                    <w:rPr>
                      <w:rFonts w:hint="eastAsia"/>
                      <w:color w:val="auto"/>
                      <w:lang w:val="en-US" w:eastAsia="zh-CN"/>
                    </w:rPr>
                    <w:t>废包装物集中收集后外售；废离子交换树脂由厂家定期更换回收；污水处理站污泥定期清掏，委托环卫部门清运处置</w:t>
                  </w:r>
                </w:p>
              </w:tc>
              <w:tc>
                <w:tcPr>
                  <w:tcW w:w="502" w:type="pct"/>
                  <w:tcBorders>
                    <w:tl2br w:val="nil"/>
                    <w:tr2bl w:val="nil"/>
                  </w:tcBorders>
                  <w:vAlign w:val="center"/>
                </w:tcPr>
                <w:p>
                  <w:pPr>
                    <w:pStyle w:val="33"/>
                    <w:widowControl w:val="0"/>
                    <w:bidi w:val="0"/>
                    <w:rPr>
                      <w:rFonts w:hint="eastAsia"/>
                      <w:color w:val="auto"/>
                      <w:lang w:val="en-US" w:eastAsia="zh-CN"/>
                    </w:rPr>
                  </w:pPr>
                  <w:r>
                    <w:rPr>
                      <w:rFonts w:hint="eastAsia"/>
                      <w:color w:val="auto"/>
                      <w:lang w:val="en-US" w:eastAsia="zh-CN"/>
                    </w:rPr>
                    <w:t>新建</w:t>
                  </w:r>
                </w:p>
              </w:tc>
            </w:tr>
          </w:tbl>
          <w:p>
            <w:pPr>
              <w:pStyle w:val="6"/>
              <w:numPr>
                <w:ilvl w:val="0"/>
                <w:numId w:val="6"/>
              </w:numPr>
              <w:jc w:val="both"/>
              <w:outlineLvl w:val="1"/>
              <w:rPr>
                <w:color w:val="auto"/>
              </w:rPr>
            </w:pPr>
            <w:r>
              <w:rPr>
                <w:rFonts w:hint="eastAsia"/>
                <w:color w:val="auto"/>
              </w:rPr>
              <w:t>生产设备</w:t>
            </w:r>
          </w:p>
          <w:p>
            <w:pPr>
              <w:pStyle w:val="22"/>
              <w:ind w:firstLine="480"/>
              <w:jc w:val="both"/>
              <w:rPr>
                <w:color w:val="auto"/>
              </w:rPr>
            </w:pPr>
            <w:r>
              <w:rPr>
                <w:color w:val="auto"/>
              </w:rPr>
              <w:t>本项目主要</w:t>
            </w:r>
            <w:r>
              <w:rPr>
                <w:rFonts w:hint="eastAsia"/>
                <w:color w:val="auto"/>
              </w:rPr>
              <w:t>生产设备</w:t>
            </w:r>
            <w:r>
              <w:rPr>
                <w:color w:val="auto"/>
              </w:rPr>
              <w:t>见表</w:t>
            </w:r>
            <w:r>
              <w:rPr>
                <w:rFonts w:hint="eastAsia"/>
                <w:color w:val="auto"/>
              </w:rPr>
              <w:t>2-</w:t>
            </w:r>
            <w:r>
              <w:rPr>
                <w:color w:val="auto"/>
              </w:rPr>
              <w:t>2。</w:t>
            </w:r>
          </w:p>
          <w:p>
            <w:pPr>
              <w:pStyle w:val="32"/>
              <w:rPr>
                <w:color w:val="auto"/>
              </w:rPr>
            </w:pPr>
            <w:r>
              <w:rPr>
                <w:color w:val="auto"/>
              </w:rPr>
              <w:t>表</w:t>
            </w:r>
            <w:r>
              <w:rPr>
                <w:rFonts w:hint="eastAsia"/>
                <w:color w:val="auto"/>
              </w:rPr>
              <w:t>2</w:t>
            </w:r>
            <w:r>
              <w:rPr>
                <w:rFonts w:hint="eastAsia"/>
                <w:color w:val="auto"/>
                <w:lang w:val="en-US" w:eastAsia="zh-CN"/>
              </w:rPr>
              <w:t>-2</w:t>
            </w:r>
            <w:r>
              <w:rPr>
                <w:color w:val="auto"/>
              </w:rPr>
              <w:t xml:space="preserve"> </w:t>
            </w:r>
            <w:r>
              <w:rPr>
                <w:rFonts w:hint="eastAsia"/>
                <w:color w:val="auto"/>
              </w:rPr>
              <w:t xml:space="preserve">    </w:t>
            </w:r>
            <w:r>
              <w:rPr>
                <w:rFonts w:hint="eastAsia"/>
                <w:color w:val="auto"/>
                <w:lang w:val="en-US" w:eastAsia="zh-CN"/>
              </w:rPr>
              <w:t>本项目</w:t>
            </w:r>
            <w:r>
              <w:rPr>
                <w:color w:val="auto"/>
              </w:rPr>
              <w:t>主要</w:t>
            </w:r>
            <w:r>
              <w:rPr>
                <w:rFonts w:hint="eastAsia"/>
                <w:color w:val="auto"/>
              </w:rPr>
              <w:t>生产设备</w:t>
            </w:r>
            <w:r>
              <w:rPr>
                <w:color w:val="auto"/>
              </w:rPr>
              <w:t>一览表</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1923"/>
              <w:gridCol w:w="1774"/>
              <w:gridCol w:w="1190"/>
              <w:gridCol w:w="895"/>
              <w:gridCol w:w="13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438" w:type="pct"/>
                  <w:tcBorders>
                    <w:top w:val="single" w:color="auto" w:sz="12" w:space="0"/>
                    <w:left w:val="nil"/>
                    <w:bottom w:val="single" w:color="auto" w:sz="12" w:space="0"/>
                    <w:right w:val="single" w:color="auto" w:sz="4" w:space="0"/>
                  </w:tcBorders>
                  <w:noWrap w:val="0"/>
                  <w:vAlign w:val="center"/>
                </w:tcPr>
                <w:p>
                  <w:pPr>
                    <w:pStyle w:val="33"/>
                    <w:bidi w:val="0"/>
                    <w:rPr>
                      <w:b/>
                      <w:bCs/>
                      <w:color w:val="auto"/>
                    </w:rPr>
                  </w:pPr>
                  <w:r>
                    <w:rPr>
                      <w:b/>
                      <w:bCs/>
                      <w:color w:val="auto"/>
                    </w:rPr>
                    <w:t>序号</w:t>
                  </w:r>
                </w:p>
              </w:tc>
              <w:tc>
                <w:tcPr>
                  <w:tcW w:w="1225" w:type="pct"/>
                  <w:tcBorders>
                    <w:top w:val="single" w:color="auto" w:sz="12" w:space="0"/>
                    <w:left w:val="single" w:color="auto" w:sz="4" w:space="0"/>
                    <w:bottom w:val="single" w:color="auto" w:sz="12" w:space="0"/>
                    <w:right w:val="single" w:color="auto" w:sz="4" w:space="0"/>
                  </w:tcBorders>
                  <w:noWrap w:val="0"/>
                  <w:vAlign w:val="center"/>
                </w:tcPr>
                <w:p>
                  <w:pPr>
                    <w:pStyle w:val="33"/>
                    <w:bidi w:val="0"/>
                    <w:rPr>
                      <w:b/>
                      <w:bCs/>
                      <w:color w:val="auto"/>
                    </w:rPr>
                  </w:pPr>
                  <w:r>
                    <w:rPr>
                      <w:b/>
                      <w:bCs/>
                      <w:color w:val="auto"/>
                    </w:rPr>
                    <w:t>名称</w:t>
                  </w:r>
                </w:p>
              </w:tc>
              <w:tc>
                <w:tcPr>
                  <w:tcW w:w="1130" w:type="pct"/>
                  <w:tcBorders>
                    <w:top w:val="single" w:color="auto" w:sz="12" w:space="0"/>
                    <w:left w:val="single" w:color="auto" w:sz="4" w:space="0"/>
                    <w:bottom w:val="single" w:color="auto" w:sz="12" w:space="0"/>
                    <w:right w:val="single" w:color="auto" w:sz="4" w:space="0"/>
                  </w:tcBorders>
                  <w:noWrap w:val="0"/>
                  <w:vAlign w:val="center"/>
                </w:tcPr>
                <w:p>
                  <w:pPr>
                    <w:pStyle w:val="33"/>
                    <w:bidi w:val="0"/>
                    <w:rPr>
                      <w:rFonts w:hint="eastAsia"/>
                      <w:b/>
                      <w:bCs/>
                      <w:color w:val="auto"/>
                      <w:lang w:val="en-US" w:eastAsia="zh-CN"/>
                    </w:rPr>
                  </w:pPr>
                  <w:r>
                    <w:rPr>
                      <w:rFonts w:hint="eastAsia"/>
                      <w:b/>
                      <w:bCs/>
                      <w:color w:val="auto"/>
                      <w:lang w:val="en-US" w:eastAsia="zh-CN"/>
                    </w:rPr>
                    <w:t>规格型号</w:t>
                  </w:r>
                </w:p>
              </w:tc>
              <w:tc>
                <w:tcPr>
                  <w:tcW w:w="758" w:type="pct"/>
                  <w:tcBorders>
                    <w:top w:val="single" w:color="auto" w:sz="12" w:space="0"/>
                    <w:left w:val="single" w:color="auto" w:sz="4" w:space="0"/>
                    <w:bottom w:val="single" w:color="auto" w:sz="12" w:space="0"/>
                    <w:right w:val="nil"/>
                  </w:tcBorders>
                  <w:noWrap w:val="0"/>
                  <w:vAlign w:val="center"/>
                </w:tcPr>
                <w:p>
                  <w:pPr>
                    <w:pStyle w:val="33"/>
                    <w:bidi w:val="0"/>
                    <w:rPr>
                      <w:rFonts w:hint="default"/>
                      <w:b/>
                      <w:bCs/>
                      <w:color w:val="auto"/>
                      <w:lang w:val="en-US" w:eastAsia="zh-CN"/>
                    </w:rPr>
                  </w:pPr>
                  <w:r>
                    <w:rPr>
                      <w:b/>
                      <w:bCs/>
                      <w:color w:val="auto"/>
                    </w:rPr>
                    <w:t>数量</w:t>
                  </w:r>
                </w:p>
              </w:tc>
              <w:tc>
                <w:tcPr>
                  <w:tcW w:w="570" w:type="pct"/>
                  <w:tcBorders>
                    <w:top w:val="single" w:color="auto" w:sz="12" w:space="0"/>
                    <w:left w:val="single" w:color="auto" w:sz="4" w:space="0"/>
                    <w:bottom w:val="single" w:color="auto" w:sz="12" w:space="0"/>
                    <w:right w:val="nil"/>
                  </w:tcBorders>
                  <w:noWrap w:val="0"/>
                  <w:vAlign w:val="center"/>
                </w:tcPr>
                <w:p>
                  <w:pPr>
                    <w:pStyle w:val="33"/>
                    <w:bidi w:val="0"/>
                    <w:rPr>
                      <w:rFonts w:hint="eastAsia"/>
                      <w:b/>
                      <w:bCs/>
                      <w:color w:val="auto"/>
                      <w:lang w:val="en-US" w:eastAsia="zh-CN"/>
                    </w:rPr>
                  </w:pPr>
                  <w:r>
                    <w:rPr>
                      <w:rFonts w:hint="eastAsia"/>
                      <w:b/>
                      <w:bCs/>
                      <w:color w:val="auto"/>
                      <w:lang w:val="en-US" w:eastAsia="zh-CN"/>
                    </w:rPr>
                    <w:t>单位</w:t>
                  </w:r>
                </w:p>
              </w:tc>
              <w:tc>
                <w:tcPr>
                  <w:tcW w:w="877" w:type="pct"/>
                  <w:tcBorders>
                    <w:top w:val="single" w:color="auto" w:sz="12" w:space="0"/>
                    <w:left w:val="single" w:color="auto" w:sz="4" w:space="0"/>
                    <w:bottom w:val="single" w:color="auto" w:sz="12" w:space="0"/>
                    <w:right w:val="nil"/>
                  </w:tcBorders>
                  <w:noWrap w:val="0"/>
                  <w:vAlign w:val="center"/>
                </w:tcPr>
                <w:p>
                  <w:pPr>
                    <w:pStyle w:val="33"/>
                    <w:bidi w:val="0"/>
                    <w:rPr>
                      <w:rFonts w:hint="default"/>
                      <w:b/>
                      <w:bCs/>
                      <w:color w:val="auto"/>
                      <w:lang w:val="en-US" w:eastAsia="zh-CN"/>
                    </w:rPr>
                  </w:pPr>
                  <w:r>
                    <w:rPr>
                      <w:rFonts w:hint="eastAsia"/>
                      <w:b/>
                      <w:bCs/>
                      <w:color w:val="auto"/>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12" w:space="0"/>
                    <w:left w:val="nil"/>
                    <w:bottom w:val="single" w:color="auto" w:sz="4" w:space="0"/>
                    <w:right w:val="single" w:color="auto" w:sz="4" w:space="0"/>
                  </w:tcBorders>
                  <w:noWrap w:val="0"/>
                  <w:vAlign w:val="center"/>
                </w:tcPr>
                <w:p>
                  <w:pPr>
                    <w:pStyle w:val="33"/>
                    <w:bidi w:val="0"/>
                    <w:rPr>
                      <w:rFonts w:hint="eastAsia" w:eastAsia="宋体"/>
                      <w:color w:val="auto"/>
                      <w:lang w:val="en-US" w:eastAsia="zh-CN"/>
                    </w:rPr>
                  </w:pPr>
                  <w:r>
                    <w:rPr>
                      <w:rFonts w:hint="eastAsia"/>
                      <w:color w:val="auto"/>
                      <w:lang w:val="en-US" w:eastAsia="zh-CN"/>
                    </w:rPr>
                    <w:t>1</w:t>
                  </w:r>
                </w:p>
              </w:tc>
              <w:tc>
                <w:tcPr>
                  <w:tcW w:w="1225" w:type="pct"/>
                  <w:tcBorders>
                    <w:top w:val="single" w:color="auto" w:sz="12"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100kg自动洗脱机</w:t>
                  </w:r>
                </w:p>
              </w:tc>
              <w:tc>
                <w:tcPr>
                  <w:tcW w:w="1130" w:type="pct"/>
                  <w:tcBorders>
                    <w:top w:val="single" w:color="auto" w:sz="12"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XGQ-100F</w:t>
                  </w:r>
                </w:p>
              </w:tc>
              <w:tc>
                <w:tcPr>
                  <w:tcW w:w="758" w:type="pct"/>
                  <w:tcBorders>
                    <w:top w:val="single" w:color="auto" w:sz="12"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6</w:t>
                  </w:r>
                </w:p>
              </w:tc>
              <w:tc>
                <w:tcPr>
                  <w:tcW w:w="570" w:type="pct"/>
                  <w:tcBorders>
                    <w:top w:val="single" w:color="auto" w:sz="12" w:space="0"/>
                    <w:left w:val="single" w:color="auto" w:sz="4" w:space="0"/>
                    <w:bottom w:val="single" w:color="auto" w:sz="4" w:space="0"/>
                    <w:right w:val="nil"/>
                  </w:tcBorders>
                  <w:noWrap w:val="0"/>
                  <w:vAlign w:val="center"/>
                </w:tcPr>
                <w:p>
                  <w:pPr>
                    <w:pStyle w:val="33"/>
                    <w:bidi w:val="0"/>
                    <w:rPr>
                      <w:rFonts w:hint="default"/>
                      <w:color w:val="auto"/>
                      <w:lang w:val="en-US" w:eastAsia="zh-CN"/>
                    </w:rPr>
                  </w:pPr>
                  <w:r>
                    <w:rPr>
                      <w:rFonts w:hint="eastAsia"/>
                      <w:color w:val="auto"/>
                      <w:lang w:val="en-US" w:eastAsia="zh-CN"/>
                    </w:rPr>
                    <w:t>台</w:t>
                  </w:r>
                </w:p>
              </w:tc>
              <w:tc>
                <w:tcPr>
                  <w:tcW w:w="877" w:type="pct"/>
                  <w:tcBorders>
                    <w:top w:val="single" w:color="auto" w:sz="12" w:space="0"/>
                    <w:left w:val="single" w:color="auto" w:sz="4" w:space="0"/>
                    <w:bottom w:val="single" w:color="auto" w:sz="4" w:space="0"/>
                    <w:right w:val="nil"/>
                  </w:tcBorders>
                  <w:noWrap w:val="0"/>
                  <w:vAlign w:val="center"/>
                </w:tcPr>
                <w:p>
                  <w:pPr>
                    <w:pStyle w:val="33"/>
                    <w:bidi w:val="0"/>
                    <w:rPr>
                      <w:rFonts w:hint="eastAsia"/>
                      <w:color w:val="auto"/>
                      <w:lang w:val="en-US" w:eastAsia="zh-CN"/>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eastAsia" w:eastAsia="宋体"/>
                      <w:color w:val="auto"/>
                      <w:lang w:val="en-US" w:eastAsia="zh-CN"/>
                    </w:rPr>
                  </w:pPr>
                  <w:r>
                    <w:rPr>
                      <w:rFonts w:hint="eastAsia"/>
                      <w:color w:val="auto"/>
                      <w:lang w:val="en-US" w:eastAsia="zh-CN"/>
                    </w:rPr>
                    <w:t>2</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50kg自动洗脱机</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XGQ-50F</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1</w:t>
                  </w:r>
                </w:p>
              </w:tc>
              <w:tc>
                <w:tcPr>
                  <w:tcW w:w="570" w:type="pct"/>
                  <w:tcBorders>
                    <w:top w:val="single" w:color="auto" w:sz="4" w:space="0"/>
                    <w:left w:val="single" w:color="auto" w:sz="4" w:space="0"/>
                    <w:bottom w:val="single" w:color="auto" w:sz="4" w:space="0"/>
                    <w:right w:val="nil"/>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台</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3</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default"/>
                      <w:color w:val="auto"/>
                      <w:lang w:val="en-US" w:eastAsia="zh-CN"/>
                    </w:rPr>
                  </w:pPr>
                  <w:r>
                    <w:rPr>
                      <w:rFonts w:hint="eastAsia"/>
                      <w:color w:val="auto"/>
                      <w:lang w:val="en-US" w:eastAsia="zh-CN"/>
                    </w:rPr>
                    <w:t>100kg工业烘干机</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HG-100</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3</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台</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4</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3.3m自动送布机</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GSB-3300</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台</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5</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3.3m六辊烫平机</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YZ IV-3300</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台</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6</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3.3m自动折叠机</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ZD-3300V</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台</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7</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对码机</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DM-8</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台</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8</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空压机</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ALS-7.5A</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台</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9</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软水设备</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8方</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套</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10</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不锈钢水箱</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20方</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只</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11</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卧式蒸汽锅炉</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WNS2-1.0-Q. Y</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台</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12</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一次仪表阀门</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国标</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个</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13</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电控柜</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触摸屏IPK2+81</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个</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14</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燃烧器</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HWG02</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套</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15</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承压节能器</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标配</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套</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16</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多级补水泵</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KQDP25-2-161</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2</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套</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17</w:t>
                  </w:r>
                </w:p>
              </w:tc>
              <w:tc>
                <w:tcPr>
                  <w:tcW w:w="1225" w:type="pct"/>
                  <w:tcBorders>
                    <w:top w:val="single" w:color="auto" w:sz="4" w:space="0"/>
                    <w:left w:val="single" w:color="auto" w:sz="4" w:space="0"/>
                    <w:bottom w:val="single" w:color="auto" w:sz="4" w:space="0"/>
                    <w:right w:val="single" w:color="auto" w:sz="4" w:space="0"/>
                  </w:tcBorders>
                  <w:noWrap w:val="0"/>
                  <w:vAlign w:val="center"/>
                </w:tcPr>
                <w:p>
                  <w:pPr>
                    <w:pStyle w:val="33"/>
                    <w:bidi w:val="0"/>
                    <w:jc w:val="cente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软水制备设备</w:t>
                  </w:r>
                </w:p>
              </w:tc>
              <w:tc>
                <w:tcPr>
                  <w:tcW w:w="113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2T/流量型</w:t>
                  </w:r>
                </w:p>
              </w:tc>
              <w:tc>
                <w:tcPr>
                  <w:tcW w:w="758"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套</w:t>
                  </w:r>
                </w:p>
              </w:tc>
              <w:tc>
                <w:tcPr>
                  <w:tcW w:w="877" w:type="pct"/>
                  <w:tcBorders>
                    <w:top w:val="single" w:color="auto" w:sz="4" w:space="0"/>
                    <w:left w:val="single" w:color="auto" w:sz="4" w:space="0"/>
                    <w:bottom w:val="single" w:color="auto" w:sz="4" w:space="0"/>
                    <w:right w:val="nil"/>
                  </w:tcBorders>
                  <w:noWrap w:val="0"/>
                  <w:vAlign w:val="center"/>
                </w:tcPr>
                <w:p>
                  <w:pPr>
                    <w:pStyle w:val="33"/>
                    <w:bidi w:val="0"/>
                    <w:rPr>
                      <w:rFonts w:hint="eastAsia"/>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tcBorders>
                    <w:top w:val="single" w:color="auto" w:sz="4" w:space="0"/>
                    <w:left w:val="nil"/>
                    <w:bottom w:val="single" w:color="auto" w:sz="12"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18</w:t>
                  </w:r>
                </w:p>
              </w:tc>
              <w:tc>
                <w:tcPr>
                  <w:tcW w:w="1225" w:type="pct"/>
                  <w:tcBorders>
                    <w:top w:val="single" w:color="auto" w:sz="4" w:space="0"/>
                    <w:left w:val="single" w:color="auto" w:sz="4" w:space="0"/>
                    <w:bottom w:val="single" w:color="auto" w:sz="12" w:space="0"/>
                    <w:right w:val="single" w:color="auto" w:sz="4" w:space="0"/>
                  </w:tcBorders>
                  <w:noWrap w:val="0"/>
                  <w:vAlign w:val="center"/>
                </w:tcPr>
                <w:p>
                  <w:pPr>
                    <w:pStyle w:val="33"/>
                    <w:bidi w:val="0"/>
                    <w:jc w:val="center"/>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不锈钢水箱</w:t>
                  </w:r>
                </w:p>
              </w:tc>
              <w:tc>
                <w:tcPr>
                  <w:tcW w:w="1130" w:type="pct"/>
                  <w:tcBorders>
                    <w:top w:val="single" w:color="auto" w:sz="4" w:space="0"/>
                    <w:left w:val="single" w:color="auto" w:sz="4" w:space="0"/>
                    <w:bottom w:val="single" w:color="auto" w:sz="12" w:space="0"/>
                    <w:right w:val="single" w:color="auto" w:sz="4" w:space="0"/>
                  </w:tcBorders>
                  <w:noWrap w:val="0"/>
                  <w:vAlign w:val="center"/>
                </w:tcPr>
                <w:p>
                  <w:pPr>
                    <w:pStyle w:val="33"/>
                    <w:bidi w:val="0"/>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3方</w:t>
                  </w:r>
                </w:p>
              </w:tc>
              <w:tc>
                <w:tcPr>
                  <w:tcW w:w="758" w:type="pct"/>
                  <w:tcBorders>
                    <w:top w:val="single" w:color="auto" w:sz="4" w:space="0"/>
                    <w:left w:val="single" w:color="auto" w:sz="4" w:space="0"/>
                    <w:bottom w:val="single" w:color="auto" w:sz="12" w:space="0"/>
                    <w:right w:val="single" w:color="auto" w:sz="4" w:space="0"/>
                  </w:tcBorders>
                  <w:noWrap w:val="0"/>
                  <w:vAlign w:val="center"/>
                </w:tcPr>
                <w:p>
                  <w:pPr>
                    <w:pStyle w:val="33"/>
                    <w:bidi w:val="0"/>
                    <w:rPr>
                      <w:rFonts w:hint="eastAsia"/>
                      <w:lang w:val="en-US" w:eastAsia="zh-CN"/>
                    </w:rPr>
                  </w:pPr>
                  <w:r>
                    <w:rPr>
                      <w:rFonts w:hint="eastAsia"/>
                      <w:lang w:val="en-US" w:eastAsia="zh-CN"/>
                    </w:rPr>
                    <w:t>1</w:t>
                  </w:r>
                </w:p>
              </w:tc>
              <w:tc>
                <w:tcPr>
                  <w:tcW w:w="570" w:type="pct"/>
                  <w:tcBorders>
                    <w:top w:val="single" w:color="auto" w:sz="4" w:space="0"/>
                    <w:left w:val="single" w:color="auto" w:sz="4" w:space="0"/>
                    <w:bottom w:val="single" w:color="auto" w:sz="12" w:space="0"/>
                    <w:right w:val="single" w:color="auto" w:sz="4" w:space="0"/>
                  </w:tcBorders>
                  <w:noWrap w:val="0"/>
                  <w:vAlign w:val="center"/>
                </w:tcPr>
                <w:p>
                  <w:pPr>
                    <w:pStyle w:val="33"/>
                    <w:bidi w:val="0"/>
                    <w:rPr>
                      <w:rFonts w:hint="default"/>
                      <w:lang w:val="en-US" w:eastAsia="zh-CN"/>
                    </w:rPr>
                  </w:pPr>
                  <w:r>
                    <w:rPr>
                      <w:rFonts w:hint="eastAsia"/>
                      <w:lang w:val="en-US" w:eastAsia="zh-CN"/>
                    </w:rPr>
                    <w:t>只</w:t>
                  </w:r>
                </w:p>
              </w:tc>
              <w:tc>
                <w:tcPr>
                  <w:tcW w:w="877" w:type="pct"/>
                  <w:tcBorders>
                    <w:top w:val="single" w:color="auto" w:sz="4" w:space="0"/>
                    <w:left w:val="single" w:color="auto" w:sz="4" w:space="0"/>
                    <w:bottom w:val="single" w:color="auto" w:sz="12" w:space="0"/>
                    <w:right w:val="nil"/>
                  </w:tcBorders>
                  <w:noWrap w:val="0"/>
                  <w:vAlign w:val="center"/>
                </w:tcPr>
                <w:p>
                  <w:pPr>
                    <w:pStyle w:val="33"/>
                    <w:bidi w:val="0"/>
                    <w:rPr>
                      <w:rFonts w:hint="eastAsia"/>
                      <w:lang w:val="en-US" w:eastAsia="zh-CN"/>
                    </w:rPr>
                  </w:pPr>
                  <w:r>
                    <w:rPr>
                      <w:rFonts w:hint="eastAsia"/>
                      <w:lang w:val="en-US" w:eastAsia="zh-CN"/>
                    </w:rPr>
                    <w:t>/</w:t>
                  </w:r>
                </w:p>
              </w:tc>
            </w:tr>
          </w:tbl>
          <w:p>
            <w:pPr>
              <w:pStyle w:val="6"/>
              <w:numPr>
                <w:ilvl w:val="0"/>
                <w:numId w:val="6"/>
              </w:numPr>
              <w:jc w:val="both"/>
              <w:outlineLvl w:val="1"/>
              <w:rPr>
                <w:color w:val="auto"/>
              </w:rPr>
            </w:pPr>
            <w:r>
              <w:rPr>
                <w:rFonts w:hint="eastAsia"/>
                <w:color w:val="auto"/>
              </w:rPr>
              <w:t>原辅材料来源</w:t>
            </w:r>
          </w:p>
          <w:p>
            <w:pPr>
              <w:pStyle w:val="32"/>
              <w:rPr>
                <w:rFonts w:hint="eastAsia"/>
                <w:color w:val="auto"/>
              </w:rPr>
            </w:pPr>
            <w:r>
              <w:rPr>
                <w:rFonts w:hint="eastAsia"/>
                <w:color w:val="auto"/>
              </w:rPr>
              <w:t>表2-</w:t>
            </w:r>
            <w:r>
              <w:rPr>
                <w:rFonts w:hint="eastAsia"/>
                <w:color w:val="auto"/>
                <w:lang w:val="en-US" w:eastAsia="zh-CN"/>
              </w:rPr>
              <w:t>3</w:t>
            </w:r>
            <w:r>
              <w:rPr>
                <w:rFonts w:hint="eastAsia"/>
                <w:color w:val="auto"/>
              </w:rPr>
              <w:t xml:space="preserve">    主要原辅材料用量一览表</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1657"/>
              <w:gridCol w:w="886"/>
              <w:gridCol w:w="785"/>
              <w:gridCol w:w="38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0" w:type="pct"/>
                  <w:tcBorders>
                    <w:bottom w:val="single" w:color="auto" w:sz="12" w:space="0"/>
                  </w:tcBorders>
                  <w:vAlign w:val="center"/>
                </w:tcPr>
                <w:p>
                  <w:pPr>
                    <w:pStyle w:val="33"/>
                    <w:widowControl w:val="0"/>
                    <w:bidi w:val="0"/>
                    <w:jc w:val="center"/>
                    <w:rPr>
                      <w:rFonts w:hint="default"/>
                      <w:b/>
                      <w:bCs/>
                      <w:color w:val="auto"/>
                      <w:lang w:val="en-US" w:eastAsia="zh-CN"/>
                    </w:rPr>
                  </w:pPr>
                  <w:r>
                    <w:rPr>
                      <w:rFonts w:hint="eastAsia"/>
                      <w:b/>
                      <w:bCs/>
                      <w:color w:val="auto"/>
                      <w:lang w:val="en-US" w:eastAsia="zh-CN"/>
                    </w:rPr>
                    <w:t>序号</w:t>
                  </w:r>
                </w:p>
              </w:tc>
              <w:tc>
                <w:tcPr>
                  <w:tcW w:w="1055" w:type="pct"/>
                  <w:tcBorders>
                    <w:bottom w:val="single" w:color="auto" w:sz="12" w:space="0"/>
                  </w:tcBorders>
                  <w:vAlign w:val="center"/>
                </w:tcPr>
                <w:p>
                  <w:pPr>
                    <w:pStyle w:val="33"/>
                    <w:widowControl w:val="0"/>
                    <w:bidi w:val="0"/>
                    <w:jc w:val="center"/>
                    <w:rPr>
                      <w:rFonts w:hint="default"/>
                      <w:b/>
                      <w:bCs/>
                      <w:color w:val="auto"/>
                      <w:lang w:val="en-US" w:eastAsia="zh-CN"/>
                    </w:rPr>
                  </w:pPr>
                  <w:r>
                    <w:rPr>
                      <w:rFonts w:hint="eastAsia"/>
                      <w:b/>
                      <w:bCs/>
                      <w:color w:val="auto"/>
                      <w:lang w:val="en-US" w:eastAsia="zh-CN"/>
                    </w:rPr>
                    <w:t>名称</w:t>
                  </w:r>
                </w:p>
              </w:tc>
              <w:tc>
                <w:tcPr>
                  <w:tcW w:w="564" w:type="pct"/>
                  <w:tcBorders>
                    <w:bottom w:val="single" w:color="auto" w:sz="12" w:space="0"/>
                  </w:tcBorders>
                  <w:vAlign w:val="center"/>
                </w:tcPr>
                <w:p>
                  <w:pPr>
                    <w:pStyle w:val="33"/>
                    <w:widowControl w:val="0"/>
                    <w:rPr>
                      <w:rFonts w:hint="default" w:ascii="Times New Roman" w:hAnsi="Times New Roman" w:eastAsia="宋体" w:cs="Times New Roman"/>
                      <w:b/>
                      <w:bCs/>
                      <w:color w:val="auto"/>
                      <w:kern w:val="2"/>
                      <w:sz w:val="21"/>
                      <w:szCs w:val="24"/>
                      <w:lang w:val="en-US" w:eastAsia="zh-CN" w:bidi="ar-SA"/>
                    </w:rPr>
                  </w:pPr>
                  <w:r>
                    <w:rPr>
                      <w:rFonts w:hint="eastAsia"/>
                      <w:b/>
                      <w:bCs/>
                      <w:color w:val="auto"/>
                      <w:lang w:val="en-US" w:eastAsia="zh-CN"/>
                    </w:rPr>
                    <w:t>消耗量</w:t>
                  </w:r>
                </w:p>
              </w:tc>
              <w:tc>
                <w:tcPr>
                  <w:tcW w:w="500" w:type="pct"/>
                  <w:tcBorders>
                    <w:bottom w:val="single" w:color="auto" w:sz="12" w:space="0"/>
                  </w:tcBorders>
                  <w:vAlign w:val="center"/>
                </w:tcPr>
                <w:p>
                  <w:pPr>
                    <w:pStyle w:val="33"/>
                    <w:widowControl w:val="0"/>
                    <w:rPr>
                      <w:rFonts w:hint="default"/>
                      <w:b/>
                      <w:bCs/>
                      <w:color w:val="auto"/>
                      <w:lang w:val="en-US" w:eastAsia="zh-CN"/>
                    </w:rPr>
                  </w:pPr>
                  <w:r>
                    <w:rPr>
                      <w:rFonts w:hint="eastAsia"/>
                      <w:b/>
                      <w:bCs/>
                      <w:color w:val="auto"/>
                      <w:lang w:val="en-US" w:eastAsia="zh-CN"/>
                    </w:rPr>
                    <w:t>单位</w:t>
                  </w:r>
                </w:p>
              </w:tc>
              <w:tc>
                <w:tcPr>
                  <w:tcW w:w="2468" w:type="pct"/>
                  <w:tcBorders>
                    <w:bottom w:val="single" w:color="auto" w:sz="12" w:space="0"/>
                  </w:tcBorders>
                  <w:vAlign w:val="center"/>
                </w:tcPr>
                <w:p>
                  <w:pPr>
                    <w:pStyle w:val="33"/>
                    <w:widowControl w:val="0"/>
                    <w:bidi w:val="0"/>
                    <w:rPr>
                      <w:rFonts w:hint="default"/>
                      <w:color w:val="auto"/>
                      <w:lang w:val="en-US" w:eastAsia="zh-CN"/>
                    </w:rPr>
                  </w:pPr>
                  <w:r>
                    <w:rPr>
                      <w:rFonts w:hint="eastAsia"/>
                      <w:b/>
                      <w:bCs/>
                      <w:color w:val="auto"/>
                      <w:lang w:val="en-US" w:eastAsia="zh-CN"/>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0" w:type="pct"/>
                  <w:tcBorders>
                    <w:top w:val="single" w:color="auto" w:sz="12"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1</w:t>
                  </w:r>
                </w:p>
              </w:tc>
              <w:tc>
                <w:tcPr>
                  <w:tcW w:w="1055" w:type="pct"/>
                  <w:tcBorders>
                    <w:top w:val="single" w:color="auto" w:sz="12"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天然气</w:t>
                  </w:r>
                </w:p>
              </w:tc>
              <w:tc>
                <w:tcPr>
                  <w:tcW w:w="564" w:type="pct"/>
                  <w:tcBorders>
                    <w:top w:val="single" w:color="auto" w:sz="12"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120</w:t>
                  </w:r>
                </w:p>
              </w:tc>
              <w:tc>
                <w:tcPr>
                  <w:tcW w:w="500" w:type="pct"/>
                  <w:tcBorders>
                    <w:top w:val="single" w:color="auto" w:sz="12" w:space="0"/>
                    <w:bottom w:val="single" w:color="auto" w:sz="4" w:space="0"/>
                  </w:tcBorders>
                  <w:vAlign w:val="center"/>
                </w:tcPr>
                <w:p>
                  <w:pPr>
                    <w:pStyle w:val="33"/>
                    <w:widowControl w:val="0"/>
                    <w:bidi w:val="0"/>
                    <w:rPr>
                      <w:rFonts w:hint="eastAsia"/>
                      <w:color w:val="auto"/>
                      <w:lang w:val="en-US" w:eastAsia="zh-CN"/>
                    </w:rPr>
                  </w:pPr>
                  <w:r>
                    <w:rPr>
                      <w:rFonts w:hint="eastAsia"/>
                      <w:color w:val="auto"/>
                      <w:lang w:val="en-US" w:eastAsia="zh-CN"/>
                    </w:rPr>
                    <w:t>万m</w:t>
                  </w:r>
                  <w:r>
                    <w:rPr>
                      <w:rFonts w:hint="eastAsia"/>
                      <w:color w:val="auto"/>
                      <w:vertAlign w:val="superscript"/>
                      <w:lang w:val="en-US" w:eastAsia="zh-CN"/>
                    </w:rPr>
                    <w:t>3</w:t>
                  </w:r>
                </w:p>
              </w:tc>
              <w:tc>
                <w:tcPr>
                  <w:tcW w:w="2468" w:type="pct"/>
                  <w:tcBorders>
                    <w:top w:val="single" w:color="auto" w:sz="12"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管网供给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0"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2</w:t>
                  </w:r>
                </w:p>
              </w:tc>
              <w:tc>
                <w:tcPr>
                  <w:tcW w:w="1055" w:type="pct"/>
                  <w:tcBorders>
                    <w:top w:val="single" w:color="auto" w:sz="4" w:space="0"/>
                    <w:bottom w:val="single" w:color="auto" w:sz="4" w:space="0"/>
                  </w:tcBorders>
                  <w:vAlign w:val="center"/>
                </w:tcPr>
                <w:p>
                  <w:pPr>
                    <w:pStyle w:val="33"/>
                    <w:widowControl w:val="0"/>
                    <w:bidi w:val="0"/>
                    <w:rPr>
                      <w:rFonts w:hint="default" w:ascii="Times New Roman" w:hAnsi="Times New Roman" w:eastAsia="宋体" w:cs="Times New Roman"/>
                      <w:color w:val="auto"/>
                      <w:kern w:val="2"/>
                      <w:sz w:val="21"/>
                      <w:szCs w:val="24"/>
                      <w:lang w:val="en-US" w:eastAsia="zh-CN" w:bidi="ar-SA"/>
                    </w:rPr>
                  </w:pPr>
                  <w:r>
                    <w:rPr>
                      <w:color w:val="auto"/>
                    </w:rPr>
                    <w:t>水</w:t>
                  </w:r>
                </w:p>
              </w:tc>
              <w:tc>
                <w:tcPr>
                  <w:tcW w:w="564" w:type="pct"/>
                  <w:tcBorders>
                    <w:top w:val="single" w:color="auto" w:sz="4" w:space="0"/>
                    <w:bottom w:val="single" w:color="auto" w:sz="4" w:space="0"/>
                  </w:tcBorders>
                  <w:vAlign w:val="center"/>
                </w:tcPr>
                <w:p>
                  <w:pPr>
                    <w:pStyle w:val="33"/>
                    <w:widowControl w:val="0"/>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81972</w:t>
                  </w:r>
                </w:p>
              </w:tc>
              <w:tc>
                <w:tcPr>
                  <w:tcW w:w="500" w:type="pct"/>
                  <w:tcBorders>
                    <w:top w:val="single" w:color="auto" w:sz="4" w:space="0"/>
                    <w:bottom w:val="single" w:color="auto" w:sz="4" w:space="0"/>
                  </w:tcBorders>
                  <w:vAlign w:val="center"/>
                </w:tcPr>
                <w:p>
                  <w:pPr>
                    <w:pStyle w:val="33"/>
                    <w:widowControl w:val="0"/>
                    <w:bidi w:val="0"/>
                    <w:rPr>
                      <w:rFonts w:hint="eastAsia"/>
                      <w:color w:val="auto"/>
                      <w:lang w:val="en-US" w:eastAsia="zh-CN"/>
                    </w:rPr>
                  </w:pPr>
                  <w:r>
                    <w:rPr>
                      <w:rFonts w:hint="default"/>
                      <w:color w:val="auto"/>
                    </w:rPr>
                    <w:t>m</w:t>
                  </w:r>
                  <w:r>
                    <w:rPr>
                      <w:rFonts w:hint="default"/>
                      <w:color w:val="auto"/>
                      <w:vertAlign w:val="superscript"/>
                    </w:rPr>
                    <w:t>3</w:t>
                  </w:r>
                  <w:r>
                    <w:rPr>
                      <w:rFonts w:hint="default"/>
                      <w:color w:val="auto"/>
                    </w:rPr>
                    <w:t>/a</w:t>
                  </w:r>
                </w:p>
              </w:tc>
              <w:tc>
                <w:tcPr>
                  <w:tcW w:w="2468" w:type="pct"/>
                  <w:tcBorders>
                    <w:top w:val="single" w:color="auto" w:sz="4" w:space="0"/>
                    <w:bottom w:val="single" w:color="auto" w:sz="4" w:space="0"/>
                  </w:tcBorders>
                  <w:vAlign w:val="center"/>
                </w:tcPr>
                <w:p>
                  <w:pPr>
                    <w:pStyle w:val="33"/>
                    <w:widowControl w:val="0"/>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市政管网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0"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3</w:t>
                  </w:r>
                </w:p>
              </w:tc>
              <w:tc>
                <w:tcPr>
                  <w:tcW w:w="1055" w:type="pct"/>
                  <w:tcBorders>
                    <w:top w:val="single" w:color="auto" w:sz="4" w:space="0"/>
                    <w:bottom w:val="single" w:color="auto" w:sz="4" w:space="0"/>
                  </w:tcBorders>
                  <w:vAlign w:val="center"/>
                </w:tcPr>
                <w:p>
                  <w:pPr>
                    <w:pStyle w:val="33"/>
                    <w:widowControl w:val="0"/>
                    <w:bidi w:val="0"/>
                    <w:rPr>
                      <w:rFonts w:hint="eastAsia"/>
                      <w:color w:val="auto"/>
                    </w:rPr>
                  </w:pPr>
                  <w:r>
                    <w:rPr>
                      <w:rFonts w:hint="eastAsia"/>
                      <w:color w:val="auto"/>
                      <w:lang w:val="en-US" w:eastAsia="zh-CN"/>
                    </w:rPr>
                    <w:t>离子交换树脂</w:t>
                  </w:r>
                </w:p>
              </w:tc>
              <w:tc>
                <w:tcPr>
                  <w:tcW w:w="564"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0.2</w:t>
                  </w:r>
                </w:p>
              </w:tc>
              <w:tc>
                <w:tcPr>
                  <w:tcW w:w="500" w:type="pct"/>
                  <w:tcBorders>
                    <w:top w:val="single" w:color="auto" w:sz="4" w:space="0"/>
                    <w:bottom w:val="single" w:color="auto" w:sz="4" w:space="0"/>
                  </w:tcBorders>
                  <w:vAlign w:val="center"/>
                </w:tcPr>
                <w:p>
                  <w:pPr>
                    <w:pStyle w:val="33"/>
                    <w:widowControl w:val="0"/>
                    <w:bidi w:val="0"/>
                    <w:rPr>
                      <w:rFonts w:hint="eastAsia"/>
                      <w:color w:val="auto"/>
                      <w:lang w:val="en-US" w:eastAsia="zh-CN"/>
                    </w:rPr>
                  </w:pPr>
                  <w:r>
                    <w:rPr>
                      <w:color w:val="auto"/>
                    </w:rPr>
                    <w:t>t/a</w:t>
                  </w:r>
                </w:p>
              </w:tc>
              <w:tc>
                <w:tcPr>
                  <w:tcW w:w="2468"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0"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4</w:t>
                  </w:r>
                </w:p>
              </w:tc>
              <w:tc>
                <w:tcPr>
                  <w:tcW w:w="1055"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default"/>
                      <w:color w:val="auto"/>
                      <w:lang w:val="en-US" w:eastAsia="zh-CN"/>
                    </w:rPr>
                    <w:t>酵素主洗液</w:t>
                  </w:r>
                </w:p>
              </w:tc>
              <w:tc>
                <w:tcPr>
                  <w:tcW w:w="564" w:type="pct"/>
                  <w:tcBorders>
                    <w:top w:val="single" w:color="auto" w:sz="4" w:space="0"/>
                    <w:bottom w:val="single" w:color="auto" w:sz="4" w:space="0"/>
                  </w:tcBorders>
                  <w:vAlign w:val="center"/>
                </w:tcPr>
                <w:p>
                  <w:pPr>
                    <w:pStyle w:val="33"/>
                    <w:widowControl w:val="0"/>
                    <w:bidi w:val="0"/>
                    <w:rPr>
                      <w:rFonts w:hint="default"/>
                      <w:lang w:val="en-US" w:eastAsia="zh-CN"/>
                    </w:rPr>
                  </w:pPr>
                  <w:r>
                    <w:rPr>
                      <w:rFonts w:hint="eastAsia"/>
                      <w:lang w:val="en-US" w:eastAsia="zh-CN"/>
                    </w:rPr>
                    <w:t>0.3.</w:t>
                  </w:r>
                </w:p>
              </w:tc>
              <w:tc>
                <w:tcPr>
                  <w:tcW w:w="500" w:type="pct"/>
                  <w:tcBorders>
                    <w:top w:val="single" w:color="auto" w:sz="4" w:space="0"/>
                    <w:bottom w:val="single" w:color="auto" w:sz="4" w:space="0"/>
                  </w:tcBorders>
                  <w:vAlign w:val="center"/>
                </w:tcPr>
                <w:p>
                  <w:pPr>
                    <w:pStyle w:val="33"/>
                    <w:widowControl w:val="0"/>
                    <w:bidi w:val="0"/>
                    <w:rPr>
                      <w:rFonts w:hint="eastAsia"/>
                      <w:lang w:val="en-US" w:eastAsia="zh-CN"/>
                    </w:rPr>
                  </w:pPr>
                  <w:r>
                    <w:t>t/a</w:t>
                  </w:r>
                </w:p>
              </w:tc>
              <w:tc>
                <w:tcPr>
                  <w:tcW w:w="2468" w:type="pct"/>
                  <w:tcBorders>
                    <w:top w:val="single" w:color="auto" w:sz="4" w:space="0"/>
                    <w:bottom w:val="single" w:color="auto" w:sz="4" w:space="0"/>
                  </w:tcBorders>
                  <w:vAlign w:val="center"/>
                </w:tcPr>
                <w:p>
                  <w:pPr>
                    <w:pStyle w:val="33"/>
                    <w:widowControl w:val="0"/>
                    <w:bidi w:val="0"/>
                    <w:rPr>
                      <w:rFonts w:hint="default"/>
                      <w:lang w:val="en-US" w:eastAsia="zh-CN"/>
                    </w:rPr>
                  </w:pPr>
                  <w:r>
                    <w:rPr>
                      <w:rFonts w:hint="eastAsia"/>
                      <w:lang w:val="en-US" w:eastAsia="zh-CN"/>
                    </w:rPr>
                    <w:t>外购，桶装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0"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5</w:t>
                  </w:r>
                </w:p>
              </w:tc>
              <w:tc>
                <w:tcPr>
                  <w:tcW w:w="1055"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default"/>
                      <w:color w:val="auto"/>
                      <w:lang w:val="en-US" w:eastAsia="zh-CN"/>
                    </w:rPr>
                    <w:t>碱性添加剂</w:t>
                  </w:r>
                </w:p>
              </w:tc>
              <w:tc>
                <w:tcPr>
                  <w:tcW w:w="564" w:type="pct"/>
                  <w:tcBorders>
                    <w:top w:val="single" w:color="auto" w:sz="4" w:space="0"/>
                    <w:bottom w:val="single" w:color="auto" w:sz="4" w:space="0"/>
                  </w:tcBorders>
                  <w:vAlign w:val="center"/>
                </w:tcPr>
                <w:p>
                  <w:pPr>
                    <w:pStyle w:val="33"/>
                    <w:widowControl w:val="0"/>
                    <w:bidi w:val="0"/>
                    <w:rPr>
                      <w:rFonts w:hint="eastAsia"/>
                      <w:lang w:val="en-US" w:eastAsia="zh-CN"/>
                    </w:rPr>
                  </w:pPr>
                  <w:r>
                    <w:rPr>
                      <w:rFonts w:hint="eastAsia"/>
                      <w:lang w:val="en-US" w:eastAsia="zh-CN"/>
                    </w:rPr>
                    <w:t>1.5.</w:t>
                  </w:r>
                </w:p>
              </w:tc>
              <w:tc>
                <w:tcPr>
                  <w:tcW w:w="500" w:type="pct"/>
                  <w:tcBorders>
                    <w:top w:val="single" w:color="auto" w:sz="4" w:space="0"/>
                    <w:bottom w:val="single" w:color="auto" w:sz="4" w:space="0"/>
                  </w:tcBorders>
                  <w:vAlign w:val="center"/>
                </w:tcPr>
                <w:p>
                  <w:pPr>
                    <w:pStyle w:val="33"/>
                    <w:widowControl w:val="0"/>
                    <w:bidi w:val="0"/>
                    <w:rPr>
                      <w:rFonts w:hint="eastAsia"/>
                      <w:lang w:val="en-US" w:eastAsia="zh-CN"/>
                    </w:rPr>
                  </w:pPr>
                  <w:r>
                    <w:t>t/a</w:t>
                  </w:r>
                </w:p>
              </w:tc>
              <w:tc>
                <w:tcPr>
                  <w:tcW w:w="2468" w:type="pct"/>
                  <w:tcBorders>
                    <w:top w:val="single" w:color="auto" w:sz="4" w:space="0"/>
                    <w:bottom w:val="single" w:color="auto" w:sz="4" w:space="0"/>
                  </w:tcBorders>
                  <w:vAlign w:val="center"/>
                </w:tcPr>
                <w:p>
                  <w:pPr>
                    <w:pStyle w:val="33"/>
                    <w:widowControl w:val="0"/>
                    <w:bidi w:val="0"/>
                    <w:rPr>
                      <w:rFonts w:hint="eastAsia"/>
                      <w:lang w:val="en-US" w:eastAsia="zh-CN"/>
                    </w:rPr>
                  </w:pPr>
                  <w:r>
                    <w:rPr>
                      <w:rFonts w:hint="eastAsia"/>
                      <w:lang w:val="en-US" w:eastAsia="zh-CN"/>
                    </w:rPr>
                    <w:t>外购，桶装；对于部分（按年洗涤量的8%）重油污布草的需添加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0"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6</w:t>
                  </w:r>
                </w:p>
              </w:tc>
              <w:tc>
                <w:tcPr>
                  <w:tcW w:w="1055"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default"/>
                      <w:color w:val="auto"/>
                      <w:lang w:val="en-US" w:eastAsia="zh-CN"/>
                    </w:rPr>
                    <w:t>非离子乳化剂</w:t>
                  </w:r>
                </w:p>
              </w:tc>
              <w:tc>
                <w:tcPr>
                  <w:tcW w:w="564" w:type="pct"/>
                  <w:tcBorders>
                    <w:top w:val="single" w:color="auto" w:sz="4" w:space="0"/>
                    <w:bottom w:val="single" w:color="auto" w:sz="4" w:space="0"/>
                  </w:tcBorders>
                  <w:vAlign w:val="center"/>
                </w:tcPr>
                <w:p>
                  <w:pPr>
                    <w:pStyle w:val="33"/>
                    <w:widowControl w:val="0"/>
                    <w:bidi w:val="0"/>
                    <w:rPr>
                      <w:rFonts w:hint="default"/>
                      <w:lang w:val="en-US" w:eastAsia="zh-CN"/>
                    </w:rPr>
                  </w:pPr>
                  <w:r>
                    <w:rPr>
                      <w:rFonts w:hint="eastAsia"/>
                      <w:lang w:val="en-US" w:eastAsia="zh-CN"/>
                    </w:rPr>
                    <w:t>0.8</w:t>
                  </w:r>
                </w:p>
              </w:tc>
              <w:tc>
                <w:tcPr>
                  <w:tcW w:w="500" w:type="pct"/>
                  <w:tcBorders>
                    <w:top w:val="single" w:color="auto" w:sz="4" w:space="0"/>
                    <w:bottom w:val="single" w:color="auto" w:sz="4" w:space="0"/>
                  </w:tcBorders>
                  <w:vAlign w:val="center"/>
                </w:tcPr>
                <w:p>
                  <w:pPr>
                    <w:pStyle w:val="33"/>
                    <w:widowControl w:val="0"/>
                    <w:bidi w:val="0"/>
                    <w:rPr>
                      <w:rFonts w:hint="eastAsia"/>
                      <w:lang w:val="en-US" w:eastAsia="zh-CN"/>
                    </w:rPr>
                  </w:pPr>
                  <w:r>
                    <w:t>t/a</w:t>
                  </w:r>
                </w:p>
              </w:tc>
              <w:tc>
                <w:tcPr>
                  <w:tcW w:w="2468" w:type="pct"/>
                  <w:tcBorders>
                    <w:top w:val="single" w:color="auto" w:sz="4" w:space="0"/>
                    <w:bottom w:val="single" w:color="auto" w:sz="4" w:space="0"/>
                  </w:tcBorders>
                  <w:vAlign w:val="center"/>
                </w:tcPr>
                <w:p>
                  <w:pPr>
                    <w:pStyle w:val="33"/>
                    <w:widowControl w:val="0"/>
                    <w:bidi w:val="0"/>
                    <w:rPr>
                      <w:rFonts w:hint="default"/>
                      <w:lang w:val="en-US" w:eastAsia="zh-CN"/>
                    </w:rPr>
                  </w:pPr>
                  <w:r>
                    <w:rPr>
                      <w:rFonts w:hint="eastAsia"/>
                      <w:lang w:val="en-US" w:eastAsia="zh-CN"/>
                    </w:rPr>
                    <w:t>外购，桶装；辅助洗涤剂，对于部分（按年洗涤量的4%）重油污布草的需添加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0"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7</w:t>
                  </w:r>
                </w:p>
              </w:tc>
              <w:tc>
                <w:tcPr>
                  <w:tcW w:w="1055"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default"/>
                      <w:color w:val="auto"/>
                      <w:lang w:val="en-US" w:eastAsia="zh-CN"/>
                    </w:rPr>
                    <w:t>全能助剂</w:t>
                  </w:r>
                </w:p>
              </w:tc>
              <w:tc>
                <w:tcPr>
                  <w:tcW w:w="564" w:type="pct"/>
                  <w:tcBorders>
                    <w:top w:val="single" w:color="auto" w:sz="4" w:space="0"/>
                    <w:bottom w:val="single" w:color="auto" w:sz="4" w:space="0"/>
                  </w:tcBorders>
                  <w:vAlign w:val="center"/>
                </w:tcPr>
                <w:p>
                  <w:pPr>
                    <w:pStyle w:val="33"/>
                    <w:widowControl w:val="0"/>
                    <w:bidi w:val="0"/>
                    <w:rPr>
                      <w:rFonts w:hint="default"/>
                      <w:lang w:val="en-US" w:eastAsia="zh-CN"/>
                    </w:rPr>
                  </w:pPr>
                  <w:r>
                    <w:rPr>
                      <w:rFonts w:hint="eastAsia"/>
                      <w:lang w:val="en-US" w:eastAsia="zh-CN"/>
                    </w:rPr>
                    <w:t>0.57</w:t>
                  </w:r>
                </w:p>
              </w:tc>
              <w:tc>
                <w:tcPr>
                  <w:tcW w:w="500" w:type="pct"/>
                  <w:tcBorders>
                    <w:top w:val="single" w:color="auto" w:sz="4" w:space="0"/>
                    <w:bottom w:val="single" w:color="auto" w:sz="4" w:space="0"/>
                  </w:tcBorders>
                  <w:vAlign w:val="center"/>
                </w:tcPr>
                <w:p>
                  <w:pPr>
                    <w:pStyle w:val="33"/>
                    <w:widowControl w:val="0"/>
                    <w:bidi w:val="0"/>
                    <w:rPr>
                      <w:rFonts w:hint="eastAsia"/>
                      <w:lang w:val="en-US" w:eastAsia="zh-CN"/>
                    </w:rPr>
                  </w:pPr>
                  <w:r>
                    <w:t>t/a</w:t>
                  </w:r>
                </w:p>
              </w:tc>
              <w:tc>
                <w:tcPr>
                  <w:tcW w:w="2468" w:type="pct"/>
                  <w:tcBorders>
                    <w:top w:val="single" w:color="auto" w:sz="4" w:space="0"/>
                    <w:bottom w:val="single" w:color="auto" w:sz="4" w:space="0"/>
                  </w:tcBorders>
                  <w:vAlign w:val="center"/>
                </w:tcPr>
                <w:p>
                  <w:pPr>
                    <w:pStyle w:val="33"/>
                    <w:widowControl w:val="0"/>
                    <w:bidi w:val="0"/>
                    <w:rPr>
                      <w:rFonts w:hint="eastAsia"/>
                      <w:lang w:val="en-US" w:eastAsia="zh-CN"/>
                    </w:rPr>
                  </w:pPr>
                  <w:r>
                    <w:rPr>
                      <w:rFonts w:hint="eastAsia"/>
                      <w:lang w:val="en-US" w:eastAsia="zh-CN"/>
                    </w:rPr>
                    <w:t>外购，桶装，（按年洗涤量的3%）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0"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8</w:t>
                  </w:r>
                </w:p>
              </w:tc>
              <w:tc>
                <w:tcPr>
                  <w:tcW w:w="1055"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default"/>
                      <w:color w:val="auto"/>
                      <w:lang w:val="en-US" w:eastAsia="zh-CN"/>
                    </w:rPr>
                    <w:t>活性氧漂液</w:t>
                  </w:r>
                </w:p>
              </w:tc>
              <w:tc>
                <w:tcPr>
                  <w:tcW w:w="564" w:type="pct"/>
                  <w:tcBorders>
                    <w:top w:val="single" w:color="auto" w:sz="4" w:space="0"/>
                    <w:bottom w:val="single" w:color="auto" w:sz="4" w:space="0"/>
                  </w:tcBorders>
                  <w:vAlign w:val="center"/>
                </w:tcPr>
                <w:p>
                  <w:pPr>
                    <w:pStyle w:val="33"/>
                    <w:widowControl w:val="0"/>
                    <w:bidi w:val="0"/>
                    <w:rPr>
                      <w:rFonts w:hint="default"/>
                      <w:lang w:val="en-US" w:eastAsia="zh-CN"/>
                    </w:rPr>
                  </w:pPr>
                  <w:r>
                    <w:rPr>
                      <w:rFonts w:hint="eastAsia"/>
                      <w:lang w:val="en-US" w:eastAsia="zh-CN"/>
                    </w:rPr>
                    <w:t>1.5</w:t>
                  </w:r>
                </w:p>
              </w:tc>
              <w:tc>
                <w:tcPr>
                  <w:tcW w:w="500" w:type="pct"/>
                  <w:tcBorders>
                    <w:top w:val="single" w:color="auto" w:sz="4" w:space="0"/>
                    <w:bottom w:val="single" w:color="auto" w:sz="4" w:space="0"/>
                  </w:tcBorders>
                  <w:vAlign w:val="center"/>
                </w:tcPr>
                <w:p>
                  <w:pPr>
                    <w:pStyle w:val="33"/>
                    <w:widowControl w:val="0"/>
                    <w:bidi w:val="0"/>
                    <w:rPr>
                      <w:rFonts w:hint="eastAsia"/>
                      <w:lang w:val="en-US" w:eastAsia="zh-CN"/>
                    </w:rPr>
                  </w:pPr>
                  <w:r>
                    <w:t>t/a</w:t>
                  </w:r>
                </w:p>
              </w:tc>
              <w:tc>
                <w:tcPr>
                  <w:tcW w:w="2468" w:type="pct"/>
                  <w:tcBorders>
                    <w:top w:val="single" w:color="auto" w:sz="4" w:space="0"/>
                    <w:bottom w:val="single" w:color="auto" w:sz="4" w:space="0"/>
                  </w:tcBorders>
                  <w:vAlign w:val="center"/>
                </w:tcPr>
                <w:p>
                  <w:pPr>
                    <w:pStyle w:val="33"/>
                    <w:widowControl w:val="0"/>
                    <w:bidi w:val="0"/>
                    <w:rPr>
                      <w:rFonts w:hint="eastAsia"/>
                      <w:lang w:val="en-US" w:eastAsia="zh-CN"/>
                    </w:rPr>
                  </w:pPr>
                  <w:r>
                    <w:rPr>
                      <w:rFonts w:hint="eastAsia"/>
                      <w:lang w:val="en-US" w:eastAsia="zh-CN"/>
                    </w:rPr>
                    <w:t>外购，桶装；对于部分（按年洗涤量的8%计）需同时去污和漂白的布草洗涤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0"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9</w:t>
                  </w:r>
                </w:p>
              </w:tc>
              <w:tc>
                <w:tcPr>
                  <w:tcW w:w="1055"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default"/>
                      <w:color w:val="auto"/>
                      <w:lang w:val="en-US" w:eastAsia="zh-CN"/>
                    </w:rPr>
                    <w:t>中和除锈酸剂</w:t>
                  </w:r>
                </w:p>
              </w:tc>
              <w:tc>
                <w:tcPr>
                  <w:tcW w:w="564" w:type="pct"/>
                  <w:tcBorders>
                    <w:top w:val="single" w:color="auto" w:sz="4" w:space="0"/>
                    <w:bottom w:val="single" w:color="auto" w:sz="4" w:space="0"/>
                  </w:tcBorders>
                  <w:vAlign w:val="center"/>
                </w:tcPr>
                <w:p>
                  <w:pPr>
                    <w:pStyle w:val="33"/>
                    <w:widowControl w:val="0"/>
                    <w:bidi w:val="0"/>
                    <w:rPr>
                      <w:rFonts w:hint="default"/>
                      <w:lang w:val="en-US" w:eastAsia="zh-CN"/>
                    </w:rPr>
                  </w:pPr>
                  <w:r>
                    <w:rPr>
                      <w:rFonts w:hint="eastAsia"/>
                      <w:lang w:val="en-US" w:eastAsia="zh-CN"/>
                    </w:rPr>
                    <w:t>1.5</w:t>
                  </w:r>
                </w:p>
              </w:tc>
              <w:tc>
                <w:tcPr>
                  <w:tcW w:w="500" w:type="pct"/>
                  <w:tcBorders>
                    <w:top w:val="single" w:color="auto" w:sz="4" w:space="0"/>
                    <w:bottom w:val="single" w:color="auto" w:sz="4" w:space="0"/>
                  </w:tcBorders>
                  <w:vAlign w:val="center"/>
                </w:tcPr>
                <w:p>
                  <w:pPr>
                    <w:pStyle w:val="33"/>
                    <w:widowControl w:val="0"/>
                    <w:bidi w:val="0"/>
                    <w:rPr>
                      <w:rFonts w:hint="eastAsia"/>
                      <w:lang w:val="en-US" w:eastAsia="zh-CN"/>
                    </w:rPr>
                  </w:pPr>
                  <w:r>
                    <w:t>t/a</w:t>
                  </w:r>
                </w:p>
              </w:tc>
              <w:tc>
                <w:tcPr>
                  <w:tcW w:w="2468" w:type="pct"/>
                  <w:tcBorders>
                    <w:top w:val="single" w:color="auto" w:sz="4" w:space="0"/>
                    <w:bottom w:val="single" w:color="auto" w:sz="4" w:space="0"/>
                  </w:tcBorders>
                  <w:vAlign w:val="center"/>
                </w:tcPr>
                <w:p>
                  <w:pPr>
                    <w:pStyle w:val="33"/>
                    <w:widowControl w:val="0"/>
                    <w:bidi w:val="0"/>
                    <w:rPr>
                      <w:rFonts w:hint="eastAsia"/>
                      <w:lang w:val="en-US" w:eastAsia="zh-CN"/>
                    </w:rPr>
                  </w:pPr>
                  <w:r>
                    <w:rPr>
                      <w:rFonts w:hint="eastAsia"/>
                      <w:lang w:val="en-US" w:eastAsia="zh-CN"/>
                    </w:rPr>
                    <w:t>外购，桶装；用于部分（按年洗涤量的8%计）需要调整织物PH值、防止织物发黄发灰的布草。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0"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10</w:t>
                  </w:r>
                </w:p>
              </w:tc>
              <w:tc>
                <w:tcPr>
                  <w:tcW w:w="1055" w:type="pct"/>
                  <w:tcBorders>
                    <w:top w:val="single" w:color="auto" w:sz="4" w:space="0"/>
                    <w:bottom w:val="single" w:color="auto" w:sz="4" w:space="0"/>
                  </w:tcBorders>
                  <w:vAlign w:val="center"/>
                </w:tcPr>
                <w:p>
                  <w:pPr>
                    <w:pStyle w:val="33"/>
                    <w:widowControl w:val="0"/>
                    <w:bidi w:val="0"/>
                    <w:rPr>
                      <w:rFonts w:hint="default"/>
                      <w:color w:val="auto"/>
                      <w:lang w:val="en-US" w:eastAsia="zh-CN"/>
                    </w:rPr>
                  </w:pPr>
                  <w:r>
                    <w:rPr>
                      <w:rFonts w:hint="default"/>
                      <w:color w:val="auto"/>
                      <w:lang w:val="en-US" w:eastAsia="zh-CN"/>
                    </w:rPr>
                    <w:t>柔软剂</w:t>
                  </w:r>
                </w:p>
              </w:tc>
              <w:tc>
                <w:tcPr>
                  <w:tcW w:w="564" w:type="pct"/>
                  <w:tcBorders>
                    <w:top w:val="single" w:color="auto" w:sz="4" w:space="0"/>
                    <w:bottom w:val="single" w:color="auto" w:sz="4" w:space="0"/>
                  </w:tcBorders>
                  <w:vAlign w:val="center"/>
                </w:tcPr>
                <w:p>
                  <w:pPr>
                    <w:pStyle w:val="33"/>
                    <w:widowControl w:val="0"/>
                    <w:bidi w:val="0"/>
                    <w:rPr>
                      <w:rFonts w:hint="eastAsia"/>
                      <w:lang w:val="en-US" w:eastAsia="zh-CN"/>
                    </w:rPr>
                  </w:pPr>
                  <w:r>
                    <w:rPr>
                      <w:rFonts w:hint="eastAsia"/>
                      <w:lang w:val="en-US" w:eastAsia="zh-CN"/>
                    </w:rPr>
                    <w:t>0.5</w:t>
                  </w:r>
                </w:p>
              </w:tc>
              <w:tc>
                <w:tcPr>
                  <w:tcW w:w="500" w:type="pct"/>
                  <w:tcBorders>
                    <w:top w:val="single" w:color="auto" w:sz="4" w:space="0"/>
                    <w:bottom w:val="single" w:color="auto" w:sz="4" w:space="0"/>
                  </w:tcBorders>
                  <w:vAlign w:val="center"/>
                </w:tcPr>
                <w:p>
                  <w:pPr>
                    <w:pStyle w:val="33"/>
                    <w:widowControl w:val="0"/>
                    <w:bidi w:val="0"/>
                    <w:rPr>
                      <w:rFonts w:hint="eastAsia"/>
                      <w:lang w:val="en-US" w:eastAsia="zh-CN"/>
                    </w:rPr>
                  </w:pPr>
                  <w:r>
                    <w:t>t/a</w:t>
                  </w:r>
                </w:p>
              </w:tc>
              <w:tc>
                <w:tcPr>
                  <w:tcW w:w="2468" w:type="pct"/>
                  <w:tcBorders>
                    <w:top w:val="single" w:color="auto" w:sz="4" w:space="0"/>
                    <w:bottom w:val="single" w:color="auto" w:sz="4" w:space="0"/>
                  </w:tcBorders>
                  <w:vAlign w:val="center"/>
                </w:tcPr>
                <w:p>
                  <w:pPr>
                    <w:pStyle w:val="33"/>
                    <w:widowControl w:val="0"/>
                    <w:bidi w:val="0"/>
                    <w:rPr>
                      <w:rFonts w:hint="eastAsia"/>
                      <w:lang w:val="en-US" w:eastAsia="zh-CN"/>
                    </w:rPr>
                  </w:pPr>
                  <w:r>
                    <w:rPr>
                      <w:rFonts w:hint="eastAsia"/>
                      <w:lang w:val="en-US" w:eastAsia="zh-CN"/>
                    </w:rPr>
                    <w:t>外购，桶装；对于部分（按年洗涤量的2.5%计）需要进行柔顺处理的布草，使布草恢复或变得更加柔顺。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0" w:type="pct"/>
                  <w:tcBorders>
                    <w:top w:val="single" w:color="auto" w:sz="4" w:space="0"/>
                  </w:tcBorders>
                  <w:vAlign w:val="center"/>
                </w:tcPr>
                <w:p>
                  <w:pPr>
                    <w:pStyle w:val="33"/>
                    <w:widowControl w:val="0"/>
                    <w:bidi w:val="0"/>
                    <w:rPr>
                      <w:rFonts w:hint="default"/>
                      <w:color w:val="auto"/>
                      <w:lang w:val="en-US" w:eastAsia="zh-CN"/>
                    </w:rPr>
                  </w:pPr>
                  <w:r>
                    <w:rPr>
                      <w:rFonts w:hint="eastAsia"/>
                      <w:color w:val="auto"/>
                      <w:lang w:val="en-US" w:eastAsia="zh-CN"/>
                    </w:rPr>
                    <w:t>11</w:t>
                  </w:r>
                </w:p>
              </w:tc>
              <w:tc>
                <w:tcPr>
                  <w:tcW w:w="1055" w:type="pct"/>
                  <w:tcBorders>
                    <w:top w:val="single" w:color="auto" w:sz="4" w:space="0"/>
                  </w:tcBorders>
                  <w:vAlign w:val="center"/>
                </w:tcPr>
                <w:p>
                  <w:pPr>
                    <w:pStyle w:val="33"/>
                    <w:widowControl w:val="0"/>
                    <w:bidi w:val="0"/>
                    <w:rPr>
                      <w:rFonts w:hint="default"/>
                      <w:color w:val="auto"/>
                      <w:lang w:val="en-US" w:eastAsia="zh-CN"/>
                    </w:rPr>
                  </w:pPr>
                  <w:r>
                    <w:rPr>
                      <w:rFonts w:hint="default"/>
                      <w:color w:val="auto"/>
                      <w:lang w:val="en-US" w:eastAsia="zh-CN"/>
                    </w:rPr>
                    <w:t>有机氯漂液</w:t>
                  </w:r>
                </w:p>
              </w:tc>
              <w:tc>
                <w:tcPr>
                  <w:tcW w:w="564" w:type="pct"/>
                  <w:tcBorders>
                    <w:top w:val="single" w:color="auto" w:sz="4" w:space="0"/>
                  </w:tcBorders>
                  <w:vAlign w:val="center"/>
                </w:tcPr>
                <w:p>
                  <w:pPr>
                    <w:pStyle w:val="33"/>
                    <w:widowControl w:val="0"/>
                    <w:bidi w:val="0"/>
                    <w:rPr>
                      <w:rFonts w:hint="eastAsia"/>
                      <w:lang w:val="en-US" w:eastAsia="zh-CN"/>
                    </w:rPr>
                  </w:pPr>
                  <w:r>
                    <w:rPr>
                      <w:rFonts w:hint="eastAsia"/>
                      <w:lang w:val="en-US" w:eastAsia="zh-CN"/>
                    </w:rPr>
                    <w:t>0.5</w:t>
                  </w:r>
                </w:p>
              </w:tc>
              <w:tc>
                <w:tcPr>
                  <w:tcW w:w="500" w:type="pct"/>
                  <w:tcBorders>
                    <w:top w:val="single" w:color="auto" w:sz="4" w:space="0"/>
                  </w:tcBorders>
                  <w:vAlign w:val="center"/>
                </w:tcPr>
                <w:p>
                  <w:pPr>
                    <w:pStyle w:val="33"/>
                    <w:widowControl w:val="0"/>
                    <w:bidi w:val="0"/>
                    <w:rPr>
                      <w:rFonts w:hint="eastAsia"/>
                      <w:lang w:val="en-US" w:eastAsia="zh-CN"/>
                    </w:rPr>
                  </w:pPr>
                  <w:r>
                    <w:t>t/a</w:t>
                  </w:r>
                </w:p>
              </w:tc>
              <w:tc>
                <w:tcPr>
                  <w:tcW w:w="2468" w:type="pct"/>
                  <w:tcBorders>
                    <w:top w:val="single" w:color="auto" w:sz="4" w:space="0"/>
                  </w:tcBorders>
                  <w:vAlign w:val="center"/>
                </w:tcPr>
                <w:p>
                  <w:pPr>
                    <w:pStyle w:val="33"/>
                    <w:widowControl w:val="0"/>
                    <w:bidi w:val="0"/>
                    <w:rPr>
                      <w:rFonts w:hint="default"/>
                      <w:lang w:val="en-US" w:eastAsia="zh-CN"/>
                    </w:rPr>
                  </w:pPr>
                  <w:r>
                    <w:rPr>
                      <w:rFonts w:hint="eastAsia"/>
                      <w:lang w:val="en-US" w:eastAsia="zh-CN"/>
                    </w:rPr>
                    <w:t>外购，桶装；对于部分（按年洗涤量的2.5%计）污渍较重的布草，但不能用于彩色布草</w:t>
                  </w:r>
                </w:p>
              </w:tc>
            </w:tr>
          </w:tbl>
          <w:p>
            <w:pPr>
              <w:pStyle w:val="22"/>
              <w:bidi w:val="0"/>
              <w:jc w:val="both"/>
              <w:rPr>
                <w:rFonts w:hint="eastAsia"/>
                <w:color w:val="auto"/>
                <w:lang w:val="en-US" w:eastAsia="zh-CN"/>
              </w:rPr>
            </w:pPr>
          </w:p>
          <w:p>
            <w:pPr>
              <w:pStyle w:val="22"/>
              <w:bidi w:val="0"/>
              <w:jc w:val="both"/>
              <w:rPr>
                <w:rFonts w:hint="eastAsia"/>
                <w:color w:val="auto"/>
                <w:lang w:val="en-US" w:eastAsia="zh-CN"/>
              </w:rPr>
            </w:pPr>
          </w:p>
          <w:p>
            <w:pPr>
              <w:pStyle w:val="22"/>
              <w:bidi w:val="0"/>
              <w:jc w:val="both"/>
              <w:rPr>
                <w:rFonts w:hint="eastAsia"/>
                <w:color w:val="auto"/>
                <w:lang w:val="en-US" w:eastAsia="zh-CN"/>
              </w:rPr>
            </w:pPr>
          </w:p>
          <w:p>
            <w:pPr>
              <w:pStyle w:val="22"/>
              <w:bidi w:val="0"/>
              <w:jc w:val="both"/>
              <w:rPr>
                <w:rFonts w:hint="eastAsia"/>
                <w:color w:val="auto"/>
                <w:lang w:val="en-US" w:eastAsia="zh-CN"/>
              </w:rPr>
            </w:pPr>
            <w:r>
              <w:rPr>
                <w:rFonts w:hint="eastAsia"/>
                <w:color w:val="auto"/>
                <w:lang w:val="en-US" w:eastAsia="zh-CN"/>
              </w:rPr>
              <w:t>天然气理化特性见下表2-4，成分分析见下表2-5。</w:t>
            </w:r>
          </w:p>
          <w:p>
            <w:pPr>
              <w:pStyle w:val="32"/>
              <w:bidi w:val="0"/>
              <w:rPr>
                <w:rFonts w:hint="eastAsia"/>
                <w:color w:val="auto"/>
                <w:lang w:val="en-US" w:eastAsia="zh-CN"/>
              </w:rPr>
            </w:pPr>
            <w:r>
              <w:rPr>
                <w:rFonts w:hint="eastAsia"/>
                <w:color w:val="auto"/>
                <w:lang w:val="en-US" w:eastAsia="zh-CN"/>
              </w:rPr>
              <w:t>表2-4        原料理化特性及危险特性</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3"/>
              <w:gridCol w:w="677"/>
              <w:gridCol w:w="3806"/>
              <w:gridCol w:w="1601"/>
              <w:gridCol w:w="11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6" w:type="pct"/>
                  <w:tcBorders>
                    <w:bottom w:val="single" w:color="auto" w:sz="12" w:space="0"/>
                  </w:tcBorders>
                  <w:noWrap w:val="0"/>
                  <w:vAlign w:val="center"/>
                </w:tcPr>
                <w:p>
                  <w:pPr>
                    <w:pStyle w:val="33"/>
                    <w:bidi w:val="0"/>
                    <w:rPr>
                      <w:rFonts w:hint="eastAsia"/>
                      <w:b/>
                      <w:bCs/>
                      <w:color w:val="auto"/>
                      <w:lang w:val="en-US" w:eastAsia="zh-CN"/>
                    </w:rPr>
                  </w:pPr>
                  <w:r>
                    <w:rPr>
                      <w:rFonts w:hint="eastAsia"/>
                      <w:b/>
                      <w:bCs/>
                      <w:color w:val="auto"/>
                      <w:lang w:val="en-US" w:eastAsia="zh-CN"/>
                    </w:rPr>
                    <w:t>序号</w:t>
                  </w:r>
                </w:p>
              </w:tc>
              <w:tc>
                <w:tcPr>
                  <w:tcW w:w="431" w:type="pct"/>
                  <w:tcBorders>
                    <w:bottom w:val="single" w:color="auto" w:sz="12" w:space="0"/>
                  </w:tcBorders>
                  <w:noWrap w:val="0"/>
                  <w:vAlign w:val="center"/>
                </w:tcPr>
                <w:p>
                  <w:pPr>
                    <w:pStyle w:val="33"/>
                    <w:bidi w:val="0"/>
                    <w:rPr>
                      <w:rFonts w:hint="eastAsia"/>
                      <w:b/>
                      <w:bCs/>
                      <w:color w:val="auto"/>
                      <w:lang w:val="en-US" w:eastAsia="zh-CN"/>
                    </w:rPr>
                  </w:pPr>
                  <w:r>
                    <w:rPr>
                      <w:rFonts w:hint="eastAsia"/>
                      <w:b/>
                      <w:bCs/>
                      <w:color w:val="auto"/>
                      <w:lang w:val="en-US" w:eastAsia="zh-CN"/>
                    </w:rPr>
                    <w:t>名称</w:t>
                  </w:r>
                </w:p>
              </w:tc>
              <w:tc>
                <w:tcPr>
                  <w:tcW w:w="2423" w:type="pct"/>
                  <w:tcBorders>
                    <w:bottom w:val="single" w:color="auto" w:sz="12" w:space="0"/>
                  </w:tcBorders>
                  <w:noWrap w:val="0"/>
                  <w:vAlign w:val="center"/>
                </w:tcPr>
                <w:p>
                  <w:pPr>
                    <w:pStyle w:val="33"/>
                    <w:bidi w:val="0"/>
                    <w:rPr>
                      <w:rFonts w:hint="eastAsia"/>
                      <w:b/>
                      <w:bCs/>
                      <w:color w:val="auto"/>
                      <w:lang w:val="en-US" w:eastAsia="zh-CN"/>
                    </w:rPr>
                  </w:pPr>
                  <w:r>
                    <w:rPr>
                      <w:rFonts w:hint="eastAsia"/>
                      <w:b/>
                      <w:bCs/>
                      <w:color w:val="auto"/>
                      <w:lang w:val="en-US" w:eastAsia="zh-CN"/>
                    </w:rPr>
                    <w:t>理化性质</w:t>
                  </w:r>
                </w:p>
              </w:tc>
              <w:tc>
                <w:tcPr>
                  <w:tcW w:w="1019" w:type="pct"/>
                  <w:tcBorders>
                    <w:bottom w:val="single" w:color="auto" w:sz="12" w:space="0"/>
                  </w:tcBorders>
                  <w:noWrap w:val="0"/>
                  <w:vAlign w:val="center"/>
                </w:tcPr>
                <w:p>
                  <w:pPr>
                    <w:pStyle w:val="33"/>
                    <w:bidi w:val="0"/>
                    <w:rPr>
                      <w:rFonts w:hint="eastAsia"/>
                      <w:b/>
                      <w:bCs/>
                      <w:color w:val="auto"/>
                      <w:lang w:val="en-US" w:eastAsia="zh-CN"/>
                    </w:rPr>
                  </w:pPr>
                  <w:r>
                    <w:rPr>
                      <w:rFonts w:hint="eastAsia"/>
                      <w:b/>
                      <w:bCs/>
                      <w:color w:val="auto"/>
                      <w:lang w:val="en-US" w:eastAsia="zh-CN"/>
                    </w:rPr>
                    <w:t>燃烧、爆炸特性</w:t>
                  </w:r>
                </w:p>
              </w:tc>
              <w:tc>
                <w:tcPr>
                  <w:tcW w:w="709" w:type="pct"/>
                  <w:tcBorders>
                    <w:bottom w:val="single" w:color="auto" w:sz="12" w:space="0"/>
                  </w:tcBorders>
                  <w:noWrap w:val="0"/>
                  <w:vAlign w:val="center"/>
                </w:tcPr>
                <w:p>
                  <w:pPr>
                    <w:pStyle w:val="33"/>
                    <w:bidi w:val="0"/>
                    <w:rPr>
                      <w:rFonts w:hint="eastAsia"/>
                      <w:b/>
                      <w:bCs/>
                      <w:color w:val="auto"/>
                      <w:lang w:val="en-US" w:eastAsia="zh-CN"/>
                    </w:rPr>
                  </w:pPr>
                  <w:r>
                    <w:rPr>
                      <w:rFonts w:hint="eastAsia"/>
                      <w:b/>
                      <w:bCs/>
                      <w:color w:val="auto"/>
                      <w:lang w:val="en-US" w:eastAsia="zh-CN"/>
                    </w:rPr>
                    <w:t>毒理特性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6" w:type="pct"/>
                  <w:tcBorders>
                    <w:top w:val="single" w:color="auto" w:sz="12" w:space="0"/>
                  </w:tcBorders>
                  <w:noWrap w:val="0"/>
                  <w:vAlign w:val="center"/>
                </w:tcPr>
                <w:p>
                  <w:pPr>
                    <w:pStyle w:val="33"/>
                    <w:bidi w:val="0"/>
                    <w:rPr>
                      <w:rFonts w:hint="eastAsia"/>
                      <w:color w:val="auto"/>
                      <w:lang w:val="en-US" w:eastAsia="zh-CN"/>
                    </w:rPr>
                  </w:pPr>
                  <w:r>
                    <w:rPr>
                      <w:rFonts w:hint="eastAsia"/>
                      <w:color w:val="auto"/>
                      <w:lang w:val="en-US" w:eastAsia="zh-CN"/>
                    </w:rPr>
                    <w:t>1</w:t>
                  </w:r>
                </w:p>
              </w:tc>
              <w:tc>
                <w:tcPr>
                  <w:tcW w:w="431" w:type="pct"/>
                  <w:tcBorders>
                    <w:top w:val="single" w:color="auto" w:sz="12" w:space="0"/>
                  </w:tcBorders>
                  <w:noWrap w:val="0"/>
                  <w:vAlign w:val="center"/>
                </w:tcPr>
                <w:p>
                  <w:pPr>
                    <w:pStyle w:val="33"/>
                    <w:bidi w:val="0"/>
                    <w:rPr>
                      <w:rFonts w:hint="eastAsia"/>
                      <w:color w:val="auto"/>
                      <w:lang w:val="en-US" w:eastAsia="zh-CN"/>
                    </w:rPr>
                  </w:pPr>
                  <w:r>
                    <w:rPr>
                      <w:rFonts w:hint="default"/>
                      <w:color w:val="auto"/>
                      <w:lang w:val="en-US" w:eastAsia="zh-CN"/>
                    </w:rPr>
                    <w:t>天然气</w:t>
                  </w:r>
                </w:p>
              </w:tc>
              <w:tc>
                <w:tcPr>
                  <w:tcW w:w="2423" w:type="pct"/>
                  <w:tcBorders>
                    <w:top w:val="single" w:color="auto" w:sz="12" w:space="0"/>
                  </w:tcBorders>
                  <w:noWrap w:val="0"/>
                  <w:vAlign w:val="center"/>
                </w:tcPr>
                <w:p>
                  <w:pPr>
                    <w:pStyle w:val="33"/>
                    <w:bidi w:val="0"/>
                    <w:jc w:val="both"/>
                    <w:rPr>
                      <w:rFonts w:hint="eastAsia"/>
                      <w:color w:val="auto"/>
                      <w:lang w:val="en-US" w:eastAsia="zh-CN"/>
                    </w:rPr>
                  </w:pPr>
                  <w:r>
                    <w:rPr>
                      <w:rFonts w:hint="default"/>
                      <w:color w:val="auto"/>
                      <w:lang w:val="en-US" w:eastAsia="zh-CN"/>
                    </w:rPr>
                    <w:t>天然气是存在于地下岩石储集层中以烃为主体的</w:t>
                  </w:r>
                  <w:r>
                    <w:rPr>
                      <w:rFonts w:hint="default"/>
                      <w:color w:val="auto"/>
                      <w:lang w:val="en-US" w:eastAsia="zh-CN"/>
                    </w:rPr>
                    <w:fldChar w:fldCharType="begin"/>
                  </w:r>
                  <w:r>
                    <w:rPr>
                      <w:rFonts w:hint="default"/>
                      <w:color w:val="auto"/>
                      <w:lang w:val="en-US" w:eastAsia="zh-CN"/>
                    </w:rPr>
                    <w:instrText xml:space="preserve"> HYPERLINK "https://baike.baidu.com/item/%E6%B7%B7%E5%90%88%E6%B0%94%E4%BD%93" \t "https://baike.baidu.com/item/%E5%A4%A9%E7%84%B6%E6%B0%94/_blank" </w:instrText>
                  </w:r>
                  <w:r>
                    <w:rPr>
                      <w:rFonts w:hint="default"/>
                      <w:color w:val="auto"/>
                      <w:lang w:val="en-US" w:eastAsia="zh-CN"/>
                    </w:rPr>
                    <w:fldChar w:fldCharType="separate"/>
                  </w:r>
                  <w:r>
                    <w:rPr>
                      <w:rFonts w:hint="default"/>
                      <w:color w:val="auto"/>
                      <w:lang w:val="en-US" w:eastAsia="zh-CN"/>
                    </w:rPr>
                    <w:t>混合气体</w:t>
                  </w:r>
                  <w:r>
                    <w:rPr>
                      <w:rFonts w:hint="default"/>
                      <w:color w:val="auto"/>
                      <w:lang w:val="en-US" w:eastAsia="zh-CN"/>
                    </w:rPr>
                    <w:fldChar w:fldCharType="end"/>
                  </w:r>
                  <w:r>
                    <w:rPr>
                      <w:rFonts w:hint="default"/>
                      <w:color w:val="auto"/>
                      <w:lang w:val="en-US" w:eastAsia="zh-CN"/>
                    </w:rPr>
                    <w:t>的统称，密度</w:t>
                  </w:r>
                  <w:r>
                    <w:rPr>
                      <w:rFonts w:hint="eastAsia"/>
                      <w:color w:val="auto"/>
                      <w:spacing w:val="-2"/>
                      <w:highlight w:val="none"/>
                      <w:vertAlign w:val="baseline"/>
                      <w:lang w:val="en-US" w:eastAsia="zh-CN"/>
                    </w:rPr>
                    <w:t>0.7174</w:t>
                  </w:r>
                  <w:r>
                    <w:rPr>
                      <w:rFonts w:hint="default"/>
                      <w:color w:val="auto"/>
                      <w:lang w:val="en-US" w:eastAsia="zh-CN"/>
                    </w:rPr>
                    <w:t>kg/Nm</w:t>
                  </w:r>
                  <w:r>
                    <w:rPr>
                      <w:rFonts w:hint="default"/>
                      <w:color w:val="auto"/>
                      <w:vertAlign w:val="superscript"/>
                      <w:lang w:val="en-US" w:eastAsia="zh-CN"/>
                    </w:rPr>
                    <w:t>3</w:t>
                  </w:r>
                  <w:r>
                    <w:rPr>
                      <w:rFonts w:hint="default"/>
                      <w:color w:val="auto"/>
                      <w:lang w:val="en-US" w:eastAsia="zh-CN"/>
                    </w:rPr>
                    <w:t>，比空气轻，具有无色、无味、无毒之特性。天然气主要成分</w:t>
                  </w:r>
                  <w:r>
                    <w:rPr>
                      <w:rFonts w:hint="default"/>
                      <w:color w:val="auto"/>
                      <w:lang w:val="en-US" w:eastAsia="zh-CN"/>
                    </w:rPr>
                    <w:fldChar w:fldCharType="begin"/>
                  </w:r>
                  <w:r>
                    <w:rPr>
                      <w:rFonts w:hint="default"/>
                      <w:color w:val="auto"/>
                      <w:lang w:val="en-US" w:eastAsia="zh-CN"/>
                    </w:rPr>
                    <w:instrText xml:space="preserve"> HYPERLINK "https://baike.baidu.com/item/%E7%83%B7%E7%83%83" \t "https://baike.baidu.com/item/%E5%A4%A9%E7%84%B6%E6%B0%94/_blank" </w:instrText>
                  </w:r>
                  <w:r>
                    <w:rPr>
                      <w:rFonts w:hint="default"/>
                      <w:color w:val="auto"/>
                      <w:lang w:val="en-US" w:eastAsia="zh-CN"/>
                    </w:rPr>
                    <w:fldChar w:fldCharType="separate"/>
                  </w:r>
                  <w:r>
                    <w:rPr>
                      <w:rFonts w:hint="default"/>
                      <w:color w:val="auto"/>
                      <w:lang w:val="en-US" w:eastAsia="zh-CN"/>
                    </w:rPr>
                    <w:t>烷烃</w:t>
                  </w:r>
                  <w:r>
                    <w:rPr>
                      <w:rFonts w:hint="default"/>
                      <w:color w:val="auto"/>
                      <w:lang w:val="en-US" w:eastAsia="zh-CN"/>
                    </w:rPr>
                    <w:fldChar w:fldCharType="end"/>
                  </w:r>
                  <w:r>
                    <w:rPr>
                      <w:rFonts w:hint="default"/>
                      <w:color w:val="auto"/>
                      <w:lang w:val="en-US" w:eastAsia="zh-CN"/>
                    </w:rPr>
                    <w:t>，其中</w:t>
                  </w:r>
                  <w:r>
                    <w:rPr>
                      <w:rFonts w:hint="default"/>
                      <w:color w:val="auto"/>
                      <w:lang w:val="en-US" w:eastAsia="zh-CN"/>
                    </w:rPr>
                    <w:fldChar w:fldCharType="begin"/>
                  </w:r>
                  <w:r>
                    <w:rPr>
                      <w:rFonts w:hint="default"/>
                      <w:color w:val="auto"/>
                      <w:lang w:val="en-US" w:eastAsia="zh-CN"/>
                    </w:rPr>
                    <w:instrText xml:space="preserve"> HYPERLINK "https://baike.baidu.com/item/%E7%94%B2%E7%83%B7" \t "https://baike.baidu.com/item/%E5%A4%A9%E7%84%B6%E6%B0%94/_blank" </w:instrText>
                  </w:r>
                  <w:r>
                    <w:rPr>
                      <w:rFonts w:hint="default"/>
                      <w:color w:val="auto"/>
                      <w:lang w:val="en-US" w:eastAsia="zh-CN"/>
                    </w:rPr>
                    <w:fldChar w:fldCharType="separate"/>
                  </w:r>
                  <w:r>
                    <w:rPr>
                      <w:rFonts w:hint="default"/>
                      <w:color w:val="auto"/>
                      <w:lang w:val="en-US" w:eastAsia="zh-CN"/>
                    </w:rPr>
                    <w:t>甲烷</w:t>
                  </w:r>
                  <w:r>
                    <w:rPr>
                      <w:rFonts w:hint="default"/>
                      <w:color w:val="auto"/>
                      <w:lang w:val="en-US" w:eastAsia="zh-CN"/>
                    </w:rPr>
                    <w:fldChar w:fldCharType="end"/>
                  </w:r>
                  <w:r>
                    <w:rPr>
                      <w:rFonts w:hint="default"/>
                      <w:color w:val="auto"/>
                      <w:lang w:val="en-US" w:eastAsia="zh-CN"/>
                    </w:rPr>
                    <w:t>占绝大多数，另有少量的</w:t>
                  </w:r>
                  <w:r>
                    <w:rPr>
                      <w:rFonts w:hint="default"/>
                      <w:color w:val="auto"/>
                      <w:lang w:val="en-US" w:eastAsia="zh-CN"/>
                    </w:rPr>
                    <w:fldChar w:fldCharType="begin"/>
                  </w:r>
                  <w:r>
                    <w:rPr>
                      <w:rFonts w:hint="default"/>
                      <w:color w:val="auto"/>
                      <w:lang w:val="en-US" w:eastAsia="zh-CN"/>
                    </w:rPr>
                    <w:instrText xml:space="preserve"> HYPERLINK "https://baike.baidu.com/item/%E4%B9%99%E7%83%B7" \t "https://baike.baidu.com/item/%E5%A4%A9%E7%84%B6%E6%B0%94/_blank" </w:instrText>
                  </w:r>
                  <w:r>
                    <w:rPr>
                      <w:rFonts w:hint="default"/>
                      <w:color w:val="auto"/>
                      <w:lang w:val="en-US" w:eastAsia="zh-CN"/>
                    </w:rPr>
                    <w:fldChar w:fldCharType="separate"/>
                  </w:r>
                  <w:r>
                    <w:rPr>
                      <w:rFonts w:hint="default"/>
                      <w:color w:val="auto"/>
                      <w:lang w:val="en-US" w:eastAsia="zh-CN"/>
                    </w:rPr>
                    <w:t>乙烷</w:t>
                  </w:r>
                  <w:r>
                    <w:rPr>
                      <w:rFonts w:hint="default"/>
                      <w:color w:val="auto"/>
                      <w:lang w:val="en-US" w:eastAsia="zh-CN"/>
                    </w:rPr>
                    <w:fldChar w:fldCharType="end"/>
                  </w:r>
                  <w:r>
                    <w:rPr>
                      <w:rFonts w:hint="default"/>
                      <w:color w:val="auto"/>
                      <w:lang w:val="en-US" w:eastAsia="zh-CN"/>
                    </w:rPr>
                    <w:t>、</w:t>
                  </w:r>
                  <w:r>
                    <w:rPr>
                      <w:rFonts w:hint="default"/>
                      <w:color w:val="auto"/>
                      <w:lang w:val="en-US" w:eastAsia="zh-CN"/>
                    </w:rPr>
                    <w:fldChar w:fldCharType="begin"/>
                  </w:r>
                  <w:r>
                    <w:rPr>
                      <w:rFonts w:hint="default"/>
                      <w:color w:val="auto"/>
                      <w:lang w:val="en-US" w:eastAsia="zh-CN"/>
                    </w:rPr>
                    <w:instrText xml:space="preserve"> HYPERLINK "https://baike.baidu.com/item/%E4%B8%99%E7%83%B7" \t "https://baike.baidu.com/item/%E5%A4%A9%E7%84%B6%E6%B0%94/_blank" </w:instrText>
                  </w:r>
                  <w:r>
                    <w:rPr>
                      <w:rFonts w:hint="default"/>
                      <w:color w:val="auto"/>
                      <w:lang w:val="en-US" w:eastAsia="zh-CN"/>
                    </w:rPr>
                    <w:fldChar w:fldCharType="separate"/>
                  </w:r>
                  <w:r>
                    <w:rPr>
                      <w:rFonts w:hint="default"/>
                      <w:color w:val="auto"/>
                      <w:lang w:val="en-US" w:eastAsia="zh-CN"/>
                    </w:rPr>
                    <w:t>丙烷</w:t>
                  </w:r>
                  <w:r>
                    <w:rPr>
                      <w:rFonts w:hint="default"/>
                      <w:color w:val="auto"/>
                      <w:lang w:val="en-US" w:eastAsia="zh-CN"/>
                    </w:rPr>
                    <w:fldChar w:fldCharType="end"/>
                  </w:r>
                  <w:r>
                    <w:rPr>
                      <w:rFonts w:hint="default"/>
                      <w:color w:val="auto"/>
                      <w:lang w:val="en-US" w:eastAsia="zh-CN"/>
                    </w:rPr>
                    <w:t>和</w:t>
                  </w:r>
                  <w:r>
                    <w:rPr>
                      <w:rFonts w:hint="default"/>
                      <w:color w:val="auto"/>
                      <w:lang w:val="en-US" w:eastAsia="zh-CN"/>
                    </w:rPr>
                    <w:fldChar w:fldCharType="begin"/>
                  </w:r>
                  <w:r>
                    <w:rPr>
                      <w:rFonts w:hint="default"/>
                      <w:color w:val="auto"/>
                      <w:lang w:val="en-US" w:eastAsia="zh-CN"/>
                    </w:rPr>
                    <w:instrText xml:space="preserve"> HYPERLINK "https://baike.baidu.com/item/%E4%B8%81%E7%83%B7" \t "https://baike.baidu.com/item/%E5%A4%A9%E7%84%B6%E6%B0%94/_blank" </w:instrText>
                  </w:r>
                  <w:r>
                    <w:rPr>
                      <w:rFonts w:hint="default"/>
                      <w:color w:val="auto"/>
                      <w:lang w:val="en-US" w:eastAsia="zh-CN"/>
                    </w:rPr>
                    <w:fldChar w:fldCharType="separate"/>
                  </w:r>
                  <w:r>
                    <w:rPr>
                      <w:rFonts w:hint="default"/>
                      <w:color w:val="auto"/>
                      <w:lang w:val="en-US" w:eastAsia="zh-CN"/>
                    </w:rPr>
                    <w:t>丁烷</w:t>
                  </w:r>
                  <w:r>
                    <w:rPr>
                      <w:rFonts w:hint="default"/>
                      <w:color w:val="auto"/>
                      <w:lang w:val="en-US" w:eastAsia="zh-CN"/>
                    </w:rPr>
                    <w:fldChar w:fldCharType="end"/>
                  </w:r>
                  <w:r>
                    <w:rPr>
                      <w:rFonts w:hint="default"/>
                      <w:color w:val="auto"/>
                      <w:lang w:val="en-US" w:eastAsia="zh-CN"/>
                    </w:rPr>
                    <w:t>，此外一般有</w:t>
                  </w:r>
                  <w:r>
                    <w:rPr>
                      <w:rFonts w:hint="default"/>
                      <w:color w:val="auto"/>
                      <w:lang w:val="en-US" w:eastAsia="zh-CN"/>
                    </w:rPr>
                    <w:fldChar w:fldCharType="begin"/>
                  </w:r>
                  <w:r>
                    <w:rPr>
                      <w:rFonts w:hint="default"/>
                      <w:color w:val="auto"/>
                      <w:lang w:val="en-US" w:eastAsia="zh-CN"/>
                    </w:rPr>
                    <w:instrText xml:space="preserve"> HYPERLINK "https://baike.baidu.com/item/%E7%A1%AB%E5%8C%96%E6%B0%A2" \t "https://baike.baidu.com/item/%E5%A4%A9%E7%84%B6%E6%B0%94/_blank" </w:instrText>
                  </w:r>
                  <w:r>
                    <w:rPr>
                      <w:rFonts w:hint="default"/>
                      <w:color w:val="auto"/>
                      <w:lang w:val="en-US" w:eastAsia="zh-CN"/>
                    </w:rPr>
                    <w:fldChar w:fldCharType="separate"/>
                  </w:r>
                  <w:r>
                    <w:rPr>
                      <w:rFonts w:hint="default"/>
                      <w:color w:val="auto"/>
                      <w:lang w:val="en-US" w:eastAsia="zh-CN"/>
                    </w:rPr>
                    <w:t>硫化氢</w:t>
                  </w:r>
                  <w:r>
                    <w:rPr>
                      <w:rFonts w:hint="default"/>
                      <w:color w:val="auto"/>
                      <w:lang w:val="en-US" w:eastAsia="zh-CN"/>
                    </w:rPr>
                    <w:fldChar w:fldCharType="end"/>
                  </w:r>
                  <w:r>
                    <w:rPr>
                      <w:rFonts w:hint="default"/>
                      <w:color w:val="auto"/>
                      <w:lang w:val="en-US" w:eastAsia="zh-CN"/>
                    </w:rPr>
                    <w:t>、</w:t>
                  </w:r>
                  <w:r>
                    <w:rPr>
                      <w:rFonts w:hint="default"/>
                      <w:color w:val="auto"/>
                      <w:lang w:val="en-US" w:eastAsia="zh-CN"/>
                    </w:rPr>
                    <w:fldChar w:fldCharType="begin"/>
                  </w:r>
                  <w:r>
                    <w:rPr>
                      <w:rFonts w:hint="default"/>
                      <w:color w:val="auto"/>
                      <w:lang w:val="en-US" w:eastAsia="zh-CN"/>
                    </w:rPr>
                    <w:instrText xml:space="preserve"> HYPERLINK "https://baike.baidu.com/item/%E4%BA%8C%E6%B0%A7%E5%8C%96%E7%A2%B3/349143" \t "https://baike.baidu.com/item/%E5%A4%A9%E7%84%B6%E6%B0%94/_blank" </w:instrText>
                  </w:r>
                  <w:r>
                    <w:rPr>
                      <w:rFonts w:hint="default"/>
                      <w:color w:val="auto"/>
                      <w:lang w:val="en-US" w:eastAsia="zh-CN"/>
                    </w:rPr>
                    <w:fldChar w:fldCharType="separate"/>
                  </w:r>
                  <w:r>
                    <w:rPr>
                      <w:rFonts w:hint="default"/>
                      <w:color w:val="auto"/>
                      <w:lang w:val="en-US" w:eastAsia="zh-CN"/>
                    </w:rPr>
                    <w:t>二氧化碳</w:t>
                  </w:r>
                  <w:r>
                    <w:rPr>
                      <w:rFonts w:hint="default"/>
                      <w:color w:val="auto"/>
                      <w:lang w:val="en-US" w:eastAsia="zh-CN"/>
                    </w:rPr>
                    <w:fldChar w:fldCharType="end"/>
                  </w:r>
                  <w:r>
                    <w:rPr>
                      <w:rFonts w:hint="default"/>
                      <w:color w:val="auto"/>
                      <w:lang w:val="en-US" w:eastAsia="zh-CN"/>
                    </w:rPr>
                    <w:t>、氮和水汽和少量</w:t>
                  </w:r>
                  <w:r>
                    <w:rPr>
                      <w:rFonts w:hint="default"/>
                      <w:color w:val="auto"/>
                      <w:lang w:val="en-US" w:eastAsia="zh-CN"/>
                    </w:rPr>
                    <w:fldChar w:fldCharType="begin"/>
                  </w:r>
                  <w:r>
                    <w:rPr>
                      <w:rFonts w:hint="default"/>
                      <w:color w:val="auto"/>
                      <w:lang w:val="en-US" w:eastAsia="zh-CN"/>
                    </w:rPr>
                    <w:instrText xml:space="preserve"> HYPERLINK "https://baike.baidu.com/item/%E4%B8%80%E6%B0%A7%E5%8C%96%E7%A2%B3/163473" \t "https://baike.baidu.com/item/%E5%A4%A9%E7%84%B6%E6%B0%94/_blank" </w:instrText>
                  </w:r>
                  <w:r>
                    <w:rPr>
                      <w:rFonts w:hint="default"/>
                      <w:color w:val="auto"/>
                      <w:lang w:val="en-US" w:eastAsia="zh-CN"/>
                    </w:rPr>
                    <w:fldChar w:fldCharType="separate"/>
                  </w:r>
                  <w:r>
                    <w:rPr>
                      <w:rFonts w:hint="default"/>
                      <w:color w:val="auto"/>
                      <w:lang w:val="en-US" w:eastAsia="zh-CN"/>
                    </w:rPr>
                    <w:t>一氧化碳</w:t>
                  </w:r>
                  <w:r>
                    <w:rPr>
                      <w:rFonts w:hint="default"/>
                      <w:color w:val="auto"/>
                      <w:lang w:val="en-US" w:eastAsia="zh-CN"/>
                    </w:rPr>
                    <w:fldChar w:fldCharType="end"/>
                  </w:r>
                  <w:r>
                    <w:rPr>
                      <w:rFonts w:hint="default"/>
                      <w:color w:val="auto"/>
                      <w:lang w:val="en-US" w:eastAsia="zh-CN"/>
                    </w:rPr>
                    <w:t>及微量的</w:t>
                  </w:r>
                  <w:r>
                    <w:rPr>
                      <w:rFonts w:hint="default"/>
                      <w:color w:val="auto"/>
                      <w:lang w:val="en-US" w:eastAsia="zh-CN"/>
                    </w:rPr>
                    <w:fldChar w:fldCharType="begin"/>
                  </w:r>
                  <w:r>
                    <w:rPr>
                      <w:rFonts w:hint="default"/>
                      <w:color w:val="auto"/>
                      <w:lang w:val="en-US" w:eastAsia="zh-CN"/>
                    </w:rPr>
                    <w:instrText xml:space="preserve"> HYPERLINK "https://baike.baidu.com/item/%E7%A8%80%E6%9C%89%E6%B0%94%E4%BD%93/573051" \t "https://baike.baidu.com/item/%E5%A4%A9%E7%84%B6%E6%B0%94/_blank" </w:instrText>
                  </w:r>
                  <w:r>
                    <w:rPr>
                      <w:rFonts w:hint="default"/>
                      <w:color w:val="auto"/>
                      <w:lang w:val="en-US" w:eastAsia="zh-CN"/>
                    </w:rPr>
                    <w:fldChar w:fldCharType="separate"/>
                  </w:r>
                  <w:r>
                    <w:rPr>
                      <w:rFonts w:hint="default"/>
                      <w:color w:val="auto"/>
                      <w:lang w:val="en-US" w:eastAsia="zh-CN"/>
                    </w:rPr>
                    <w:t>稀有气体</w:t>
                  </w:r>
                  <w:r>
                    <w:rPr>
                      <w:rFonts w:hint="default"/>
                      <w:color w:val="auto"/>
                      <w:lang w:val="en-US" w:eastAsia="zh-CN"/>
                    </w:rPr>
                    <w:fldChar w:fldCharType="end"/>
                  </w:r>
                  <w:r>
                    <w:rPr>
                      <w:rFonts w:hint="default"/>
                      <w:color w:val="auto"/>
                      <w:lang w:val="en-US" w:eastAsia="zh-CN"/>
                    </w:rPr>
                    <w:t>，如</w:t>
                  </w:r>
                  <w:r>
                    <w:rPr>
                      <w:rFonts w:hint="default"/>
                      <w:color w:val="auto"/>
                      <w:lang w:val="en-US" w:eastAsia="zh-CN"/>
                    </w:rPr>
                    <w:fldChar w:fldCharType="begin"/>
                  </w:r>
                  <w:r>
                    <w:rPr>
                      <w:rFonts w:hint="default"/>
                      <w:color w:val="auto"/>
                      <w:lang w:val="en-US" w:eastAsia="zh-CN"/>
                    </w:rPr>
                    <w:instrText xml:space="preserve"> HYPERLINK "https://baike.baidu.com/item/%E6%B0%A6" \t "https://baike.baidu.com/item/%E5%A4%A9%E7%84%B6%E6%B0%94/_blank" </w:instrText>
                  </w:r>
                  <w:r>
                    <w:rPr>
                      <w:rFonts w:hint="default"/>
                      <w:color w:val="auto"/>
                      <w:lang w:val="en-US" w:eastAsia="zh-CN"/>
                    </w:rPr>
                    <w:fldChar w:fldCharType="separate"/>
                  </w:r>
                  <w:r>
                    <w:rPr>
                      <w:rFonts w:hint="default"/>
                      <w:color w:val="auto"/>
                      <w:lang w:val="en-US" w:eastAsia="zh-CN"/>
                    </w:rPr>
                    <w:t>氦</w:t>
                  </w:r>
                  <w:r>
                    <w:rPr>
                      <w:rFonts w:hint="default"/>
                      <w:color w:val="auto"/>
                      <w:lang w:val="en-US" w:eastAsia="zh-CN"/>
                    </w:rPr>
                    <w:fldChar w:fldCharType="end"/>
                  </w:r>
                  <w:r>
                    <w:rPr>
                      <w:rFonts w:hint="default"/>
                      <w:color w:val="auto"/>
                      <w:lang w:val="en-US" w:eastAsia="zh-CN"/>
                    </w:rPr>
                    <w:t>和</w:t>
                  </w:r>
                  <w:r>
                    <w:rPr>
                      <w:rFonts w:hint="default"/>
                      <w:color w:val="auto"/>
                      <w:lang w:val="en-US" w:eastAsia="zh-CN"/>
                    </w:rPr>
                    <w:fldChar w:fldCharType="begin"/>
                  </w:r>
                  <w:r>
                    <w:rPr>
                      <w:rFonts w:hint="default"/>
                      <w:color w:val="auto"/>
                      <w:lang w:val="en-US" w:eastAsia="zh-CN"/>
                    </w:rPr>
                    <w:instrText xml:space="preserve"> HYPERLINK "https://baike.baidu.com/item/%E6%B0%A9" \t "https://baike.baidu.com/item/%E5%A4%A9%E7%84%B6%E6%B0%94/_blank" </w:instrText>
                  </w:r>
                  <w:r>
                    <w:rPr>
                      <w:rFonts w:hint="default"/>
                      <w:color w:val="auto"/>
                      <w:lang w:val="en-US" w:eastAsia="zh-CN"/>
                    </w:rPr>
                    <w:fldChar w:fldCharType="separate"/>
                  </w:r>
                  <w:r>
                    <w:rPr>
                      <w:rFonts w:hint="default"/>
                      <w:color w:val="auto"/>
                      <w:lang w:val="en-US" w:eastAsia="zh-CN"/>
                    </w:rPr>
                    <w:t>氩</w:t>
                  </w:r>
                  <w:r>
                    <w:rPr>
                      <w:rFonts w:hint="default"/>
                      <w:color w:val="auto"/>
                      <w:lang w:val="en-US" w:eastAsia="zh-CN"/>
                    </w:rPr>
                    <w:fldChar w:fldCharType="end"/>
                  </w:r>
                  <w:r>
                    <w:rPr>
                      <w:rFonts w:hint="default"/>
                      <w:color w:val="auto"/>
                      <w:lang w:val="en-US" w:eastAsia="zh-CN"/>
                    </w:rPr>
                    <w:t>等。</w:t>
                  </w:r>
                </w:p>
              </w:tc>
              <w:tc>
                <w:tcPr>
                  <w:tcW w:w="1019" w:type="pct"/>
                  <w:tcBorders>
                    <w:top w:val="single" w:color="auto" w:sz="12" w:space="0"/>
                  </w:tcBorders>
                  <w:noWrap w:val="0"/>
                  <w:vAlign w:val="center"/>
                </w:tcPr>
                <w:p>
                  <w:pPr>
                    <w:pStyle w:val="33"/>
                    <w:bidi w:val="0"/>
                    <w:rPr>
                      <w:rFonts w:hint="eastAsia"/>
                      <w:color w:val="auto"/>
                      <w:lang w:val="en-US" w:eastAsia="zh-CN"/>
                    </w:rPr>
                  </w:pPr>
                  <w:r>
                    <w:rPr>
                      <w:rFonts w:hint="default"/>
                      <w:color w:val="auto"/>
                      <w:lang w:val="en-US" w:eastAsia="zh-CN"/>
                    </w:rPr>
                    <w:t>易燃易爆</w:t>
                  </w:r>
                </w:p>
              </w:tc>
              <w:tc>
                <w:tcPr>
                  <w:tcW w:w="709" w:type="pct"/>
                  <w:tcBorders>
                    <w:top w:val="single" w:color="auto" w:sz="12" w:space="0"/>
                  </w:tcBorders>
                  <w:noWrap w:val="0"/>
                  <w:vAlign w:val="center"/>
                </w:tcPr>
                <w:p>
                  <w:pPr>
                    <w:pStyle w:val="33"/>
                    <w:bidi w:val="0"/>
                    <w:rPr>
                      <w:rFonts w:hint="eastAsia"/>
                      <w:color w:val="auto"/>
                      <w:lang w:val="en-US" w:eastAsia="zh-CN"/>
                    </w:rPr>
                  </w:pPr>
                  <w:r>
                    <w:rPr>
                      <w:rFonts w:hint="eastAsia"/>
                      <w:color w:val="auto"/>
                      <w:lang w:val="en-US" w:eastAsia="zh-CN"/>
                    </w:rPr>
                    <w:t>有毒</w:t>
                  </w:r>
                </w:p>
              </w:tc>
            </w:tr>
          </w:tbl>
          <w:p>
            <w:pPr>
              <w:pStyle w:val="32"/>
              <w:bidi w:val="0"/>
              <w:rPr>
                <w:rFonts w:hint="default"/>
                <w:color w:val="auto"/>
                <w:lang w:val="en-US" w:eastAsia="zh-CN"/>
              </w:rPr>
            </w:pPr>
            <w:r>
              <w:rPr>
                <w:rFonts w:hint="eastAsia"/>
                <w:color w:val="auto"/>
                <w:lang w:val="en-US" w:eastAsia="zh-CN"/>
              </w:rPr>
              <w:t>表2-5       项目燃料成分分析表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7"/>
              <w:gridCol w:w="835"/>
              <w:gridCol w:w="539"/>
              <w:gridCol w:w="1374"/>
              <w:gridCol w:w="1165"/>
              <w:gridCol w:w="1328"/>
              <w:gridCol w:w="608"/>
              <w:gridCol w:w="7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4" w:type="pct"/>
                  <w:tcBorders>
                    <w:bottom w:val="single" w:color="auto" w:sz="12" w:space="0"/>
                  </w:tcBorders>
                  <w:noWrap w:val="0"/>
                  <w:vAlign w:val="center"/>
                </w:tcPr>
                <w:p>
                  <w:pPr>
                    <w:pStyle w:val="33"/>
                    <w:widowControl w:val="0"/>
                    <w:bidi w:val="0"/>
                    <w:rPr>
                      <w:rFonts w:hint="default"/>
                      <w:b/>
                      <w:bCs/>
                      <w:lang w:val="en-US" w:eastAsia="zh-CN"/>
                    </w:rPr>
                  </w:pPr>
                  <w:r>
                    <w:rPr>
                      <w:rFonts w:hint="eastAsia"/>
                      <w:b/>
                      <w:bCs/>
                      <w:lang w:val="en-US" w:eastAsia="zh-CN"/>
                    </w:rPr>
                    <w:t>组分名称</w:t>
                  </w:r>
                </w:p>
              </w:tc>
              <w:tc>
                <w:tcPr>
                  <w:tcW w:w="1750" w:type="pct"/>
                  <w:gridSpan w:val="3"/>
                  <w:tcBorders>
                    <w:bottom w:val="single" w:color="auto" w:sz="12" w:space="0"/>
                  </w:tcBorders>
                  <w:noWrap w:val="0"/>
                  <w:vAlign w:val="center"/>
                </w:tcPr>
                <w:p>
                  <w:pPr>
                    <w:pStyle w:val="33"/>
                    <w:widowControl w:val="0"/>
                    <w:bidi w:val="0"/>
                    <w:rPr>
                      <w:rFonts w:hint="default"/>
                      <w:b/>
                      <w:bCs/>
                      <w:lang w:val="en-US" w:eastAsia="zh-CN"/>
                    </w:rPr>
                  </w:pPr>
                  <w:r>
                    <w:rPr>
                      <w:rFonts w:hint="eastAsia"/>
                      <w:b/>
                      <w:bCs/>
                      <w:lang w:val="en-US" w:eastAsia="zh-CN"/>
                    </w:rPr>
                    <w:t>含量（mol/mol）%</w:t>
                  </w:r>
                </w:p>
              </w:tc>
              <w:tc>
                <w:tcPr>
                  <w:tcW w:w="742" w:type="pct"/>
                  <w:tcBorders>
                    <w:bottom w:val="single" w:color="auto" w:sz="12" w:space="0"/>
                  </w:tcBorders>
                  <w:noWrap w:val="0"/>
                  <w:vAlign w:val="center"/>
                </w:tcPr>
                <w:p>
                  <w:pPr>
                    <w:pStyle w:val="33"/>
                    <w:widowControl w:val="0"/>
                    <w:bidi w:val="0"/>
                    <w:rPr>
                      <w:rFonts w:hint="default"/>
                      <w:b/>
                      <w:bCs/>
                      <w:lang w:val="en-US" w:eastAsia="zh-CN"/>
                    </w:rPr>
                  </w:pPr>
                  <w:r>
                    <w:rPr>
                      <w:rFonts w:hint="eastAsia"/>
                      <w:b/>
                      <w:bCs/>
                      <w:lang w:val="en-US" w:eastAsia="zh-CN"/>
                    </w:rPr>
                    <w:t>组分名称</w:t>
                  </w:r>
                </w:p>
              </w:tc>
              <w:tc>
                <w:tcPr>
                  <w:tcW w:w="1693" w:type="pct"/>
                  <w:gridSpan w:val="3"/>
                  <w:tcBorders>
                    <w:bottom w:val="single" w:color="auto" w:sz="12" w:space="0"/>
                  </w:tcBorders>
                  <w:noWrap w:val="0"/>
                  <w:vAlign w:val="center"/>
                </w:tcPr>
                <w:p>
                  <w:pPr>
                    <w:pStyle w:val="33"/>
                    <w:widowControl w:val="0"/>
                    <w:bidi w:val="0"/>
                    <w:rPr>
                      <w:rFonts w:hint="eastAsia"/>
                      <w:b/>
                      <w:bCs/>
                      <w:lang w:val="en-US" w:eastAsia="zh-CN"/>
                    </w:rPr>
                  </w:pPr>
                  <w:r>
                    <w:rPr>
                      <w:rFonts w:hint="eastAsia"/>
                      <w:b/>
                      <w:bCs/>
                      <w:lang w:val="en-US" w:eastAsia="zh-CN"/>
                    </w:rPr>
                    <w:t>含量（mol/mol）%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4" w:type="pct"/>
                  <w:tcBorders>
                    <w:top w:val="single" w:color="auto" w:sz="12" w:space="0"/>
                    <w:tl2br w:val="nil"/>
                    <w:tr2bl w:val="nil"/>
                  </w:tcBorders>
                  <w:noWrap w:val="0"/>
                  <w:vAlign w:val="center"/>
                </w:tcPr>
                <w:p>
                  <w:pPr>
                    <w:pStyle w:val="33"/>
                    <w:widowControl w:val="0"/>
                    <w:bidi w:val="0"/>
                    <w:rPr>
                      <w:rFonts w:hint="default"/>
                      <w:lang w:val="en-US" w:eastAsia="zh-CN"/>
                    </w:rPr>
                  </w:pPr>
                  <w:r>
                    <w:rPr>
                      <w:rFonts w:hint="eastAsia"/>
                      <w:lang w:val="en-US" w:eastAsia="zh-CN"/>
                    </w:rPr>
                    <w:t>O</w:t>
                  </w:r>
                  <w:r>
                    <w:rPr>
                      <w:rFonts w:hint="eastAsia"/>
                      <w:vertAlign w:val="subscript"/>
                      <w:lang w:val="en-US" w:eastAsia="zh-CN"/>
                    </w:rPr>
                    <w:t>2</w:t>
                  </w:r>
                </w:p>
              </w:tc>
              <w:tc>
                <w:tcPr>
                  <w:tcW w:w="1750" w:type="pct"/>
                  <w:gridSpan w:val="3"/>
                  <w:tcBorders>
                    <w:top w:val="single" w:color="auto" w:sz="12" w:space="0"/>
                    <w:tl2br w:val="nil"/>
                    <w:tr2bl w:val="nil"/>
                  </w:tcBorders>
                  <w:noWrap w:val="0"/>
                  <w:vAlign w:val="center"/>
                </w:tcPr>
                <w:p>
                  <w:pPr>
                    <w:pStyle w:val="33"/>
                    <w:widowControl w:val="0"/>
                    <w:bidi w:val="0"/>
                    <w:rPr>
                      <w:rFonts w:hint="default"/>
                      <w:lang w:val="en-US" w:eastAsia="zh-CN"/>
                    </w:rPr>
                  </w:pPr>
                  <w:r>
                    <w:rPr>
                      <w:rFonts w:hint="eastAsia"/>
                      <w:lang w:val="en-US" w:eastAsia="zh-CN"/>
                    </w:rPr>
                    <w:t>/</w:t>
                  </w:r>
                </w:p>
              </w:tc>
              <w:tc>
                <w:tcPr>
                  <w:tcW w:w="742" w:type="pct"/>
                  <w:tcBorders>
                    <w:top w:val="single" w:color="auto" w:sz="12" w:space="0"/>
                    <w:tl2br w:val="nil"/>
                    <w:tr2bl w:val="nil"/>
                  </w:tcBorders>
                  <w:noWrap w:val="0"/>
                  <w:vAlign w:val="center"/>
                </w:tcPr>
                <w:p>
                  <w:pPr>
                    <w:pStyle w:val="33"/>
                    <w:widowControl w:val="0"/>
                    <w:bidi w:val="0"/>
                    <w:rPr>
                      <w:rFonts w:hint="default"/>
                      <w:lang w:val="en-US" w:eastAsia="zh-CN"/>
                    </w:rPr>
                  </w:pPr>
                  <w:r>
                    <w:rPr>
                      <w:rFonts w:hint="eastAsia"/>
                      <w:lang w:val="en-US" w:eastAsia="zh-CN"/>
                    </w:rPr>
                    <w:t>iC</w:t>
                  </w:r>
                  <w:r>
                    <w:rPr>
                      <w:rFonts w:hint="eastAsia"/>
                      <w:vertAlign w:val="subscript"/>
                      <w:lang w:val="en-US" w:eastAsia="zh-CN"/>
                    </w:rPr>
                    <w:t>4</w:t>
                  </w:r>
                </w:p>
              </w:tc>
              <w:tc>
                <w:tcPr>
                  <w:tcW w:w="1693" w:type="pct"/>
                  <w:gridSpan w:val="3"/>
                  <w:tcBorders>
                    <w:top w:val="single" w:color="auto" w:sz="12" w:space="0"/>
                    <w:tl2br w:val="nil"/>
                    <w:tr2bl w:val="nil"/>
                  </w:tcBorders>
                  <w:noWrap w:val="0"/>
                  <w:vAlign w:val="center"/>
                </w:tcPr>
                <w:p>
                  <w:pPr>
                    <w:pStyle w:val="33"/>
                    <w:widowControl w:val="0"/>
                    <w:bidi w:val="0"/>
                    <w:rPr>
                      <w:rFonts w:hint="default"/>
                      <w:lang w:val="en-US" w:eastAsia="zh-CN"/>
                    </w:rPr>
                  </w:pPr>
                  <w:r>
                    <w:rPr>
                      <w:rFonts w:hint="eastAsia"/>
                      <w:lang w:val="en-US" w:eastAsia="zh-CN"/>
                    </w:rPr>
                    <w:t>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4"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N</w:t>
                  </w:r>
                  <w:r>
                    <w:rPr>
                      <w:rFonts w:hint="eastAsia"/>
                      <w:vertAlign w:val="subscript"/>
                      <w:lang w:val="en-US" w:eastAsia="zh-CN"/>
                    </w:rPr>
                    <w:t>2</w:t>
                  </w:r>
                </w:p>
              </w:tc>
              <w:tc>
                <w:tcPr>
                  <w:tcW w:w="1750" w:type="pct"/>
                  <w:gridSpan w:val="3"/>
                  <w:tcBorders>
                    <w:tl2br w:val="nil"/>
                    <w:tr2bl w:val="nil"/>
                  </w:tcBorders>
                  <w:noWrap w:val="0"/>
                  <w:vAlign w:val="center"/>
                </w:tcPr>
                <w:p>
                  <w:pPr>
                    <w:pStyle w:val="33"/>
                    <w:widowControl w:val="0"/>
                    <w:bidi w:val="0"/>
                    <w:rPr>
                      <w:rFonts w:hint="default"/>
                      <w:lang w:val="en-US" w:eastAsia="zh-CN"/>
                    </w:rPr>
                  </w:pPr>
                  <w:r>
                    <w:rPr>
                      <w:rFonts w:hint="eastAsia"/>
                      <w:lang w:val="en-US" w:eastAsia="zh-CN"/>
                    </w:rPr>
                    <w:t>3.19</w:t>
                  </w:r>
                </w:p>
              </w:tc>
              <w:tc>
                <w:tcPr>
                  <w:tcW w:w="742"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nC</w:t>
                  </w:r>
                  <w:r>
                    <w:rPr>
                      <w:rFonts w:hint="eastAsia"/>
                      <w:vertAlign w:val="subscript"/>
                      <w:lang w:val="en-US" w:eastAsia="zh-CN"/>
                    </w:rPr>
                    <w:t>4</w:t>
                  </w:r>
                </w:p>
              </w:tc>
              <w:tc>
                <w:tcPr>
                  <w:tcW w:w="1693" w:type="pct"/>
                  <w:gridSpan w:val="3"/>
                  <w:tcBorders>
                    <w:tl2br w:val="nil"/>
                    <w:tr2bl w:val="nil"/>
                  </w:tcBorders>
                  <w:noWrap w:val="0"/>
                  <w:vAlign w:val="center"/>
                </w:tcPr>
                <w:p>
                  <w:pPr>
                    <w:pStyle w:val="33"/>
                    <w:widowControl w:val="0"/>
                    <w:bidi w:val="0"/>
                    <w:rPr>
                      <w:rFonts w:hint="default"/>
                      <w:lang w:val="en-US" w:eastAsia="zh-CN"/>
                    </w:rPr>
                  </w:pPr>
                  <w:r>
                    <w:rPr>
                      <w:rFonts w:hint="eastAsia"/>
                      <w:lang w:val="en-US" w:eastAsia="zh-CN"/>
                    </w:rPr>
                    <w: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4"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CO</w:t>
                  </w:r>
                  <w:r>
                    <w:rPr>
                      <w:rFonts w:hint="eastAsia"/>
                      <w:vertAlign w:val="subscript"/>
                      <w:lang w:val="en-US" w:eastAsia="zh-CN"/>
                    </w:rPr>
                    <w:t>2</w:t>
                  </w:r>
                </w:p>
              </w:tc>
              <w:tc>
                <w:tcPr>
                  <w:tcW w:w="1750" w:type="pct"/>
                  <w:gridSpan w:val="3"/>
                  <w:tcBorders>
                    <w:tl2br w:val="nil"/>
                    <w:tr2bl w:val="nil"/>
                  </w:tcBorders>
                  <w:noWrap w:val="0"/>
                  <w:vAlign w:val="center"/>
                </w:tcPr>
                <w:p>
                  <w:pPr>
                    <w:pStyle w:val="33"/>
                    <w:widowControl w:val="0"/>
                    <w:bidi w:val="0"/>
                    <w:rPr>
                      <w:rFonts w:hint="default"/>
                      <w:lang w:val="en-US" w:eastAsia="zh-CN"/>
                    </w:rPr>
                  </w:pPr>
                  <w:r>
                    <w:rPr>
                      <w:rFonts w:hint="eastAsia"/>
                      <w:lang w:val="en-US" w:eastAsia="zh-CN"/>
                    </w:rPr>
                    <w:t>0.20</w:t>
                  </w:r>
                </w:p>
              </w:tc>
              <w:tc>
                <w:tcPr>
                  <w:tcW w:w="742"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iC</w:t>
                  </w:r>
                  <w:r>
                    <w:rPr>
                      <w:rFonts w:hint="eastAsia"/>
                      <w:vertAlign w:val="subscript"/>
                      <w:lang w:val="en-US" w:eastAsia="zh-CN"/>
                    </w:rPr>
                    <w:t>5</w:t>
                  </w:r>
                </w:p>
              </w:tc>
              <w:tc>
                <w:tcPr>
                  <w:tcW w:w="1693" w:type="pct"/>
                  <w:gridSpan w:val="3"/>
                  <w:tcBorders>
                    <w:tl2br w:val="nil"/>
                    <w:tr2bl w:val="nil"/>
                  </w:tcBorders>
                  <w:noWrap w:val="0"/>
                  <w:vAlign w:val="center"/>
                </w:tcPr>
                <w:p>
                  <w:pPr>
                    <w:pStyle w:val="33"/>
                    <w:widowControl w:val="0"/>
                    <w:bidi w:val="0"/>
                    <w:rPr>
                      <w:rFonts w:hint="default"/>
                      <w:lang w:val="en-US" w:eastAsia="zh-CN"/>
                    </w:rPr>
                  </w:pPr>
                  <w:r>
                    <w:rPr>
                      <w:rFonts w:hint="eastAsia"/>
                      <w:lang w:val="en-US" w:eastAsia="zh-CN"/>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4"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CO</w:t>
                  </w:r>
                </w:p>
              </w:tc>
              <w:tc>
                <w:tcPr>
                  <w:tcW w:w="1750" w:type="pct"/>
                  <w:gridSpan w:val="3"/>
                  <w:tcBorders>
                    <w:tl2br w:val="nil"/>
                    <w:tr2bl w:val="nil"/>
                  </w:tcBorders>
                  <w:noWrap w:val="0"/>
                  <w:vAlign w:val="center"/>
                </w:tcPr>
                <w:p>
                  <w:pPr>
                    <w:pStyle w:val="33"/>
                    <w:widowControl w:val="0"/>
                    <w:bidi w:val="0"/>
                    <w:rPr>
                      <w:rFonts w:hint="default"/>
                      <w:lang w:val="en-US" w:eastAsia="zh-CN"/>
                    </w:rPr>
                  </w:pPr>
                  <w:r>
                    <w:rPr>
                      <w:rFonts w:hint="eastAsia"/>
                      <w:lang w:val="en-US" w:eastAsia="zh-CN"/>
                    </w:rPr>
                    <w:t>0.10</w:t>
                  </w:r>
                </w:p>
              </w:tc>
              <w:tc>
                <w:tcPr>
                  <w:tcW w:w="742"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nC</w:t>
                  </w:r>
                  <w:r>
                    <w:rPr>
                      <w:rFonts w:hint="eastAsia"/>
                      <w:vertAlign w:val="subscript"/>
                      <w:lang w:val="en-US" w:eastAsia="zh-CN"/>
                    </w:rPr>
                    <w:t>5</w:t>
                  </w:r>
                </w:p>
              </w:tc>
              <w:tc>
                <w:tcPr>
                  <w:tcW w:w="1693" w:type="pct"/>
                  <w:gridSpan w:val="3"/>
                  <w:tcBorders>
                    <w:tl2br w:val="nil"/>
                    <w:tr2bl w:val="nil"/>
                  </w:tcBorders>
                  <w:noWrap w:val="0"/>
                  <w:vAlign w:val="center"/>
                </w:tcPr>
                <w:p>
                  <w:pPr>
                    <w:pStyle w:val="33"/>
                    <w:widowControl w:val="0"/>
                    <w:bidi w:val="0"/>
                    <w:rPr>
                      <w:rFonts w:hint="default"/>
                      <w:lang w:val="en-US" w:eastAsia="zh-CN"/>
                    </w:rPr>
                  </w:pPr>
                  <w:r>
                    <w:rPr>
                      <w:rFonts w:hint="eastAsia"/>
                      <w:lang w:val="en-US" w:eastAsia="zh-CN"/>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4"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C</w:t>
                  </w:r>
                  <w:r>
                    <w:rPr>
                      <w:rFonts w:hint="eastAsia"/>
                      <w:vertAlign w:val="subscript"/>
                      <w:lang w:val="en-US" w:eastAsia="zh-CN"/>
                    </w:rPr>
                    <w:t>1</w:t>
                  </w:r>
                </w:p>
              </w:tc>
              <w:tc>
                <w:tcPr>
                  <w:tcW w:w="1750" w:type="pct"/>
                  <w:gridSpan w:val="3"/>
                  <w:tcBorders>
                    <w:tl2br w:val="nil"/>
                    <w:tr2bl w:val="nil"/>
                  </w:tcBorders>
                  <w:noWrap w:val="0"/>
                  <w:vAlign w:val="center"/>
                </w:tcPr>
                <w:p>
                  <w:pPr>
                    <w:pStyle w:val="33"/>
                    <w:widowControl w:val="0"/>
                    <w:bidi w:val="0"/>
                    <w:rPr>
                      <w:rFonts w:hint="default"/>
                      <w:lang w:val="en-US" w:eastAsia="zh-CN"/>
                    </w:rPr>
                  </w:pPr>
                  <w:r>
                    <w:rPr>
                      <w:rFonts w:hint="eastAsia"/>
                      <w:lang w:val="en-US" w:eastAsia="zh-CN"/>
                    </w:rPr>
                    <w:t>94.76</w:t>
                  </w:r>
                </w:p>
              </w:tc>
              <w:tc>
                <w:tcPr>
                  <w:tcW w:w="742"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C</w:t>
                  </w:r>
                  <w:r>
                    <w:rPr>
                      <w:rFonts w:hint="eastAsia"/>
                      <w:vertAlign w:val="subscript"/>
                      <w:lang w:val="en-US" w:eastAsia="zh-CN"/>
                    </w:rPr>
                    <w:t>6</w:t>
                  </w:r>
                </w:p>
              </w:tc>
              <w:tc>
                <w:tcPr>
                  <w:tcW w:w="1693" w:type="pct"/>
                  <w:gridSpan w:val="3"/>
                  <w:tcBorders>
                    <w:tl2br w:val="nil"/>
                    <w:tr2bl w:val="nil"/>
                  </w:tcBorders>
                  <w:noWrap w:val="0"/>
                  <w:vAlign w:val="center"/>
                </w:tcPr>
                <w:p>
                  <w:pPr>
                    <w:pStyle w:val="33"/>
                    <w:widowControl w:val="0"/>
                    <w:bidi w:val="0"/>
                    <w:rPr>
                      <w:rFonts w:hint="default"/>
                      <w:lang w:val="en-US" w:eastAsia="zh-CN"/>
                    </w:rPr>
                  </w:pPr>
                  <w:r>
                    <w:rPr>
                      <w:rFonts w:hint="eastAsia"/>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4"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C</w:t>
                  </w:r>
                  <w:r>
                    <w:rPr>
                      <w:rFonts w:hint="eastAsia"/>
                      <w:vertAlign w:val="subscript"/>
                      <w:lang w:val="en-US" w:eastAsia="zh-CN"/>
                    </w:rPr>
                    <w:t>2</w:t>
                  </w:r>
                </w:p>
              </w:tc>
              <w:tc>
                <w:tcPr>
                  <w:tcW w:w="1750" w:type="pct"/>
                  <w:gridSpan w:val="3"/>
                  <w:tcBorders>
                    <w:tl2br w:val="nil"/>
                    <w:tr2bl w:val="nil"/>
                  </w:tcBorders>
                  <w:noWrap w:val="0"/>
                  <w:vAlign w:val="center"/>
                </w:tcPr>
                <w:p>
                  <w:pPr>
                    <w:pStyle w:val="33"/>
                    <w:widowControl w:val="0"/>
                    <w:bidi w:val="0"/>
                    <w:rPr>
                      <w:rFonts w:hint="default"/>
                      <w:lang w:val="en-US" w:eastAsia="zh-CN"/>
                    </w:rPr>
                  </w:pPr>
                  <w:r>
                    <w:rPr>
                      <w:rFonts w:hint="eastAsia"/>
                      <w:lang w:val="en-US" w:eastAsia="zh-CN"/>
                    </w:rPr>
                    <w:t>1.06</w:t>
                  </w:r>
                </w:p>
              </w:tc>
              <w:tc>
                <w:tcPr>
                  <w:tcW w:w="742"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C</w:t>
                  </w:r>
                  <w:r>
                    <w:rPr>
                      <w:rFonts w:hint="eastAsia"/>
                      <w:vertAlign w:val="subscript"/>
                      <w:lang w:val="en-US" w:eastAsia="zh-CN"/>
                    </w:rPr>
                    <w:t>7</w:t>
                  </w:r>
                </w:p>
              </w:tc>
              <w:tc>
                <w:tcPr>
                  <w:tcW w:w="1693" w:type="pct"/>
                  <w:gridSpan w:val="3"/>
                  <w:tcBorders>
                    <w:tl2br w:val="nil"/>
                    <w:tr2bl w:val="nil"/>
                  </w:tcBorders>
                  <w:noWrap w:val="0"/>
                  <w:vAlign w:val="center"/>
                </w:tcPr>
                <w:p>
                  <w:pPr>
                    <w:pStyle w:val="33"/>
                    <w:widowControl w:val="0"/>
                    <w:bidi w:val="0"/>
                    <w:rPr>
                      <w:rFonts w:hint="default"/>
                      <w:lang w:val="en-US" w:eastAsia="zh-CN"/>
                    </w:rPr>
                  </w:pPr>
                  <w:r>
                    <w:rPr>
                      <w:rFonts w:hint="eastAsia"/>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4"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C</w:t>
                  </w:r>
                  <w:r>
                    <w:rPr>
                      <w:rFonts w:hint="eastAsia"/>
                      <w:vertAlign w:val="subscript"/>
                      <w:lang w:val="en-US" w:eastAsia="zh-CN"/>
                    </w:rPr>
                    <w:t>3</w:t>
                  </w:r>
                </w:p>
              </w:tc>
              <w:tc>
                <w:tcPr>
                  <w:tcW w:w="1750" w:type="pct"/>
                  <w:gridSpan w:val="3"/>
                  <w:tcBorders>
                    <w:tl2br w:val="nil"/>
                    <w:tr2bl w:val="nil"/>
                  </w:tcBorders>
                  <w:noWrap w:val="0"/>
                  <w:vAlign w:val="center"/>
                </w:tcPr>
                <w:p>
                  <w:pPr>
                    <w:pStyle w:val="33"/>
                    <w:widowControl w:val="0"/>
                    <w:bidi w:val="0"/>
                    <w:rPr>
                      <w:rFonts w:hint="default"/>
                      <w:lang w:val="en-US" w:eastAsia="zh-CN"/>
                    </w:rPr>
                  </w:pPr>
                  <w:r>
                    <w:rPr>
                      <w:rFonts w:hint="eastAsia"/>
                      <w:lang w:val="en-US" w:eastAsia="zh-CN"/>
                    </w:rPr>
                    <w:t>0.37</w:t>
                  </w:r>
                </w:p>
              </w:tc>
              <w:tc>
                <w:tcPr>
                  <w:tcW w:w="742"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C</w:t>
                  </w:r>
                  <w:r>
                    <w:rPr>
                      <w:rFonts w:hint="eastAsia"/>
                      <w:vertAlign w:val="subscript"/>
                      <w:lang w:val="en-US" w:eastAsia="zh-CN"/>
                    </w:rPr>
                    <w:t>8</w:t>
                  </w:r>
                </w:p>
              </w:tc>
              <w:tc>
                <w:tcPr>
                  <w:tcW w:w="1693" w:type="pct"/>
                  <w:gridSpan w:val="3"/>
                  <w:tcBorders>
                    <w:tl2br w:val="nil"/>
                    <w:tr2bl w:val="nil"/>
                  </w:tcBorders>
                  <w:noWrap w:val="0"/>
                  <w:vAlign w:val="center"/>
                </w:tcPr>
                <w:p>
                  <w:pPr>
                    <w:pStyle w:val="33"/>
                    <w:widowControl w:val="0"/>
                    <w:bidi w:val="0"/>
                    <w:rPr>
                      <w:rFonts w:hint="default"/>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4"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相对密度</w:t>
                  </w:r>
                </w:p>
              </w:tc>
              <w:tc>
                <w:tcPr>
                  <w:tcW w:w="532"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0.5844</w:t>
                  </w:r>
                </w:p>
              </w:tc>
              <w:tc>
                <w:tcPr>
                  <w:tcW w:w="1217" w:type="pct"/>
                  <w:gridSpan w:val="2"/>
                  <w:tcBorders>
                    <w:tl2br w:val="nil"/>
                    <w:tr2bl w:val="nil"/>
                  </w:tcBorders>
                  <w:noWrap w:val="0"/>
                  <w:vAlign w:val="center"/>
                </w:tcPr>
                <w:p>
                  <w:pPr>
                    <w:pStyle w:val="33"/>
                    <w:widowControl w:val="0"/>
                    <w:bidi w:val="0"/>
                    <w:rPr>
                      <w:rFonts w:hint="default"/>
                      <w:lang w:val="en-US" w:eastAsia="zh-CN"/>
                    </w:rPr>
                  </w:pPr>
                  <w:r>
                    <w:rPr>
                      <w:rFonts w:hint="eastAsia"/>
                      <w:lang w:val="en-US" w:eastAsia="zh-CN"/>
                    </w:rPr>
                    <w:t>高位发热量</w:t>
                  </w:r>
                  <w:r>
                    <w:rPr>
                      <w:rFonts w:hint="default"/>
                      <w:lang w:val="en-US"/>
                    </w:rPr>
                    <w:t>MJ/m</w:t>
                  </w:r>
                  <w:r>
                    <w:rPr>
                      <w:rFonts w:hint="default"/>
                      <w:vertAlign w:val="superscript"/>
                      <w:lang w:val="en-US"/>
                    </w:rPr>
                    <w:t>3</w:t>
                  </w:r>
                </w:p>
              </w:tc>
              <w:tc>
                <w:tcPr>
                  <w:tcW w:w="742"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36.64</w:t>
                  </w:r>
                </w:p>
              </w:tc>
              <w:tc>
                <w:tcPr>
                  <w:tcW w:w="1233" w:type="pct"/>
                  <w:gridSpan w:val="2"/>
                  <w:tcBorders>
                    <w:tl2br w:val="nil"/>
                    <w:tr2bl w:val="nil"/>
                  </w:tcBorders>
                  <w:noWrap w:val="0"/>
                  <w:vAlign w:val="center"/>
                </w:tcPr>
                <w:p>
                  <w:pPr>
                    <w:pStyle w:val="33"/>
                    <w:widowControl w:val="0"/>
                    <w:bidi w:val="0"/>
                    <w:rPr>
                      <w:rFonts w:hint="default"/>
                      <w:lang w:val="en-US" w:eastAsia="zh-CN"/>
                    </w:rPr>
                  </w:pPr>
                  <w:r>
                    <w:rPr>
                      <w:rFonts w:hint="default"/>
                      <w:lang w:val="en-US"/>
                    </w:rPr>
                    <w:t>低位发热值MJ/m</w:t>
                  </w:r>
                  <w:r>
                    <w:rPr>
                      <w:rFonts w:hint="default"/>
                      <w:vertAlign w:val="superscript"/>
                      <w:lang w:val="en-US"/>
                    </w:rPr>
                    <w:t>3</w:t>
                  </w:r>
                </w:p>
              </w:tc>
              <w:tc>
                <w:tcPr>
                  <w:tcW w:w="459" w:type="pct"/>
                  <w:tcBorders>
                    <w:tl2br w:val="nil"/>
                    <w:tr2bl w:val="nil"/>
                  </w:tcBorders>
                  <w:noWrap w:val="0"/>
                  <w:vAlign w:val="center"/>
                </w:tcPr>
                <w:p>
                  <w:pPr>
                    <w:pStyle w:val="33"/>
                    <w:widowControl w:val="0"/>
                    <w:bidi w:val="0"/>
                    <w:rPr>
                      <w:rFonts w:hint="default" w:eastAsia="宋体"/>
                      <w:lang w:val="en-US" w:eastAsia="zh-CN"/>
                    </w:rPr>
                  </w:pPr>
                  <w:r>
                    <w:rPr>
                      <w:rFonts w:hint="eastAsia"/>
                      <w:lang w:val="en-US" w:eastAsia="zh-CN"/>
                    </w:rPr>
                    <w:t>33.03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89" w:type="pct"/>
                  <w:gridSpan w:val="3"/>
                  <w:tcBorders>
                    <w:tl2br w:val="nil"/>
                    <w:tr2bl w:val="nil"/>
                  </w:tcBorders>
                  <w:noWrap w:val="0"/>
                  <w:vAlign w:val="center"/>
                </w:tcPr>
                <w:p>
                  <w:pPr>
                    <w:pStyle w:val="33"/>
                    <w:widowControl w:val="0"/>
                    <w:bidi w:val="0"/>
                    <w:rPr>
                      <w:rFonts w:hint="eastAsia"/>
                      <w:lang w:val="en-US" w:eastAsia="zh-CN"/>
                    </w:rPr>
                  </w:pPr>
                  <w:r>
                    <w:rPr>
                      <w:rFonts w:hint="default"/>
                      <w:lang w:val="en-US"/>
                    </w:rPr>
                    <w:t>硫化氢</w:t>
                  </w:r>
                  <w:r>
                    <w:rPr>
                      <w:rFonts w:hint="eastAsia"/>
                      <w:lang w:val="en-US" w:eastAsia="zh-CN"/>
                    </w:rPr>
                    <w:t>（</w:t>
                  </w:r>
                  <w:r>
                    <w:rPr>
                      <w:rFonts w:hint="default"/>
                      <w:lang w:val="en-US"/>
                    </w:rPr>
                    <w:t>mg/m³</w:t>
                  </w:r>
                  <w:r>
                    <w:rPr>
                      <w:rFonts w:hint="eastAsia"/>
                      <w:lang w:val="en-US" w:eastAsia="zh-CN"/>
                    </w:rPr>
                    <w:t>）</w:t>
                  </w:r>
                </w:p>
              </w:tc>
              <w:tc>
                <w:tcPr>
                  <w:tcW w:w="875" w:type="pct"/>
                  <w:tcBorders>
                    <w:tl2br w:val="nil"/>
                    <w:tr2bl w:val="nil"/>
                  </w:tcBorders>
                  <w:noWrap w:val="0"/>
                  <w:vAlign w:val="center"/>
                </w:tcPr>
                <w:p>
                  <w:pPr>
                    <w:pStyle w:val="33"/>
                    <w:widowControl w:val="0"/>
                    <w:bidi w:val="0"/>
                    <w:rPr>
                      <w:rFonts w:hint="default"/>
                      <w:lang w:val="en-US" w:eastAsia="zh-CN"/>
                    </w:rPr>
                  </w:pPr>
                  <w:r>
                    <w:rPr>
                      <w:rFonts w:hint="eastAsia"/>
                      <w:lang w:val="en-US" w:eastAsia="zh-CN"/>
                    </w:rPr>
                    <w:t>0.00</w:t>
                  </w:r>
                </w:p>
              </w:tc>
              <w:tc>
                <w:tcPr>
                  <w:tcW w:w="1588" w:type="pct"/>
                  <w:gridSpan w:val="2"/>
                  <w:tcBorders>
                    <w:tl2br w:val="nil"/>
                    <w:tr2bl w:val="nil"/>
                  </w:tcBorders>
                  <w:noWrap w:val="0"/>
                  <w:vAlign w:val="center"/>
                </w:tcPr>
                <w:p>
                  <w:pPr>
                    <w:pStyle w:val="33"/>
                    <w:widowControl w:val="0"/>
                    <w:bidi w:val="0"/>
                    <w:rPr>
                      <w:rFonts w:hint="default"/>
                      <w:lang w:val="en-US"/>
                    </w:rPr>
                  </w:pPr>
                  <w:r>
                    <w:rPr>
                      <w:rFonts w:hint="default"/>
                      <w:lang w:val="en-US"/>
                    </w:rPr>
                    <w:t>总硫</w:t>
                  </w:r>
                  <w:r>
                    <w:rPr>
                      <w:rFonts w:hint="eastAsia"/>
                      <w:lang w:val="en-US" w:eastAsia="zh-CN"/>
                    </w:rPr>
                    <w:t>（</w:t>
                  </w:r>
                  <w:r>
                    <w:rPr>
                      <w:rFonts w:hint="default"/>
                      <w:lang w:val="en-US"/>
                    </w:rPr>
                    <w:t>以硫计</w:t>
                  </w:r>
                  <w:r>
                    <w:rPr>
                      <w:rFonts w:hint="eastAsia"/>
                      <w:lang w:val="en-US" w:eastAsia="zh-CN"/>
                    </w:rPr>
                    <w:t>）（</w:t>
                  </w:r>
                  <w:r>
                    <w:rPr>
                      <w:rFonts w:hint="default"/>
                      <w:lang w:val="en-US"/>
                    </w:rPr>
                    <w:t>mg/m</w:t>
                  </w:r>
                  <w:r>
                    <w:rPr>
                      <w:rFonts w:hint="default"/>
                      <w:vertAlign w:val="superscript"/>
                      <w:lang w:val="en-US"/>
                    </w:rPr>
                    <w:t>3</w:t>
                  </w:r>
                  <w:r>
                    <w:rPr>
                      <w:rFonts w:hint="eastAsia"/>
                      <w:lang w:val="en-US" w:eastAsia="zh-CN"/>
                    </w:rPr>
                    <w:t>）</w:t>
                  </w:r>
                </w:p>
              </w:tc>
              <w:tc>
                <w:tcPr>
                  <w:tcW w:w="846" w:type="pct"/>
                  <w:gridSpan w:val="2"/>
                  <w:tcBorders>
                    <w:tl2br w:val="nil"/>
                    <w:tr2bl w:val="nil"/>
                  </w:tcBorders>
                  <w:noWrap w:val="0"/>
                  <w:vAlign w:val="center"/>
                </w:tcPr>
                <w:p>
                  <w:pPr>
                    <w:pStyle w:val="33"/>
                    <w:widowControl w:val="0"/>
                    <w:bidi w:val="0"/>
                    <w:rPr>
                      <w:rFonts w:hint="default"/>
                      <w:lang w:val="en-US" w:eastAsia="zh-CN"/>
                    </w:rPr>
                  </w:pPr>
                  <w:r>
                    <w:rPr>
                      <w:rFonts w:hint="eastAsia"/>
                      <w:lang w:val="en-US" w:eastAsia="zh-CN"/>
                    </w:rPr>
                    <w:t>2.2</w:t>
                  </w:r>
                </w:p>
              </w:tc>
            </w:tr>
          </w:tbl>
          <w:p>
            <w:pPr>
              <w:pStyle w:val="22"/>
              <w:bidi w:val="0"/>
              <w:jc w:val="both"/>
              <w:rPr>
                <w:rFonts w:hint="eastAsia"/>
              </w:rPr>
            </w:pPr>
            <w:r>
              <w:rPr>
                <w:rFonts w:hint="eastAsia"/>
                <w:b/>
                <w:bCs/>
              </w:rPr>
              <w:t>碱性</w:t>
            </w:r>
            <w:r>
              <w:rPr>
                <w:rFonts w:hint="default"/>
                <w:b/>
                <w:bCs/>
                <w:color w:val="auto"/>
                <w:lang w:val="en-US" w:eastAsia="zh-CN"/>
              </w:rPr>
              <w:t>添加剂</w:t>
            </w:r>
            <w:r>
              <w:rPr>
                <w:rFonts w:hint="eastAsia"/>
                <w:b/>
                <w:bCs/>
              </w:rPr>
              <w:t>:</w:t>
            </w:r>
            <w:r>
              <w:rPr>
                <w:rFonts w:hint="eastAsia"/>
              </w:rPr>
              <w:t>本项目洗衣液使用的碱性</w:t>
            </w:r>
            <w:r>
              <w:rPr>
                <w:rFonts w:hint="default"/>
                <w:color w:val="auto"/>
                <w:lang w:val="en-US" w:eastAsia="zh-CN"/>
              </w:rPr>
              <w:t>添加剂</w:t>
            </w:r>
            <w:r>
              <w:rPr>
                <w:rFonts w:hint="eastAsia"/>
              </w:rPr>
              <w:t>中五氧化二磷的含量为0.006%，符合《中华人民共和国轻工行业标准》</w:t>
            </w:r>
            <w:r>
              <w:rPr>
                <w:rFonts w:hint="eastAsia"/>
                <w:lang w:eastAsia="zh-CN"/>
              </w:rPr>
              <w:t>（</w:t>
            </w:r>
            <w:r>
              <w:rPr>
                <w:rFonts w:hint="eastAsia"/>
              </w:rPr>
              <w:t>QB/T1224-2012</w:t>
            </w:r>
            <w:r>
              <w:rPr>
                <w:rFonts w:hint="eastAsia"/>
                <w:lang w:eastAsia="zh-CN"/>
              </w:rPr>
              <w:t>）</w:t>
            </w:r>
            <w:r>
              <w:rPr>
                <w:rFonts w:hint="eastAsia"/>
              </w:rPr>
              <w:t>技术中无磷产品含量的要求，因此本项目使用的碱性</w:t>
            </w:r>
            <w:r>
              <w:rPr>
                <w:rFonts w:hint="default"/>
                <w:color w:val="auto"/>
                <w:lang w:val="en-US" w:eastAsia="zh-CN"/>
              </w:rPr>
              <w:t>添加剂</w:t>
            </w:r>
            <w:r>
              <w:rPr>
                <w:rFonts w:hint="eastAsia"/>
              </w:rPr>
              <w:t>为无磷产品。碱</w:t>
            </w:r>
            <w:r>
              <w:rPr>
                <w:rFonts w:hint="default"/>
                <w:color w:val="auto"/>
                <w:lang w:val="en-US" w:eastAsia="zh-CN"/>
              </w:rPr>
              <w:t>添加剂</w:t>
            </w:r>
            <w:r>
              <w:rPr>
                <w:rFonts w:hint="eastAsia"/>
              </w:rPr>
              <w:t>的主要成分为氢氧化钠，俗称烧碱、火碱、苛性钠，溶解时散发出氨味，为一种具有很强腐蚀性的强碱，</w:t>
            </w:r>
            <w:r>
              <w:rPr>
                <w:rFonts w:hint="eastAsia"/>
                <w:lang w:val="en-US" w:eastAsia="zh-CN"/>
              </w:rPr>
              <w:t>一</w:t>
            </w:r>
            <w:r>
              <w:rPr>
                <w:rFonts w:hint="eastAsia"/>
              </w:rPr>
              <w:t>般为片状或颗粒形态，易溶于水</w:t>
            </w:r>
            <w:r>
              <w:rPr>
                <w:rFonts w:hint="eastAsia"/>
                <w:lang w:eastAsia="zh-CN"/>
              </w:rPr>
              <w:t>（</w:t>
            </w:r>
            <w:r>
              <w:rPr>
                <w:rFonts w:hint="eastAsia"/>
              </w:rPr>
              <w:t>溶于水时放热</w:t>
            </w:r>
            <w:r>
              <w:rPr>
                <w:rFonts w:hint="eastAsia"/>
                <w:lang w:eastAsia="zh-CN"/>
              </w:rPr>
              <w:t>）</w:t>
            </w:r>
            <w:r>
              <w:rPr>
                <w:rFonts w:hint="eastAsia"/>
              </w:rPr>
              <w:t>并形成碱性溶液，另有潮解性，易吸取空气中的水蒸气</w:t>
            </w:r>
            <w:r>
              <w:rPr>
                <w:rFonts w:hint="eastAsia"/>
                <w:lang w:eastAsia="zh-CN"/>
              </w:rPr>
              <w:t>（</w:t>
            </w:r>
            <w:r>
              <w:rPr>
                <w:rFonts w:hint="eastAsia"/>
              </w:rPr>
              <w:t>潮解</w:t>
            </w:r>
            <w:r>
              <w:rPr>
                <w:rFonts w:hint="eastAsia"/>
                <w:lang w:eastAsia="zh-CN"/>
              </w:rPr>
              <w:t>）</w:t>
            </w:r>
            <w:r>
              <w:rPr>
                <w:rFonts w:hint="eastAsia"/>
              </w:rPr>
              <w:t>和二氧化碳</w:t>
            </w:r>
            <w:r>
              <w:rPr>
                <w:rFonts w:hint="eastAsia"/>
                <w:lang w:eastAsia="zh-CN"/>
              </w:rPr>
              <w:t>（</w:t>
            </w:r>
            <w:r>
              <w:rPr>
                <w:rFonts w:hint="eastAsia"/>
              </w:rPr>
              <w:t>变质</w:t>
            </w:r>
            <w:r>
              <w:rPr>
                <w:rFonts w:hint="eastAsia"/>
                <w:lang w:eastAsia="zh-CN"/>
              </w:rPr>
              <w:t>）</w:t>
            </w:r>
            <w:r>
              <w:rPr>
                <w:rFonts w:hint="eastAsia"/>
              </w:rPr>
              <w:t>。NaOH是化学实验室其中一种必备的化学品，亦为常见的化工品之</w:t>
            </w:r>
            <w:r>
              <w:rPr>
                <w:rFonts w:hint="eastAsia"/>
                <w:lang w:val="en-US" w:eastAsia="zh-CN"/>
              </w:rPr>
              <w:t>一</w:t>
            </w:r>
            <w:r>
              <w:rPr>
                <w:rFonts w:hint="eastAsia"/>
              </w:rPr>
              <w:t>。纯品是无色透明的晶体。密度2.130g/cm</w:t>
            </w:r>
            <w:r>
              <w:rPr>
                <w:rFonts w:hint="eastAsia"/>
                <w:vertAlign w:val="superscript"/>
                <w:lang w:val="en-US" w:eastAsia="zh-CN"/>
              </w:rPr>
              <w:t>3</w:t>
            </w:r>
            <w:r>
              <w:rPr>
                <w:rFonts w:hint="eastAsia"/>
                <w:lang w:val="en-US" w:eastAsia="zh-CN"/>
              </w:rPr>
              <w:t>。</w:t>
            </w:r>
            <w:r>
              <w:rPr>
                <w:rFonts w:hint="eastAsia"/>
              </w:rPr>
              <w:t>熔点318.49</w:t>
            </w:r>
            <w:r>
              <w:rPr>
                <w:rFonts w:hint="eastAsia"/>
                <w:lang w:val="en-US" w:eastAsia="zh-CN"/>
              </w:rPr>
              <w:t>℃</w:t>
            </w:r>
            <w:r>
              <w:rPr>
                <w:rFonts w:hint="eastAsia"/>
              </w:rPr>
              <w:t>沸点1390°C。工业品含有少量的氯化钠和碳酸钠，是白色不透明的晶体。有块状，片状，粒状和棒状等。式量40.01</w:t>
            </w:r>
            <w:r>
              <w:rPr>
                <w:rFonts w:hint="eastAsia"/>
                <w:lang w:eastAsia="zh-CN"/>
              </w:rPr>
              <w:t>；</w:t>
            </w:r>
            <w:r>
              <w:rPr>
                <w:rFonts w:hint="eastAsia"/>
              </w:rPr>
              <w:t>氢氧化钠在水处理中可作为碱性清洗剂，溶于乙醇和甘油:不溶于丙醇、乙醚。在高温下对碳钠也有腐蚀作用。与氯、溴、碘等卤素发生歧化反应。与酸类起中和作用而生成盐和水。</w:t>
            </w:r>
          </w:p>
          <w:p>
            <w:pPr>
              <w:pStyle w:val="22"/>
              <w:bidi w:val="0"/>
              <w:jc w:val="both"/>
              <w:rPr>
                <w:color w:val="auto"/>
              </w:rPr>
            </w:pPr>
            <w:r>
              <w:rPr>
                <w:rFonts w:hint="eastAsia"/>
                <w:b/>
                <w:bCs/>
              </w:rPr>
              <w:t>活性氧漂剂</w:t>
            </w:r>
            <w:r>
              <w:rPr>
                <w:rFonts w:hint="eastAsia"/>
                <w:b/>
                <w:bCs/>
                <w:lang w:eastAsia="zh-CN"/>
              </w:rPr>
              <w:t>：</w:t>
            </w:r>
            <w:r>
              <w:rPr>
                <w:rFonts w:hint="eastAsia"/>
              </w:rPr>
              <w:t>主要成分为过氧化氢</w:t>
            </w:r>
            <w:r>
              <w:rPr>
                <w:rFonts w:hint="eastAsia"/>
                <w:lang w:eastAsia="zh-CN"/>
              </w:rPr>
              <w:t>（</w:t>
            </w:r>
            <w:r>
              <w:rPr>
                <w:rFonts w:hint="eastAsia"/>
              </w:rPr>
              <w:t>H</w:t>
            </w:r>
            <w:r>
              <w:rPr>
                <w:rFonts w:hint="eastAsia"/>
                <w:vertAlign w:val="subscript"/>
              </w:rPr>
              <w:t>2</w:t>
            </w:r>
            <w:r>
              <w:rPr>
                <w:rFonts w:hint="eastAsia"/>
              </w:rPr>
              <w:t>O</w:t>
            </w:r>
            <w:r>
              <w:rPr>
                <w:rFonts w:hint="eastAsia"/>
                <w:vertAlign w:val="subscript"/>
              </w:rPr>
              <w:t>2</w:t>
            </w:r>
            <w:r>
              <w:rPr>
                <w:rFonts w:hint="eastAsia"/>
                <w:lang w:eastAsia="zh-CN"/>
              </w:rPr>
              <w:t>）</w:t>
            </w:r>
            <w:r>
              <w:rPr>
                <w:rFonts w:hint="eastAsia"/>
              </w:rPr>
              <w:t>，可令白色或有色织物漂白后色泽更亮丽。在水溶液中经过过羟离子游离出活性氧而产生漂白作用，在常温下，它的漂白速度比较缓慢，为了提高洗涤速率，</w:t>
            </w:r>
            <w:r>
              <w:rPr>
                <w:rFonts w:hint="eastAsia"/>
                <w:lang w:val="en-US" w:eastAsia="zh-CN"/>
              </w:rPr>
              <w:t>一</w:t>
            </w:r>
            <w:r>
              <w:rPr>
                <w:rFonts w:hint="eastAsia"/>
              </w:rPr>
              <w:t>般在高温条件下进行漂白，既提高了漂白速度，也增加了织物的去污力和白度。氧漂比起其他对织物的漂白较温和,一般不会损伤织物，可令白色或有色织物漂白后色泽更亮丽，有较好的漂白作用和杀菌作用。过氧化氢于酸性时安定，但在酸性溶液时会分解产生初生态的氧，在</w:t>
            </w:r>
            <w:r>
              <w:rPr>
                <w:rFonts w:hint="eastAsia"/>
                <w:lang w:eastAsia="zh-CN"/>
              </w:rPr>
              <w:t>碱性溶液</w:t>
            </w:r>
            <w:r>
              <w:rPr>
                <w:rFonts w:hint="eastAsia"/>
              </w:rPr>
              <w:t>中，具有强烈的漂白力，对纤维没有很大的脆化作用。</w:t>
            </w:r>
          </w:p>
          <w:p>
            <w:pPr>
              <w:pStyle w:val="6"/>
              <w:numPr>
                <w:ilvl w:val="0"/>
                <w:numId w:val="6"/>
              </w:numPr>
              <w:jc w:val="both"/>
              <w:outlineLvl w:val="1"/>
              <w:rPr>
                <w:color w:val="auto"/>
              </w:rPr>
            </w:pPr>
            <w:r>
              <w:rPr>
                <w:rFonts w:hint="eastAsia"/>
                <w:color w:val="auto"/>
              </w:rPr>
              <w:t>公用工程</w:t>
            </w:r>
          </w:p>
          <w:p>
            <w:pPr>
              <w:pStyle w:val="7"/>
              <w:jc w:val="both"/>
              <w:outlineLvl w:val="2"/>
              <w:rPr>
                <w:color w:val="auto"/>
              </w:rPr>
            </w:pPr>
            <w:r>
              <w:rPr>
                <w:rFonts w:hint="eastAsia"/>
                <w:color w:val="auto"/>
                <w:lang w:val="en-US" w:eastAsia="zh-CN"/>
              </w:rPr>
              <w:t>4</w:t>
            </w:r>
            <w:r>
              <w:rPr>
                <w:rFonts w:hint="eastAsia"/>
                <w:color w:val="auto"/>
              </w:rPr>
              <w:t>.1 供电</w:t>
            </w:r>
          </w:p>
          <w:p>
            <w:pPr>
              <w:pStyle w:val="22"/>
              <w:ind w:firstLine="480"/>
              <w:jc w:val="both"/>
              <w:rPr>
                <w:color w:val="auto"/>
              </w:rPr>
            </w:pPr>
            <w:r>
              <w:rPr>
                <w:rFonts w:hint="eastAsia"/>
                <w:color w:val="auto"/>
              </w:rPr>
              <w:t>本项目电源由</w:t>
            </w:r>
            <w:r>
              <w:rPr>
                <w:rFonts w:hint="eastAsia"/>
                <w:color w:val="auto"/>
                <w:lang w:val="en-US" w:eastAsia="zh-CN"/>
              </w:rPr>
              <w:t>市政</w:t>
            </w:r>
            <w:r>
              <w:rPr>
                <w:rFonts w:hint="eastAsia"/>
                <w:color w:val="auto"/>
              </w:rPr>
              <w:t>供电统一供给，电力设施基础完好，能满足项目用电需求；</w:t>
            </w:r>
          </w:p>
          <w:p>
            <w:pPr>
              <w:pStyle w:val="7"/>
              <w:jc w:val="both"/>
              <w:outlineLvl w:val="2"/>
              <w:rPr>
                <w:color w:val="auto"/>
              </w:rPr>
            </w:pPr>
            <w:r>
              <w:rPr>
                <w:rFonts w:hint="eastAsia"/>
                <w:color w:val="auto"/>
                <w:lang w:val="en-US" w:eastAsia="zh-CN"/>
              </w:rPr>
              <w:t>4</w:t>
            </w:r>
            <w:r>
              <w:rPr>
                <w:rFonts w:hint="eastAsia"/>
                <w:color w:val="auto"/>
              </w:rPr>
              <w:t>.2 给排水</w:t>
            </w:r>
          </w:p>
          <w:p>
            <w:pPr>
              <w:pStyle w:val="22"/>
              <w:ind w:firstLine="480"/>
              <w:jc w:val="both"/>
              <w:rPr>
                <w:color w:val="auto"/>
              </w:rPr>
            </w:pPr>
            <w:r>
              <w:rPr>
                <w:rFonts w:hint="eastAsia"/>
                <w:color w:val="auto"/>
                <w:lang w:val="en-US" w:eastAsia="zh-CN"/>
              </w:rPr>
              <w:t>本项目生产及生活</w:t>
            </w:r>
            <w:r>
              <w:rPr>
                <w:color w:val="auto"/>
              </w:rPr>
              <w:t>用水依托</w:t>
            </w:r>
            <w:r>
              <w:rPr>
                <w:rFonts w:hint="eastAsia"/>
                <w:color w:val="auto"/>
                <w:lang w:val="en-US" w:eastAsia="zh-CN"/>
              </w:rPr>
              <w:t>市政</w:t>
            </w:r>
            <w:r>
              <w:rPr>
                <w:color w:val="auto"/>
              </w:rPr>
              <w:t>供水系统提供，可满足本项目用水需求。</w:t>
            </w:r>
          </w:p>
          <w:p>
            <w:pPr>
              <w:pStyle w:val="7"/>
              <w:jc w:val="both"/>
              <w:outlineLvl w:val="2"/>
              <w:rPr>
                <w:rFonts w:hint="eastAsia"/>
                <w:color w:val="auto"/>
              </w:rPr>
            </w:pPr>
            <w:r>
              <w:rPr>
                <w:rFonts w:hint="eastAsia"/>
                <w:color w:val="auto"/>
                <w:lang w:val="en-US" w:eastAsia="zh-CN"/>
              </w:rPr>
              <w:t>4</w:t>
            </w:r>
            <w:r>
              <w:rPr>
                <w:rFonts w:hint="eastAsia"/>
                <w:color w:val="auto"/>
              </w:rPr>
              <w:t>.2.1 给水</w:t>
            </w:r>
          </w:p>
          <w:p>
            <w:pPr>
              <w:pStyle w:val="22"/>
              <w:bidi w:val="0"/>
              <w:jc w:val="both"/>
              <w:rPr>
                <w:rFonts w:hint="default"/>
                <w:color w:val="auto"/>
                <w:lang w:val="en-US" w:eastAsia="zh-CN"/>
              </w:rPr>
            </w:pPr>
            <w:r>
              <w:rPr>
                <w:rFonts w:hint="eastAsia"/>
                <w:color w:val="auto"/>
                <w:lang w:val="en-US" w:eastAsia="zh-CN"/>
              </w:rPr>
              <w:t>本项目主要为生产用水项目区不设置食堂及宿舍，无生活用水。</w:t>
            </w:r>
          </w:p>
          <w:p>
            <w:pPr>
              <w:pStyle w:val="22"/>
              <w:bidi w:val="0"/>
              <w:jc w:val="both"/>
              <w:rPr>
                <w:rFonts w:hint="default" w:ascii="Times New Roman" w:hAnsi="Times New Roman" w:eastAsia="宋体" w:cs="Times New Roman"/>
                <w:color w:val="auto"/>
                <w:sz w:val="24"/>
                <w:szCs w:val="32"/>
                <w:lang w:val="en-US" w:eastAsia="zh-CN"/>
              </w:rPr>
            </w:pPr>
            <w:r>
              <w:rPr>
                <w:rFonts w:hint="eastAsia" w:cs="Times New Roman"/>
                <w:color w:val="auto"/>
                <w:sz w:val="24"/>
                <w:szCs w:val="32"/>
                <w:lang w:eastAsia="zh-CN"/>
              </w:rPr>
              <w:t>（</w:t>
            </w:r>
            <w:r>
              <w:rPr>
                <w:rFonts w:hint="eastAsia" w:cs="Times New Roman"/>
                <w:color w:val="auto"/>
                <w:sz w:val="24"/>
                <w:szCs w:val="32"/>
                <w:lang w:val="en-US" w:eastAsia="zh-CN"/>
              </w:rPr>
              <w:t>1）洗涤用水</w:t>
            </w:r>
          </w:p>
          <w:p>
            <w:pPr>
              <w:pStyle w:val="22"/>
              <w:bidi w:val="0"/>
              <w:jc w:val="both"/>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根据《建筑给水排水设计规范》</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GB50015-2010</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，洗染服务用水定额按60L/kg干衣物，本项目年洗涤约</w:t>
            </w:r>
            <w:r>
              <w:rPr>
                <w:rFonts w:hint="eastAsia" w:cs="Times New Roman"/>
                <w:color w:val="auto"/>
                <w:sz w:val="24"/>
                <w:szCs w:val="32"/>
                <w:lang w:val="en-US" w:eastAsia="zh-CN"/>
              </w:rPr>
              <w:t>73</w:t>
            </w:r>
            <w:r>
              <w:rPr>
                <w:rFonts w:hint="default" w:ascii="Times New Roman" w:hAnsi="Times New Roman" w:cs="Times New Roman"/>
                <w:color w:val="auto"/>
                <w:sz w:val="24"/>
                <w:szCs w:val="32"/>
              </w:rPr>
              <w:t>万套</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每套约1.5kg，共计</w:t>
            </w:r>
            <w:r>
              <w:rPr>
                <w:rFonts w:hint="eastAsia" w:cs="Times New Roman"/>
                <w:color w:val="auto"/>
                <w:sz w:val="24"/>
                <w:szCs w:val="32"/>
                <w:lang w:val="en-US" w:eastAsia="zh-CN"/>
              </w:rPr>
              <w:t>1095</w:t>
            </w:r>
            <w:r>
              <w:rPr>
                <w:rFonts w:hint="default" w:ascii="Times New Roman" w:hAnsi="Times New Roman" w:cs="Times New Roman"/>
                <w:color w:val="auto"/>
                <w:sz w:val="24"/>
                <w:szCs w:val="32"/>
              </w:rPr>
              <w:t>t/a</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干</w:t>
            </w:r>
            <w:r>
              <w:rPr>
                <w:rFonts w:hint="default" w:ascii="Times New Roman" w:hAnsi="Times New Roman" w:cs="Times New Roman"/>
                <w:color w:val="auto"/>
                <w:sz w:val="24"/>
                <w:szCs w:val="32"/>
              </w:rPr>
              <w:t>酒店布草，项目年工作日按300天计，则本项目洗涤用水量</w:t>
            </w:r>
            <w:r>
              <w:rPr>
                <w:rFonts w:hint="eastAsia" w:cs="Times New Roman"/>
                <w:color w:val="auto"/>
                <w:sz w:val="24"/>
                <w:szCs w:val="32"/>
                <w:lang w:val="en-US" w:eastAsia="zh-CN"/>
              </w:rPr>
              <w:t>219</w:t>
            </w:r>
            <w:r>
              <w:rPr>
                <w:rFonts w:hint="default" w:ascii="Times New Roman" w:hAnsi="Times New Roman" w:cs="Times New Roman"/>
                <w:color w:val="auto"/>
                <w:sz w:val="24"/>
                <w:szCs w:val="32"/>
              </w:rPr>
              <w:t>t/d</w:t>
            </w:r>
            <w:r>
              <w:rPr>
                <w:rFonts w:hint="eastAsia" w:cs="Times New Roman"/>
                <w:color w:val="auto"/>
                <w:sz w:val="24"/>
                <w:szCs w:val="32"/>
                <w:lang w:eastAsia="zh-CN"/>
              </w:rPr>
              <w:t>（</w:t>
            </w:r>
            <w:r>
              <w:rPr>
                <w:rFonts w:hint="eastAsia" w:cs="Times New Roman"/>
                <w:color w:val="auto"/>
                <w:sz w:val="24"/>
                <w:szCs w:val="32"/>
                <w:lang w:val="en-US" w:eastAsia="zh-CN"/>
              </w:rPr>
              <w:t>65700</w:t>
            </w:r>
            <w:r>
              <w:rPr>
                <w:rFonts w:hint="default" w:ascii="Times New Roman" w:hAnsi="Times New Roman" w:cs="Times New Roman"/>
                <w:color w:val="auto"/>
                <w:sz w:val="24"/>
                <w:szCs w:val="32"/>
              </w:rPr>
              <w:t>t/a</w:t>
            </w:r>
            <w:r>
              <w:rPr>
                <w:rFonts w:hint="eastAsia" w:cs="Times New Roman"/>
                <w:color w:val="auto"/>
                <w:sz w:val="24"/>
                <w:szCs w:val="32"/>
                <w:lang w:eastAsia="zh-CN"/>
              </w:rPr>
              <w:t>）</w:t>
            </w:r>
            <w:r>
              <w:rPr>
                <w:rFonts w:hint="default" w:ascii="Times New Roman" w:hAnsi="Times New Roman" w:cs="Times New Roman"/>
                <w:color w:val="auto"/>
                <w:sz w:val="24"/>
                <w:szCs w:val="32"/>
              </w:rPr>
              <w:t>。</w:t>
            </w:r>
          </w:p>
          <w:p>
            <w:pPr>
              <w:pStyle w:val="22"/>
              <w:numPr>
                <w:ilvl w:val="0"/>
                <w:numId w:val="7"/>
              </w:numPr>
              <w:bidi w:val="0"/>
              <w:ind w:left="0" w:leftChars="0" w:firstLine="480" w:firstLineChars="200"/>
              <w:jc w:val="both"/>
              <w:rPr>
                <w:rFonts w:hint="eastAsia" w:cs="Times New Roman"/>
                <w:color w:val="auto"/>
                <w:sz w:val="24"/>
                <w:szCs w:val="32"/>
                <w:lang w:val="en-US" w:eastAsia="zh-CN"/>
              </w:rPr>
            </w:pPr>
            <w:r>
              <w:rPr>
                <w:rFonts w:hint="eastAsia" w:cs="Times New Roman"/>
                <w:color w:val="auto"/>
                <w:sz w:val="24"/>
                <w:szCs w:val="32"/>
                <w:lang w:val="en-US" w:eastAsia="zh-CN"/>
              </w:rPr>
              <w:t>蒸汽用水</w:t>
            </w:r>
          </w:p>
          <w:p>
            <w:pPr>
              <w:pStyle w:val="22"/>
              <w:bidi w:val="0"/>
              <w:jc w:val="both"/>
              <w:rPr>
                <w:rFonts w:hint="default"/>
              </w:rPr>
            </w:pPr>
            <w:r>
              <w:rPr>
                <w:rFonts w:hint="eastAsia"/>
              </w:rPr>
              <w:t>本项目</w:t>
            </w:r>
            <w:r>
              <w:rPr>
                <w:rFonts w:hint="eastAsia"/>
                <w:lang w:val="en-US" w:eastAsia="zh-CN"/>
              </w:rPr>
              <w:t>建设</w:t>
            </w:r>
            <w:r>
              <w:rPr>
                <w:rFonts w:hint="eastAsia"/>
              </w:rPr>
              <w:t>一</w:t>
            </w:r>
            <w:r>
              <w:rPr>
                <w:rFonts w:hint="eastAsia"/>
                <w:lang w:val="en-US" w:eastAsia="zh-CN"/>
              </w:rPr>
              <w:t>台2</w:t>
            </w:r>
            <w:r>
              <w:t>t/h</w:t>
            </w:r>
            <w:r>
              <w:rPr>
                <w:rFonts w:hint="eastAsia"/>
                <w:lang w:val="en-US" w:eastAsia="zh-CN"/>
              </w:rPr>
              <w:t>燃气</w:t>
            </w:r>
            <w:r>
              <w:rPr>
                <w:rFonts w:hint="eastAsia"/>
              </w:rPr>
              <w:t>蒸汽锅炉，为</w:t>
            </w:r>
            <w:r>
              <w:rPr>
                <w:rFonts w:hint="eastAsia"/>
                <w:lang w:val="en-US" w:eastAsia="zh-CN"/>
              </w:rPr>
              <w:t>烘干、烫平工序</w:t>
            </w:r>
            <w:r>
              <w:rPr>
                <w:rFonts w:hint="eastAsia"/>
              </w:rPr>
              <w:t>提供蒸汽。锅炉一天工作</w:t>
            </w:r>
            <w:r>
              <w:rPr>
                <w:rFonts w:hint="eastAsia"/>
                <w:lang w:val="en-US" w:eastAsia="zh-CN"/>
              </w:rPr>
              <w:t>8</w:t>
            </w:r>
            <w:r>
              <w:rPr>
                <w:rFonts w:hint="eastAsia"/>
              </w:rPr>
              <w:t>小时，用水量为</w:t>
            </w:r>
            <w:r>
              <w:rPr>
                <w:rFonts w:hint="eastAsia"/>
                <w:lang w:val="en-US" w:eastAsia="zh-CN"/>
              </w:rPr>
              <w:t>16</w:t>
            </w:r>
            <w:r>
              <w:t>m</w:t>
            </w:r>
            <w:r>
              <w:rPr>
                <w:vertAlign w:val="superscript"/>
              </w:rPr>
              <w:t>3</w:t>
            </w:r>
            <w:r>
              <w:t>/</w:t>
            </w:r>
            <w:r>
              <w:rPr>
                <w:rFonts w:hint="eastAsia"/>
              </w:rPr>
              <w:t>d，则年用水量约</w:t>
            </w:r>
            <w:r>
              <w:rPr>
                <w:rFonts w:hint="eastAsia"/>
                <w:lang w:val="en-US" w:eastAsia="zh-CN"/>
              </w:rPr>
              <w:t>4800</w:t>
            </w:r>
            <w:r>
              <w:t>m</w:t>
            </w:r>
            <w:r>
              <w:rPr>
                <w:vertAlign w:val="superscript"/>
              </w:rPr>
              <w:t>3</w:t>
            </w:r>
            <w:r>
              <w:t>/a</w:t>
            </w:r>
            <w:r>
              <w:rPr>
                <w:rFonts w:hint="eastAsia"/>
                <w:lang w:val="en-US" w:eastAsia="zh-CN"/>
              </w:rPr>
              <w:t>，全部损耗；由软水制备系统提供，软水制备率为95%，则</w:t>
            </w:r>
            <w:r>
              <w:rPr>
                <w:rFonts w:hint="default"/>
              </w:rPr>
              <w:t>新鲜水用量为</w:t>
            </w:r>
            <w:r>
              <w:rPr>
                <w:rFonts w:hint="eastAsia"/>
                <w:lang w:val="en-US" w:eastAsia="zh-CN"/>
              </w:rPr>
              <w:t>16.84</w:t>
            </w:r>
            <w:r>
              <w:rPr>
                <w:rFonts w:hint="default"/>
              </w:rPr>
              <w:t>m</w:t>
            </w:r>
            <w:r>
              <w:rPr>
                <w:rFonts w:hint="default"/>
                <w:vertAlign w:val="superscript"/>
              </w:rPr>
              <w:t>3</w:t>
            </w:r>
            <w:r>
              <w:rPr>
                <w:rFonts w:hint="default"/>
              </w:rPr>
              <w:t>/d（</w:t>
            </w:r>
            <w:r>
              <w:rPr>
                <w:rFonts w:hint="eastAsia"/>
                <w:lang w:val="en-US" w:eastAsia="zh-CN"/>
              </w:rPr>
              <w:t>5052</w:t>
            </w:r>
            <w:r>
              <w:rPr>
                <w:rFonts w:hint="default"/>
              </w:rPr>
              <w:t>m</w:t>
            </w:r>
            <w:r>
              <w:rPr>
                <w:rFonts w:hint="default"/>
                <w:vertAlign w:val="superscript"/>
              </w:rPr>
              <w:t>3</w:t>
            </w:r>
            <w:r>
              <w:rPr>
                <w:rFonts w:hint="default"/>
              </w:rPr>
              <w:t>/a）。</w:t>
            </w:r>
          </w:p>
          <w:p>
            <w:pPr>
              <w:pStyle w:val="22"/>
              <w:numPr>
                <w:ilvl w:val="0"/>
                <w:numId w:val="0"/>
              </w:numPr>
              <w:bidi w:val="0"/>
              <w:ind w:leftChars="200"/>
              <w:jc w:val="both"/>
              <w:rPr>
                <w:rFonts w:hint="default" w:ascii="Times New Roman" w:hAnsi="Times New Roman" w:cs="Times New Roman"/>
                <w:color w:val="auto"/>
                <w:sz w:val="24"/>
                <w:szCs w:val="32"/>
              </w:rPr>
            </w:pPr>
            <w:r>
              <w:rPr>
                <w:rFonts w:hint="eastAsia" w:cs="Times New Roman"/>
                <w:color w:val="auto"/>
                <w:sz w:val="24"/>
                <w:szCs w:val="32"/>
                <w:lang w:val="en-US" w:eastAsia="zh-CN"/>
              </w:rPr>
              <w:t>（3）</w:t>
            </w:r>
            <w:r>
              <w:rPr>
                <w:rFonts w:hint="eastAsia" w:ascii="Times New Roman" w:hAnsi="Times New Roman" w:cs="Times New Roman"/>
                <w:color w:val="auto"/>
                <w:sz w:val="24"/>
                <w:szCs w:val="32"/>
                <w:lang w:val="en-US" w:eastAsia="zh-CN"/>
              </w:rPr>
              <w:t>锅炉补水</w:t>
            </w:r>
          </w:p>
          <w:p>
            <w:pPr>
              <w:pStyle w:val="22"/>
              <w:bidi w:val="0"/>
              <w:jc w:val="both"/>
              <w:rPr>
                <w:rFonts w:hint="eastAsia"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rPr>
              <w:t>锅炉排污量约为额定蒸发量的0.5%，</w:t>
            </w:r>
            <w:r>
              <w:rPr>
                <w:rFonts w:hint="eastAsia" w:ascii="Times New Roman" w:hAnsi="Times New Roman" w:cs="Times New Roman"/>
                <w:color w:val="auto"/>
                <w:sz w:val="24"/>
                <w:szCs w:val="32"/>
                <w:lang w:val="en-US" w:eastAsia="zh-CN"/>
              </w:rPr>
              <w:t>锅炉补水量为0.01</w:t>
            </w:r>
            <w:r>
              <w:rPr>
                <w:rFonts w:hint="default" w:ascii="Times New Roman" w:hAnsi="Times New Roman" w:cs="Times New Roman"/>
                <w:color w:val="auto"/>
                <w:sz w:val="24"/>
                <w:szCs w:val="32"/>
              </w:rPr>
              <w:t>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/d（</w:t>
            </w:r>
            <w:r>
              <w:rPr>
                <w:rFonts w:hint="eastAsia" w:ascii="Times New Roman" w:hAnsi="Times New Roman" w:cs="Times New Roman"/>
                <w:color w:val="auto"/>
                <w:sz w:val="24"/>
                <w:szCs w:val="32"/>
                <w:lang w:val="en-US" w:eastAsia="zh-CN"/>
              </w:rPr>
              <w:t>3</w:t>
            </w:r>
            <w:r>
              <w:rPr>
                <w:rFonts w:hint="default" w:ascii="Times New Roman" w:hAnsi="Times New Roman" w:cs="Times New Roman"/>
                <w:color w:val="auto"/>
                <w:sz w:val="24"/>
                <w:szCs w:val="32"/>
              </w:rPr>
              <w:t>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/a）</w:t>
            </w:r>
            <w:r>
              <w:rPr>
                <w:rFonts w:hint="eastAsia" w:ascii="Times New Roman" w:hAnsi="Times New Roman" w:cs="Times New Roman"/>
                <w:color w:val="auto"/>
                <w:sz w:val="24"/>
                <w:szCs w:val="32"/>
                <w:lang w:val="en-US" w:eastAsia="zh-CN"/>
              </w:rPr>
              <w:t>，由软水制备系统提供，</w:t>
            </w:r>
            <w:r>
              <w:rPr>
                <w:rFonts w:hint="eastAsia"/>
                <w:lang w:val="en-US" w:eastAsia="zh-CN"/>
              </w:rPr>
              <w:t>软水制备率为95%，</w:t>
            </w:r>
            <w:r>
              <w:rPr>
                <w:rFonts w:hint="default"/>
                <w:color w:val="auto"/>
              </w:rPr>
              <w:t>新鲜水用量为</w:t>
            </w:r>
            <w:r>
              <w:rPr>
                <w:rFonts w:hint="eastAsia"/>
                <w:color w:val="auto"/>
                <w:lang w:val="en-US" w:eastAsia="zh-CN"/>
              </w:rPr>
              <w:t>0.011</w:t>
            </w:r>
            <w:r>
              <w:rPr>
                <w:rFonts w:hint="default"/>
                <w:color w:val="auto"/>
              </w:rPr>
              <w:t>m</w:t>
            </w:r>
            <w:r>
              <w:rPr>
                <w:rFonts w:hint="default"/>
                <w:color w:val="auto"/>
                <w:vertAlign w:val="superscript"/>
              </w:rPr>
              <w:t>3</w:t>
            </w:r>
            <w:r>
              <w:rPr>
                <w:rFonts w:hint="default"/>
                <w:color w:val="auto"/>
              </w:rPr>
              <w:t>/d（</w:t>
            </w:r>
            <w:r>
              <w:rPr>
                <w:rFonts w:hint="eastAsia"/>
                <w:color w:val="auto"/>
                <w:lang w:val="en-US" w:eastAsia="zh-CN"/>
              </w:rPr>
              <w:t>3.3</w:t>
            </w:r>
            <w:r>
              <w:rPr>
                <w:rFonts w:hint="default"/>
                <w:color w:val="auto"/>
              </w:rPr>
              <w:t>m</w:t>
            </w:r>
            <w:r>
              <w:rPr>
                <w:rFonts w:hint="default"/>
                <w:color w:val="auto"/>
                <w:vertAlign w:val="superscript"/>
              </w:rPr>
              <w:t>3</w:t>
            </w:r>
            <w:r>
              <w:rPr>
                <w:rFonts w:hint="default"/>
                <w:color w:val="auto"/>
              </w:rPr>
              <w:t>/a）</w:t>
            </w:r>
            <w:r>
              <w:rPr>
                <w:rFonts w:hint="eastAsia"/>
                <w:color w:val="auto"/>
                <w:lang w:eastAsia="zh-CN"/>
              </w:rPr>
              <w:t>；</w:t>
            </w:r>
          </w:p>
          <w:p>
            <w:pPr>
              <w:pStyle w:val="22"/>
              <w:numPr>
                <w:ilvl w:val="0"/>
                <w:numId w:val="0"/>
              </w:numPr>
              <w:bidi w:val="0"/>
              <w:ind w:leftChars="200"/>
              <w:jc w:val="both"/>
              <w:rPr>
                <w:rFonts w:hint="eastAsia"/>
                <w:color w:val="auto"/>
                <w:highlight w:val="none"/>
                <w:lang w:val="en-US" w:eastAsia="zh-CN"/>
              </w:rPr>
            </w:pPr>
            <w:r>
              <w:rPr>
                <w:rFonts w:hint="eastAsia"/>
                <w:lang w:eastAsia="zh-CN"/>
              </w:rPr>
              <w:t>（</w:t>
            </w:r>
            <w:r>
              <w:rPr>
                <w:rFonts w:hint="eastAsia"/>
                <w:lang w:val="en-US" w:eastAsia="zh-CN"/>
              </w:rPr>
              <w:t>4）</w:t>
            </w:r>
            <w:r>
              <w:rPr>
                <w:rFonts w:hint="eastAsia"/>
                <w:color w:val="auto"/>
                <w:highlight w:val="none"/>
                <w:lang w:val="en-US" w:eastAsia="zh-CN"/>
              </w:rPr>
              <w:t>软水制备用水</w:t>
            </w:r>
          </w:p>
          <w:p>
            <w:pPr>
              <w:pStyle w:val="22"/>
              <w:bidi w:val="0"/>
              <w:jc w:val="both"/>
              <w:rPr>
                <w:rFonts w:hint="default" w:eastAsia="宋体"/>
                <w:lang w:val="en-US" w:eastAsia="zh-CN"/>
              </w:rPr>
            </w:pPr>
            <w:r>
              <w:rPr>
                <w:rFonts w:hint="default"/>
              </w:rPr>
              <w:t>项目软水制备采用离子交换设备，每使用一段时间后需要反冲洗。根据建设单位提供资料显示，项目离子交换树脂约1周进行1次反冲洗，耗水量为软水制备量的5%，项目</w:t>
            </w:r>
            <w:r>
              <w:rPr>
                <w:rFonts w:hint="eastAsia"/>
                <w:lang w:val="en-US" w:eastAsia="zh-CN"/>
              </w:rPr>
              <w:t>软水设备</w:t>
            </w:r>
            <w:r>
              <w:rPr>
                <w:rFonts w:hint="default"/>
              </w:rPr>
              <w:t>所需新鲜水用量为</w:t>
            </w:r>
            <w:r>
              <w:rPr>
                <w:rFonts w:hint="eastAsia"/>
                <w:lang w:val="en-US" w:eastAsia="zh-CN"/>
              </w:rPr>
              <w:t>16.851</w:t>
            </w:r>
            <w:r>
              <w:rPr>
                <w:rFonts w:hint="default"/>
              </w:rPr>
              <w:t>m</w:t>
            </w:r>
            <w:r>
              <w:rPr>
                <w:rFonts w:hint="default"/>
                <w:vertAlign w:val="superscript"/>
              </w:rPr>
              <w:t>3</w:t>
            </w:r>
            <w:r>
              <w:rPr>
                <w:rFonts w:hint="default"/>
              </w:rPr>
              <w:t>/d（</w:t>
            </w:r>
            <w:r>
              <w:rPr>
                <w:rFonts w:hint="eastAsia"/>
                <w:lang w:val="en-US" w:eastAsia="zh-CN"/>
              </w:rPr>
              <w:t>5055.3</w:t>
            </w:r>
            <w:r>
              <w:rPr>
                <w:rFonts w:hint="default"/>
              </w:rPr>
              <w:t>m</w:t>
            </w:r>
            <w:r>
              <w:rPr>
                <w:rFonts w:hint="default"/>
                <w:vertAlign w:val="superscript"/>
              </w:rPr>
              <w:t>3</w:t>
            </w:r>
            <w:r>
              <w:rPr>
                <w:rFonts w:hint="default"/>
              </w:rPr>
              <w:t>/a）</w:t>
            </w:r>
            <w:r>
              <w:rPr>
                <w:rFonts w:hint="eastAsia"/>
                <w:lang w:eastAsia="zh-CN"/>
              </w:rPr>
              <w:t>，</w:t>
            </w:r>
            <w:r>
              <w:rPr>
                <w:rFonts w:hint="default"/>
              </w:rPr>
              <w:t>则反冲洗用水量为</w:t>
            </w:r>
            <w:r>
              <w:rPr>
                <w:rFonts w:hint="eastAsia"/>
                <w:lang w:val="en-US" w:eastAsia="zh-CN"/>
              </w:rPr>
              <w:t>0.84</w:t>
            </w:r>
            <w:r>
              <w:rPr>
                <w:rFonts w:hint="default"/>
              </w:rPr>
              <w:t>m</w:t>
            </w:r>
            <w:r>
              <w:rPr>
                <w:rFonts w:hint="default"/>
                <w:vertAlign w:val="superscript"/>
              </w:rPr>
              <w:t>3</w:t>
            </w:r>
            <w:r>
              <w:rPr>
                <w:rFonts w:hint="default"/>
              </w:rPr>
              <w:t>/d（</w:t>
            </w:r>
            <w:r>
              <w:rPr>
                <w:rFonts w:hint="eastAsia"/>
                <w:lang w:val="en-US" w:eastAsia="zh-CN"/>
              </w:rPr>
              <w:t>252.765</w:t>
            </w:r>
            <w:r>
              <w:rPr>
                <w:rFonts w:hint="default"/>
              </w:rPr>
              <w:t>m</w:t>
            </w:r>
            <w:r>
              <w:rPr>
                <w:rFonts w:hint="default"/>
                <w:vertAlign w:val="superscript"/>
              </w:rPr>
              <w:t>3</w:t>
            </w:r>
            <w:r>
              <w:rPr>
                <w:rFonts w:hint="default"/>
              </w:rPr>
              <w:t>/a）。</w:t>
            </w:r>
          </w:p>
          <w:p>
            <w:pPr>
              <w:pStyle w:val="7"/>
              <w:bidi w:val="0"/>
              <w:jc w:val="both"/>
              <w:rPr>
                <w:color w:val="auto"/>
              </w:rPr>
            </w:pPr>
            <w:r>
              <w:rPr>
                <w:rFonts w:hint="eastAsia"/>
                <w:color w:val="auto"/>
                <w:lang w:val="en-US" w:eastAsia="zh-CN"/>
              </w:rPr>
              <w:t>4</w:t>
            </w:r>
            <w:r>
              <w:rPr>
                <w:rFonts w:hint="eastAsia"/>
                <w:color w:val="auto"/>
              </w:rPr>
              <w:t>.2.2 排水</w:t>
            </w:r>
          </w:p>
          <w:p>
            <w:pPr>
              <w:pStyle w:val="22"/>
              <w:numPr>
                <w:ilvl w:val="0"/>
                <w:numId w:val="8"/>
              </w:numPr>
              <w:bidi w:val="0"/>
              <w:ind w:left="0" w:leftChars="0" w:firstLine="480" w:firstLineChars="200"/>
              <w:jc w:val="both"/>
              <w:rPr>
                <w:rFonts w:hint="eastAsia" w:eastAsia="宋体"/>
                <w:color w:val="auto"/>
                <w:lang w:val="en-US" w:eastAsia="zh-CN"/>
              </w:rPr>
            </w:pPr>
            <w:r>
              <w:rPr>
                <w:rFonts w:hint="eastAsia"/>
                <w:color w:val="auto"/>
                <w:lang w:val="en-US" w:eastAsia="zh-CN"/>
              </w:rPr>
              <w:t>洗涤废水</w:t>
            </w:r>
          </w:p>
          <w:p>
            <w:pPr>
              <w:pStyle w:val="22"/>
              <w:bidi w:val="0"/>
              <w:jc w:val="both"/>
              <w:rPr>
                <w:rFonts w:hint="default" w:eastAsia="宋体"/>
                <w:color w:val="auto"/>
                <w:lang w:val="en-US" w:eastAsia="zh-CN"/>
              </w:rPr>
            </w:pPr>
            <w:r>
              <w:rPr>
                <w:rFonts w:hint="default"/>
                <w:lang w:val="en-US" w:eastAsia="zh-CN"/>
              </w:rPr>
              <w:t>根据洗涤过程，项目产生的洗涤废水排放量按照用水量的80%进行算</w:t>
            </w:r>
            <w:r>
              <w:rPr>
                <w:rFonts w:hint="eastAsia"/>
                <w:lang w:val="en-US" w:eastAsia="zh-CN"/>
              </w:rPr>
              <w:t>，</w:t>
            </w:r>
            <w:r>
              <w:rPr>
                <w:rFonts w:hint="default" w:ascii="Times New Roman" w:hAnsi="Times New Roman" w:cs="Times New Roman"/>
                <w:color w:val="auto"/>
                <w:sz w:val="24"/>
                <w:szCs w:val="32"/>
              </w:rPr>
              <w:t>本项目洗涤用水量</w:t>
            </w:r>
            <w:r>
              <w:rPr>
                <w:rFonts w:hint="eastAsia" w:cs="Times New Roman"/>
                <w:color w:val="auto"/>
                <w:sz w:val="24"/>
                <w:szCs w:val="32"/>
                <w:lang w:val="en-US" w:eastAsia="zh-CN"/>
              </w:rPr>
              <w:t>219</w:t>
            </w:r>
            <w:r>
              <w:rPr>
                <w:rFonts w:hint="default" w:ascii="Times New Roman" w:hAnsi="Times New Roman" w:cs="Times New Roman"/>
                <w:color w:val="auto"/>
                <w:sz w:val="24"/>
                <w:szCs w:val="32"/>
              </w:rPr>
              <w:t>t/d</w:t>
            </w:r>
            <w:r>
              <w:rPr>
                <w:rFonts w:hint="eastAsia" w:cs="Times New Roman"/>
                <w:color w:val="auto"/>
                <w:sz w:val="24"/>
                <w:szCs w:val="32"/>
                <w:lang w:eastAsia="zh-CN"/>
              </w:rPr>
              <w:t>（</w:t>
            </w:r>
            <w:r>
              <w:rPr>
                <w:rFonts w:hint="eastAsia" w:cs="Times New Roman"/>
                <w:color w:val="auto"/>
                <w:sz w:val="24"/>
                <w:szCs w:val="32"/>
                <w:lang w:val="en-US" w:eastAsia="zh-CN"/>
              </w:rPr>
              <w:t>65700</w:t>
            </w:r>
            <w:r>
              <w:rPr>
                <w:rFonts w:hint="default" w:ascii="Times New Roman" w:hAnsi="Times New Roman" w:cs="Times New Roman"/>
                <w:color w:val="auto"/>
                <w:sz w:val="24"/>
                <w:szCs w:val="32"/>
              </w:rPr>
              <w:t>t/a</w:t>
            </w:r>
            <w:r>
              <w:rPr>
                <w:rFonts w:hint="eastAsia" w:cs="Times New Roman"/>
                <w:color w:val="auto"/>
                <w:sz w:val="24"/>
                <w:szCs w:val="32"/>
                <w:lang w:eastAsia="zh-CN"/>
              </w:rPr>
              <w:t>），</w:t>
            </w:r>
            <w:r>
              <w:rPr>
                <w:rFonts w:hint="default"/>
                <w:lang w:val="en-US" w:eastAsia="zh-CN"/>
              </w:rPr>
              <w:t>则项目产生的洗涤废水约</w:t>
            </w:r>
            <w:r>
              <w:rPr>
                <w:rFonts w:hint="eastAsia"/>
                <w:lang w:val="en-US" w:eastAsia="zh-CN"/>
              </w:rPr>
              <w:t>175.2</w:t>
            </w:r>
            <w:r>
              <w:rPr>
                <w:rFonts w:hint="eastAsia" w:ascii="Times New Roman" w:hAnsi="Times New Roman" w:cs="Times New Roman"/>
                <w:color w:val="auto"/>
                <w:sz w:val="24"/>
                <w:szCs w:val="32"/>
                <w:lang w:val="en-US" w:eastAsia="zh-CN"/>
              </w:rPr>
              <w:t>m</w:t>
            </w:r>
            <w:r>
              <w:rPr>
                <w:rFonts w:hint="eastAsia" w:ascii="Times New Roman" w:hAnsi="Times New Roman" w:cs="Times New Roman"/>
                <w:color w:val="auto"/>
                <w:sz w:val="24"/>
                <w:szCs w:val="32"/>
                <w:vertAlign w:val="superscript"/>
                <w:lang w:val="en-US" w:eastAsia="zh-CN"/>
              </w:rPr>
              <w:t>3</w:t>
            </w:r>
            <w:r>
              <w:rPr>
                <w:rFonts w:hint="eastAsia" w:ascii="Times New Roman" w:hAnsi="Times New Roman" w:cs="Times New Roman"/>
                <w:color w:val="auto"/>
                <w:sz w:val="24"/>
                <w:szCs w:val="32"/>
                <w:lang w:val="en-US" w:eastAsia="zh-CN"/>
              </w:rPr>
              <w:t>/</w:t>
            </w:r>
            <w:r>
              <w:rPr>
                <w:rFonts w:hint="eastAsia" w:cs="Times New Roman"/>
                <w:color w:val="auto"/>
                <w:sz w:val="24"/>
                <w:szCs w:val="32"/>
                <w:lang w:val="en-US" w:eastAsia="zh-CN"/>
              </w:rPr>
              <w:t>d</w:t>
            </w:r>
            <w:r>
              <w:rPr>
                <w:rFonts w:hint="eastAsia" w:ascii="Times New Roman" w:hAnsi="Times New Roman" w:cs="Times New Roman"/>
                <w:color w:val="auto"/>
                <w:sz w:val="24"/>
                <w:szCs w:val="32"/>
                <w:lang w:val="en-US" w:eastAsia="zh-CN"/>
              </w:rPr>
              <w:t>（</w:t>
            </w:r>
            <w:r>
              <w:rPr>
                <w:rFonts w:hint="eastAsia"/>
                <w:lang w:val="en-US" w:eastAsia="zh-CN"/>
              </w:rPr>
              <w:t>52560</w:t>
            </w:r>
            <w:r>
              <w:rPr>
                <w:rFonts w:hint="eastAsia" w:ascii="Times New Roman" w:hAnsi="Times New Roman" w:cs="Times New Roman"/>
                <w:color w:val="auto"/>
                <w:sz w:val="24"/>
                <w:szCs w:val="32"/>
                <w:lang w:val="en-US" w:eastAsia="zh-CN"/>
              </w:rPr>
              <w:t>m</w:t>
            </w:r>
            <w:r>
              <w:rPr>
                <w:rFonts w:hint="eastAsia" w:ascii="Times New Roman" w:hAnsi="Times New Roman" w:cs="Times New Roman"/>
                <w:color w:val="auto"/>
                <w:sz w:val="24"/>
                <w:szCs w:val="32"/>
                <w:vertAlign w:val="superscript"/>
                <w:lang w:val="en-US" w:eastAsia="zh-CN"/>
              </w:rPr>
              <w:t>3</w:t>
            </w:r>
            <w:r>
              <w:rPr>
                <w:rFonts w:hint="eastAsia" w:ascii="Times New Roman" w:hAnsi="Times New Roman" w:cs="Times New Roman"/>
                <w:color w:val="auto"/>
                <w:sz w:val="24"/>
                <w:szCs w:val="32"/>
                <w:lang w:val="en-US" w:eastAsia="zh-CN"/>
              </w:rPr>
              <w:t>/a）</w:t>
            </w:r>
            <w:r>
              <w:rPr>
                <w:rFonts w:hint="eastAsia" w:cs="Times New Roman"/>
                <w:color w:val="auto"/>
                <w:sz w:val="24"/>
                <w:szCs w:val="32"/>
                <w:lang w:val="en-US" w:eastAsia="zh-CN"/>
              </w:rPr>
              <w:t>。排入自建污水处理站处理达标后排入园区污水管网。</w:t>
            </w:r>
          </w:p>
          <w:p>
            <w:pPr>
              <w:pStyle w:val="22"/>
              <w:numPr>
                <w:ilvl w:val="0"/>
                <w:numId w:val="8"/>
              </w:numPr>
              <w:bidi w:val="0"/>
              <w:ind w:left="0" w:leftChars="0" w:firstLine="480" w:firstLineChars="200"/>
              <w:jc w:val="both"/>
              <w:rPr>
                <w:rFonts w:hint="eastAsia" w:eastAsia="宋体"/>
                <w:color w:val="auto"/>
                <w:lang w:val="en-US" w:eastAsia="zh-CN"/>
              </w:rPr>
            </w:pPr>
            <w:r>
              <w:rPr>
                <w:rFonts w:hint="default" w:ascii="Times New Roman" w:hAnsi="Times New Roman" w:cs="Times New Roman"/>
                <w:color w:val="auto"/>
                <w:sz w:val="24"/>
                <w:szCs w:val="32"/>
                <w:lang w:val="en-US" w:eastAsia="zh-CN"/>
              </w:rPr>
              <w:t>锅炉排污水</w:t>
            </w:r>
          </w:p>
          <w:p>
            <w:pPr>
              <w:pStyle w:val="22"/>
              <w:ind w:firstLine="480"/>
              <w:jc w:val="both"/>
              <w:rPr>
                <w:rFonts w:hint="eastAsia" w:ascii="Times New Roman" w:hAnsi="Times New Roman" w:cs="Times New Roman"/>
                <w:color w:val="auto"/>
                <w:sz w:val="24"/>
                <w:szCs w:val="32"/>
                <w:lang w:val="en-US" w:eastAsia="zh-CN"/>
              </w:rPr>
            </w:pPr>
            <w:r>
              <w:rPr>
                <w:rFonts w:hint="default" w:ascii="Times New Roman" w:hAnsi="Times New Roman" w:cs="Times New Roman"/>
                <w:color w:val="auto"/>
                <w:sz w:val="24"/>
                <w:szCs w:val="32"/>
              </w:rPr>
              <w:t>锅炉排污量约为额定蒸发量的0.5%，锅炉排污</w:t>
            </w:r>
            <w:r>
              <w:rPr>
                <w:rFonts w:hint="eastAsia" w:ascii="Times New Roman" w:hAnsi="Times New Roman" w:cs="Times New Roman"/>
                <w:color w:val="auto"/>
                <w:sz w:val="24"/>
                <w:szCs w:val="32"/>
                <w:lang w:val="en-US" w:eastAsia="zh-CN"/>
              </w:rPr>
              <w:t>水量为0.01</w:t>
            </w:r>
            <w:r>
              <w:rPr>
                <w:rFonts w:hint="default" w:ascii="Times New Roman" w:hAnsi="Times New Roman" w:cs="Times New Roman"/>
                <w:color w:val="auto"/>
                <w:sz w:val="24"/>
                <w:szCs w:val="32"/>
              </w:rPr>
              <w:t>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/d（</w:t>
            </w:r>
            <w:r>
              <w:rPr>
                <w:rFonts w:hint="eastAsia" w:ascii="Times New Roman" w:hAnsi="Times New Roman" w:cs="Times New Roman"/>
                <w:color w:val="auto"/>
                <w:sz w:val="24"/>
                <w:szCs w:val="32"/>
                <w:lang w:val="en-US" w:eastAsia="zh-CN"/>
              </w:rPr>
              <w:t>3</w:t>
            </w:r>
            <w:r>
              <w:rPr>
                <w:rFonts w:hint="default" w:ascii="Times New Roman" w:hAnsi="Times New Roman" w:cs="Times New Roman"/>
                <w:color w:val="auto"/>
                <w:sz w:val="24"/>
                <w:szCs w:val="32"/>
              </w:rPr>
              <w:t>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/a）</w:t>
            </w:r>
            <w:r>
              <w:rPr>
                <w:rFonts w:hint="eastAsia" w:ascii="Times New Roman" w:hAnsi="Times New Roman" w:cs="Times New Roman"/>
                <w:color w:val="auto"/>
                <w:sz w:val="24"/>
                <w:szCs w:val="32"/>
                <w:lang w:eastAsia="zh-CN"/>
              </w:rPr>
              <w:t>，</w:t>
            </w:r>
            <w:r>
              <w:rPr>
                <w:rFonts w:hint="eastAsia" w:ascii="Times New Roman" w:hAnsi="Times New Roman" w:cs="Times New Roman"/>
                <w:color w:val="auto"/>
                <w:sz w:val="24"/>
                <w:szCs w:val="32"/>
                <w:lang w:val="en-US" w:eastAsia="zh-CN"/>
              </w:rPr>
              <w:t>排入园区污水管网；</w:t>
            </w:r>
          </w:p>
          <w:p>
            <w:pPr>
              <w:pStyle w:val="22"/>
              <w:numPr>
                <w:ilvl w:val="0"/>
                <w:numId w:val="8"/>
              </w:numPr>
              <w:ind w:left="0" w:leftChars="0" w:firstLine="480" w:firstLineChars="200"/>
              <w:jc w:val="both"/>
              <w:rPr>
                <w:rFonts w:hint="eastAsia"/>
                <w:color w:val="auto"/>
                <w:highlight w:val="none"/>
                <w:lang w:val="en-US" w:eastAsia="zh-CN"/>
              </w:rPr>
            </w:pPr>
            <w:r>
              <w:rPr>
                <w:rFonts w:hint="eastAsia"/>
                <w:color w:val="auto"/>
                <w:highlight w:val="none"/>
                <w:lang w:val="en-US" w:eastAsia="zh-CN"/>
              </w:rPr>
              <w:t>软水制备废水</w:t>
            </w:r>
          </w:p>
          <w:p>
            <w:pPr>
              <w:pStyle w:val="22"/>
              <w:bidi w:val="0"/>
              <w:jc w:val="both"/>
              <w:rPr>
                <w:rFonts w:hint="default"/>
                <w:lang w:val="en-US" w:eastAsia="zh-CN"/>
              </w:rPr>
            </w:pPr>
            <w:r>
              <w:rPr>
                <w:rFonts w:hint="default"/>
              </w:rPr>
              <w:t>项目离子交换树脂约1周进行1次反冲洗，耗水量为软水制备量的5%，则</w:t>
            </w:r>
            <w:r>
              <w:rPr>
                <w:rFonts w:hint="eastAsia"/>
                <w:color w:val="auto"/>
                <w:highlight w:val="none"/>
                <w:lang w:val="en-US" w:eastAsia="zh-CN"/>
              </w:rPr>
              <w:t>软水制备废水</w:t>
            </w:r>
            <w:r>
              <w:rPr>
                <w:rFonts w:hint="default"/>
              </w:rPr>
              <w:t>为</w:t>
            </w:r>
            <w:r>
              <w:rPr>
                <w:rFonts w:hint="eastAsia"/>
                <w:lang w:val="en-US" w:eastAsia="zh-CN"/>
              </w:rPr>
              <w:t>0.84</w:t>
            </w:r>
            <w:r>
              <w:rPr>
                <w:rFonts w:hint="default"/>
              </w:rPr>
              <w:t>m</w:t>
            </w:r>
            <w:r>
              <w:rPr>
                <w:rFonts w:hint="default"/>
                <w:vertAlign w:val="superscript"/>
              </w:rPr>
              <w:t>3</w:t>
            </w:r>
            <w:r>
              <w:rPr>
                <w:rFonts w:hint="default"/>
              </w:rPr>
              <w:t>/d（</w:t>
            </w:r>
            <w:r>
              <w:rPr>
                <w:rFonts w:hint="eastAsia"/>
                <w:lang w:val="en-US" w:eastAsia="zh-CN"/>
              </w:rPr>
              <w:t>252.765</w:t>
            </w:r>
            <w:r>
              <w:rPr>
                <w:rFonts w:hint="default"/>
              </w:rPr>
              <w:t>m</w:t>
            </w:r>
            <w:r>
              <w:rPr>
                <w:rFonts w:hint="default"/>
                <w:vertAlign w:val="superscript"/>
              </w:rPr>
              <w:t>3</w:t>
            </w:r>
            <w:r>
              <w:rPr>
                <w:rFonts w:hint="default"/>
              </w:rPr>
              <w:t>/a）</w:t>
            </w:r>
            <w:r>
              <w:rPr>
                <w:rFonts w:hint="eastAsia" w:ascii="Times New Roman" w:hAnsi="Times New Roman" w:cs="Times New Roman"/>
                <w:color w:val="auto"/>
                <w:sz w:val="24"/>
                <w:szCs w:val="32"/>
                <w:lang w:eastAsia="zh-CN"/>
              </w:rPr>
              <w:t>，</w:t>
            </w:r>
            <w:r>
              <w:rPr>
                <w:rFonts w:hint="eastAsia" w:ascii="Times New Roman" w:hAnsi="Times New Roman" w:cs="Times New Roman"/>
                <w:color w:val="auto"/>
                <w:sz w:val="24"/>
                <w:szCs w:val="32"/>
                <w:lang w:val="en-US" w:eastAsia="zh-CN"/>
              </w:rPr>
              <w:t>排入园区污水管网；</w:t>
            </w:r>
          </w:p>
          <w:p>
            <w:pPr>
              <w:pStyle w:val="22"/>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lang w:val="en-US" w:eastAsia="zh-CN"/>
              </w:rPr>
            </w:pPr>
            <w:r>
              <w:rPr>
                <w:rFonts w:hint="default"/>
                <w:color w:val="auto"/>
                <w:lang w:val="en-US" w:eastAsia="zh-CN"/>
              </w:rPr>
              <w:drawing>
                <wp:inline distT="0" distB="0" distL="114300" distR="114300">
                  <wp:extent cx="4980940" cy="3210560"/>
                  <wp:effectExtent l="0" t="0" r="10160" b="2540"/>
                  <wp:docPr id="20" name="图片 20" descr="吉木萨尔洗衣房水平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吉木萨尔洗衣房水平衡"/>
                          <pic:cNvPicPr>
                            <a:picLocks noChangeAspect="1"/>
                          </pic:cNvPicPr>
                        </pic:nvPicPr>
                        <pic:blipFill>
                          <a:blip r:embed="rId13"/>
                          <a:stretch>
                            <a:fillRect/>
                          </a:stretch>
                        </pic:blipFill>
                        <pic:spPr>
                          <a:xfrm>
                            <a:off x="0" y="0"/>
                            <a:ext cx="4980940" cy="3210560"/>
                          </a:xfrm>
                          <a:prstGeom prst="rect">
                            <a:avLst/>
                          </a:prstGeom>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b/>
                <w:bCs/>
                <w:color w:val="auto"/>
                <w:lang w:val="en-US" w:eastAsia="zh-CN"/>
              </w:rPr>
            </w:pPr>
            <w:r>
              <w:rPr>
                <w:rFonts w:hint="eastAsia"/>
                <w:b/>
                <w:bCs/>
                <w:color w:val="auto"/>
                <w:lang w:val="en-US" w:eastAsia="zh-CN"/>
              </w:rPr>
              <w:t>图1    项目水平衡图（单位：t/d）</w:t>
            </w:r>
          </w:p>
          <w:p>
            <w:pPr>
              <w:pStyle w:val="7"/>
              <w:jc w:val="both"/>
              <w:outlineLvl w:val="2"/>
              <w:rPr>
                <w:color w:val="auto"/>
              </w:rPr>
            </w:pPr>
            <w:r>
              <w:rPr>
                <w:rFonts w:hint="eastAsia"/>
                <w:color w:val="auto"/>
                <w:lang w:val="en-US" w:eastAsia="zh-CN"/>
              </w:rPr>
              <w:t>4</w:t>
            </w:r>
            <w:r>
              <w:rPr>
                <w:rFonts w:hint="eastAsia"/>
                <w:color w:val="auto"/>
              </w:rPr>
              <w:t>.3 供热</w:t>
            </w:r>
          </w:p>
          <w:p>
            <w:pPr>
              <w:pStyle w:val="22"/>
              <w:ind w:firstLine="480"/>
              <w:jc w:val="both"/>
              <w:rPr>
                <w:rFonts w:hint="default"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新建1</w:t>
            </w:r>
            <w:r>
              <w:rPr>
                <w:rFonts w:hint="default" w:ascii="Times New Roman" w:hAnsi="Times New Roman" w:eastAsia="宋体" w:cs="Times New Roman"/>
                <w:b w:val="0"/>
                <w:bCs/>
                <w:color w:val="auto"/>
                <w:sz w:val="24"/>
                <w:szCs w:val="24"/>
                <w:lang w:val="en-US" w:eastAsia="zh-CN"/>
              </w:rPr>
              <w:t>台</w:t>
            </w:r>
            <w:r>
              <w:rPr>
                <w:rFonts w:hint="eastAsia" w:cs="Times New Roman"/>
                <w:b w:val="0"/>
                <w:bCs/>
                <w:color w:val="auto"/>
                <w:sz w:val="24"/>
                <w:szCs w:val="24"/>
                <w:lang w:val="en-US" w:eastAsia="zh-CN"/>
              </w:rPr>
              <w:t>2</w:t>
            </w:r>
            <w:r>
              <w:rPr>
                <w:rFonts w:hint="default" w:ascii="Times New Roman" w:hAnsi="Times New Roman" w:eastAsia="宋体" w:cs="Times New Roman"/>
                <w:b w:val="0"/>
                <w:bCs/>
                <w:color w:val="auto"/>
                <w:sz w:val="24"/>
                <w:szCs w:val="24"/>
                <w:lang w:val="en-US" w:eastAsia="zh-CN"/>
              </w:rPr>
              <w:t>t/h的</w:t>
            </w:r>
            <w:r>
              <w:rPr>
                <w:rFonts w:hint="eastAsia"/>
                <w:color w:val="auto"/>
                <w:lang w:val="en-US" w:eastAsia="zh-CN"/>
              </w:rPr>
              <w:t>燃气蒸汽锅炉</w:t>
            </w:r>
            <w:r>
              <w:rPr>
                <w:rFonts w:hint="eastAsia" w:eastAsia="宋体" w:cs="Times New Roman"/>
                <w:b w:val="0"/>
                <w:bCs/>
                <w:color w:val="auto"/>
                <w:sz w:val="24"/>
                <w:szCs w:val="24"/>
                <w:lang w:val="en-US" w:eastAsia="zh-CN"/>
              </w:rPr>
              <w:t>用于</w:t>
            </w:r>
            <w:r>
              <w:rPr>
                <w:rFonts w:hint="eastAsia" w:cs="Times New Roman"/>
                <w:b w:val="0"/>
                <w:bCs/>
                <w:color w:val="auto"/>
                <w:sz w:val="24"/>
                <w:szCs w:val="24"/>
                <w:lang w:val="en-US" w:eastAsia="zh-CN"/>
              </w:rPr>
              <w:t>生产用热</w:t>
            </w:r>
            <w:r>
              <w:rPr>
                <w:rFonts w:hint="eastAsia" w:eastAsia="宋体" w:cs="Times New Roman"/>
                <w:b w:val="0"/>
                <w:bCs/>
                <w:color w:val="auto"/>
                <w:sz w:val="24"/>
                <w:szCs w:val="24"/>
                <w:lang w:val="en-US" w:eastAsia="zh-CN"/>
              </w:rPr>
              <w:t>，</w:t>
            </w:r>
            <w:r>
              <w:rPr>
                <w:rFonts w:hint="eastAsia" w:cs="Times New Roman"/>
                <w:b w:val="0"/>
                <w:bCs/>
                <w:color w:val="auto"/>
                <w:sz w:val="24"/>
                <w:szCs w:val="24"/>
                <w:lang w:val="en-US" w:eastAsia="zh-CN"/>
              </w:rPr>
              <w:t>冬季值班人员采用电采暖</w:t>
            </w:r>
            <w:r>
              <w:rPr>
                <w:rFonts w:hint="default" w:ascii="Times New Roman" w:hAnsi="Times New Roman" w:eastAsia="宋体" w:cs="Times New Roman"/>
                <w:b w:val="0"/>
                <w:bCs/>
                <w:color w:val="auto"/>
                <w:sz w:val="24"/>
                <w:szCs w:val="24"/>
                <w:lang w:val="en-US" w:eastAsia="zh-CN"/>
              </w:rPr>
              <w:t>。</w:t>
            </w:r>
          </w:p>
          <w:p>
            <w:pPr>
              <w:pStyle w:val="7"/>
              <w:jc w:val="both"/>
              <w:outlineLvl w:val="2"/>
              <w:rPr>
                <w:rFonts w:hint="eastAsia"/>
                <w:color w:val="auto"/>
              </w:rPr>
            </w:pPr>
            <w:r>
              <w:rPr>
                <w:rFonts w:hint="eastAsia"/>
                <w:color w:val="auto"/>
                <w:lang w:val="en-US" w:eastAsia="zh-CN"/>
              </w:rPr>
              <w:t>4</w:t>
            </w:r>
            <w:r>
              <w:rPr>
                <w:rFonts w:hint="eastAsia"/>
                <w:color w:val="auto"/>
              </w:rPr>
              <w:t>.4 工作制度及劳动定员</w:t>
            </w:r>
          </w:p>
          <w:p>
            <w:pPr>
              <w:pStyle w:val="32"/>
              <w:bidi w:val="0"/>
              <w:rPr>
                <w:rFonts w:hint="eastAsia"/>
                <w:color w:val="auto"/>
                <w:lang w:val="en-US" w:eastAsia="zh-CN"/>
              </w:rPr>
            </w:pPr>
            <w:r>
              <w:rPr>
                <w:rFonts w:hint="eastAsia"/>
                <w:color w:val="auto"/>
                <w:lang w:val="en-US" w:eastAsia="zh-CN"/>
              </w:rPr>
              <w:t xml:space="preserve">表2-6    </w:t>
            </w:r>
            <w:r>
              <w:rPr>
                <w:rFonts w:hint="eastAsia"/>
                <w:color w:val="auto"/>
              </w:rPr>
              <w:t>工作制度及劳动定员</w:t>
            </w:r>
            <w:r>
              <w:rPr>
                <w:rFonts w:hint="eastAsia"/>
                <w:color w:val="auto"/>
                <w:lang w:val="en-US" w:eastAsia="zh-CN"/>
              </w:rPr>
              <w:t>一览表</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07"/>
              <w:gridCol w:w="2096"/>
              <w:gridCol w:w="31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1" w:type="pct"/>
                  <w:tcBorders>
                    <w:bottom w:val="single" w:color="000000" w:sz="12" w:space="0"/>
                    <w:tl2br w:val="nil"/>
                    <w:tr2bl w:val="nil"/>
                  </w:tcBorders>
                </w:tcPr>
                <w:p>
                  <w:pPr>
                    <w:pStyle w:val="33"/>
                    <w:widowControl w:val="0"/>
                    <w:bidi w:val="0"/>
                    <w:rPr>
                      <w:rFonts w:hint="default"/>
                      <w:b/>
                      <w:bCs/>
                      <w:color w:val="auto"/>
                      <w:lang w:val="en-US" w:eastAsia="zh-CN"/>
                    </w:rPr>
                  </w:pPr>
                  <w:r>
                    <w:rPr>
                      <w:rFonts w:hint="eastAsia"/>
                      <w:b/>
                      <w:bCs/>
                      <w:color w:val="auto"/>
                      <w:lang w:val="en-US" w:eastAsia="zh-CN"/>
                    </w:rPr>
                    <w:t>类别</w:t>
                  </w:r>
                </w:p>
              </w:tc>
              <w:tc>
                <w:tcPr>
                  <w:tcW w:w="1335" w:type="pct"/>
                  <w:tcBorders>
                    <w:bottom w:val="single" w:color="000000" w:sz="12" w:space="0"/>
                    <w:tl2br w:val="nil"/>
                    <w:tr2bl w:val="nil"/>
                  </w:tcBorders>
                </w:tcPr>
                <w:p>
                  <w:pPr>
                    <w:pStyle w:val="33"/>
                    <w:widowControl w:val="0"/>
                    <w:bidi w:val="0"/>
                    <w:rPr>
                      <w:rFonts w:hint="default"/>
                      <w:b/>
                      <w:bCs/>
                      <w:color w:val="auto"/>
                      <w:lang w:val="en-US" w:eastAsia="zh-CN"/>
                    </w:rPr>
                  </w:pPr>
                  <w:r>
                    <w:rPr>
                      <w:rFonts w:hint="eastAsia"/>
                      <w:b/>
                      <w:bCs/>
                      <w:color w:val="auto"/>
                      <w:lang w:val="en-US" w:eastAsia="zh-CN"/>
                    </w:rPr>
                    <w:t>本项目</w:t>
                  </w:r>
                </w:p>
              </w:tc>
              <w:tc>
                <w:tcPr>
                  <w:tcW w:w="2003" w:type="pct"/>
                  <w:tcBorders>
                    <w:bottom w:val="single" w:color="000000" w:sz="12" w:space="0"/>
                    <w:tl2br w:val="nil"/>
                    <w:tr2bl w:val="nil"/>
                  </w:tcBorders>
                </w:tcPr>
                <w:p>
                  <w:pPr>
                    <w:pStyle w:val="33"/>
                    <w:widowControl w:val="0"/>
                    <w:bidi w:val="0"/>
                    <w:rPr>
                      <w:rFonts w:hint="default"/>
                      <w:b/>
                      <w:bCs/>
                      <w:color w:val="auto"/>
                      <w:lang w:val="en-US" w:eastAsia="zh-CN"/>
                    </w:rPr>
                  </w:pPr>
                  <w:r>
                    <w:rPr>
                      <w:rFonts w:hint="eastAsia"/>
                      <w:b/>
                      <w:bCs/>
                      <w:color w:val="auto"/>
                      <w:lang w:val="en-US" w:eastAsia="zh-CN"/>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661" w:type="pct"/>
                  <w:tcBorders>
                    <w:top w:val="single" w:color="000000" w:sz="12" w:space="0"/>
                    <w:tl2br w:val="nil"/>
                    <w:tr2bl w:val="nil"/>
                  </w:tcBorders>
                </w:tcPr>
                <w:p>
                  <w:pPr>
                    <w:pStyle w:val="33"/>
                    <w:widowControl w:val="0"/>
                    <w:bidi w:val="0"/>
                    <w:rPr>
                      <w:rFonts w:hint="eastAsia"/>
                      <w:color w:val="auto"/>
                      <w:lang w:val="en-US" w:eastAsia="zh-CN"/>
                    </w:rPr>
                  </w:pPr>
                  <w:r>
                    <w:rPr>
                      <w:rFonts w:hint="eastAsia"/>
                      <w:color w:val="auto"/>
                      <w:lang w:val="en-US" w:eastAsia="zh-CN"/>
                    </w:rPr>
                    <w:t>人数</w:t>
                  </w:r>
                </w:p>
              </w:tc>
              <w:tc>
                <w:tcPr>
                  <w:tcW w:w="1335" w:type="pct"/>
                  <w:tcBorders>
                    <w:top w:val="single" w:color="000000" w:sz="12" w:space="0"/>
                    <w:tl2br w:val="nil"/>
                    <w:tr2bl w:val="nil"/>
                  </w:tcBorders>
                  <w:vAlign w:val="top"/>
                </w:tcPr>
                <w:p>
                  <w:pPr>
                    <w:pStyle w:val="33"/>
                    <w:widowControl w:val="0"/>
                    <w:bidi w:val="0"/>
                    <w:rPr>
                      <w:rFonts w:hint="default"/>
                      <w:color w:val="auto"/>
                      <w:lang w:val="en-US" w:eastAsia="zh-CN"/>
                    </w:rPr>
                  </w:pPr>
                  <w:r>
                    <w:rPr>
                      <w:rFonts w:hint="eastAsia"/>
                      <w:color w:val="auto"/>
                      <w:lang w:val="en-US" w:eastAsia="zh-CN"/>
                    </w:rPr>
                    <w:t>13</w:t>
                  </w:r>
                </w:p>
              </w:tc>
              <w:tc>
                <w:tcPr>
                  <w:tcW w:w="2003" w:type="pct"/>
                  <w:tcBorders>
                    <w:top w:val="single" w:color="000000" w:sz="12" w:space="0"/>
                    <w:tl2br w:val="nil"/>
                    <w:tr2bl w:val="nil"/>
                  </w:tcBorders>
                  <w:vAlign w:val="top"/>
                </w:tcPr>
                <w:p>
                  <w:pPr>
                    <w:pStyle w:val="33"/>
                    <w:widowControl w:val="0"/>
                    <w:bidi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1" w:type="pct"/>
                  <w:tcBorders>
                    <w:tl2br w:val="nil"/>
                    <w:tr2bl w:val="nil"/>
                  </w:tcBorders>
                </w:tcPr>
                <w:p>
                  <w:pPr>
                    <w:pStyle w:val="33"/>
                    <w:widowControl w:val="0"/>
                    <w:bidi w:val="0"/>
                    <w:rPr>
                      <w:rFonts w:hint="default"/>
                      <w:color w:val="auto"/>
                      <w:lang w:val="en-US" w:eastAsia="zh-CN"/>
                    </w:rPr>
                  </w:pPr>
                  <w:r>
                    <w:rPr>
                      <w:rFonts w:hint="eastAsia"/>
                      <w:color w:val="auto"/>
                      <w:lang w:val="en-US" w:eastAsia="zh-CN"/>
                    </w:rPr>
                    <w:t>天数</w:t>
                  </w:r>
                </w:p>
              </w:tc>
              <w:tc>
                <w:tcPr>
                  <w:tcW w:w="1335" w:type="pct"/>
                  <w:tcBorders>
                    <w:tl2br w:val="nil"/>
                    <w:tr2bl w:val="nil"/>
                  </w:tcBorders>
                  <w:vAlign w:val="top"/>
                </w:tcPr>
                <w:p>
                  <w:pPr>
                    <w:pStyle w:val="33"/>
                    <w:widowControl w:val="0"/>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300</w:t>
                  </w:r>
                </w:p>
              </w:tc>
              <w:tc>
                <w:tcPr>
                  <w:tcW w:w="2003" w:type="pct"/>
                  <w:tcBorders>
                    <w:tl2br w:val="nil"/>
                    <w:tr2bl w:val="nil"/>
                  </w:tcBorders>
                  <w:vAlign w:val="top"/>
                </w:tcPr>
                <w:p>
                  <w:pPr>
                    <w:pStyle w:val="33"/>
                    <w:widowControl w:val="0"/>
                    <w:bidi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1" w:type="pct"/>
                  <w:tcBorders>
                    <w:tl2br w:val="nil"/>
                    <w:tr2bl w:val="nil"/>
                  </w:tcBorders>
                </w:tcPr>
                <w:p>
                  <w:pPr>
                    <w:pStyle w:val="33"/>
                    <w:widowControl w:val="0"/>
                    <w:bidi w:val="0"/>
                    <w:rPr>
                      <w:rFonts w:hint="default"/>
                      <w:color w:val="auto"/>
                      <w:lang w:val="en-US" w:eastAsia="zh-CN"/>
                    </w:rPr>
                  </w:pPr>
                  <w:r>
                    <w:rPr>
                      <w:rFonts w:hint="eastAsia"/>
                      <w:color w:val="auto"/>
                      <w:lang w:val="en-US" w:eastAsia="zh-CN"/>
                    </w:rPr>
                    <w:t>班制</w:t>
                  </w:r>
                </w:p>
              </w:tc>
              <w:tc>
                <w:tcPr>
                  <w:tcW w:w="1335" w:type="pct"/>
                  <w:tcBorders>
                    <w:tl2br w:val="nil"/>
                    <w:tr2bl w:val="nil"/>
                  </w:tcBorders>
                  <w:vAlign w:val="top"/>
                </w:tcPr>
                <w:p>
                  <w:pPr>
                    <w:pStyle w:val="33"/>
                    <w:widowControl w:val="0"/>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w:t>
                  </w:r>
                </w:p>
              </w:tc>
              <w:tc>
                <w:tcPr>
                  <w:tcW w:w="2003" w:type="pct"/>
                  <w:tcBorders>
                    <w:tl2br w:val="nil"/>
                    <w:tr2bl w:val="nil"/>
                  </w:tcBorders>
                  <w:vAlign w:val="top"/>
                </w:tcPr>
                <w:p>
                  <w:pPr>
                    <w:pStyle w:val="33"/>
                    <w:widowControl w:val="0"/>
                    <w:bidi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1" w:type="pct"/>
                  <w:tcBorders>
                    <w:tl2br w:val="nil"/>
                    <w:tr2bl w:val="nil"/>
                  </w:tcBorders>
                </w:tcPr>
                <w:p>
                  <w:pPr>
                    <w:pStyle w:val="33"/>
                    <w:widowControl w:val="0"/>
                    <w:bidi w:val="0"/>
                    <w:rPr>
                      <w:rFonts w:hint="default"/>
                      <w:color w:val="auto"/>
                      <w:lang w:val="en-US" w:eastAsia="zh-CN"/>
                    </w:rPr>
                  </w:pPr>
                  <w:r>
                    <w:rPr>
                      <w:rFonts w:hint="eastAsia"/>
                      <w:color w:val="auto"/>
                      <w:lang w:val="en-US" w:eastAsia="zh-CN"/>
                    </w:rPr>
                    <w:t>班/小时</w:t>
                  </w:r>
                </w:p>
              </w:tc>
              <w:tc>
                <w:tcPr>
                  <w:tcW w:w="1335" w:type="pct"/>
                  <w:tcBorders>
                    <w:tl2br w:val="nil"/>
                    <w:tr2bl w:val="nil"/>
                  </w:tcBorders>
                  <w:vAlign w:val="top"/>
                </w:tcPr>
                <w:p>
                  <w:pPr>
                    <w:pStyle w:val="33"/>
                    <w:widowControl w:val="0"/>
                    <w:bidi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8</w:t>
                  </w:r>
                </w:p>
              </w:tc>
              <w:tc>
                <w:tcPr>
                  <w:tcW w:w="2003" w:type="pct"/>
                  <w:tcBorders>
                    <w:tl2br w:val="nil"/>
                    <w:tr2bl w:val="nil"/>
                  </w:tcBorders>
                  <w:vAlign w:val="top"/>
                </w:tcPr>
                <w:p>
                  <w:pPr>
                    <w:pStyle w:val="33"/>
                    <w:widowControl w:val="0"/>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小时</w:t>
                  </w:r>
                </w:p>
              </w:tc>
            </w:tr>
          </w:tbl>
          <w:p>
            <w:pPr>
              <w:pStyle w:val="6"/>
              <w:numPr>
                <w:ilvl w:val="0"/>
                <w:numId w:val="6"/>
              </w:numPr>
              <w:jc w:val="both"/>
              <w:outlineLvl w:val="1"/>
              <w:rPr>
                <w:color w:val="auto"/>
              </w:rPr>
            </w:pPr>
            <w:r>
              <w:rPr>
                <w:rFonts w:hint="eastAsia"/>
                <w:color w:val="auto"/>
              </w:rPr>
              <w:t>总平面布置</w:t>
            </w:r>
          </w:p>
          <w:p>
            <w:pPr>
              <w:pStyle w:val="22"/>
              <w:bidi w:val="0"/>
              <w:jc w:val="both"/>
              <w:rPr>
                <w:rFonts w:hint="default"/>
                <w:color w:val="auto"/>
                <w:lang w:val="en-US" w:eastAsia="zh-CN"/>
              </w:rPr>
            </w:pPr>
            <w:r>
              <w:rPr>
                <w:rFonts w:hint="default"/>
                <w:color w:val="auto"/>
                <w:lang w:val="en-US" w:eastAsia="zh-CN"/>
              </w:rPr>
              <w:t>拟建项目位于</w:t>
            </w:r>
            <w:r>
              <w:rPr>
                <w:color w:val="auto"/>
                <w:sz w:val="24"/>
              </w:rPr>
              <w:t>新疆昌吉回族自治州</w:t>
            </w:r>
            <w:r>
              <w:rPr>
                <w:rFonts w:hint="eastAsia"/>
                <w:color w:val="auto"/>
                <w:sz w:val="24"/>
                <w:lang w:eastAsia="zh-CN"/>
              </w:rPr>
              <w:t>吉木萨尔县北庭综合物流园内</w:t>
            </w:r>
            <w:r>
              <w:rPr>
                <w:rFonts w:hint="default"/>
                <w:color w:val="auto"/>
                <w:lang w:val="en-US" w:eastAsia="zh-CN"/>
              </w:rPr>
              <w:t>。</w:t>
            </w:r>
            <w:r>
              <w:rPr>
                <w:rFonts w:hint="eastAsia"/>
                <w:color w:val="auto"/>
                <w:lang w:val="en-US" w:eastAsia="zh-CN"/>
              </w:rPr>
              <w:t>项目区东侧为物流园内部道路，南侧为林地，西侧为吉彩路，北侧为物流园入口</w:t>
            </w:r>
            <w:r>
              <w:rPr>
                <w:rFonts w:hint="default"/>
                <w:color w:val="auto"/>
                <w:lang w:val="en-US" w:eastAsia="zh-CN"/>
              </w:rPr>
              <w:t>。锅炉房设置在项目区</w:t>
            </w:r>
            <w:r>
              <w:rPr>
                <w:rFonts w:hint="eastAsia"/>
                <w:color w:val="auto"/>
                <w:lang w:val="en-US" w:eastAsia="zh-CN"/>
              </w:rPr>
              <w:t>南</w:t>
            </w:r>
            <w:r>
              <w:rPr>
                <w:rFonts w:hint="default"/>
                <w:color w:val="auto"/>
                <w:lang w:val="en-US" w:eastAsia="zh-CN"/>
              </w:rPr>
              <w:t>侧，项目区由北向南依次为</w:t>
            </w:r>
            <w:r>
              <w:rPr>
                <w:rFonts w:hint="eastAsia"/>
                <w:color w:val="auto"/>
                <w:lang w:val="en-US" w:eastAsia="zh-CN"/>
              </w:rPr>
              <w:t>生产车间、锅炉房</w:t>
            </w:r>
            <w:r>
              <w:rPr>
                <w:rFonts w:hint="default"/>
                <w:color w:val="auto"/>
                <w:lang w:val="en-US" w:eastAsia="zh-CN"/>
              </w:rPr>
              <w:t>。厂区主要的出入库设在厂区北侧，为人流、物流出入口等汽车运输使用。</w:t>
            </w:r>
          </w:p>
          <w:p>
            <w:pPr>
              <w:pStyle w:val="22"/>
              <w:bidi w:val="0"/>
              <w:jc w:val="both"/>
              <w:rPr>
                <w:rFonts w:hint="default"/>
                <w:color w:val="auto"/>
                <w:lang w:val="en-US" w:eastAsia="zh-CN"/>
              </w:rPr>
            </w:pPr>
            <w:r>
              <w:rPr>
                <w:rFonts w:hint="eastAsia"/>
                <w:color w:val="auto"/>
                <w:lang w:val="en-US" w:eastAsia="zh-CN"/>
              </w:rPr>
              <w:t>锅炉排气筒设在燃气锅炉房西侧，项目区主导风向为西北风，排气筒则位于最大风频的侧风向，对周边环境影响较小。</w:t>
            </w:r>
          </w:p>
          <w:p>
            <w:pPr>
              <w:pStyle w:val="22"/>
              <w:bidi w:val="0"/>
              <w:jc w:val="both"/>
              <w:rPr>
                <w:rFonts w:hint="default"/>
                <w:color w:val="auto"/>
                <w:lang w:val="en-US" w:eastAsia="zh-CN"/>
              </w:rPr>
            </w:pPr>
            <w:r>
              <w:rPr>
                <w:rFonts w:hint="default"/>
                <w:color w:val="auto"/>
                <w:lang w:val="en-US" w:eastAsia="zh-CN"/>
              </w:rPr>
              <w:t>本次总平面设计在充分满足功能要求的基础上，合理组织各种功能空间，注重建筑物使用功能设计和建筑形象的塑造。并规划在</w:t>
            </w:r>
            <w:r>
              <w:rPr>
                <w:rFonts w:hint="eastAsia"/>
                <w:color w:val="auto"/>
                <w:lang w:val="en-US" w:eastAsia="zh-CN"/>
              </w:rPr>
              <w:t>院</w:t>
            </w:r>
            <w:r>
              <w:rPr>
                <w:rFonts w:hint="default"/>
                <w:color w:val="auto"/>
                <w:lang w:val="en-US" w:eastAsia="zh-CN"/>
              </w:rPr>
              <w:t>区四周进行绿化，起到降尘降噪的作用，从整体布局看，是合理的。</w:t>
            </w:r>
          </w:p>
          <w:p>
            <w:pPr>
              <w:pStyle w:val="22"/>
              <w:bidi w:val="0"/>
              <w:jc w:val="both"/>
              <w:rPr>
                <w:rFonts w:hint="default"/>
                <w:color w:val="auto"/>
                <w:lang w:val="en-US" w:eastAsia="zh-CN"/>
              </w:rPr>
            </w:pPr>
          </w:p>
          <w:p>
            <w:pPr>
              <w:pStyle w:val="22"/>
              <w:bidi w:val="0"/>
              <w:jc w:val="both"/>
              <w:rPr>
                <w:rFonts w:hint="default"/>
                <w:color w:val="auto"/>
                <w:lang w:val="en-US" w:eastAsia="zh-CN"/>
              </w:rPr>
            </w:pPr>
          </w:p>
          <w:p>
            <w:pPr>
              <w:pStyle w:val="22"/>
              <w:bidi w:val="0"/>
              <w:jc w:val="both"/>
              <w:rPr>
                <w:rFonts w:hint="default"/>
                <w:color w:val="auto"/>
                <w:lang w:val="en-US" w:eastAsia="zh-CN"/>
              </w:rPr>
            </w:pPr>
          </w:p>
          <w:p>
            <w:pPr>
              <w:pStyle w:val="22"/>
              <w:bidi w:val="0"/>
              <w:jc w:val="both"/>
              <w:rPr>
                <w:rFonts w:hint="default"/>
                <w:color w:val="auto"/>
                <w:lang w:val="en-US" w:eastAsia="zh-CN"/>
              </w:rPr>
            </w:pPr>
          </w:p>
          <w:p>
            <w:pPr>
              <w:pStyle w:val="22"/>
              <w:bidi w:val="0"/>
              <w:jc w:val="both"/>
              <w:rPr>
                <w:rFonts w:hint="default"/>
                <w:color w:val="auto"/>
                <w:lang w:val="en-US" w:eastAsia="zh-CN"/>
              </w:rPr>
            </w:pPr>
          </w:p>
          <w:p>
            <w:pPr>
              <w:pStyle w:val="22"/>
              <w:bidi w:val="0"/>
              <w:jc w:val="both"/>
              <w:rPr>
                <w:rFonts w:hint="default"/>
                <w:color w:val="auto"/>
                <w:lang w:val="en-US" w:eastAsia="zh-CN"/>
              </w:rPr>
            </w:pPr>
          </w:p>
          <w:p>
            <w:pPr>
              <w:pStyle w:val="22"/>
              <w:bidi w:val="0"/>
              <w:jc w:val="both"/>
              <w:rPr>
                <w:rFonts w:hint="default"/>
                <w:color w:val="auto"/>
                <w:lang w:val="en-US" w:eastAsia="zh-CN"/>
              </w:rPr>
            </w:pPr>
          </w:p>
          <w:p>
            <w:pPr>
              <w:pStyle w:val="22"/>
              <w:bidi w:val="0"/>
              <w:jc w:val="both"/>
              <w:rPr>
                <w:rFonts w:hint="default"/>
                <w:color w:val="auto"/>
                <w:lang w:val="en-US" w:eastAsia="zh-CN"/>
              </w:rPr>
            </w:pPr>
          </w:p>
          <w:p>
            <w:pPr>
              <w:pStyle w:val="22"/>
              <w:bidi w:val="0"/>
              <w:jc w:val="both"/>
              <w:rPr>
                <w:rFonts w:hint="default"/>
                <w:color w:val="auto"/>
                <w:lang w:val="en-US" w:eastAsia="zh-CN"/>
              </w:rPr>
            </w:pPr>
          </w:p>
          <w:p>
            <w:pPr>
              <w:pStyle w:val="22"/>
              <w:bidi w:val="0"/>
              <w:ind w:left="0" w:leftChars="0" w:firstLine="0" w:firstLineChars="0"/>
              <w:jc w:val="both"/>
              <w:rPr>
                <w:rFonts w:hint="default"/>
                <w:color w:val="auto"/>
                <w:lang w:val="en-US" w:eastAsia="zh-CN"/>
              </w:rPr>
            </w:pPr>
          </w:p>
          <w:p>
            <w:pPr>
              <w:pStyle w:val="22"/>
              <w:bidi w:val="0"/>
              <w:ind w:left="0" w:leftChars="0" w:firstLine="0" w:firstLineChars="0"/>
              <w:jc w:val="both"/>
              <w:rPr>
                <w:rFonts w:hint="default"/>
                <w:color w:val="auto"/>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49" w:hRule="atLeast"/>
          <w:jc w:val="center"/>
        </w:trPr>
        <w:tc>
          <w:tcPr>
            <w:tcW w:w="455" w:type="dxa"/>
            <w:tcBorders>
              <w:tl2br w:val="nil"/>
              <w:tr2bl w:val="nil"/>
            </w:tcBorders>
            <w:vAlign w:val="center"/>
          </w:tcPr>
          <w:p>
            <w:pPr>
              <w:jc w:val="center"/>
              <w:rPr>
                <w:color w:val="auto"/>
              </w:rPr>
            </w:pPr>
            <w:r>
              <w:rPr>
                <w:rFonts w:hint="eastAsia" w:cs="宋体"/>
                <w:color w:val="auto"/>
              </w:rPr>
              <w:t>工艺流程和产排污环节</w:t>
            </w:r>
          </w:p>
        </w:tc>
        <w:tc>
          <w:tcPr>
            <w:tcW w:w="8067" w:type="dxa"/>
            <w:tcBorders>
              <w:tl2br w:val="nil"/>
              <w:tr2bl w:val="nil"/>
            </w:tcBorders>
          </w:tcPr>
          <w:p>
            <w:pPr>
              <w:pStyle w:val="6"/>
              <w:numPr>
                <w:ilvl w:val="0"/>
                <w:numId w:val="9"/>
              </w:numPr>
              <w:jc w:val="both"/>
              <w:outlineLvl w:val="1"/>
              <w:rPr>
                <w:color w:val="auto"/>
              </w:rPr>
            </w:pPr>
            <w:r>
              <w:rPr>
                <w:rFonts w:hint="eastAsia"/>
                <w:color w:val="auto"/>
              </w:rPr>
              <w:t>施工期</w:t>
            </w:r>
          </w:p>
          <w:p>
            <w:pPr>
              <w:pStyle w:val="22"/>
              <w:ind w:firstLine="480"/>
              <w:jc w:val="both"/>
              <w:rPr>
                <w:color w:val="auto"/>
              </w:rPr>
            </w:pPr>
            <w:r>
              <w:rPr>
                <w:rFonts w:hint="eastAsia"/>
                <w:b w:val="0"/>
                <w:bCs/>
                <w:color w:val="auto"/>
                <w:lang w:val="en-US" w:eastAsia="zh-CN"/>
              </w:rPr>
              <w:t>本项目租用</w:t>
            </w:r>
            <w:r>
              <w:rPr>
                <w:rFonts w:hint="eastAsia" w:cs="Times New Roman"/>
                <w:color w:val="auto"/>
                <w:kern w:val="0"/>
                <w:lang w:val="en-US" w:eastAsia="zh-CN" w:bidi="ar"/>
              </w:rPr>
              <w:t>吉木萨尔县北庭春物流园有限责任公司现有生产厂房</w:t>
            </w:r>
            <w:r>
              <w:rPr>
                <w:rFonts w:hint="eastAsia"/>
                <w:color w:val="auto"/>
                <w:lang w:val="en-US" w:eastAsia="zh-CN"/>
              </w:rPr>
              <w:t>，施工期主要为设备安装，无土建工程，</w:t>
            </w:r>
            <w:r>
              <w:rPr>
                <w:rFonts w:hint="eastAsia"/>
                <w:color w:val="auto"/>
              </w:rPr>
              <w:t>对环境影响较小。</w:t>
            </w:r>
          </w:p>
          <w:p>
            <w:pPr>
              <w:jc w:val="center"/>
              <w:rPr>
                <w:color w:val="auto"/>
              </w:rPr>
            </w:pPr>
            <w:r>
              <w:rPr>
                <w:color w:val="auto"/>
              </w:rPr>
              <w:drawing>
                <wp:inline distT="0" distB="0" distL="114300" distR="114300">
                  <wp:extent cx="4377055" cy="2212975"/>
                  <wp:effectExtent l="0" t="0" r="4445" b="952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14"/>
                          <a:stretch>
                            <a:fillRect/>
                          </a:stretch>
                        </pic:blipFill>
                        <pic:spPr>
                          <a:xfrm>
                            <a:off x="0" y="0"/>
                            <a:ext cx="4377055" cy="2212975"/>
                          </a:xfrm>
                          <a:prstGeom prst="rect">
                            <a:avLst/>
                          </a:prstGeom>
                          <a:noFill/>
                          <a:ln>
                            <a:noFill/>
                          </a:ln>
                        </pic:spPr>
                      </pic:pic>
                    </a:graphicData>
                  </a:graphic>
                </wp:inline>
              </w:drawing>
            </w:r>
          </w:p>
          <w:p>
            <w:pPr>
              <w:pStyle w:val="10"/>
              <w:rPr>
                <w:color w:val="auto"/>
              </w:rPr>
            </w:pPr>
            <w:r>
              <w:rPr>
                <w:rFonts w:hint="eastAsia"/>
                <w:color w:val="auto"/>
              </w:rPr>
              <w:t xml:space="preserve">图 </w:t>
            </w:r>
            <w:r>
              <w:rPr>
                <w:rFonts w:hint="eastAsia"/>
                <w:color w:val="auto"/>
                <w:lang w:val="en-US" w:eastAsia="zh-CN"/>
              </w:rPr>
              <w:t>2</w:t>
            </w:r>
            <w:r>
              <w:rPr>
                <w:rFonts w:hint="eastAsia"/>
                <w:color w:val="auto"/>
              </w:rPr>
              <w:t xml:space="preserve">    施工期工艺流程及产污环节图</w:t>
            </w:r>
          </w:p>
          <w:p>
            <w:pPr>
              <w:pStyle w:val="22"/>
              <w:ind w:firstLine="480"/>
              <w:jc w:val="both"/>
              <w:rPr>
                <w:color w:val="auto"/>
              </w:rPr>
            </w:pPr>
            <w:r>
              <w:rPr>
                <w:color w:val="auto"/>
              </w:rPr>
              <w:t>拟建项目施工期主要污染工序见表</w:t>
            </w:r>
            <w:r>
              <w:rPr>
                <w:rFonts w:hint="eastAsia"/>
                <w:color w:val="auto"/>
              </w:rPr>
              <w:t>2</w:t>
            </w:r>
            <w:r>
              <w:rPr>
                <w:color w:val="auto"/>
              </w:rPr>
              <w:t>-</w:t>
            </w:r>
            <w:r>
              <w:rPr>
                <w:rFonts w:hint="eastAsia"/>
                <w:color w:val="auto"/>
                <w:lang w:val="en-US" w:eastAsia="zh-CN"/>
              </w:rPr>
              <w:t>7</w:t>
            </w:r>
            <w:r>
              <w:rPr>
                <w:rFonts w:hint="eastAsia"/>
                <w:color w:val="auto"/>
              </w:rPr>
              <w:t>。</w:t>
            </w:r>
          </w:p>
          <w:p>
            <w:pPr>
              <w:pStyle w:val="32"/>
              <w:rPr>
                <w:color w:val="auto"/>
              </w:rPr>
            </w:pPr>
            <w:r>
              <w:rPr>
                <w:color w:val="auto"/>
              </w:rPr>
              <w:t>表</w:t>
            </w:r>
            <w:r>
              <w:rPr>
                <w:rFonts w:hint="eastAsia"/>
                <w:color w:val="auto"/>
              </w:rPr>
              <w:t>2</w:t>
            </w:r>
            <w:r>
              <w:rPr>
                <w:color w:val="auto"/>
              </w:rPr>
              <w:t>-</w:t>
            </w:r>
            <w:r>
              <w:rPr>
                <w:rFonts w:hint="eastAsia"/>
                <w:color w:val="auto"/>
                <w:lang w:val="en-US" w:eastAsia="zh-CN"/>
              </w:rPr>
              <w:t>7</w:t>
            </w:r>
            <w:r>
              <w:rPr>
                <w:color w:val="auto"/>
              </w:rPr>
              <w:t xml:space="preserve">    施工期主要污染工序一览表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6"/>
              <w:gridCol w:w="2027"/>
              <w:gridCol w:w="1851"/>
              <w:gridCol w:w="27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5" w:type="pct"/>
                  <w:tcBorders>
                    <w:bottom w:val="single" w:color="000000" w:sz="12" w:space="0"/>
                    <w:tl2br w:val="nil"/>
                    <w:tr2bl w:val="nil"/>
                  </w:tcBorders>
                  <w:vAlign w:val="center"/>
                </w:tcPr>
                <w:p>
                  <w:pPr>
                    <w:pStyle w:val="33"/>
                    <w:rPr>
                      <w:b/>
                      <w:bCs/>
                      <w:color w:val="auto"/>
                    </w:rPr>
                  </w:pPr>
                  <w:r>
                    <w:rPr>
                      <w:b/>
                      <w:bCs/>
                      <w:color w:val="auto"/>
                    </w:rPr>
                    <w:t>污染类别</w:t>
                  </w:r>
                </w:p>
              </w:tc>
              <w:tc>
                <w:tcPr>
                  <w:tcW w:w="1291" w:type="pct"/>
                  <w:tcBorders>
                    <w:bottom w:val="single" w:color="000000" w:sz="12" w:space="0"/>
                    <w:tl2br w:val="nil"/>
                    <w:tr2bl w:val="nil"/>
                  </w:tcBorders>
                  <w:vAlign w:val="center"/>
                </w:tcPr>
                <w:p>
                  <w:pPr>
                    <w:pStyle w:val="33"/>
                    <w:rPr>
                      <w:b/>
                      <w:bCs/>
                      <w:color w:val="auto"/>
                    </w:rPr>
                  </w:pPr>
                  <w:r>
                    <w:rPr>
                      <w:b/>
                      <w:bCs/>
                      <w:color w:val="auto"/>
                    </w:rPr>
                    <w:t>污染源名称</w:t>
                  </w:r>
                </w:p>
              </w:tc>
              <w:tc>
                <w:tcPr>
                  <w:tcW w:w="1179" w:type="pct"/>
                  <w:tcBorders>
                    <w:bottom w:val="single" w:color="000000" w:sz="12" w:space="0"/>
                    <w:tl2br w:val="nil"/>
                    <w:tr2bl w:val="nil"/>
                  </w:tcBorders>
                  <w:vAlign w:val="center"/>
                </w:tcPr>
                <w:p>
                  <w:pPr>
                    <w:pStyle w:val="33"/>
                    <w:rPr>
                      <w:b/>
                      <w:bCs/>
                      <w:color w:val="auto"/>
                    </w:rPr>
                  </w:pPr>
                  <w:r>
                    <w:rPr>
                      <w:b/>
                      <w:bCs/>
                      <w:color w:val="auto"/>
                    </w:rPr>
                    <w:t>产生工序</w:t>
                  </w:r>
                </w:p>
              </w:tc>
              <w:tc>
                <w:tcPr>
                  <w:tcW w:w="1773" w:type="pct"/>
                  <w:tcBorders>
                    <w:bottom w:val="single" w:color="000000" w:sz="12" w:space="0"/>
                    <w:tl2br w:val="nil"/>
                    <w:tr2bl w:val="nil"/>
                  </w:tcBorders>
                  <w:vAlign w:val="center"/>
                </w:tcPr>
                <w:p>
                  <w:pPr>
                    <w:pStyle w:val="33"/>
                    <w:rPr>
                      <w:b/>
                      <w:bCs/>
                      <w:color w:val="auto"/>
                    </w:rPr>
                  </w:pPr>
                  <w:r>
                    <w:rPr>
                      <w:b/>
                      <w:bCs/>
                      <w:color w:val="auto"/>
                    </w:rPr>
                    <w:t>主要污染因子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5" w:type="pct"/>
                  <w:tcBorders>
                    <w:tl2br w:val="nil"/>
                    <w:tr2bl w:val="nil"/>
                  </w:tcBorders>
                  <w:vAlign w:val="center"/>
                </w:tcPr>
                <w:p>
                  <w:pPr>
                    <w:pStyle w:val="33"/>
                    <w:rPr>
                      <w:color w:val="auto"/>
                    </w:rPr>
                  </w:pPr>
                  <w:r>
                    <w:rPr>
                      <w:color w:val="auto"/>
                    </w:rPr>
                    <w:t>废水</w:t>
                  </w:r>
                </w:p>
              </w:tc>
              <w:tc>
                <w:tcPr>
                  <w:tcW w:w="1291" w:type="pct"/>
                  <w:tcBorders>
                    <w:tl2br w:val="nil"/>
                    <w:tr2bl w:val="nil"/>
                  </w:tcBorders>
                  <w:vAlign w:val="center"/>
                </w:tcPr>
                <w:p>
                  <w:pPr>
                    <w:pStyle w:val="33"/>
                    <w:rPr>
                      <w:color w:val="auto"/>
                    </w:rPr>
                  </w:pPr>
                  <w:r>
                    <w:rPr>
                      <w:color w:val="auto"/>
                    </w:rPr>
                    <w:t>生活污水</w:t>
                  </w:r>
                </w:p>
              </w:tc>
              <w:tc>
                <w:tcPr>
                  <w:tcW w:w="1179" w:type="pct"/>
                  <w:tcBorders>
                    <w:tl2br w:val="nil"/>
                    <w:tr2bl w:val="nil"/>
                  </w:tcBorders>
                  <w:vAlign w:val="center"/>
                </w:tcPr>
                <w:p>
                  <w:pPr>
                    <w:pStyle w:val="33"/>
                    <w:rPr>
                      <w:color w:val="auto"/>
                    </w:rPr>
                  </w:pPr>
                  <w:r>
                    <w:rPr>
                      <w:color w:val="auto"/>
                    </w:rPr>
                    <w:t>施工人员生活</w:t>
                  </w:r>
                </w:p>
              </w:tc>
              <w:tc>
                <w:tcPr>
                  <w:tcW w:w="1773" w:type="pct"/>
                  <w:tcBorders>
                    <w:tl2br w:val="nil"/>
                    <w:tr2bl w:val="nil"/>
                  </w:tcBorders>
                  <w:vAlign w:val="center"/>
                </w:tcPr>
                <w:p>
                  <w:pPr>
                    <w:pStyle w:val="33"/>
                    <w:rPr>
                      <w:color w:val="auto"/>
                    </w:rPr>
                  </w:pPr>
                  <w:r>
                    <w:rPr>
                      <w:color w:val="auto"/>
                    </w:rPr>
                    <w:t>COD、NH</w:t>
                  </w:r>
                  <w:r>
                    <w:rPr>
                      <w:color w:val="auto"/>
                      <w:vertAlign w:val="subscript"/>
                    </w:rPr>
                    <w:t>3</w:t>
                  </w:r>
                  <w:r>
                    <w:rPr>
                      <w:color w:val="auto"/>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5" w:type="pct"/>
                  <w:tcBorders>
                    <w:tl2br w:val="nil"/>
                    <w:tr2bl w:val="nil"/>
                  </w:tcBorders>
                  <w:vAlign w:val="center"/>
                </w:tcPr>
                <w:p>
                  <w:pPr>
                    <w:pStyle w:val="33"/>
                    <w:rPr>
                      <w:color w:val="auto"/>
                    </w:rPr>
                  </w:pPr>
                  <w:r>
                    <w:rPr>
                      <w:color w:val="auto"/>
                    </w:rPr>
                    <w:t>噪声</w:t>
                  </w:r>
                </w:p>
              </w:tc>
              <w:tc>
                <w:tcPr>
                  <w:tcW w:w="1291" w:type="pct"/>
                  <w:tcBorders>
                    <w:tl2br w:val="nil"/>
                    <w:tr2bl w:val="nil"/>
                  </w:tcBorders>
                  <w:vAlign w:val="center"/>
                </w:tcPr>
                <w:p>
                  <w:pPr>
                    <w:pStyle w:val="33"/>
                    <w:rPr>
                      <w:color w:val="auto"/>
                    </w:rPr>
                  </w:pPr>
                  <w:r>
                    <w:rPr>
                      <w:color w:val="auto"/>
                    </w:rPr>
                    <w:t>生产设备噪声</w:t>
                  </w:r>
                </w:p>
              </w:tc>
              <w:tc>
                <w:tcPr>
                  <w:tcW w:w="1179" w:type="pct"/>
                  <w:tcBorders>
                    <w:tl2br w:val="nil"/>
                    <w:tr2bl w:val="nil"/>
                  </w:tcBorders>
                  <w:vAlign w:val="center"/>
                </w:tcPr>
                <w:p>
                  <w:pPr>
                    <w:pStyle w:val="33"/>
                    <w:rPr>
                      <w:color w:val="auto"/>
                    </w:rPr>
                  </w:pPr>
                  <w:r>
                    <w:rPr>
                      <w:color w:val="auto"/>
                    </w:rPr>
                    <w:t>施工过程</w:t>
                  </w:r>
                </w:p>
              </w:tc>
              <w:tc>
                <w:tcPr>
                  <w:tcW w:w="1773" w:type="pct"/>
                  <w:tcBorders>
                    <w:tl2br w:val="nil"/>
                    <w:tr2bl w:val="nil"/>
                  </w:tcBorders>
                  <w:vAlign w:val="center"/>
                </w:tcPr>
                <w:p>
                  <w:pPr>
                    <w:pStyle w:val="33"/>
                    <w:rPr>
                      <w:color w:val="auto"/>
                    </w:rPr>
                  </w:pPr>
                  <w:r>
                    <w:rPr>
                      <w:color w:val="auto"/>
                    </w:rPr>
                    <w:t>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5" w:type="pct"/>
                  <w:vMerge w:val="restart"/>
                  <w:tcBorders>
                    <w:tl2br w:val="nil"/>
                    <w:tr2bl w:val="nil"/>
                  </w:tcBorders>
                  <w:vAlign w:val="center"/>
                </w:tcPr>
                <w:p>
                  <w:pPr>
                    <w:pStyle w:val="33"/>
                    <w:rPr>
                      <w:color w:val="auto"/>
                    </w:rPr>
                  </w:pPr>
                  <w:r>
                    <w:rPr>
                      <w:color w:val="auto"/>
                    </w:rPr>
                    <w:t>固废</w:t>
                  </w:r>
                </w:p>
              </w:tc>
              <w:tc>
                <w:tcPr>
                  <w:tcW w:w="1291" w:type="pct"/>
                  <w:tcBorders>
                    <w:tl2br w:val="nil"/>
                    <w:tr2bl w:val="nil"/>
                  </w:tcBorders>
                  <w:vAlign w:val="center"/>
                </w:tcPr>
                <w:p>
                  <w:pPr>
                    <w:pStyle w:val="33"/>
                    <w:rPr>
                      <w:color w:val="auto"/>
                    </w:rPr>
                  </w:pPr>
                  <w:r>
                    <w:rPr>
                      <w:color w:val="auto"/>
                    </w:rPr>
                    <w:t>生活固废</w:t>
                  </w:r>
                </w:p>
              </w:tc>
              <w:tc>
                <w:tcPr>
                  <w:tcW w:w="1179" w:type="pct"/>
                  <w:tcBorders>
                    <w:tl2br w:val="nil"/>
                    <w:tr2bl w:val="nil"/>
                  </w:tcBorders>
                  <w:vAlign w:val="center"/>
                </w:tcPr>
                <w:p>
                  <w:pPr>
                    <w:pStyle w:val="33"/>
                    <w:rPr>
                      <w:color w:val="auto"/>
                    </w:rPr>
                  </w:pPr>
                  <w:r>
                    <w:rPr>
                      <w:color w:val="auto"/>
                    </w:rPr>
                    <w:t>施工人员生活</w:t>
                  </w:r>
                </w:p>
              </w:tc>
              <w:tc>
                <w:tcPr>
                  <w:tcW w:w="1773" w:type="pct"/>
                  <w:tcBorders>
                    <w:tl2br w:val="nil"/>
                    <w:tr2bl w:val="nil"/>
                  </w:tcBorders>
                  <w:vAlign w:val="center"/>
                </w:tcPr>
                <w:p>
                  <w:pPr>
                    <w:pStyle w:val="33"/>
                    <w:rPr>
                      <w:color w:val="auto"/>
                    </w:rPr>
                  </w:pPr>
                  <w:r>
                    <w:rPr>
                      <w:color w:val="auto"/>
                    </w:rPr>
                    <w:t>生活垃圾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5" w:type="pct"/>
                  <w:vMerge w:val="continue"/>
                  <w:tcBorders>
                    <w:tl2br w:val="nil"/>
                    <w:tr2bl w:val="nil"/>
                  </w:tcBorders>
                  <w:vAlign w:val="center"/>
                </w:tcPr>
                <w:p>
                  <w:pPr>
                    <w:pStyle w:val="33"/>
                    <w:rPr>
                      <w:color w:val="auto"/>
                    </w:rPr>
                  </w:pPr>
                </w:p>
              </w:tc>
              <w:tc>
                <w:tcPr>
                  <w:tcW w:w="1291" w:type="pct"/>
                  <w:tcBorders>
                    <w:tl2br w:val="nil"/>
                    <w:tr2bl w:val="nil"/>
                  </w:tcBorders>
                  <w:vAlign w:val="center"/>
                </w:tcPr>
                <w:p>
                  <w:pPr>
                    <w:pStyle w:val="33"/>
                    <w:rPr>
                      <w:color w:val="auto"/>
                    </w:rPr>
                  </w:pPr>
                  <w:r>
                    <w:rPr>
                      <w:color w:val="auto"/>
                    </w:rPr>
                    <w:t>建筑垃圾</w:t>
                  </w:r>
                </w:p>
              </w:tc>
              <w:tc>
                <w:tcPr>
                  <w:tcW w:w="1179" w:type="pct"/>
                  <w:tcBorders>
                    <w:tl2br w:val="nil"/>
                    <w:tr2bl w:val="nil"/>
                  </w:tcBorders>
                  <w:vAlign w:val="center"/>
                </w:tcPr>
                <w:p>
                  <w:pPr>
                    <w:pStyle w:val="33"/>
                    <w:rPr>
                      <w:color w:val="auto"/>
                    </w:rPr>
                  </w:pPr>
                  <w:r>
                    <w:rPr>
                      <w:color w:val="auto"/>
                    </w:rPr>
                    <w:t>施工过程</w:t>
                  </w:r>
                </w:p>
              </w:tc>
              <w:tc>
                <w:tcPr>
                  <w:tcW w:w="1773" w:type="pct"/>
                  <w:tcBorders>
                    <w:tl2br w:val="nil"/>
                    <w:tr2bl w:val="nil"/>
                  </w:tcBorders>
                  <w:vAlign w:val="center"/>
                </w:tcPr>
                <w:p>
                  <w:pPr>
                    <w:pStyle w:val="33"/>
                    <w:rPr>
                      <w:color w:val="auto"/>
                      <w:lang w:val="en-US"/>
                    </w:rPr>
                  </w:pPr>
                  <w:r>
                    <w:rPr>
                      <w:color w:val="auto"/>
                      <w:lang w:eastAsia="zh-CN"/>
                    </w:rPr>
                    <w:t>设备废包装物</w:t>
                  </w:r>
                  <w:r>
                    <w:rPr>
                      <w:rFonts w:hint="eastAsia"/>
                      <w:color w:val="auto"/>
                      <w:lang w:eastAsia="zh-CN"/>
                    </w:rPr>
                    <w:t>、</w:t>
                  </w:r>
                  <w:r>
                    <w:rPr>
                      <w:rFonts w:hint="eastAsia"/>
                      <w:color w:val="auto"/>
                      <w:lang w:val="en-US" w:eastAsia="zh-CN"/>
                    </w:rPr>
                    <w:t>建材</w:t>
                  </w:r>
                </w:p>
              </w:tc>
            </w:tr>
          </w:tbl>
          <w:p>
            <w:pPr>
              <w:pStyle w:val="6"/>
              <w:jc w:val="both"/>
              <w:outlineLvl w:val="1"/>
              <w:rPr>
                <w:color w:val="auto"/>
              </w:rPr>
            </w:pPr>
          </w:p>
          <w:p>
            <w:pPr>
              <w:pStyle w:val="6"/>
              <w:jc w:val="both"/>
              <w:outlineLvl w:val="1"/>
              <w:rPr>
                <w:color w:val="auto"/>
              </w:rPr>
            </w:pPr>
          </w:p>
          <w:p>
            <w:pPr>
              <w:pStyle w:val="6"/>
              <w:jc w:val="both"/>
              <w:outlineLvl w:val="1"/>
              <w:rPr>
                <w:color w:val="auto"/>
              </w:rPr>
            </w:pPr>
          </w:p>
          <w:p>
            <w:pPr>
              <w:jc w:val="both"/>
            </w:pPr>
          </w:p>
          <w:p>
            <w:pPr>
              <w:pStyle w:val="2"/>
              <w:jc w:val="both"/>
            </w:pPr>
          </w:p>
          <w:p>
            <w:pPr>
              <w:jc w:val="both"/>
            </w:pPr>
          </w:p>
          <w:p>
            <w:pPr>
              <w:pStyle w:val="2"/>
              <w:jc w:val="both"/>
            </w:pPr>
          </w:p>
          <w:p>
            <w:pPr>
              <w:jc w:val="both"/>
            </w:pPr>
          </w:p>
          <w:p>
            <w:pPr>
              <w:pStyle w:val="2"/>
              <w:jc w:val="both"/>
            </w:pPr>
          </w:p>
          <w:p>
            <w:pPr>
              <w:jc w:val="both"/>
            </w:pPr>
          </w:p>
          <w:p>
            <w:pPr>
              <w:pStyle w:val="6"/>
              <w:numPr>
                <w:ilvl w:val="0"/>
                <w:numId w:val="9"/>
              </w:numPr>
              <w:jc w:val="both"/>
              <w:outlineLvl w:val="1"/>
              <w:rPr>
                <w:color w:val="auto"/>
              </w:rPr>
            </w:pPr>
            <w:r>
              <w:rPr>
                <w:rFonts w:hint="eastAsia"/>
                <w:color w:val="auto"/>
              </w:rPr>
              <w:t>营运期工艺流程简述</w:t>
            </w:r>
          </w:p>
          <w:p>
            <w:pPr>
              <w:pStyle w:val="7"/>
              <w:bidi w:val="0"/>
              <w:jc w:val="both"/>
              <w:rPr>
                <w:color w:val="auto"/>
              </w:rPr>
            </w:pPr>
            <w:r>
              <w:rPr>
                <w:rFonts w:hint="eastAsia"/>
                <w:color w:val="auto"/>
                <w:lang w:val="en-US" w:eastAsia="zh-CN"/>
              </w:rPr>
              <w:t xml:space="preserve">2.1 </w:t>
            </w:r>
            <w:r>
              <w:rPr>
                <w:rFonts w:hint="eastAsia"/>
                <w:color w:val="auto"/>
              </w:rPr>
              <w:t>生产工艺流程图</w:t>
            </w:r>
          </w:p>
          <w:p>
            <w:pPr>
              <w:pStyle w:val="22"/>
              <w:ind w:firstLine="480"/>
              <w:jc w:val="both"/>
              <w:rPr>
                <w:color w:val="auto"/>
              </w:rPr>
            </w:pPr>
            <w:r>
              <w:rPr>
                <w:rFonts w:hint="eastAsia"/>
                <w:color w:val="auto"/>
                <w:lang w:val="en-US" w:eastAsia="zh-CN"/>
              </w:rPr>
              <w:t>锅炉</w:t>
            </w:r>
            <w:r>
              <w:rPr>
                <w:rFonts w:hint="eastAsia"/>
                <w:color w:val="auto"/>
              </w:rPr>
              <w:t>工艺流程详见下图。</w:t>
            </w:r>
          </w:p>
          <w:p>
            <w:pPr>
              <w:pStyle w:val="22"/>
              <w:ind w:firstLine="0" w:firstLineChars="0"/>
              <w:jc w:val="center"/>
              <w:rPr>
                <w:rFonts w:hint="eastAsia"/>
                <w:color w:val="auto"/>
                <w:lang w:eastAsia="zh-CN"/>
              </w:rPr>
            </w:pPr>
            <w:r>
              <w:rPr>
                <w:color w:val="auto"/>
              </w:rPr>
              <w:drawing>
                <wp:inline distT="0" distB="0" distL="114300" distR="114300">
                  <wp:extent cx="5015865" cy="2696210"/>
                  <wp:effectExtent l="0" t="0" r="635" b="8890"/>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15"/>
                          <a:stretch>
                            <a:fillRect/>
                          </a:stretch>
                        </pic:blipFill>
                        <pic:spPr>
                          <a:xfrm>
                            <a:off x="0" y="0"/>
                            <a:ext cx="5015865" cy="2696210"/>
                          </a:xfrm>
                          <a:prstGeom prst="rect">
                            <a:avLst/>
                          </a:prstGeom>
                          <a:noFill/>
                          <a:ln>
                            <a:noFill/>
                          </a:ln>
                        </pic:spPr>
                      </pic:pic>
                    </a:graphicData>
                  </a:graphic>
                </wp:inline>
              </w:drawing>
            </w:r>
          </w:p>
          <w:p>
            <w:pPr>
              <w:pStyle w:val="10"/>
              <w:keepNext w:val="0"/>
              <w:keepLines w:val="0"/>
              <w:pageBreakBefore w:val="0"/>
              <w:widowControl w:val="0"/>
              <w:kinsoku/>
              <w:wordWrap/>
              <w:overflowPunct/>
              <w:topLinePunct w:val="0"/>
              <w:autoSpaceDE/>
              <w:autoSpaceDN/>
              <w:bidi w:val="0"/>
              <w:adjustRightInd/>
              <w:snapToGrid/>
              <w:textAlignment w:val="auto"/>
              <w:rPr>
                <w:color w:val="auto"/>
              </w:rPr>
            </w:pPr>
            <w:r>
              <w:rPr>
                <w:rFonts w:hint="eastAsia"/>
                <w:color w:val="auto"/>
              </w:rPr>
              <w:t>图</w:t>
            </w:r>
            <w:r>
              <w:rPr>
                <w:rFonts w:hint="eastAsia"/>
                <w:color w:val="auto"/>
                <w:lang w:val="en-US" w:eastAsia="zh-CN"/>
              </w:rPr>
              <w:t>3</w:t>
            </w:r>
            <w:r>
              <w:rPr>
                <w:rFonts w:hint="eastAsia"/>
                <w:color w:val="auto"/>
              </w:rPr>
              <w:t xml:space="preserve">    工艺流程图</w:t>
            </w:r>
          </w:p>
          <w:p>
            <w:pPr>
              <w:pStyle w:val="22"/>
              <w:ind w:firstLine="0" w:firstLineChars="0"/>
              <w:jc w:val="both"/>
              <w:rPr>
                <w:color w:val="auto"/>
              </w:rPr>
            </w:pPr>
            <w:r>
              <w:rPr>
                <w:rFonts w:hint="eastAsia"/>
                <w:color w:val="auto"/>
              </w:rPr>
              <w:t>生产工艺流程简述：</w:t>
            </w:r>
          </w:p>
          <w:p>
            <w:pPr>
              <w:pStyle w:val="22"/>
              <w:bidi w:val="0"/>
              <w:jc w:val="both"/>
              <w:rPr>
                <w:color w:val="auto"/>
              </w:rPr>
            </w:pPr>
            <w:r>
              <w:rPr>
                <w:rFonts w:hint="eastAsia"/>
                <w:color w:val="auto"/>
              </w:rPr>
              <w:t>（1）分拣</w:t>
            </w:r>
          </w:p>
          <w:p>
            <w:pPr>
              <w:pStyle w:val="22"/>
              <w:bidi w:val="0"/>
              <w:jc w:val="both"/>
              <w:rPr>
                <w:color w:val="auto"/>
              </w:rPr>
            </w:pPr>
            <w:r>
              <w:rPr>
                <w:rFonts w:hint="eastAsia"/>
                <w:color w:val="auto"/>
              </w:rPr>
              <w:t>将酒店、宾馆等回收来的毛巾、床单、桌布等棉织品首先存放到待洗品库区，为了便于洗涤，首先采用人工方式进行分拣，主要是将毛巾、床单等按类型、大小、颜色等分类，然后将分拣出来的待洗品进行洗涤。</w:t>
            </w:r>
          </w:p>
          <w:p>
            <w:pPr>
              <w:pStyle w:val="22"/>
              <w:bidi w:val="0"/>
              <w:jc w:val="both"/>
              <w:rPr>
                <w:color w:val="auto"/>
              </w:rPr>
            </w:pPr>
            <w:r>
              <w:rPr>
                <w:rFonts w:hint="eastAsia"/>
                <w:color w:val="auto"/>
              </w:rPr>
              <w:t>（2）洗涤</w:t>
            </w:r>
          </w:p>
          <w:p>
            <w:pPr>
              <w:pStyle w:val="22"/>
              <w:bidi w:val="0"/>
              <w:jc w:val="both"/>
              <w:rPr>
                <w:rFonts w:hint="eastAsia"/>
                <w:color w:val="auto"/>
              </w:rPr>
            </w:pPr>
            <w:r>
              <w:rPr>
                <w:rFonts w:hint="eastAsia"/>
                <w:color w:val="auto"/>
              </w:rPr>
              <w:t>利用全自动洗衣机对布草进行洗涤、脱水处理，其中洗涤步骤为过水和预洗、主洗、漂白</w:t>
            </w:r>
            <w:r>
              <w:rPr>
                <w:color w:val="auto"/>
              </w:rPr>
              <w:t>/</w:t>
            </w:r>
            <w:r>
              <w:rPr>
                <w:rFonts w:hint="eastAsia"/>
                <w:color w:val="auto"/>
              </w:rPr>
              <w:t>去油、中和柔顺、漂洗和脱水。</w:t>
            </w:r>
          </w:p>
          <w:p>
            <w:pPr>
              <w:pStyle w:val="22"/>
              <w:bidi w:val="0"/>
              <w:jc w:val="both"/>
              <w:rPr>
                <w:color w:val="auto"/>
              </w:rPr>
            </w:pPr>
            <w:r>
              <w:rPr>
                <w:rFonts w:hint="eastAsia"/>
                <w:color w:val="auto"/>
              </w:rPr>
              <w:t>主洗：需添加洗衣</w:t>
            </w:r>
            <w:r>
              <w:rPr>
                <w:rFonts w:hint="eastAsia"/>
                <w:color w:val="auto"/>
                <w:lang w:val="en-US" w:eastAsia="zh-CN"/>
              </w:rPr>
              <w:t>液</w:t>
            </w:r>
            <w:r>
              <w:rPr>
                <w:rFonts w:hint="eastAsia"/>
                <w:color w:val="auto"/>
              </w:rPr>
              <w:t>，以水为介质，以洗涤剂的化学作用，洗衣机的机械作用，以及适当的洗液浓度、温度、足够的作用时间等因素密切配合，组成一个合理的洗涤去污环境，来实现去污目的，在低水位中洗涤</w:t>
            </w:r>
            <w:r>
              <w:rPr>
                <w:color w:val="auto"/>
              </w:rPr>
              <w:t>8</w:t>
            </w:r>
            <w:r>
              <w:rPr>
                <w:rFonts w:hint="eastAsia"/>
                <w:color w:val="auto"/>
              </w:rPr>
              <w:t>-</w:t>
            </w:r>
            <w:r>
              <w:rPr>
                <w:color w:val="auto"/>
              </w:rPr>
              <w:t>20min</w:t>
            </w:r>
            <w:r>
              <w:rPr>
                <w:rFonts w:hint="eastAsia"/>
                <w:color w:val="auto"/>
              </w:rPr>
              <w:t>。</w:t>
            </w:r>
          </w:p>
          <w:p>
            <w:pPr>
              <w:pStyle w:val="22"/>
              <w:bidi w:val="0"/>
              <w:jc w:val="both"/>
              <w:rPr>
                <w:color w:val="auto"/>
              </w:rPr>
            </w:pPr>
            <w:r>
              <w:rPr>
                <w:rFonts w:hint="eastAsia"/>
                <w:color w:val="auto"/>
              </w:rPr>
              <w:t>漂白</w:t>
            </w:r>
            <w:r>
              <w:rPr>
                <w:color w:val="auto"/>
              </w:rPr>
              <w:t>/</w:t>
            </w:r>
            <w:r>
              <w:rPr>
                <w:rFonts w:hint="eastAsia"/>
                <w:color w:val="auto"/>
              </w:rPr>
              <w:t>去油：漂白、去油过程是主洗去污的补充步骤，主要去除主洗步骤中不能完成去掉的色素类和油渍类污垢，在这个步骤中主要使用消毒水和乳化剂，洗涤时间为</w:t>
            </w:r>
            <w:r>
              <w:rPr>
                <w:color w:val="auto"/>
              </w:rPr>
              <w:t>8</w:t>
            </w:r>
            <w:r>
              <w:rPr>
                <w:rFonts w:hint="eastAsia"/>
                <w:color w:val="auto"/>
              </w:rPr>
              <w:t>-</w:t>
            </w:r>
            <w:r>
              <w:rPr>
                <w:color w:val="auto"/>
              </w:rPr>
              <w:t>12min</w:t>
            </w:r>
            <w:r>
              <w:rPr>
                <w:rFonts w:hint="eastAsia"/>
                <w:color w:val="auto"/>
              </w:rPr>
              <w:t>。</w:t>
            </w:r>
          </w:p>
          <w:p>
            <w:pPr>
              <w:pStyle w:val="22"/>
              <w:bidi w:val="0"/>
              <w:jc w:val="both"/>
              <w:rPr>
                <w:color w:val="auto"/>
              </w:rPr>
            </w:pPr>
            <w:r>
              <w:rPr>
                <w:rFonts w:hint="eastAsia"/>
                <w:color w:val="auto"/>
              </w:rPr>
              <w:t>漂洗和脱水：漂洗是一个扩散过程，让织物中残存含有污垢的洗液成分向水中扩散。高水位使洗液迅速降低，从而达到清洗目的。脱水是利用洗衣机滚筒高速旋转时产生的离心力，使滚筒内织物含水量最大限度目的。脱水是利用洗衣机滚筒高速旋转时产生的离心力，使滚筒内织物含水量最大限度地减低，洗涤时间为</w:t>
            </w:r>
            <w:r>
              <w:rPr>
                <w:color w:val="auto"/>
              </w:rPr>
              <w:t>8</w:t>
            </w:r>
            <w:r>
              <w:rPr>
                <w:rFonts w:hint="eastAsia"/>
                <w:color w:val="auto"/>
              </w:rPr>
              <w:t>-</w:t>
            </w:r>
            <w:r>
              <w:rPr>
                <w:color w:val="auto"/>
              </w:rPr>
              <w:t>12min</w:t>
            </w:r>
            <w:r>
              <w:rPr>
                <w:rFonts w:hint="eastAsia"/>
                <w:color w:val="auto"/>
              </w:rPr>
              <w:t>。</w:t>
            </w:r>
          </w:p>
          <w:p>
            <w:pPr>
              <w:pStyle w:val="22"/>
              <w:bidi w:val="0"/>
              <w:jc w:val="both"/>
              <w:rPr>
                <w:color w:val="auto"/>
              </w:rPr>
            </w:pPr>
            <w:r>
              <w:rPr>
                <w:rFonts w:hint="eastAsia"/>
                <w:color w:val="auto"/>
              </w:rPr>
              <w:t>中和柔顺：洗涤中通常使用的洗涤剂呈碱性，虽然经过多次</w:t>
            </w:r>
            <w:r>
              <w:rPr>
                <w:rFonts w:hint="eastAsia"/>
                <w:color w:val="auto"/>
                <w:lang w:val="en-US" w:eastAsia="zh-CN"/>
              </w:rPr>
              <w:t>清洗</w:t>
            </w:r>
            <w:r>
              <w:rPr>
                <w:rFonts w:hint="eastAsia"/>
                <w:color w:val="auto"/>
              </w:rPr>
              <w:t>，亦不能保证没有任何碱性成分存在，碱性物的存在对洗涤物的外观、手感都会造成一定影响，利用酸与碱发生中和反应，就可以解决这些问题。柔顺过程一般是根据客户需求设定柔软处理，是属后处理过程，不是去污过程，柔软处理使织物手感舒适，同时能防止静电产生，在织物内部能起到润滑作用，防止纤维互相之间</w:t>
            </w:r>
            <w:r>
              <w:rPr>
                <w:rFonts w:hint="eastAsia"/>
                <w:color w:val="auto"/>
                <w:lang w:val="en-US" w:eastAsia="zh-CN"/>
              </w:rPr>
              <w:t>紧紧</w:t>
            </w:r>
            <w:r>
              <w:rPr>
                <w:rFonts w:hint="eastAsia"/>
                <w:color w:val="auto"/>
              </w:rPr>
              <w:t>纠缠在一起而脱落，洗涤时间为</w:t>
            </w:r>
            <w:r>
              <w:rPr>
                <w:color w:val="auto"/>
              </w:rPr>
              <w:t>5min</w:t>
            </w:r>
            <w:r>
              <w:rPr>
                <w:rFonts w:hint="eastAsia"/>
                <w:color w:val="auto"/>
              </w:rPr>
              <w:t>。</w:t>
            </w:r>
          </w:p>
          <w:p>
            <w:pPr>
              <w:pStyle w:val="22"/>
              <w:bidi w:val="0"/>
              <w:jc w:val="both"/>
              <w:rPr>
                <w:color w:val="auto"/>
              </w:rPr>
            </w:pPr>
            <w:r>
              <w:rPr>
                <w:rFonts w:hint="eastAsia"/>
                <w:color w:val="auto"/>
              </w:rPr>
              <w:t>（3）烘干</w:t>
            </w:r>
          </w:p>
          <w:p>
            <w:pPr>
              <w:pStyle w:val="22"/>
              <w:bidi w:val="0"/>
              <w:jc w:val="both"/>
              <w:rPr>
                <w:color w:val="auto"/>
              </w:rPr>
            </w:pPr>
            <w:r>
              <w:rPr>
                <w:rFonts w:hint="eastAsia"/>
                <w:color w:val="auto"/>
              </w:rPr>
              <w:t>本项目的烘干机采用蒸汽加热，对布草进行烘干处理，蒸汽来源于厂内自建锅炉。</w:t>
            </w:r>
          </w:p>
          <w:p>
            <w:pPr>
              <w:pStyle w:val="22"/>
              <w:bidi w:val="0"/>
              <w:jc w:val="both"/>
              <w:rPr>
                <w:color w:val="auto"/>
              </w:rPr>
            </w:pPr>
            <w:r>
              <w:rPr>
                <w:rFonts w:hint="eastAsia"/>
                <w:color w:val="auto"/>
              </w:rPr>
              <w:t>（4）熨平、折叠</w:t>
            </w:r>
          </w:p>
          <w:p>
            <w:pPr>
              <w:pStyle w:val="22"/>
              <w:bidi w:val="0"/>
              <w:jc w:val="both"/>
              <w:rPr>
                <w:rFonts w:hint="eastAsia"/>
                <w:color w:val="auto"/>
                <w:lang w:val="en-US" w:eastAsia="zh-CN"/>
              </w:rPr>
            </w:pPr>
            <w:r>
              <w:rPr>
                <w:rFonts w:hint="eastAsia"/>
                <w:color w:val="auto"/>
              </w:rPr>
              <w:t>使用烫平机将布草熨平后进入折叠机自动折叠，折叠完成后入库待运。烫平机采用蒸汽加热，蒸汽来源于自建锅炉。</w:t>
            </w:r>
          </w:p>
          <w:p>
            <w:pPr>
              <w:pStyle w:val="22"/>
              <w:keepNext w:val="0"/>
              <w:keepLines w:val="0"/>
              <w:pageBreakBefore w:val="0"/>
              <w:widowControl w:val="0"/>
              <w:kinsoku/>
              <w:wordWrap/>
              <w:overflowPunct/>
              <w:autoSpaceDE/>
              <w:autoSpaceDN/>
              <w:bidi w:val="0"/>
              <w:adjustRightInd/>
              <w:snapToGrid/>
              <w:spacing w:after="0" w:line="360" w:lineRule="auto"/>
              <w:ind w:left="0" w:leftChars="0" w:firstLine="0" w:firstLineChars="0"/>
              <w:jc w:val="both"/>
              <w:rPr>
                <w:rFonts w:hint="eastAsia"/>
                <w:b/>
                <w:bCs/>
                <w:color w:val="auto"/>
                <w:lang w:val="en-US" w:eastAsia="zh-CN"/>
              </w:rPr>
            </w:pPr>
            <w:r>
              <w:rPr>
                <w:rFonts w:hint="eastAsia"/>
                <w:b/>
                <w:bCs/>
                <w:color w:val="auto"/>
                <w:lang w:val="en-US" w:eastAsia="zh-CN"/>
              </w:rPr>
              <w:t>软化水制备工艺及工艺流程及产污节点如下：</w:t>
            </w:r>
          </w:p>
          <w:p>
            <w:pPr>
              <w:pStyle w:val="22"/>
              <w:keepNext w:val="0"/>
              <w:keepLines w:val="0"/>
              <w:pageBreakBefore w:val="0"/>
              <w:widowControl w:val="0"/>
              <w:kinsoku/>
              <w:wordWrap/>
              <w:overflowPunct/>
              <w:topLinePunct w:val="0"/>
              <w:autoSpaceDE/>
              <w:autoSpaceDN/>
              <w:bidi w:val="0"/>
              <w:adjustRightInd/>
              <w:snapToGrid/>
              <w:spacing w:after="0" w:line="360" w:lineRule="auto"/>
              <w:ind w:firstLine="0" w:firstLineChars="0"/>
              <w:jc w:val="both"/>
              <w:textAlignment w:val="auto"/>
              <w:rPr>
                <w:rFonts w:hint="default"/>
                <w:color w:val="auto"/>
                <w:lang w:val="en-US" w:eastAsia="zh-CN"/>
              </w:rPr>
            </w:pPr>
            <w:r>
              <w:rPr>
                <w:color w:val="auto"/>
              </w:rPr>
              <w:drawing>
                <wp:inline distT="0" distB="0" distL="114300" distR="114300">
                  <wp:extent cx="5013960" cy="2183130"/>
                  <wp:effectExtent l="0" t="0" r="2540" b="127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16"/>
                          <a:stretch>
                            <a:fillRect/>
                          </a:stretch>
                        </pic:blipFill>
                        <pic:spPr>
                          <a:xfrm>
                            <a:off x="0" y="0"/>
                            <a:ext cx="5013960" cy="2183130"/>
                          </a:xfrm>
                          <a:prstGeom prst="rect">
                            <a:avLst/>
                          </a:prstGeom>
                          <a:noFill/>
                          <a:ln>
                            <a:noFill/>
                          </a:ln>
                        </pic:spPr>
                      </pic:pic>
                    </a:graphicData>
                  </a:graphic>
                </wp:inline>
              </w:drawing>
            </w:r>
          </w:p>
          <w:p>
            <w:pPr>
              <w:pStyle w:val="7"/>
              <w:bidi w:val="0"/>
              <w:jc w:val="center"/>
              <w:rPr>
                <w:rFonts w:hint="eastAsia"/>
                <w:color w:val="auto"/>
                <w:lang w:val="en-US" w:eastAsia="zh-CN"/>
              </w:rPr>
            </w:pPr>
            <w:r>
              <w:rPr>
                <w:rFonts w:hint="eastAsia"/>
                <w:color w:val="auto"/>
                <w:lang w:val="en-US" w:eastAsia="zh-CN"/>
              </w:rPr>
              <w:t>图4     软水制备流程图</w:t>
            </w:r>
          </w:p>
          <w:p>
            <w:pPr>
              <w:pStyle w:val="22"/>
              <w:bidi w:val="0"/>
              <w:jc w:val="both"/>
              <w:rPr>
                <w:rFonts w:hint="default"/>
                <w:color w:val="auto"/>
                <w:lang w:val="en-US" w:eastAsia="zh-CN"/>
              </w:rPr>
            </w:pPr>
            <w:r>
              <w:rPr>
                <w:rFonts w:hint="default"/>
                <w:color w:val="auto"/>
                <w:lang w:val="en-US" w:eastAsia="zh-CN"/>
              </w:rPr>
              <w:t>软水制备工作原理</w:t>
            </w:r>
            <w:r>
              <w:rPr>
                <w:rFonts w:hint="eastAsia"/>
                <w:color w:val="auto"/>
                <w:lang w:val="en-US" w:eastAsia="zh-CN"/>
              </w:rPr>
              <w:t>：</w:t>
            </w:r>
            <w:r>
              <w:rPr>
                <w:rFonts w:hint="default"/>
                <w:color w:val="auto"/>
                <w:lang w:val="en-US" w:eastAsia="zh-CN"/>
              </w:rPr>
              <w:t>当有硬度离子的原水通过交换器内阳离子交换树脂层时，由于钙、镁离子与树脂的结合能力要大于钠离子与树脂的结合能力，所以，水中的钙、镁离子与树脂上的钠离子进行交换，水中的钙、镁离子便与树脂吸附的钠离子发生置换，树脂吸附了钙、镁离子而钠离子进入水中，这样从交换器内流出的水就是去掉硬度的软化水。</w:t>
            </w:r>
          </w:p>
          <w:p>
            <w:pPr>
              <w:pStyle w:val="22"/>
              <w:bidi w:val="0"/>
              <w:jc w:val="both"/>
              <w:rPr>
                <w:rFonts w:hint="default"/>
                <w:color w:val="auto"/>
                <w:lang w:val="en-US" w:eastAsia="zh-CN"/>
              </w:rPr>
            </w:pPr>
            <w:r>
              <w:rPr>
                <w:rFonts w:hint="default"/>
                <w:color w:val="auto"/>
                <w:lang w:val="en-US" w:eastAsia="zh-CN"/>
              </w:rPr>
              <w:t>随着树脂内Ca</w:t>
            </w:r>
            <w:r>
              <w:rPr>
                <w:rFonts w:hint="default"/>
                <w:color w:val="auto"/>
                <w:vertAlign w:val="superscript"/>
                <w:lang w:val="en-US" w:eastAsia="zh-CN"/>
              </w:rPr>
              <w:t>2+</w:t>
            </w:r>
            <w:r>
              <w:rPr>
                <w:rFonts w:hint="default"/>
                <w:color w:val="auto"/>
                <w:lang w:val="en-US" w:eastAsia="zh-CN"/>
              </w:rPr>
              <w:t>、Mg</w:t>
            </w:r>
            <w:r>
              <w:rPr>
                <w:rFonts w:hint="default"/>
                <w:color w:val="auto"/>
                <w:vertAlign w:val="superscript"/>
                <w:lang w:val="en-US" w:eastAsia="zh-CN"/>
              </w:rPr>
              <w:t>2+</w:t>
            </w:r>
            <w:r>
              <w:rPr>
                <w:rFonts w:hint="default"/>
                <w:color w:val="auto"/>
                <w:lang w:val="en-US" w:eastAsia="zh-CN"/>
              </w:rPr>
              <w:t>的增加，去除效能逐渐降低，因此必须进行再生，即用软化水设备单阀单罐盐箱中的食用盐冲洗树脂层，把Ca</w:t>
            </w:r>
            <w:r>
              <w:rPr>
                <w:rFonts w:hint="default"/>
                <w:color w:val="auto"/>
                <w:vertAlign w:val="superscript"/>
                <w:lang w:val="en-US" w:eastAsia="zh-CN"/>
              </w:rPr>
              <w:t>2+</w:t>
            </w:r>
            <w:r>
              <w:rPr>
                <w:rFonts w:hint="default"/>
                <w:color w:val="auto"/>
                <w:lang w:val="en-US" w:eastAsia="zh-CN"/>
              </w:rPr>
              <w:t>、Mg</w:t>
            </w:r>
            <w:r>
              <w:rPr>
                <w:rFonts w:hint="default"/>
                <w:color w:val="auto"/>
                <w:vertAlign w:val="superscript"/>
                <w:lang w:val="en-US" w:eastAsia="zh-CN"/>
              </w:rPr>
              <w:t>2+</w:t>
            </w:r>
            <w:r>
              <w:rPr>
                <w:rFonts w:hint="default"/>
                <w:color w:val="auto"/>
                <w:lang w:val="en-US" w:eastAsia="zh-CN"/>
              </w:rPr>
              <w:t>置换出来，随再生废液排出罐外，树脂即可恢复软化交换能力。</w:t>
            </w:r>
          </w:p>
          <w:p>
            <w:pPr>
              <w:pStyle w:val="7"/>
              <w:bidi w:val="0"/>
              <w:jc w:val="both"/>
              <w:rPr>
                <w:color w:val="auto"/>
              </w:rPr>
            </w:pPr>
            <w:r>
              <w:rPr>
                <w:rFonts w:hint="eastAsia"/>
                <w:color w:val="auto"/>
              </w:rPr>
              <w:t>2.2 产排污环节</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eastAsia"/>
                <w:color w:val="auto"/>
                <w:lang w:val="en-US" w:eastAsia="zh-CN"/>
              </w:rPr>
            </w:pPr>
            <w:r>
              <w:rPr>
                <w:rFonts w:hint="eastAsia"/>
                <w:color w:val="auto"/>
                <w:lang w:val="en-US" w:eastAsia="zh-CN"/>
              </w:rPr>
              <w:t>本项目运营期污染工序与污染因子见表2-8。</w:t>
            </w:r>
          </w:p>
          <w:p>
            <w:pPr>
              <w:pStyle w:val="32"/>
              <w:bidi w:val="0"/>
              <w:rPr>
                <w:rFonts w:hint="eastAsia"/>
                <w:color w:val="auto"/>
                <w:lang w:val="en-US" w:eastAsia="zh-CN"/>
              </w:rPr>
            </w:pPr>
            <w:r>
              <w:rPr>
                <w:rFonts w:hint="eastAsia"/>
                <w:color w:val="auto"/>
                <w:lang w:val="en-US" w:eastAsia="zh-CN"/>
              </w:rPr>
              <w:t>表2-8    项目产排污情况汇总表</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1523"/>
              <w:gridCol w:w="2379"/>
              <w:gridCol w:w="31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507" w:type="pct"/>
                  <w:tcBorders>
                    <w:bottom w:val="single" w:color="auto" w:sz="12" w:space="0"/>
                  </w:tcBorders>
                  <w:noWrap w:val="0"/>
                  <w:vAlign w:val="center"/>
                </w:tcPr>
                <w:p>
                  <w:pPr>
                    <w:pStyle w:val="33"/>
                    <w:widowControl w:val="0"/>
                    <w:bidi w:val="0"/>
                    <w:rPr>
                      <w:rFonts w:hint="default"/>
                      <w:b/>
                      <w:bCs/>
                      <w:color w:val="auto"/>
                      <w:lang w:val="en-US" w:eastAsia="zh-CN"/>
                    </w:rPr>
                  </w:pPr>
                  <w:r>
                    <w:rPr>
                      <w:rFonts w:hint="default"/>
                      <w:b/>
                      <w:bCs/>
                      <w:color w:val="auto"/>
                    </w:rPr>
                    <w:t>序号</w:t>
                  </w:r>
                </w:p>
              </w:tc>
              <w:tc>
                <w:tcPr>
                  <w:tcW w:w="970" w:type="pct"/>
                  <w:tcBorders>
                    <w:bottom w:val="single" w:color="auto" w:sz="12" w:space="0"/>
                  </w:tcBorders>
                  <w:noWrap w:val="0"/>
                  <w:vAlign w:val="center"/>
                </w:tcPr>
                <w:p>
                  <w:pPr>
                    <w:pStyle w:val="33"/>
                    <w:widowControl w:val="0"/>
                    <w:bidi w:val="0"/>
                    <w:rPr>
                      <w:rFonts w:hint="eastAsia"/>
                      <w:b/>
                      <w:bCs/>
                      <w:color w:val="auto"/>
                      <w:lang w:val="en-US" w:eastAsia="zh-CN"/>
                    </w:rPr>
                  </w:pPr>
                  <w:r>
                    <w:rPr>
                      <w:rFonts w:hint="eastAsia"/>
                      <w:b/>
                      <w:bCs/>
                      <w:color w:val="auto"/>
                      <w:lang w:val="en-US" w:eastAsia="zh-CN"/>
                    </w:rPr>
                    <w:t>污染类别</w:t>
                  </w:r>
                </w:p>
              </w:tc>
              <w:tc>
                <w:tcPr>
                  <w:tcW w:w="1515" w:type="pct"/>
                  <w:tcBorders>
                    <w:bottom w:val="single" w:color="auto" w:sz="12" w:space="0"/>
                  </w:tcBorders>
                  <w:noWrap w:val="0"/>
                  <w:vAlign w:val="center"/>
                </w:tcPr>
                <w:p>
                  <w:pPr>
                    <w:pStyle w:val="33"/>
                    <w:widowControl w:val="0"/>
                    <w:bidi w:val="0"/>
                    <w:rPr>
                      <w:rFonts w:hint="default"/>
                      <w:b/>
                      <w:bCs/>
                      <w:color w:val="auto"/>
                      <w:lang w:val="en-US" w:eastAsia="zh-CN"/>
                    </w:rPr>
                  </w:pPr>
                  <w:r>
                    <w:rPr>
                      <w:rFonts w:hint="eastAsia"/>
                      <w:b/>
                      <w:bCs/>
                      <w:color w:val="auto"/>
                      <w:lang w:val="en-US" w:eastAsia="zh-CN"/>
                    </w:rPr>
                    <w:t>污染源/污染工序</w:t>
                  </w:r>
                </w:p>
              </w:tc>
              <w:tc>
                <w:tcPr>
                  <w:tcW w:w="2006" w:type="pct"/>
                  <w:tcBorders>
                    <w:bottom w:val="single" w:color="auto" w:sz="12" w:space="0"/>
                  </w:tcBorders>
                  <w:noWrap w:val="0"/>
                  <w:vAlign w:val="center"/>
                </w:tcPr>
                <w:p>
                  <w:pPr>
                    <w:pStyle w:val="33"/>
                    <w:widowControl w:val="0"/>
                    <w:bidi w:val="0"/>
                    <w:rPr>
                      <w:rFonts w:hint="default"/>
                      <w:b/>
                      <w:bCs/>
                      <w:color w:val="auto"/>
                      <w:lang w:val="en-US" w:eastAsia="zh-CN"/>
                    </w:rPr>
                  </w:pPr>
                  <w:r>
                    <w:rPr>
                      <w:rFonts w:hint="eastAsia"/>
                      <w:b/>
                      <w:bCs/>
                      <w:color w:val="auto"/>
                      <w:lang w:val="en-US" w:eastAsia="zh-CN"/>
                    </w:rPr>
                    <w:t>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7" w:type="pct"/>
                  <w:tcBorders>
                    <w:top w:val="single" w:color="auto" w:sz="12" w:space="0"/>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1</w:t>
                  </w:r>
                </w:p>
              </w:tc>
              <w:tc>
                <w:tcPr>
                  <w:tcW w:w="970" w:type="pct"/>
                  <w:vMerge w:val="restart"/>
                  <w:tcBorders>
                    <w:top w:val="single" w:color="auto" w:sz="12" w:space="0"/>
                    <w:tl2br w:val="nil"/>
                    <w:tr2bl w:val="nil"/>
                  </w:tcBorders>
                  <w:noWrap w:val="0"/>
                  <w:vAlign w:val="center"/>
                </w:tcPr>
                <w:p>
                  <w:pPr>
                    <w:pStyle w:val="33"/>
                    <w:widowControl w:val="0"/>
                    <w:bidi w:val="0"/>
                    <w:rPr>
                      <w:rFonts w:hint="eastAsia"/>
                      <w:color w:val="auto"/>
                      <w:lang w:val="en-US" w:eastAsia="zh-CN"/>
                    </w:rPr>
                  </w:pPr>
                  <w:r>
                    <w:rPr>
                      <w:rFonts w:hint="eastAsia"/>
                      <w:color w:val="auto"/>
                      <w:lang w:val="en-US" w:eastAsia="zh-CN"/>
                    </w:rPr>
                    <w:t>废气</w:t>
                  </w:r>
                </w:p>
              </w:tc>
              <w:tc>
                <w:tcPr>
                  <w:tcW w:w="1515" w:type="pct"/>
                  <w:tcBorders>
                    <w:top w:val="single" w:color="auto" w:sz="12" w:space="0"/>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锅炉废气</w:t>
                  </w:r>
                </w:p>
              </w:tc>
              <w:tc>
                <w:tcPr>
                  <w:tcW w:w="2006" w:type="pct"/>
                  <w:tcBorders>
                    <w:top w:val="single" w:color="auto" w:sz="12" w:space="0"/>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颗粒物、SO</w:t>
                  </w:r>
                  <w:r>
                    <w:rPr>
                      <w:rFonts w:hint="eastAsia"/>
                      <w:color w:val="auto"/>
                      <w:vertAlign w:val="subscript"/>
                      <w:lang w:val="en-US" w:eastAsia="zh-CN"/>
                    </w:rPr>
                    <w:t>2</w:t>
                  </w:r>
                  <w:r>
                    <w:rPr>
                      <w:rFonts w:hint="eastAsia"/>
                      <w:color w:val="auto"/>
                      <w:lang w:val="en-US" w:eastAsia="zh-CN"/>
                    </w:rPr>
                    <w:t>、NOx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7" w:type="pct"/>
                  <w:tcBorders>
                    <w:tl2br w:val="nil"/>
                    <w:tr2bl w:val="nil"/>
                  </w:tcBorders>
                  <w:noWrap w:val="0"/>
                  <w:vAlign w:val="center"/>
                </w:tcPr>
                <w:p>
                  <w:pPr>
                    <w:pStyle w:val="33"/>
                    <w:widowControl w:val="0"/>
                    <w:bidi w:val="0"/>
                    <w:ind w:firstLine="0" w:firstLineChars="0"/>
                    <w:rPr>
                      <w:rFonts w:hint="eastAsia" w:ascii="Times New Roman" w:hAnsi="Times New Roman" w:eastAsia="宋体" w:cs="Times New Roman"/>
                      <w:b w:val="0"/>
                      <w:bCs/>
                      <w:color w:val="auto"/>
                      <w:kern w:val="2"/>
                      <w:sz w:val="21"/>
                      <w:szCs w:val="24"/>
                      <w:lang w:val="en-US" w:eastAsia="zh-CN" w:bidi="ar-SA"/>
                    </w:rPr>
                  </w:pPr>
                  <w:r>
                    <w:rPr>
                      <w:rFonts w:hint="eastAsia"/>
                      <w:color w:val="auto"/>
                      <w:lang w:val="en-US" w:eastAsia="zh-CN"/>
                    </w:rPr>
                    <w:t>2</w:t>
                  </w:r>
                </w:p>
              </w:tc>
              <w:tc>
                <w:tcPr>
                  <w:tcW w:w="970" w:type="pct"/>
                  <w:vMerge w:val="continue"/>
                  <w:tcBorders>
                    <w:tl2br w:val="nil"/>
                    <w:tr2bl w:val="nil"/>
                  </w:tcBorders>
                  <w:noWrap w:val="0"/>
                  <w:vAlign w:val="center"/>
                </w:tcPr>
                <w:p>
                  <w:pPr>
                    <w:pStyle w:val="33"/>
                    <w:widowControl w:val="0"/>
                    <w:bidi w:val="0"/>
                    <w:rPr>
                      <w:rFonts w:hint="eastAsia"/>
                      <w:color w:val="auto"/>
                      <w:lang w:val="en-US" w:eastAsia="zh-CN"/>
                    </w:rPr>
                  </w:pPr>
                </w:p>
              </w:tc>
              <w:tc>
                <w:tcPr>
                  <w:tcW w:w="1515" w:type="pct"/>
                  <w:tcBorders>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污水处理站</w:t>
                  </w:r>
                </w:p>
              </w:tc>
              <w:tc>
                <w:tcPr>
                  <w:tcW w:w="2006" w:type="pct"/>
                  <w:tcBorders>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臭气浓度、H</w:t>
                  </w:r>
                  <w:r>
                    <w:rPr>
                      <w:rFonts w:hint="eastAsia"/>
                      <w:color w:val="auto"/>
                      <w:vertAlign w:val="subscript"/>
                      <w:lang w:val="en-US" w:eastAsia="zh-CN"/>
                    </w:rPr>
                    <w:t>2</w:t>
                  </w:r>
                  <w:r>
                    <w:rPr>
                      <w:rFonts w:hint="eastAsia"/>
                      <w:color w:val="auto"/>
                      <w:lang w:val="en-US" w:eastAsia="zh-CN"/>
                    </w:rPr>
                    <w:t>S、氨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7" w:type="pct"/>
                  <w:tcBorders>
                    <w:tl2br w:val="nil"/>
                    <w:tr2bl w:val="nil"/>
                  </w:tcBorders>
                  <w:noWrap w:val="0"/>
                  <w:vAlign w:val="center"/>
                </w:tcPr>
                <w:p>
                  <w:pPr>
                    <w:pStyle w:val="33"/>
                    <w:widowControl w:val="0"/>
                    <w:bidi w:val="0"/>
                    <w:ind w:firstLine="0" w:firstLineChars="0"/>
                    <w:rPr>
                      <w:rFonts w:hint="default" w:ascii="Times New Roman" w:hAnsi="Times New Roman" w:eastAsia="宋体" w:cs="Times New Roman"/>
                      <w:b w:val="0"/>
                      <w:bCs/>
                      <w:color w:val="auto"/>
                      <w:kern w:val="2"/>
                      <w:sz w:val="21"/>
                      <w:szCs w:val="24"/>
                      <w:lang w:val="en-US" w:eastAsia="zh-CN" w:bidi="ar-SA"/>
                    </w:rPr>
                  </w:pPr>
                  <w:r>
                    <w:rPr>
                      <w:rFonts w:hint="eastAsia"/>
                      <w:color w:val="auto"/>
                      <w:lang w:val="en-US" w:eastAsia="zh-CN"/>
                    </w:rPr>
                    <w:t>3</w:t>
                  </w:r>
                </w:p>
              </w:tc>
              <w:tc>
                <w:tcPr>
                  <w:tcW w:w="970" w:type="pct"/>
                  <w:tcBorders>
                    <w:tl2br w:val="nil"/>
                    <w:tr2bl w:val="nil"/>
                  </w:tcBorders>
                  <w:noWrap w:val="0"/>
                  <w:vAlign w:val="center"/>
                </w:tcPr>
                <w:p>
                  <w:pPr>
                    <w:pStyle w:val="33"/>
                    <w:widowControl w:val="0"/>
                    <w:bidi w:val="0"/>
                    <w:rPr>
                      <w:rFonts w:hint="eastAsia"/>
                      <w:color w:val="auto"/>
                      <w:lang w:val="en-US" w:eastAsia="zh-CN"/>
                    </w:rPr>
                  </w:pPr>
                  <w:r>
                    <w:rPr>
                      <w:rFonts w:hint="eastAsia"/>
                      <w:color w:val="auto"/>
                      <w:lang w:val="en-US" w:eastAsia="zh-CN"/>
                    </w:rPr>
                    <w:t>噪声</w:t>
                  </w:r>
                </w:p>
              </w:tc>
              <w:tc>
                <w:tcPr>
                  <w:tcW w:w="1515" w:type="pct"/>
                  <w:tcBorders>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燃烧器、风机噪声</w:t>
                  </w:r>
                </w:p>
              </w:tc>
              <w:tc>
                <w:tcPr>
                  <w:tcW w:w="2006" w:type="pct"/>
                  <w:tcBorders>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等效声级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7" w:type="pct"/>
                  <w:tcBorders>
                    <w:tl2br w:val="nil"/>
                    <w:tr2bl w:val="nil"/>
                  </w:tcBorders>
                  <w:noWrap w:val="0"/>
                  <w:vAlign w:val="center"/>
                </w:tcPr>
                <w:p>
                  <w:pPr>
                    <w:pStyle w:val="33"/>
                    <w:widowControl w:val="0"/>
                    <w:bidi w:val="0"/>
                    <w:ind w:firstLine="0" w:firstLineChars="0"/>
                    <w:rPr>
                      <w:rFonts w:hint="eastAsia" w:ascii="Times New Roman" w:hAnsi="Times New Roman" w:eastAsia="宋体" w:cs="Times New Roman"/>
                      <w:b w:val="0"/>
                      <w:bCs/>
                      <w:color w:val="auto"/>
                      <w:kern w:val="2"/>
                      <w:sz w:val="21"/>
                      <w:szCs w:val="24"/>
                      <w:lang w:val="en-US" w:eastAsia="zh-CN" w:bidi="ar-SA"/>
                    </w:rPr>
                  </w:pPr>
                  <w:r>
                    <w:rPr>
                      <w:rFonts w:hint="eastAsia"/>
                      <w:color w:val="auto"/>
                      <w:lang w:val="en-US" w:eastAsia="zh-CN"/>
                    </w:rPr>
                    <w:t>4</w:t>
                  </w:r>
                </w:p>
              </w:tc>
              <w:tc>
                <w:tcPr>
                  <w:tcW w:w="970" w:type="pct"/>
                  <w:vMerge w:val="restart"/>
                  <w:tcBorders>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废水</w:t>
                  </w:r>
                </w:p>
              </w:tc>
              <w:tc>
                <w:tcPr>
                  <w:tcW w:w="1515" w:type="pct"/>
                  <w:tcBorders>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锅炉定期排污水</w:t>
                  </w:r>
                </w:p>
              </w:tc>
              <w:tc>
                <w:tcPr>
                  <w:tcW w:w="2006" w:type="pct"/>
                  <w:tcBorders>
                    <w:tl2br w:val="nil"/>
                    <w:tr2bl w:val="nil"/>
                  </w:tcBorders>
                  <w:noWrap w:val="0"/>
                  <w:vAlign w:val="center"/>
                </w:tcPr>
                <w:p>
                  <w:pPr>
                    <w:pStyle w:val="33"/>
                    <w:widowControl w:val="0"/>
                    <w:bidi w:val="0"/>
                    <w:rPr>
                      <w:rFonts w:hint="eastAsia"/>
                      <w:color w:val="auto"/>
                      <w:lang w:val="en-US" w:eastAsia="zh-CN"/>
                    </w:rPr>
                  </w:pPr>
                  <w:r>
                    <w:rPr>
                      <w:rFonts w:hint="default"/>
                      <w:color w:val="auto"/>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7" w:type="pct"/>
                  <w:tcBorders>
                    <w:tl2br w:val="nil"/>
                    <w:tr2bl w:val="nil"/>
                  </w:tcBorders>
                  <w:noWrap w:val="0"/>
                  <w:vAlign w:val="center"/>
                </w:tcPr>
                <w:p>
                  <w:pPr>
                    <w:pStyle w:val="33"/>
                    <w:widowControl w:val="0"/>
                    <w:bidi w:val="0"/>
                    <w:ind w:firstLine="0" w:firstLineChars="0"/>
                    <w:rPr>
                      <w:rFonts w:hint="eastAsia" w:ascii="Times New Roman" w:hAnsi="Times New Roman" w:eastAsia="宋体" w:cs="Times New Roman"/>
                      <w:b w:val="0"/>
                      <w:bCs/>
                      <w:color w:val="auto"/>
                      <w:kern w:val="2"/>
                      <w:sz w:val="21"/>
                      <w:szCs w:val="24"/>
                      <w:lang w:val="en-US" w:eastAsia="zh-CN" w:bidi="ar-SA"/>
                    </w:rPr>
                  </w:pPr>
                  <w:r>
                    <w:rPr>
                      <w:rFonts w:hint="eastAsia"/>
                      <w:color w:val="auto"/>
                      <w:lang w:val="en-US" w:eastAsia="zh-CN"/>
                    </w:rPr>
                    <w:t>5</w:t>
                  </w:r>
                </w:p>
              </w:tc>
              <w:tc>
                <w:tcPr>
                  <w:tcW w:w="970" w:type="pct"/>
                  <w:vMerge w:val="continue"/>
                  <w:tcBorders>
                    <w:tl2br w:val="nil"/>
                    <w:tr2bl w:val="nil"/>
                  </w:tcBorders>
                  <w:noWrap w:val="0"/>
                  <w:vAlign w:val="center"/>
                </w:tcPr>
                <w:p>
                  <w:pPr>
                    <w:pStyle w:val="33"/>
                    <w:widowControl w:val="0"/>
                    <w:bidi w:val="0"/>
                    <w:rPr>
                      <w:rFonts w:hint="eastAsia"/>
                      <w:color w:val="auto"/>
                      <w:lang w:val="en-US" w:eastAsia="zh-CN"/>
                    </w:rPr>
                  </w:pPr>
                </w:p>
              </w:tc>
              <w:tc>
                <w:tcPr>
                  <w:tcW w:w="1515" w:type="pct"/>
                  <w:tcBorders>
                    <w:tl2br w:val="nil"/>
                    <w:tr2bl w:val="nil"/>
                  </w:tcBorders>
                  <w:noWrap w:val="0"/>
                  <w:vAlign w:val="center"/>
                </w:tcPr>
                <w:p>
                  <w:pPr>
                    <w:pStyle w:val="33"/>
                    <w:widowControl w:val="0"/>
                    <w:bidi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软水制备废水</w:t>
                  </w:r>
                </w:p>
              </w:tc>
              <w:tc>
                <w:tcPr>
                  <w:tcW w:w="2006" w:type="pct"/>
                  <w:tcBorders>
                    <w:tl2br w:val="nil"/>
                    <w:tr2bl w:val="nil"/>
                  </w:tcBorders>
                  <w:noWrap w:val="0"/>
                  <w:vAlign w:val="center"/>
                </w:tcPr>
                <w:p>
                  <w:pPr>
                    <w:pStyle w:val="33"/>
                    <w:widowControl w:val="0"/>
                    <w:bidi w:val="0"/>
                    <w:rPr>
                      <w:rFonts w:hint="default" w:ascii="Times New Roman" w:hAnsi="Times New Roman" w:eastAsia="宋体" w:cs="Times New Roman"/>
                      <w:color w:val="auto"/>
                      <w:kern w:val="2"/>
                      <w:sz w:val="21"/>
                      <w:szCs w:val="24"/>
                      <w:lang w:val="en-US" w:eastAsia="zh-CN" w:bidi="ar-SA"/>
                    </w:rPr>
                  </w:pPr>
                  <w:r>
                    <w:rPr>
                      <w:rFonts w:hint="default"/>
                      <w:color w:val="auto"/>
                    </w:rPr>
                    <w:t>TDS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7" w:type="pct"/>
                  <w:tcBorders>
                    <w:tl2br w:val="nil"/>
                    <w:tr2bl w:val="nil"/>
                  </w:tcBorders>
                  <w:noWrap w:val="0"/>
                  <w:vAlign w:val="center"/>
                </w:tcPr>
                <w:p>
                  <w:pPr>
                    <w:pStyle w:val="33"/>
                    <w:widowControl w:val="0"/>
                    <w:bidi w:val="0"/>
                    <w:ind w:firstLine="0" w:firstLineChars="0"/>
                    <w:rPr>
                      <w:rFonts w:hint="eastAsia" w:ascii="Times New Roman" w:hAnsi="Times New Roman" w:eastAsia="宋体" w:cs="Times New Roman"/>
                      <w:b w:val="0"/>
                      <w:bCs/>
                      <w:color w:val="auto"/>
                      <w:kern w:val="2"/>
                      <w:sz w:val="21"/>
                      <w:szCs w:val="24"/>
                      <w:lang w:val="en-US" w:eastAsia="zh-CN" w:bidi="ar-SA"/>
                    </w:rPr>
                  </w:pPr>
                  <w:r>
                    <w:rPr>
                      <w:rFonts w:hint="eastAsia"/>
                      <w:color w:val="auto"/>
                      <w:lang w:val="en-US" w:eastAsia="zh-CN"/>
                    </w:rPr>
                    <w:t>6</w:t>
                  </w:r>
                </w:p>
              </w:tc>
              <w:tc>
                <w:tcPr>
                  <w:tcW w:w="970" w:type="pct"/>
                  <w:vMerge w:val="continue"/>
                  <w:tcBorders>
                    <w:tl2br w:val="nil"/>
                    <w:tr2bl w:val="nil"/>
                  </w:tcBorders>
                  <w:noWrap w:val="0"/>
                  <w:vAlign w:val="center"/>
                </w:tcPr>
                <w:p>
                  <w:pPr>
                    <w:pStyle w:val="33"/>
                    <w:widowControl w:val="0"/>
                    <w:bidi w:val="0"/>
                    <w:rPr>
                      <w:rFonts w:hint="eastAsia"/>
                      <w:color w:val="auto"/>
                      <w:lang w:val="en-US" w:eastAsia="zh-CN"/>
                    </w:rPr>
                  </w:pPr>
                </w:p>
              </w:tc>
              <w:tc>
                <w:tcPr>
                  <w:tcW w:w="1515" w:type="pct"/>
                  <w:tcBorders>
                    <w:tl2br w:val="nil"/>
                    <w:tr2bl w:val="nil"/>
                  </w:tcBorders>
                  <w:noWrap w:val="0"/>
                  <w:vAlign w:val="center"/>
                </w:tcPr>
                <w:p>
                  <w:pPr>
                    <w:pStyle w:val="33"/>
                    <w:widowControl w:val="0"/>
                    <w:bidi w:val="0"/>
                    <w:rPr>
                      <w:rFonts w:hint="default"/>
                      <w:color w:val="auto"/>
                      <w:lang w:val="en-US" w:eastAsia="zh-CN"/>
                    </w:rPr>
                  </w:pPr>
                  <w:r>
                    <w:rPr>
                      <w:rFonts w:hint="default"/>
                      <w:color w:val="auto"/>
                      <w:lang w:val="en-US" w:eastAsia="zh-CN"/>
                    </w:rPr>
                    <w:t>洗涤废水</w:t>
                  </w:r>
                </w:p>
              </w:tc>
              <w:tc>
                <w:tcPr>
                  <w:tcW w:w="2006" w:type="pct"/>
                  <w:tcBorders>
                    <w:tl2br w:val="nil"/>
                    <w:tr2bl w:val="nil"/>
                  </w:tcBorders>
                  <w:noWrap w:val="0"/>
                  <w:vAlign w:val="center"/>
                </w:tcPr>
                <w:p>
                  <w:pPr>
                    <w:pStyle w:val="33"/>
                    <w:widowControl w:val="0"/>
                    <w:bidi w:val="0"/>
                    <w:rPr>
                      <w:rFonts w:hint="eastAsia"/>
                      <w:color w:val="auto"/>
                      <w:lang w:val="en-US" w:eastAsia="zh-CN"/>
                    </w:rPr>
                  </w:pPr>
                  <w:r>
                    <w:rPr>
                      <w:rFonts w:hint="eastAsia"/>
                      <w:color w:val="auto"/>
                      <w:lang w:val="en-US" w:eastAsia="zh-CN"/>
                    </w:rPr>
                    <w:t>COD、BOD5、SS、氨氮、LAS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507" w:type="pct"/>
                  <w:tcBorders>
                    <w:tl2br w:val="nil"/>
                    <w:tr2bl w:val="nil"/>
                  </w:tcBorders>
                  <w:noWrap w:val="0"/>
                  <w:vAlign w:val="center"/>
                </w:tcPr>
                <w:p>
                  <w:pPr>
                    <w:pStyle w:val="33"/>
                    <w:widowControl w:val="0"/>
                    <w:bidi w:val="0"/>
                    <w:ind w:firstLine="0" w:firstLineChars="0"/>
                    <w:rPr>
                      <w:rFonts w:hint="default" w:ascii="Times New Roman" w:hAnsi="Times New Roman" w:eastAsia="宋体" w:cs="Times New Roman"/>
                      <w:b w:val="0"/>
                      <w:bCs/>
                      <w:color w:val="auto"/>
                      <w:kern w:val="2"/>
                      <w:sz w:val="21"/>
                      <w:szCs w:val="24"/>
                      <w:lang w:val="en-US" w:eastAsia="zh-CN" w:bidi="ar-SA"/>
                    </w:rPr>
                  </w:pPr>
                  <w:r>
                    <w:rPr>
                      <w:rFonts w:hint="eastAsia"/>
                      <w:color w:val="auto"/>
                      <w:lang w:val="en-US" w:eastAsia="zh-CN"/>
                    </w:rPr>
                    <w:t>7</w:t>
                  </w:r>
                </w:p>
              </w:tc>
              <w:tc>
                <w:tcPr>
                  <w:tcW w:w="970" w:type="pct"/>
                  <w:vMerge w:val="restart"/>
                  <w:tcBorders>
                    <w:tl2br w:val="nil"/>
                    <w:tr2bl w:val="nil"/>
                  </w:tcBorders>
                  <w:noWrap w:val="0"/>
                  <w:vAlign w:val="center"/>
                </w:tcPr>
                <w:p>
                  <w:pPr>
                    <w:pStyle w:val="33"/>
                    <w:widowControl w:val="0"/>
                    <w:bidi w:val="0"/>
                    <w:rPr>
                      <w:rFonts w:hint="eastAsia"/>
                      <w:color w:val="auto"/>
                      <w:lang w:val="en-US" w:eastAsia="zh-CN"/>
                    </w:rPr>
                  </w:pPr>
                  <w:r>
                    <w:rPr>
                      <w:rFonts w:hint="eastAsia"/>
                      <w:color w:val="auto"/>
                      <w:lang w:val="en-US" w:eastAsia="zh-CN"/>
                    </w:rPr>
                    <w:t>固体废物</w:t>
                  </w:r>
                </w:p>
              </w:tc>
              <w:tc>
                <w:tcPr>
                  <w:tcW w:w="1515" w:type="pct"/>
                  <w:tcBorders>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软水制备</w:t>
                  </w:r>
                </w:p>
              </w:tc>
              <w:tc>
                <w:tcPr>
                  <w:tcW w:w="2006" w:type="pct"/>
                  <w:tcBorders>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离子交换树脂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507" w:type="pct"/>
                  <w:tcBorders>
                    <w:tl2br w:val="nil"/>
                    <w:tr2bl w:val="nil"/>
                  </w:tcBorders>
                  <w:noWrap w:val="0"/>
                  <w:vAlign w:val="center"/>
                </w:tcPr>
                <w:p>
                  <w:pPr>
                    <w:pStyle w:val="33"/>
                    <w:widowControl w:val="0"/>
                    <w:bidi w:val="0"/>
                    <w:ind w:firstLine="0" w:firstLineChars="0"/>
                    <w:rPr>
                      <w:rFonts w:hint="default" w:ascii="Times New Roman" w:hAnsi="Times New Roman" w:eastAsia="宋体" w:cs="Times New Roman"/>
                      <w:b w:val="0"/>
                      <w:bCs/>
                      <w:color w:val="auto"/>
                      <w:kern w:val="2"/>
                      <w:sz w:val="21"/>
                      <w:szCs w:val="24"/>
                      <w:lang w:val="en-US" w:eastAsia="zh-CN" w:bidi="ar-SA"/>
                    </w:rPr>
                  </w:pPr>
                  <w:r>
                    <w:rPr>
                      <w:rFonts w:hint="eastAsia"/>
                      <w:color w:val="auto"/>
                      <w:lang w:val="en-US" w:eastAsia="zh-CN"/>
                    </w:rPr>
                    <w:t>8</w:t>
                  </w:r>
                </w:p>
              </w:tc>
              <w:tc>
                <w:tcPr>
                  <w:tcW w:w="970" w:type="pct"/>
                  <w:vMerge w:val="continue"/>
                  <w:tcBorders>
                    <w:tl2br w:val="nil"/>
                    <w:tr2bl w:val="nil"/>
                  </w:tcBorders>
                  <w:noWrap w:val="0"/>
                  <w:vAlign w:val="center"/>
                </w:tcPr>
                <w:p>
                  <w:pPr>
                    <w:pStyle w:val="33"/>
                    <w:widowControl w:val="0"/>
                    <w:bidi w:val="0"/>
                    <w:rPr>
                      <w:rFonts w:hint="eastAsia"/>
                      <w:color w:val="auto"/>
                      <w:lang w:val="en-US" w:eastAsia="zh-CN"/>
                    </w:rPr>
                  </w:pPr>
                </w:p>
              </w:tc>
              <w:tc>
                <w:tcPr>
                  <w:tcW w:w="1515" w:type="pct"/>
                  <w:tcBorders>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包装</w:t>
                  </w:r>
                </w:p>
              </w:tc>
              <w:tc>
                <w:tcPr>
                  <w:tcW w:w="2006" w:type="pct"/>
                  <w:tcBorders>
                    <w:tl2br w:val="nil"/>
                    <w:tr2bl w:val="nil"/>
                  </w:tcBorders>
                  <w:noWrap w:val="0"/>
                  <w:vAlign w:val="center"/>
                </w:tcPr>
                <w:p>
                  <w:pPr>
                    <w:pStyle w:val="33"/>
                    <w:widowControl w:val="0"/>
                    <w:bidi w:val="0"/>
                    <w:rPr>
                      <w:rFonts w:hint="eastAsia"/>
                      <w:color w:val="auto"/>
                      <w:lang w:val="en-US" w:eastAsia="zh-CN"/>
                    </w:rPr>
                  </w:pPr>
                  <w:r>
                    <w:rPr>
                      <w:rFonts w:hint="eastAsia"/>
                      <w:color w:val="auto"/>
                      <w:lang w:val="en-US" w:eastAsia="zh-CN"/>
                    </w:rPr>
                    <w:t>废包装物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507" w:type="pct"/>
                  <w:tcBorders>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9</w:t>
                  </w:r>
                </w:p>
              </w:tc>
              <w:tc>
                <w:tcPr>
                  <w:tcW w:w="970" w:type="pct"/>
                  <w:vMerge w:val="continue"/>
                  <w:tcBorders>
                    <w:tl2br w:val="nil"/>
                    <w:tr2bl w:val="nil"/>
                  </w:tcBorders>
                  <w:noWrap w:val="0"/>
                  <w:vAlign w:val="center"/>
                </w:tcPr>
                <w:p>
                  <w:pPr>
                    <w:pStyle w:val="33"/>
                    <w:widowControl w:val="0"/>
                    <w:bidi w:val="0"/>
                    <w:rPr>
                      <w:rFonts w:hint="eastAsia"/>
                      <w:color w:val="auto"/>
                      <w:lang w:val="en-US" w:eastAsia="zh-CN"/>
                    </w:rPr>
                  </w:pPr>
                </w:p>
              </w:tc>
              <w:tc>
                <w:tcPr>
                  <w:tcW w:w="1515" w:type="pct"/>
                  <w:tcBorders>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污水处理站</w:t>
                  </w:r>
                </w:p>
              </w:tc>
              <w:tc>
                <w:tcPr>
                  <w:tcW w:w="2006" w:type="pct"/>
                  <w:tcBorders>
                    <w:tl2br w:val="nil"/>
                    <w:tr2bl w:val="nil"/>
                  </w:tcBorders>
                  <w:noWrap w:val="0"/>
                  <w:vAlign w:val="center"/>
                </w:tcPr>
                <w:p>
                  <w:pPr>
                    <w:pStyle w:val="33"/>
                    <w:widowControl w:val="0"/>
                    <w:bidi w:val="0"/>
                    <w:rPr>
                      <w:rFonts w:hint="default"/>
                      <w:color w:val="auto"/>
                      <w:lang w:val="en-US" w:eastAsia="zh-CN"/>
                    </w:rPr>
                  </w:pPr>
                  <w:r>
                    <w:rPr>
                      <w:rFonts w:hint="eastAsia"/>
                      <w:color w:val="auto"/>
                      <w:lang w:val="en-US" w:eastAsia="zh-CN"/>
                    </w:rPr>
                    <w:t>污泥</w:t>
                  </w:r>
                </w:p>
              </w:tc>
            </w:tr>
          </w:tbl>
          <w:p>
            <w:pPr>
              <w:pStyle w:val="16"/>
              <w:jc w:val="both"/>
              <w:rPr>
                <w:rFonts w:hint="default"/>
                <w:color w:val="auto"/>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32" w:hRule="atLeast"/>
          <w:jc w:val="center"/>
        </w:trPr>
        <w:tc>
          <w:tcPr>
            <w:tcW w:w="455" w:type="dxa"/>
            <w:tcBorders>
              <w:tl2br w:val="nil"/>
              <w:tr2bl w:val="nil"/>
            </w:tcBorders>
            <w:vAlign w:val="center"/>
          </w:tcPr>
          <w:p>
            <w:pPr>
              <w:jc w:val="center"/>
            </w:pPr>
            <w:r>
              <w:rPr>
                <w:rFonts w:hint="eastAsia" w:cs="宋体"/>
                <w:bCs/>
              </w:rPr>
              <w:t>与项目有关的原有环境污染问题</w:t>
            </w:r>
          </w:p>
        </w:tc>
        <w:tc>
          <w:tcPr>
            <w:tcW w:w="8067" w:type="dxa"/>
            <w:tcBorders>
              <w:tl2br w:val="nil"/>
              <w:tr2bl w:val="nil"/>
            </w:tcBorders>
            <w:vAlign w:val="center"/>
          </w:tcPr>
          <w:p>
            <w:pPr>
              <w:pStyle w:val="22"/>
              <w:bidi w:val="0"/>
              <w:jc w:val="both"/>
            </w:pPr>
            <w:r>
              <w:t>本项目为新建项目，</w:t>
            </w:r>
            <w:r>
              <w:rPr>
                <w:rFonts w:hint="eastAsia"/>
              </w:rPr>
              <w:t>租用的</w:t>
            </w:r>
            <w:r>
              <w:rPr>
                <w:rFonts w:hint="eastAsia"/>
                <w:lang w:val="en-US" w:eastAsia="zh-CN"/>
              </w:rPr>
              <w:t>吉木萨尔县北庭春物流园有限责任公司现有生产厂房</w:t>
            </w:r>
            <w:r>
              <w:rPr>
                <w:rFonts w:hint="eastAsia"/>
              </w:rPr>
              <w:t>，</w:t>
            </w:r>
            <w:r>
              <w:rPr>
                <w:rFonts w:hint="eastAsia"/>
                <w:lang w:val="en-US" w:eastAsia="zh-CN"/>
              </w:rPr>
              <w:t>目前厂房已清扫干净</w:t>
            </w:r>
            <w:r>
              <w:rPr>
                <w:rFonts w:hint="eastAsia"/>
              </w:rPr>
              <w:t>，项目地无与项目有关的原有污染及环境问题。</w:t>
            </w:r>
          </w:p>
        </w:tc>
      </w:tr>
    </w:tbl>
    <w:p>
      <w:pPr>
        <w:jc w:val="both"/>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5"/>
        <w:numPr>
          <w:ilvl w:val="0"/>
          <w:numId w:val="2"/>
        </w:numPr>
      </w:pPr>
      <w:r>
        <w:rPr>
          <w:rFonts w:hint="eastAsia"/>
        </w:rPr>
        <w:t>区域环境质量现状、环境保护目标及评价标准</w:t>
      </w:r>
    </w:p>
    <w:tbl>
      <w:tblPr>
        <w:tblStyle w:val="27"/>
        <w:tblpPr w:leftFromText="180" w:rightFromText="180" w:vertAnchor="text" w:tblpXSpec="center" w:tblpY="1"/>
        <w:tblOverlap w:val="never"/>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22"/>
        <w:gridCol w:w="79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22" w:type="dxa"/>
            <w:tcBorders>
              <w:tl2br w:val="nil"/>
              <w:tr2bl w:val="nil"/>
            </w:tcBorders>
            <w:vAlign w:val="center"/>
          </w:tcPr>
          <w:p>
            <w:pPr>
              <w:jc w:val="center"/>
              <w:rPr>
                <w:rFonts w:ascii="宋体" w:hAnsi="宋体" w:cs="宋体"/>
                <w:szCs w:val="21"/>
              </w:rPr>
            </w:pPr>
            <w:r>
              <w:rPr>
                <w:rFonts w:hint="eastAsia" w:ascii="宋体" w:hAnsi="宋体" w:cs="宋体"/>
                <w:szCs w:val="21"/>
              </w:rPr>
              <w:t>区域</w:t>
            </w:r>
          </w:p>
          <w:p>
            <w:pPr>
              <w:jc w:val="center"/>
              <w:rPr>
                <w:rFonts w:ascii="宋体" w:hAnsi="宋体" w:cs="宋体"/>
                <w:szCs w:val="21"/>
              </w:rPr>
            </w:pPr>
            <w:r>
              <w:rPr>
                <w:rFonts w:hint="eastAsia" w:ascii="宋体" w:hAnsi="宋体" w:cs="宋体"/>
                <w:szCs w:val="21"/>
              </w:rPr>
              <w:t>环境</w:t>
            </w:r>
          </w:p>
          <w:p>
            <w:pPr>
              <w:jc w:val="center"/>
              <w:rPr>
                <w:rFonts w:ascii="宋体" w:hAnsi="宋体" w:cs="宋体"/>
                <w:szCs w:val="21"/>
              </w:rPr>
            </w:pPr>
            <w:r>
              <w:rPr>
                <w:rFonts w:hint="eastAsia" w:ascii="宋体" w:hAnsi="宋体" w:cs="宋体"/>
                <w:szCs w:val="21"/>
              </w:rPr>
              <w:t>质量</w:t>
            </w:r>
          </w:p>
          <w:p>
            <w:pPr>
              <w:jc w:val="center"/>
            </w:pPr>
            <w:r>
              <w:rPr>
                <w:rFonts w:hint="eastAsia"/>
              </w:rPr>
              <w:t>现状</w:t>
            </w:r>
          </w:p>
        </w:tc>
        <w:tc>
          <w:tcPr>
            <w:tcW w:w="7900" w:type="dxa"/>
            <w:tcBorders>
              <w:tl2br w:val="nil"/>
              <w:tr2bl w:val="nil"/>
            </w:tcBorders>
          </w:tcPr>
          <w:p>
            <w:pPr>
              <w:pStyle w:val="6"/>
              <w:numPr>
                <w:ilvl w:val="0"/>
                <w:numId w:val="10"/>
              </w:numPr>
              <w:jc w:val="both"/>
              <w:outlineLvl w:val="1"/>
            </w:pPr>
            <w:r>
              <w:rPr>
                <w:rFonts w:hint="eastAsia"/>
              </w:rPr>
              <w:t>大气环境质量现状</w:t>
            </w:r>
            <w:r>
              <w:t>与评价</w:t>
            </w:r>
          </w:p>
          <w:p>
            <w:pPr>
              <w:pStyle w:val="7"/>
              <w:bidi w:val="0"/>
              <w:jc w:val="both"/>
              <w:rPr>
                <w:rFonts w:hint="eastAsia"/>
                <w:color w:val="auto"/>
                <w:lang w:eastAsia="zh-CN"/>
              </w:rPr>
            </w:pPr>
            <w:r>
              <w:rPr>
                <w:rFonts w:hint="eastAsia"/>
                <w:color w:val="auto"/>
                <w:lang w:val="en-US" w:eastAsia="zh-CN"/>
              </w:rPr>
              <w:t>1.1 项目所在区域达标判定</w:t>
            </w:r>
          </w:p>
          <w:p>
            <w:pPr>
              <w:pStyle w:val="22"/>
              <w:bidi w:val="0"/>
              <w:jc w:val="both"/>
              <w:rPr>
                <w:rFonts w:hint="default"/>
                <w:lang w:val="en-US" w:eastAsia="zh-CN"/>
              </w:rPr>
            </w:pPr>
            <w:r>
              <w:rPr>
                <w:rFonts w:hint="eastAsia"/>
                <w:lang w:val="en-US" w:eastAsia="zh-CN"/>
              </w:rPr>
              <w:t>本项目位于昌吉回族自治州</w:t>
            </w:r>
            <w:r>
              <w:rPr>
                <w:rFonts w:hint="eastAsia" w:cs="Times New Roman"/>
                <w:color w:val="auto"/>
                <w:lang w:eastAsia="zh-CN"/>
              </w:rPr>
              <w:t>吉木萨尔县北庭综合物流园内</w:t>
            </w:r>
            <w:r>
              <w:rPr>
                <w:rFonts w:hint="eastAsia"/>
                <w:lang w:val="en-US" w:eastAsia="zh-CN"/>
              </w:rPr>
              <w:t>，根据《</w:t>
            </w:r>
            <w:r>
              <w:rPr>
                <w:rFonts w:hint="eastAsia"/>
              </w:rPr>
              <w:t>建设项目环境影响报告表编制技术指南（试行</w:t>
            </w:r>
            <w:r>
              <w:rPr>
                <w:rFonts w:hint="eastAsia"/>
                <w:lang w:eastAsia="zh-CN"/>
              </w:rPr>
              <w:t>）</w:t>
            </w:r>
            <w:r>
              <w:rPr>
                <w:rFonts w:hint="eastAsia"/>
                <w:lang w:val="en-US" w:eastAsia="zh-CN"/>
              </w:rPr>
              <w:t>》（环办环评〔2020〕33号（1）），</w:t>
            </w:r>
            <w:r>
              <w:rPr>
                <w:rFonts w:hint="eastAsia"/>
              </w:rPr>
              <w:t>项目区环境空气质量功能区属二类区，执行《环境空气质量标准》（GB 3095-2012）二级标准。</w:t>
            </w:r>
          </w:p>
          <w:p>
            <w:pPr>
              <w:pStyle w:val="22"/>
              <w:bidi w:val="0"/>
              <w:jc w:val="both"/>
            </w:pPr>
            <w:r>
              <w:rPr>
                <w:rFonts w:hint="eastAsia"/>
                <w:lang w:val="en-US" w:eastAsia="zh-CN"/>
              </w:rPr>
              <w:t>（1）数据来源</w:t>
            </w:r>
          </w:p>
          <w:p>
            <w:pPr>
              <w:pStyle w:val="22"/>
              <w:bidi w:val="0"/>
              <w:jc w:val="both"/>
              <w:rPr>
                <w:rFonts w:hint="eastAsia"/>
                <w:color w:val="0000FF"/>
                <w:lang w:val="en-US" w:eastAsia="zh-CN"/>
              </w:rPr>
            </w:pPr>
            <w:r>
              <w:rPr>
                <w:color w:val="auto"/>
              </w:rPr>
              <w:t>根据</w:t>
            </w:r>
            <w:r>
              <w:rPr>
                <w:rFonts w:hint="eastAsia"/>
                <w:color w:val="auto"/>
                <w:lang w:val="en-US" w:eastAsia="zh-CN"/>
              </w:rPr>
              <w:t>《</w:t>
            </w:r>
            <w:r>
              <w:rPr>
                <w:rFonts w:hint="eastAsia"/>
                <w:color w:val="auto"/>
                <w:sz w:val="24"/>
              </w:rPr>
              <w:t>建设项目环境影响报告表编制技术指南（试行</w:t>
            </w:r>
            <w:r>
              <w:rPr>
                <w:rFonts w:hint="eastAsia"/>
                <w:color w:val="auto"/>
                <w:sz w:val="24"/>
                <w:lang w:eastAsia="zh-CN"/>
              </w:rPr>
              <w:t>）</w:t>
            </w:r>
            <w:r>
              <w:rPr>
                <w:rFonts w:hint="eastAsia"/>
                <w:color w:val="auto"/>
                <w:lang w:val="en-US" w:eastAsia="zh-CN"/>
              </w:rPr>
              <w:t>》（环办环评〔2020〕33号（1））</w:t>
            </w:r>
            <w:r>
              <w:rPr>
                <w:color w:val="auto"/>
              </w:rPr>
              <w:t>，可直接采用国家或地方生态环保主管部门公开发布的评价基准年环境质量公告或环境质量报告中的数据或结论。</w:t>
            </w:r>
            <w:r>
              <w:rPr>
                <w:rFonts w:hint="eastAsia"/>
                <w:b w:val="0"/>
                <w:bCs/>
              </w:rPr>
              <w:t>本工程位于</w:t>
            </w:r>
            <w:r>
              <w:rPr>
                <w:rFonts w:hint="eastAsia"/>
                <w:b w:val="0"/>
                <w:bCs/>
                <w:color w:val="auto"/>
              </w:rPr>
              <w:t>昌吉州</w:t>
            </w:r>
            <w:r>
              <w:rPr>
                <w:rFonts w:hint="eastAsia" w:cs="Times New Roman"/>
                <w:color w:val="auto"/>
                <w:lang w:eastAsia="zh-CN"/>
              </w:rPr>
              <w:t>吉木萨尔县</w:t>
            </w:r>
            <w:r>
              <w:rPr>
                <w:rFonts w:hint="eastAsia"/>
                <w:b w:val="0"/>
                <w:bCs/>
                <w:color w:val="auto"/>
              </w:rPr>
              <w:t>，</w:t>
            </w:r>
            <w:r>
              <w:rPr>
                <w:rFonts w:hint="eastAsia"/>
                <w:b w:val="0"/>
                <w:bCs/>
                <w:color w:val="auto"/>
                <w:lang w:val="en-US" w:eastAsia="zh-CN"/>
              </w:rPr>
              <w:t>选取距离本项目最近的</w:t>
            </w:r>
            <w:r>
              <w:rPr>
                <w:rFonts w:hint="eastAsia" w:cs="Times New Roman"/>
                <w:color w:val="auto"/>
                <w:lang w:eastAsia="zh-CN"/>
              </w:rPr>
              <w:t>吉木萨尔县环境监测站2022年的监测数据，</w:t>
            </w:r>
            <w:r>
              <w:rPr>
                <w:color w:val="auto"/>
              </w:rPr>
              <w:t>作为本项目环境空气现状评价基本污染物</w:t>
            </w:r>
            <w:r>
              <w:rPr>
                <w:rFonts w:eastAsia="Times New Roman"/>
                <w:color w:val="auto"/>
              </w:rPr>
              <w:t>SO</w:t>
            </w:r>
            <w:r>
              <w:rPr>
                <w:rFonts w:eastAsia="Times New Roman"/>
                <w:color w:val="auto"/>
                <w:vertAlign w:val="subscript"/>
              </w:rPr>
              <w:t>2</w:t>
            </w:r>
            <w:r>
              <w:rPr>
                <w:color w:val="auto"/>
              </w:rPr>
              <w:t>、</w:t>
            </w:r>
            <w:r>
              <w:rPr>
                <w:rFonts w:eastAsia="Times New Roman"/>
                <w:color w:val="auto"/>
              </w:rPr>
              <w:t>NO</w:t>
            </w:r>
            <w:r>
              <w:rPr>
                <w:rFonts w:eastAsia="Times New Roman"/>
                <w:color w:val="auto"/>
                <w:vertAlign w:val="subscript"/>
              </w:rPr>
              <w:t>2</w:t>
            </w:r>
            <w:r>
              <w:rPr>
                <w:color w:val="auto"/>
              </w:rPr>
              <w:t>、</w:t>
            </w:r>
            <w:r>
              <w:rPr>
                <w:rFonts w:eastAsia="Times New Roman"/>
                <w:color w:val="auto"/>
              </w:rPr>
              <w:t>PM</w:t>
            </w:r>
            <w:r>
              <w:rPr>
                <w:rFonts w:eastAsia="Times New Roman"/>
                <w:color w:val="auto"/>
                <w:vertAlign w:val="subscript"/>
              </w:rPr>
              <w:t>10</w:t>
            </w:r>
            <w:r>
              <w:rPr>
                <w:color w:val="auto"/>
              </w:rPr>
              <w:t>、</w:t>
            </w:r>
            <w:r>
              <w:rPr>
                <w:rFonts w:eastAsia="Times New Roman"/>
                <w:color w:val="auto"/>
              </w:rPr>
              <w:t>PM</w:t>
            </w:r>
            <w:r>
              <w:rPr>
                <w:rFonts w:eastAsia="Times New Roman"/>
                <w:color w:val="auto"/>
                <w:vertAlign w:val="subscript"/>
              </w:rPr>
              <w:t>2.5</w:t>
            </w:r>
            <w:r>
              <w:rPr>
                <w:color w:val="auto"/>
              </w:rPr>
              <w:t>、</w:t>
            </w:r>
            <w:r>
              <w:rPr>
                <w:rFonts w:eastAsia="Times New Roman"/>
                <w:color w:val="auto"/>
              </w:rPr>
              <w:t>CO</w:t>
            </w:r>
            <w:r>
              <w:rPr>
                <w:color w:val="auto"/>
              </w:rPr>
              <w:t>和</w:t>
            </w:r>
            <w:r>
              <w:rPr>
                <w:rFonts w:eastAsia="Times New Roman"/>
                <w:color w:val="auto"/>
              </w:rPr>
              <w:t>O</w:t>
            </w:r>
            <w:r>
              <w:rPr>
                <w:rFonts w:eastAsia="Times New Roman"/>
                <w:color w:val="auto"/>
                <w:vertAlign w:val="subscript"/>
              </w:rPr>
              <w:t>3</w:t>
            </w:r>
            <w:r>
              <w:rPr>
                <w:color w:val="auto"/>
              </w:rPr>
              <w:t>的数据来源。</w:t>
            </w:r>
            <w:r>
              <w:rPr>
                <w:rFonts w:hint="eastAsia"/>
                <w:color w:val="auto"/>
                <w:lang w:val="en-US" w:eastAsia="zh-CN"/>
              </w:rPr>
              <w:t>监测点位和项目所在区域地形、气象条件、环境特征、环境功能基本一致，引用数据能客观体现所在区域环境质量，项目引用环境质量资料基本可行；</w:t>
            </w:r>
          </w:p>
          <w:p>
            <w:pPr>
              <w:pStyle w:val="22"/>
              <w:bidi w:val="0"/>
              <w:jc w:val="both"/>
            </w:pPr>
            <w:r>
              <w:rPr>
                <w:rFonts w:hint="eastAsia"/>
                <w:lang w:eastAsia="zh-CN"/>
              </w:rPr>
              <w:t>（</w:t>
            </w:r>
            <w:r>
              <w:rPr>
                <w:rFonts w:hint="eastAsia"/>
                <w:lang w:val="en-US" w:eastAsia="zh-CN"/>
              </w:rPr>
              <w:t>2）</w:t>
            </w:r>
            <w:r>
              <w:t>评价标准</w:t>
            </w:r>
          </w:p>
          <w:p>
            <w:pPr>
              <w:pStyle w:val="22"/>
              <w:bidi w:val="0"/>
              <w:jc w:val="both"/>
              <w:rPr>
                <w:rFonts w:hint="eastAsia"/>
                <w:color w:val="auto"/>
              </w:rPr>
            </w:pPr>
            <w:r>
              <w:rPr>
                <w:rFonts w:hint="eastAsia"/>
                <w:color w:val="auto"/>
              </w:rPr>
              <w:t>本次评价基本污染物</w:t>
            </w:r>
            <w:r>
              <w:rPr>
                <w:color w:val="auto"/>
              </w:rPr>
              <w:t>执行《环境空气质量标准》（GB3095</w:t>
            </w:r>
            <w:r>
              <w:rPr>
                <w:rFonts w:hint="eastAsia"/>
                <w:color w:val="auto"/>
              </w:rPr>
              <w:t>-</w:t>
            </w:r>
            <w:r>
              <w:rPr>
                <w:color w:val="auto"/>
              </w:rPr>
              <w:t>2012）中二级标准。</w:t>
            </w:r>
            <w:r>
              <w:rPr>
                <w:rFonts w:hint="eastAsia"/>
                <w:color w:val="auto"/>
              </w:rPr>
              <w:t>环境空气质量标准限值见表3-1。</w:t>
            </w:r>
          </w:p>
          <w:p>
            <w:pPr>
              <w:pStyle w:val="32"/>
              <w:rPr>
                <w:color w:val="auto"/>
              </w:rPr>
            </w:pPr>
            <w:r>
              <w:rPr>
                <w:rFonts w:hint="eastAsia"/>
                <w:color w:val="auto"/>
              </w:rPr>
              <w:t>表3-1   环境空气质量标准</w:t>
            </w:r>
          </w:p>
          <w:tbl>
            <w:tblPr>
              <w:tblStyle w:val="26"/>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55"/>
              <w:gridCol w:w="1730"/>
              <w:gridCol w:w="2128"/>
              <w:gridCol w:w="2128"/>
              <w:gridCol w:w="104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tcBorders>
                    <w:bottom w:val="single" w:color="000000" w:sz="12" w:space="0"/>
                  </w:tcBorders>
                  <w:noWrap w:val="0"/>
                  <w:vAlign w:val="center"/>
                </w:tcPr>
                <w:p>
                  <w:pPr>
                    <w:pStyle w:val="33"/>
                    <w:rPr>
                      <w:b/>
                      <w:bCs/>
                      <w:color w:val="auto"/>
                    </w:rPr>
                  </w:pPr>
                  <w:r>
                    <w:rPr>
                      <w:b/>
                      <w:bCs/>
                      <w:color w:val="auto"/>
                    </w:rPr>
                    <w:t>序号</w:t>
                  </w:r>
                </w:p>
              </w:tc>
              <w:tc>
                <w:tcPr>
                  <w:tcW w:w="1126" w:type="pct"/>
                  <w:tcBorders>
                    <w:bottom w:val="single" w:color="000000" w:sz="12" w:space="0"/>
                  </w:tcBorders>
                  <w:noWrap w:val="0"/>
                  <w:vAlign w:val="center"/>
                </w:tcPr>
                <w:p>
                  <w:pPr>
                    <w:pStyle w:val="33"/>
                    <w:rPr>
                      <w:b/>
                      <w:bCs/>
                      <w:color w:val="auto"/>
                    </w:rPr>
                  </w:pPr>
                  <w:r>
                    <w:rPr>
                      <w:b/>
                      <w:bCs/>
                      <w:color w:val="auto"/>
                    </w:rPr>
                    <w:t>污染物项目</w:t>
                  </w:r>
                </w:p>
              </w:tc>
              <w:tc>
                <w:tcPr>
                  <w:tcW w:w="1385" w:type="pct"/>
                  <w:tcBorders>
                    <w:bottom w:val="single" w:color="000000" w:sz="12" w:space="0"/>
                  </w:tcBorders>
                  <w:noWrap w:val="0"/>
                  <w:vAlign w:val="center"/>
                </w:tcPr>
                <w:p>
                  <w:pPr>
                    <w:pStyle w:val="33"/>
                    <w:rPr>
                      <w:b/>
                      <w:bCs/>
                      <w:color w:val="auto"/>
                    </w:rPr>
                  </w:pPr>
                  <w:r>
                    <w:rPr>
                      <w:b/>
                      <w:bCs/>
                      <w:color w:val="auto"/>
                    </w:rPr>
                    <w:t>平均时间</w:t>
                  </w:r>
                </w:p>
              </w:tc>
              <w:tc>
                <w:tcPr>
                  <w:tcW w:w="1385" w:type="pct"/>
                  <w:tcBorders>
                    <w:bottom w:val="single" w:color="000000" w:sz="12" w:space="0"/>
                  </w:tcBorders>
                  <w:noWrap w:val="0"/>
                  <w:vAlign w:val="center"/>
                </w:tcPr>
                <w:p>
                  <w:pPr>
                    <w:pStyle w:val="33"/>
                    <w:rPr>
                      <w:b/>
                      <w:bCs/>
                      <w:color w:val="auto"/>
                    </w:rPr>
                  </w:pPr>
                  <w:r>
                    <w:rPr>
                      <w:b/>
                      <w:bCs/>
                      <w:color w:val="auto"/>
                    </w:rPr>
                    <w:t>浓度限值</w:t>
                  </w:r>
                </w:p>
              </w:tc>
              <w:tc>
                <w:tcPr>
                  <w:tcW w:w="676" w:type="pct"/>
                  <w:tcBorders>
                    <w:bottom w:val="single" w:color="000000" w:sz="12" w:space="0"/>
                  </w:tcBorders>
                  <w:noWrap w:val="0"/>
                  <w:vAlign w:val="center"/>
                </w:tcPr>
                <w:p>
                  <w:pPr>
                    <w:pStyle w:val="33"/>
                    <w:rPr>
                      <w:b/>
                      <w:bCs/>
                      <w:color w:val="auto"/>
                    </w:rPr>
                  </w:pPr>
                  <w:r>
                    <w:rPr>
                      <w:rFonts w:hint="eastAsia"/>
                      <w:b/>
                      <w:bCs/>
                      <w:color w:val="auto"/>
                    </w:rPr>
                    <w:t>单位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restart"/>
                  <w:tcBorders>
                    <w:top w:val="single" w:color="000000" w:sz="12" w:space="0"/>
                    <w:tl2br w:val="nil"/>
                    <w:tr2bl w:val="nil"/>
                  </w:tcBorders>
                  <w:noWrap w:val="0"/>
                  <w:vAlign w:val="center"/>
                </w:tcPr>
                <w:p>
                  <w:pPr>
                    <w:pStyle w:val="33"/>
                    <w:rPr>
                      <w:color w:val="auto"/>
                    </w:rPr>
                  </w:pPr>
                  <w:r>
                    <w:rPr>
                      <w:color w:val="auto"/>
                    </w:rPr>
                    <w:t>1</w:t>
                  </w:r>
                </w:p>
              </w:tc>
              <w:tc>
                <w:tcPr>
                  <w:tcW w:w="1126" w:type="pct"/>
                  <w:vMerge w:val="restart"/>
                  <w:tcBorders>
                    <w:top w:val="single" w:color="000000" w:sz="12" w:space="0"/>
                    <w:tl2br w:val="nil"/>
                    <w:tr2bl w:val="nil"/>
                  </w:tcBorders>
                  <w:noWrap w:val="0"/>
                  <w:vAlign w:val="center"/>
                </w:tcPr>
                <w:p>
                  <w:pPr>
                    <w:pStyle w:val="33"/>
                    <w:rPr>
                      <w:color w:val="auto"/>
                    </w:rPr>
                  </w:pPr>
                  <w:r>
                    <w:rPr>
                      <w:color w:val="auto"/>
                    </w:rPr>
                    <w:t>SO</w:t>
                  </w:r>
                  <w:r>
                    <w:rPr>
                      <w:color w:val="auto"/>
                      <w:vertAlign w:val="subscript"/>
                    </w:rPr>
                    <w:t>2</w:t>
                  </w:r>
                </w:p>
              </w:tc>
              <w:tc>
                <w:tcPr>
                  <w:tcW w:w="1385" w:type="pct"/>
                  <w:tcBorders>
                    <w:top w:val="single" w:color="000000" w:sz="12" w:space="0"/>
                    <w:tl2br w:val="nil"/>
                    <w:tr2bl w:val="nil"/>
                  </w:tcBorders>
                  <w:noWrap w:val="0"/>
                  <w:vAlign w:val="center"/>
                </w:tcPr>
                <w:p>
                  <w:pPr>
                    <w:pStyle w:val="33"/>
                    <w:rPr>
                      <w:color w:val="auto"/>
                    </w:rPr>
                  </w:pPr>
                  <w:r>
                    <w:rPr>
                      <w:rFonts w:hint="eastAsia"/>
                      <w:color w:val="auto"/>
                    </w:rPr>
                    <w:t>年平均</w:t>
                  </w:r>
                </w:p>
              </w:tc>
              <w:tc>
                <w:tcPr>
                  <w:tcW w:w="1385" w:type="pct"/>
                  <w:tcBorders>
                    <w:top w:val="single" w:color="000000" w:sz="12" w:space="0"/>
                    <w:tl2br w:val="nil"/>
                    <w:tr2bl w:val="nil"/>
                  </w:tcBorders>
                  <w:noWrap w:val="0"/>
                  <w:vAlign w:val="center"/>
                </w:tcPr>
                <w:p>
                  <w:pPr>
                    <w:pStyle w:val="33"/>
                    <w:rPr>
                      <w:color w:val="auto"/>
                    </w:rPr>
                  </w:pPr>
                  <w:r>
                    <w:rPr>
                      <w:rFonts w:hint="eastAsia"/>
                      <w:color w:val="auto"/>
                    </w:rPr>
                    <w:t>60</w:t>
                  </w:r>
                </w:p>
              </w:tc>
              <w:tc>
                <w:tcPr>
                  <w:tcW w:w="676" w:type="pct"/>
                  <w:vMerge w:val="restart"/>
                  <w:tcBorders>
                    <w:top w:val="single" w:color="000000" w:sz="12" w:space="0"/>
                    <w:tl2br w:val="nil"/>
                    <w:tr2bl w:val="nil"/>
                  </w:tcBorders>
                  <w:noWrap w:val="0"/>
                  <w:vAlign w:val="center"/>
                </w:tcPr>
                <w:p>
                  <w:pPr>
                    <w:pStyle w:val="33"/>
                    <w:rPr>
                      <w:color w:val="auto"/>
                    </w:rPr>
                  </w:pPr>
                  <w:r>
                    <w:rPr>
                      <w:color w:val="auto"/>
                    </w:rPr>
                    <w:t>μg/m</w:t>
                  </w:r>
                  <w:r>
                    <w:rPr>
                      <w:color w:val="auto"/>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continue"/>
                  <w:tcBorders>
                    <w:tl2br w:val="nil"/>
                    <w:tr2bl w:val="nil"/>
                  </w:tcBorders>
                  <w:noWrap w:val="0"/>
                  <w:vAlign w:val="center"/>
                </w:tcPr>
                <w:p>
                  <w:pPr>
                    <w:pStyle w:val="33"/>
                    <w:rPr>
                      <w:color w:val="auto"/>
                    </w:rPr>
                  </w:pPr>
                </w:p>
              </w:tc>
              <w:tc>
                <w:tcPr>
                  <w:tcW w:w="1126" w:type="pct"/>
                  <w:vMerge w:val="continue"/>
                  <w:tcBorders>
                    <w:tl2br w:val="nil"/>
                    <w:tr2bl w:val="nil"/>
                  </w:tcBorders>
                  <w:noWrap w:val="0"/>
                  <w:vAlign w:val="center"/>
                </w:tcPr>
                <w:p>
                  <w:pPr>
                    <w:pStyle w:val="33"/>
                    <w:rPr>
                      <w:color w:val="auto"/>
                    </w:rPr>
                  </w:pPr>
                </w:p>
              </w:tc>
              <w:tc>
                <w:tcPr>
                  <w:tcW w:w="1385" w:type="pct"/>
                  <w:tcBorders>
                    <w:tl2br w:val="nil"/>
                    <w:tr2bl w:val="nil"/>
                  </w:tcBorders>
                  <w:noWrap w:val="0"/>
                  <w:vAlign w:val="center"/>
                </w:tcPr>
                <w:p>
                  <w:pPr>
                    <w:pStyle w:val="33"/>
                    <w:rPr>
                      <w:color w:val="auto"/>
                    </w:rPr>
                  </w:pPr>
                  <w:r>
                    <w:rPr>
                      <w:color w:val="auto"/>
                    </w:rPr>
                    <w:t>24小时</w:t>
                  </w:r>
                  <w:r>
                    <w:rPr>
                      <w:rFonts w:hint="eastAsia"/>
                      <w:color w:val="auto"/>
                    </w:rPr>
                    <w:t>平均</w:t>
                  </w:r>
                </w:p>
              </w:tc>
              <w:tc>
                <w:tcPr>
                  <w:tcW w:w="1385" w:type="pct"/>
                  <w:tcBorders>
                    <w:tl2br w:val="nil"/>
                    <w:tr2bl w:val="nil"/>
                  </w:tcBorders>
                  <w:noWrap w:val="0"/>
                  <w:vAlign w:val="center"/>
                </w:tcPr>
                <w:p>
                  <w:pPr>
                    <w:pStyle w:val="33"/>
                    <w:rPr>
                      <w:color w:val="auto"/>
                    </w:rPr>
                  </w:pPr>
                  <w:r>
                    <w:rPr>
                      <w:color w:val="auto"/>
                    </w:rPr>
                    <w:t>150</w:t>
                  </w:r>
                </w:p>
              </w:tc>
              <w:tc>
                <w:tcPr>
                  <w:tcW w:w="676" w:type="pct"/>
                  <w:vMerge w:val="continue"/>
                  <w:tcBorders>
                    <w:tl2br w:val="nil"/>
                    <w:tr2bl w:val="nil"/>
                  </w:tcBorders>
                  <w:noWrap w:val="0"/>
                  <w:vAlign w:val="center"/>
                </w:tcPr>
                <w:p>
                  <w:pPr>
                    <w:pStyle w:val="33"/>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continue"/>
                  <w:tcBorders>
                    <w:tl2br w:val="nil"/>
                    <w:tr2bl w:val="nil"/>
                  </w:tcBorders>
                  <w:noWrap w:val="0"/>
                  <w:vAlign w:val="center"/>
                </w:tcPr>
                <w:p>
                  <w:pPr>
                    <w:pStyle w:val="33"/>
                    <w:rPr>
                      <w:color w:val="auto"/>
                    </w:rPr>
                  </w:pPr>
                </w:p>
              </w:tc>
              <w:tc>
                <w:tcPr>
                  <w:tcW w:w="1126" w:type="pct"/>
                  <w:vMerge w:val="continue"/>
                  <w:tcBorders>
                    <w:tl2br w:val="nil"/>
                    <w:tr2bl w:val="nil"/>
                  </w:tcBorders>
                  <w:noWrap w:val="0"/>
                  <w:vAlign w:val="center"/>
                </w:tcPr>
                <w:p>
                  <w:pPr>
                    <w:pStyle w:val="33"/>
                    <w:rPr>
                      <w:color w:val="auto"/>
                    </w:rPr>
                  </w:pPr>
                </w:p>
              </w:tc>
              <w:tc>
                <w:tcPr>
                  <w:tcW w:w="1385" w:type="pct"/>
                  <w:tcBorders>
                    <w:tl2br w:val="nil"/>
                    <w:tr2bl w:val="nil"/>
                  </w:tcBorders>
                  <w:noWrap w:val="0"/>
                  <w:vAlign w:val="center"/>
                </w:tcPr>
                <w:p>
                  <w:pPr>
                    <w:pStyle w:val="33"/>
                    <w:rPr>
                      <w:color w:val="auto"/>
                    </w:rPr>
                  </w:pPr>
                  <w:r>
                    <w:rPr>
                      <w:color w:val="auto"/>
                    </w:rPr>
                    <w:t>1小时平均</w:t>
                  </w:r>
                </w:p>
              </w:tc>
              <w:tc>
                <w:tcPr>
                  <w:tcW w:w="1385" w:type="pct"/>
                  <w:tcBorders>
                    <w:tl2br w:val="nil"/>
                    <w:tr2bl w:val="nil"/>
                  </w:tcBorders>
                  <w:noWrap w:val="0"/>
                  <w:vAlign w:val="center"/>
                </w:tcPr>
                <w:p>
                  <w:pPr>
                    <w:pStyle w:val="33"/>
                    <w:rPr>
                      <w:color w:val="auto"/>
                    </w:rPr>
                  </w:pPr>
                  <w:r>
                    <w:rPr>
                      <w:rFonts w:hint="eastAsia"/>
                      <w:color w:val="auto"/>
                    </w:rPr>
                    <w:t>500</w:t>
                  </w:r>
                </w:p>
              </w:tc>
              <w:tc>
                <w:tcPr>
                  <w:tcW w:w="676" w:type="pct"/>
                  <w:vMerge w:val="continue"/>
                  <w:tcBorders>
                    <w:tl2br w:val="nil"/>
                    <w:tr2bl w:val="nil"/>
                  </w:tcBorders>
                  <w:noWrap w:val="0"/>
                  <w:vAlign w:val="center"/>
                </w:tcPr>
                <w:p>
                  <w:pPr>
                    <w:pStyle w:val="33"/>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restart"/>
                  <w:tcBorders>
                    <w:tl2br w:val="nil"/>
                    <w:tr2bl w:val="nil"/>
                  </w:tcBorders>
                  <w:noWrap w:val="0"/>
                  <w:vAlign w:val="center"/>
                </w:tcPr>
                <w:p>
                  <w:pPr>
                    <w:pStyle w:val="33"/>
                    <w:rPr>
                      <w:color w:val="auto"/>
                    </w:rPr>
                  </w:pPr>
                  <w:r>
                    <w:rPr>
                      <w:color w:val="auto"/>
                    </w:rPr>
                    <w:t>2</w:t>
                  </w:r>
                </w:p>
              </w:tc>
              <w:tc>
                <w:tcPr>
                  <w:tcW w:w="1126" w:type="pct"/>
                  <w:vMerge w:val="restart"/>
                  <w:tcBorders>
                    <w:tl2br w:val="nil"/>
                    <w:tr2bl w:val="nil"/>
                  </w:tcBorders>
                  <w:noWrap w:val="0"/>
                  <w:vAlign w:val="center"/>
                </w:tcPr>
                <w:p>
                  <w:pPr>
                    <w:pStyle w:val="33"/>
                    <w:rPr>
                      <w:color w:val="auto"/>
                    </w:rPr>
                  </w:pPr>
                  <w:r>
                    <w:rPr>
                      <w:color w:val="auto"/>
                    </w:rPr>
                    <w:t>NO</w:t>
                  </w:r>
                  <w:r>
                    <w:rPr>
                      <w:color w:val="auto"/>
                      <w:vertAlign w:val="subscript"/>
                    </w:rPr>
                    <w:t>2</w:t>
                  </w:r>
                </w:p>
              </w:tc>
              <w:tc>
                <w:tcPr>
                  <w:tcW w:w="1385" w:type="pct"/>
                  <w:tcBorders>
                    <w:tl2br w:val="nil"/>
                    <w:tr2bl w:val="nil"/>
                  </w:tcBorders>
                  <w:noWrap w:val="0"/>
                  <w:vAlign w:val="center"/>
                </w:tcPr>
                <w:p>
                  <w:pPr>
                    <w:pStyle w:val="33"/>
                    <w:rPr>
                      <w:color w:val="auto"/>
                    </w:rPr>
                  </w:pPr>
                  <w:r>
                    <w:rPr>
                      <w:rFonts w:hint="eastAsia"/>
                      <w:color w:val="auto"/>
                    </w:rPr>
                    <w:t>年平均</w:t>
                  </w:r>
                </w:p>
              </w:tc>
              <w:tc>
                <w:tcPr>
                  <w:tcW w:w="1385" w:type="pct"/>
                  <w:tcBorders>
                    <w:tl2br w:val="nil"/>
                    <w:tr2bl w:val="nil"/>
                  </w:tcBorders>
                  <w:noWrap w:val="0"/>
                  <w:vAlign w:val="center"/>
                </w:tcPr>
                <w:p>
                  <w:pPr>
                    <w:pStyle w:val="33"/>
                    <w:rPr>
                      <w:color w:val="auto"/>
                    </w:rPr>
                  </w:pPr>
                  <w:r>
                    <w:rPr>
                      <w:rFonts w:hint="eastAsia"/>
                      <w:color w:val="auto"/>
                    </w:rPr>
                    <w:t>40</w:t>
                  </w:r>
                </w:p>
              </w:tc>
              <w:tc>
                <w:tcPr>
                  <w:tcW w:w="676" w:type="pct"/>
                  <w:vMerge w:val="continue"/>
                  <w:tcBorders>
                    <w:tl2br w:val="nil"/>
                    <w:tr2bl w:val="nil"/>
                  </w:tcBorders>
                  <w:noWrap w:val="0"/>
                  <w:vAlign w:val="center"/>
                </w:tcPr>
                <w:p>
                  <w:pPr>
                    <w:pStyle w:val="33"/>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continue"/>
                  <w:tcBorders>
                    <w:tl2br w:val="nil"/>
                    <w:tr2bl w:val="nil"/>
                  </w:tcBorders>
                  <w:noWrap w:val="0"/>
                  <w:vAlign w:val="center"/>
                </w:tcPr>
                <w:p>
                  <w:pPr>
                    <w:pStyle w:val="33"/>
                    <w:rPr>
                      <w:color w:val="auto"/>
                    </w:rPr>
                  </w:pPr>
                </w:p>
              </w:tc>
              <w:tc>
                <w:tcPr>
                  <w:tcW w:w="1126" w:type="pct"/>
                  <w:vMerge w:val="continue"/>
                  <w:tcBorders>
                    <w:tl2br w:val="nil"/>
                    <w:tr2bl w:val="nil"/>
                  </w:tcBorders>
                  <w:noWrap w:val="0"/>
                  <w:vAlign w:val="center"/>
                </w:tcPr>
                <w:p>
                  <w:pPr>
                    <w:pStyle w:val="33"/>
                    <w:rPr>
                      <w:color w:val="auto"/>
                    </w:rPr>
                  </w:pPr>
                </w:p>
              </w:tc>
              <w:tc>
                <w:tcPr>
                  <w:tcW w:w="1385" w:type="pct"/>
                  <w:tcBorders>
                    <w:tl2br w:val="nil"/>
                    <w:tr2bl w:val="nil"/>
                  </w:tcBorders>
                  <w:noWrap w:val="0"/>
                  <w:vAlign w:val="center"/>
                </w:tcPr>
                <w:p>
                  <w:pPr>
                    <w:pStyle w:val="33"/>
                    <w:rPr>
                      <w:color w:val="auto"/>
                    </w:rPr>
                  </w:pPr>
                  <w:r>
                    <w:rPr>
                      <w:color w:val="auto"/>
                    </w:rPr>
                    <w:t>24小时平均</w:t>
                  </w:r>
                </w:p>
              </w:tc>
              <w:tc>
                <w:tcPr>
                  <w:tcW w:w="1385" w:type="pct"/>
                  <w:tcBorders>
                    <w:tl2br w:val="nil"/>
                    <w:tr2bl w:val="nil"/>
                  </w:tcBorders>
                  <w:noWrap w:val="0"/>
                  <w:vAlign w:val="center"/>
                </w:tcPr>
                <w:p>
                  <w:pPr>
                    <w:pStyle w:val="33"/>
                    <w:rPr>
                      <w:color w:val="auto"/>
                    </w:rPr>
                  </w:pPr>
                  <w:r>
                    <w:rPr>
                      <w:rFonts w:hint="eastAsia"/>
                      <w:color w:val="auto"/>
                    </w:rPr>
                    <w:t>80</w:t>
                  </w:r>
                </w:p>
              </w:tc>
              <w:tc>
                <w:tcPr>
                  <w:tcW w:w="676" w:type="pct"/>
                  <w:vMerge w:val="continue"/>
                  <w:tcBorders>
                    <w:tl2br w:val="nil"/>
                    <w:tr2bl w:val="nil"/>
                  </w:tcBorders>
                  <w:noWrap w:val="0"/>
                  <w:vAlign w:val="center"/>
                </w:tcPr>
                <w:p>
                  <w:pPr>
                    <w:pStyle w:val="33"/>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continue"/>
                  <w:tcBorders>
                    <w:tl2br w:val="nil"/>
                    <w:tr2bl w:val="nil"/>
                  </w:tcBorders>
                  <w:noWrap w:val="0"/>
                  <w:vAlign w:val="center"/>
                </w:tcPr>
                <w:p>
                  <w:pPr>
                    <w:pStyle w:val="33"/>
                    <w:rPr>
                      <w:color w:val="auto"/>
                    </w:rPr>
                  </w:pPr>
                </w:p>
              </w:tc>
              <w:tc>
                <w:tcPr>
                  <w:tcW w:w="1126" w:type="pct"/>
                  <w:vMerge w:val="continue"/>
                  <w:tcBorders>
                    <w:tl2br w:val="nil"/>
                    <w:tr2bl w:val="nil"/>
                  </w:tcBorders>
                  <w:noWrap w:val="0"/>
                  <w:vAlign w:val="center"/>
                </w:tcPr>
                <w:p>
                  <w:pPr>
                    <w:pStyle w:val="33"/>
                    <w:rPr>
                      <w:color w:val="auto"/>
                    </w:rPr>
                  </w:pPr>
                </w:p>
              </w:tc>
              <w:tc>
                <w:tcPr>
                  <w:tcW w:w="1385" w:type="pct"/>
                  <w:tcBorders>
                    <w:tl2br w:val="nil"/>
                    <w:tr2bl w:val="nil"/>
                  </w:tcBorders>
                  <w:noWrap w:val="0"/>
                  <w:vAlign w:val="center"/>
                </w:tcPr>
                <w:p>
                  <w:pPr>
                    <w:pStyle w:val="33"/>
                    <w:rPr>
                      <w:color w:val="auto"/>
                    </w:rPr>
                  </w:pPr>
                  <w:r>
                    <w:rPr>
                      <w:color w:val="auto"/>
                    </w:rPr>
                    <w:t>1小时平均</w:t>
                  </w:r>
                </w:p>
              </w:tc>
              <w:tc>
                <w:tcPr>
                  <w:tcW w:w="1385" w:type="pct"/>
                  <w:tcBorders>
                    <w:tl2br w:val="nil"/>
                    <w:tr2bl w:val="nil"/>
                  </w:tcBorders>
                  <w:noWrap w:val="0"/>
                  <w:vAlign w:val="center"/>
                </w:tcPr>
                <w:p>
                  <w:pPr>
                    <w:pStyle w:val="33"/>
                    <w:rPr>
                      <w:color w:val="auto"/>
                    </w:rPr>
                  </w:pPr>
                  <w:r>
                    <w:rPr>
                      <w:rFonts w:hint="eastAsia"/>
                      <w:color w:val="auto"/>
                    </w:rPr>
                    <w:t>200</w:t>
                  </w:r>
                </w:p>
              </w:tc>
              <w:tc>
                <w:tcPr>
                  <w:tcW w:w="676" w:type="pct"/>
                  <w:vMerge w:val="continue"/>
                  <w:tcBorders>
                    <w:tl2br w:val="nil"/>
                    <w:tr2bl w:val="nil"/>
                  </w:tcBorders>
                  <w:noWrap w:val="0"/>
                  <w:vAlign w:val="center"/>
                </w:tcPr>
                <w:p>
                  <w:pPr>
                    <w:pStyle w:val="33"/>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restart"/>
                  <w:tcBorders>
                    <w:tl2br w:val="nil"/>
                    <w:tr2bl w:val="nil"/>
                  </w:tcBorders>
                  <w:noWrap w:val="0"/>
                  <w:vAlign w:val="center"/>
                </w:tcPr>
                <w:p>
                  <w:pPr>
                    <w:pStyle w:val="33"/>
                    <w:rPr>
                      <w:color w:val="auto"/>
                    </w:rPr>
                  </w:pPr>
                  <w:r>
                    <w:rPr>
                      <w:color w:val="auto"/>
                    </w:rPr>
                    <w:t>3</w:t>
                  </w:r>
                </w:p>
              </w:tc>
              <w:tc>
                <w:tcPr>
                  <w:tcW w:w="1126" w:type="pct"/>
                  <w:vMerge w:val="restart"/>
                  <w:tcBorders>
                    <w:tl2br w:val="nil"/>
                    <w:tr2bl w:val="nil"/>
                  </w:tcBorders>
                  <w:noWrap w:val="0"/>
                  <w:vAlign w:val="center"/>
                </w:tcPr>
                <w:p>
                  <w:pPr>
                    <w:pStyle w:val="33"/>
                    <w:rPr>
                      <w:color w:val="auto"/>
                    </w:rPr>
                  </w:pPr>
                  <w:r>
                    <w:rPr>
                      <w:rFonts w:hint="eastAsia"/>
                      <w:color w:val="auto"/>
                    </w:rPr>
                    <w:t>CO</w:t>
                  </w:r>
                </w:p>
              </w:tc>
              <w:tc>
                <w:tcPr>
                  <w:tcW w:w="1385" w:type="pct"/>
                  <w:tcBorders>
                    <w:tl2br w:val="nil"/>
                    <w:tr2bl w:val="nil"/>
                  </w:tcBorders>
                  <w:noWrap w:val="0"/>
                  <w:vAlign w:val="center"/>
                </w:tcPr>
                <w:p>
                  <w:pPr>
                    <w:pStyle w:val="33"/>
                    <w:rPr>
                      <w:color w:val="auto"/>
                    </w:rPr>
                  </w:pPr>
                  <w:r>
                    <w:rPr>
                      <w:color w:val="auto"/>
                    </w:rPr>
                    <w:t>24小时平均</w:t>
                  </w:r>
                </w:p>
              </w:tc>
              <w:tc>
                <w:tcPr>
                  <w:tcW w:w="1385" w:type="pct"/>
                  <w:tcBorders>
                    <w:tl2br w:val="nil"/>
                    <w:tr2bl w:val="nil"/>
                  </w:tcBorders>
                  <w:noWrap w:val="0"/>
                  <w:vAlign w:val="center"/>
                </w:tcPr>
                <w:p>
                  <w:pPr>
                    <w:pStyle w:val="33"/>
                    <w:rPr>
                      <w:color w:val="auto"/>
                    </w:rPr>
                  </w:pPr>
                  <w:r>
                    <w:rPr>
                      <w:rFonts w:hint="eastAsia"/>
                      <w:color w:val="auto"/>
                    </w:rPr>
                    <w:t>4</w:t>
                  </w:r>
                </w:p>
              </w:tc>
              <w:tc>
                <w:tcPr>
                  <w:tcW w:w="676" w:type="pct"/>
                  <w:vMerge w:val="restart"/>
                  <w:tcBorders>
                    <w:tl2br w:val="nil"/>
                    <w:tr2bl w:val="nil"/>
                  </w:tcBorders>
                  <w:noWrap w:val="0"/>
                  <w:vAlign w:val="center"/>
                </w:tcPr>
                <w:p>
                  <w:pPr>
                    <w:pStyle w:val="33"/>
                    <w:rPr>
                      <w:color w:val="auto"/>
                    </w:rPr>
                  </w:pPr>
                  <w:r>
                    <w:rPr>
                      <w:rFonts w:hint="eastAsia"/>
                      <w:color w:val="auto"/>
                    </w:rPr>
                    <w:t>mg</w:t>
                  </w:r>
                  <w:r>
                    <w:rPr>
                      <w:color w:val="auto"/>
                    </w:rPr>
                    <w:t>/m</w:t>
                  </w:r>
                  <w:r>
                    <w:rPr>
                      <w:color w:val="auto"/>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continue"/>
                  <w:tcBorders>
                    <w:tl2br w:val="nil"/>
                    <w:tr2bl w:val="nil"/>
                  </w:tcBorders>
                  <w:noWrap w:val="0"/>
                  <w:vAlign w:val="center"/>
                </w:tcPr>
                <w:p>
                  <w:pPr>
                    <w:pStyle w:val="33"/>
                    <w:rPr>
                      <w:color w:val="auto"/>
                    </w:rPr>
                  </w:pPr>
                </w:p>
              </w:tc>
              <w:tc>
                <w:tcPr>
                  <w:tcW w:w="1126" w:type="pct"/>
                  <w:vMerge w:val="continue"/>
                  <w:tcBorders>
                    <w:tl2br w:val="nil"/>
                    <w:tr2bl w:val="nil"/>
                  </w:tcBorders>
                  <w:noWrap w:val="0"/>
                  <w:vAlign w:val="center"/>
                </w:tcPr>
                <w:p>
                  <w:pPr>
                    <w:pStyle w:val="33"/>
                    <w:rPr>
                      <w:color w:val="auto"/>
                    </w:rPr>
                  </w:pPr>
                </w:p>
              </w:tc>
              <w:tc>
                <w:tcPr>
                  <w:tcW w:w="1385" w:type="pct"/>
                  <w:tcBorders>
                    <w:tl2br w:val="nil"/>
                    <w:tr2bl w:val="nil"/>
                  </w:tcBorders>
                  <w:noWrap w:val="0"/>
                  <w:vAlign w:val="center"/>
                </w:tcPr>
                <w:p>
                  <w:pPr>
                    <w:pStyle w:val="33"/>
                    <w:rPr>
                      <w:color w:val="auto"/>
                    </w:rPr>
                  </w:pPr>
                  <w:r>
                    <w:rPr>
                      <w:color w:val="auto"/>
                    </w:rPr>
                    <w:t>1小时平均</w:t>
                  </w:r>
                </w:p>
              </w:tc>
              <w:tc>
                <w:tcPr>
                  <w:tcW w:w="1385" w:type="pct"/>
                  <w:tcBorders>
                    <w:tl2br w:val="nil"/>
                    <w:tr2bl w:val="nil"/>
                  </w:tcBorders>
                  <w:noWrap w:val="0"/>
                  <w:vAlign w:val="center"/>
                </w:tcPr>
                <w:p>
                  <w:pPr>
                    <w:pStyle w:val="33"/>
                    <w:rPr>
                      <w:color w:val="auto"/>
                    </w:rPr>
                  </w:pPr>
                  <w:r>
                    <w:rPr>
                      <w:rFonts w:hint="eastAsia"/>
                      <w:color w:val="auto"/>
                    </w:rPr>
                    <w:t>10</w:t>
                  </w:r>
                </w:p>
              </w:tc>
              <w:tc>
                <w:tcPr>
                  <w:tcW w:w="676" w:type="pct"/>
                  <w:vMerge w:val="continue"/>
                  <w:tcBorders>
                    <w:tl2br w:val="nil"/>
                    <w:tr2bl w:val="nil"/>
                  </w:tcBorders>
                  <w:noWrap w:val="0"/>
                  <w:vAlign w:val="center"/>
                </w:tcPr>
                <w:p>
                  <w:pPr>
                    <w:pStyle w:val="33"/>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restart"/>
                  <w:tcBorders>
                    <w:tl2br w:val="nil"/>
                    <w:tr2bl w:val="nil"/>
                  </w:tcBorders>
                  <w:noWrap w:val="0"/>
                  <w:vAlign w:val="center"/>
                </w:tcPr>
                <w:p>
                  <w:pPr>
                    <w:pStyle w:val="33"/>
                    <w:rPr>
                      <w:color w:val="auto"/>
                    </w:rPr>
                  </w:pPr>
                  <w:r>
                    <w:rPr>
                      <w:color w:val="auto"/>
                    </w:rPr>
                    <w:t>4</w:t>
                  </w:r>
                </w:p>
              </w:tc>
              <w:tc>
                <w:tcPr>
                  <w:tcW w:w="1126" w:type="pct"/>
                  <w:vMerge w:val="restart"/>
                  <w:tcBorders>
                    <w:tl2br w:val="nil"/>
                    <w:tr2bl w:val="nil"/>
                  </w:tcBorders>
                  <w:noWrap w:val="0"/>
                  <w:vAlign w:val="center"/>
                </w:tcPr>
                <w:p>
                  <w:pPr>
                    <w:pStyle w:val="33"/>
                    <w:rPr>
                      <w:color w:val="auto"/>
                    </w:rPr>
                  </w:pPr>
                  <w:r>
                    <w:rPr>
                      <w:color w:val="auto"/>
                    </w:rPr>
                    <w:t>O</w:t>
                  </w:r>
                  <w:r>
                    <w:rPr>
                      <w:color w:val="auto"/>
                      <w:vertAlign w:val="subscript"/>
                    </w:rPr>
                    <w:t>3</w:t>
                  </w:r>
                </w:p>
              </w:tc>
              <w:tc>
                <w:tcPr>
                  <w:tcW w:w="1385" w:type="pct"/>
                  <w:tcBorders>
                    <w:tl2br w:val="nil"/>
                    <w:tr2bl w:val="nil"/>
                  </w:tcBorders>
                  <w:noWrap w:val="0"/>
                  <w:vAlign w:val="center"/>
                </w:tcPr>
                <w:p>
                  <w:pPr>
                    <w:pStyle w:val="33"/>
                    <w:rPr>
                      <w:color w:val="auto"/>
                    </w:rPr>
                  </w:pPr>
                  <w:r>
                    <w:rPr>
                      <w:color w:val="auto"/>
                    </w:rPr>
                    <w:t>日</w:t>
                  </w:r>
                  <w:r>
                    <w:rPr>
                      <w:rFonts w:hint="eastAsia"/>
                      <w:color w:val="auto"/>
                    </w:rPr>
                    <w:t>最</w:t>
                  </w:r>
                  <w:r>
                    <w:rPr>
                      <w:color w:val="auto"/>
                    </w:rPr>
                    <w:t>大8小时平均</w:t>
                  </w:r>
                </w:p>
              </w:tc>
              <w:tc>
                <w:tcPr>
                  <w:tcW w:w="1385" w:type="pct"/>
                  <w:tcBorders>
                    <w:tl2br w:val="nil"/>
                    <w:tr2bl w:val="nil"/>
                  </w:tcBorders>
                  <w:noWrap w:val="0"/>
                  <w:vAlign w:val="center"/>
                </w:tcPr>
                <w:p>
                  <w:pPr>
                    <w:pStyle w:val="33"/>
                    <w:rPr>
                      <w:color w:val="auto"/>
                    </w:rPr>
                  </w:pPr>
                  <w:r>
                    <w:rPr>
                      <w:rFonts w:hint="eastAsia"/>
                      <w:color w:val="auto"/>
                    </w:rPr>
                    <w:t>160</w:t>
                  </w:r>
                </w:p>
              </w:tc>
              <w:tc>
                <w:tcPr>
                  <w:tcW w:w="676" w:type="pct"/>
                  <w:vMerge w:val="restart"/>
                  <w:tcBorders>
                    <w:tl2br w:val="nil"/>
                    <w:tr2bl w:val="nil"/>
                  </w:tcBorders>
                  <w:noWrap w:val="0"/>
                  <w:vAlign w:val="center"/>
                </w:tcPr>
                <w:p>
                  <w:pPr>
                    <w:pStyle w:val="33"/>
                    <w:rPr>
                      <w:color w:val="auto"/>
                    </w:rPr>
                  </w:pPr>
                  <w:r>
                    <w:rPr>
                      <w:color w:val="auto"/>
                    </w:rPr>
                    <w:t>μg/m</w:t>
                  </w:r>
                  <w:r>
                    <w:rPr>
                      <w:color w:val="auto"/>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continue"/>
                  <w:tcBorders>
                    <w:tl2br w:val="nil"/>
                    <w:tr2bl w:val="nil"/>
                  </w:tcBorders>
                  <w:noWrap w:val="0"/>
                  <w:vAlign w:val="center"/>
                </w:tcPr>
                <w:p>
                  <w:pPr>
                    <w:pStyle w:val="33"/>
                    <w:rPr>
                      <w:color w:val="auto"/>
                    </w:rPr>
                  </w:pPr>
                </w:p>
              </w:tc>
              <w:tc>
                <w:tcPr>
                  <w:tcW w:w="1126" w:type="pct"/>
                  <w:vMerge w:val="continue"/>
                  <w:tcBorders>
                    <w:tl2br w:val="nil"/>
                    <w:tr2bl w:val="nil"/>
                  </w:tcBorders>
                  <w:noWrap w:val="0"/>
                  <w:vAlign w:val="center"/>
                </w:tcPr>
                <w:p>
                  <w:pPr>
                    <w:pStyle w:val="33"/>
                    <w:rPr>
                      <w:color w:val="auto"/>
                    </w:rPr>
                  </w:pPr>
                </w:p>
              </w:tc>
              <w:tc>
                <w:tcPr>
                  <w:tcW w:w="1385" w:type="pct"/>
                  <w:tcBorders>
                    <w:tl2br w:val="nil"/>
                    <w:tr2bl w:val="nil"/>
                  </w:tcBorders>
                  <w:noWrap w:val="0"/>
                  <w:vAlign w:val="center"/>
                </w:tcPr>
                <w:p>
                  <w:pPr>
                    <w:pStyle w:val="33"/>
                    <w:rPr>
                      <w:color w:val="auto"/>
                    </w:rPr>
                  </w:pPr>
                  <w:r>
                    <w:rPr>
                      <w:color w:val="auto"/>
                    </w:rPr>
                    <w:t>1小时平均</w:t>
                  </w:r>
                </w:p>
              </w:tc>
              <w:tc>
                <w:tcPr>
                  <w:tcW w:w="1385" w:type="pct"/>
                  <w:tcBorders>
                    <w:tl2br w:val="nil"/>
                    <w:tr2bl w:val="nil"/>
                  </w:tcBorders>
                  <w:noWrap w:val="0"/>
                  <w:vAlign w:val="center"/>
                </w:tcPr>
                <w:p>
                  <w:pPr>
                    <w:pStyle w:val="33"/>
                    <w:rPr>
                      <w:color w:val="auto"/>
                    </w:rPr>
                  </w:pPr>
                  <w:r>
                    <w:rPr>
                      <w:rFonts w:hint="eastAsia"/>
                      <w:color w:val="auto"/>
                    </w:rPr>
                    <w:t>200</w:t>
                  </w:r>
                </w:p>
              </w:tc>
              <w:tc>
                <w:tcPr>
                  <w:tcW w:w="676" w:type="pct"/>
                  <w:vMerge w:val="continue"/>
                  <w:tcBorders>
                    <w:tl2br w:val="nil"/>
                    <w:tr2bl w:val="nil"/>
                  </w:tcBorders>
                  <w:noWrap w:val="0"/>
                  <w:vAlign w:val="center"/>
                </w:tcPr>
                <w:p>
                  <w:pPr>
                    <w:pStyle w:val="33"/>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restart"/>
                  <w:tcBorders>
                    <w:tl2br w:val="nil"/>
                    <w:tr2bl w:val="nil"/>
                  </w:tcBorders>
                  <w:noWrap w:val="0"/>
                  <w:vAlign w:val="center"/>
                </w:tcPr>
                <w:p>
                  <w:pPr>
                    <w:pStyle w:val="33"/>
                    <w:rPr>
                      <w:color w:val="auto"/>
                    </w:rPr>
                  </w:pPr>
                  <w:r>
                    <w:rPr>
                      <w:color w:val="auto"/>
                    </w:rPr>
                    <w:t>5</w:t>
                  </w:r>
                </w:p>
              </w:tc>
              <w:tc>
                <w:tcPr>
                  <w:tcW w:w="1126" w:type="pct"/>
                  <w:vMerge w:val="restart"/>
                  <w:tcBorders>
                    <w:tl2br w:val="nil"/>
                    <w:tr2bl w:val="nil"/>
                  </w:tcBorders>
                  <w:noWrap w:val="0"/>
                  <w:vAlign w:val="center"/>
                </w:tcPr>
                <w:p>
                  <w:pPr>
                    <w:pStyle w:val="33"/>
                    <w:rPr>
                      <w:color w:val="auto"/>
                    </w:rPr>
                  </w:pPr>
                  <w:r>
                    <w:rPr>
                      <w:color w:val="auto"/>
                    </w:rPr>
                    <w:t>PM</w:t>
                  </w:r>
                  <w:r>
                    <w:rPr>
                      <w:color w:val="auto"/>
                      <w:vertAlign w:val="subscript"/>
                    </w:rPr>
                    <w:t>10</w:t>
                  </w:r>
                </w:p>
              </w:tc>
              <w:tc>
                <w:tcPr>
                  <w:tcW w:w="1385" w:type="pct"/>
                  <w:tcBorders>
                    <w:tl2br w:val="nil"/>
                    <w:tr2bl w:val="nil"/>
                  </w:tcBorders>
                  <w:noWrap w:val="0"/>
                  <w:vAlign w:val="center"/>
                </w:tcPr>
                <w:p>
                  <w:pPr>
                    <w:pStyle w:val="33"/>
                    <w:rPr>
                      <w:color w:val="auto"/>
                    </w:rPr>
                  </w:pPr>
                  <w:r>
                    <w:rPr>
                      <w:color w:val="auto"/>
                    </w:rPr>
                    <w:t>年平均</w:t>
                  </w:r>
                </w:p>
              </w:tc>
              <w:tc>
                <w:tcPr>
                  <w:tcW w:w="1385" w:type="pct"/>
                  <w:tcBorders>
                    <w:tl2br w:val="nil"/>
                    <w:tr2bl w:val="nil"/>
                  </w:tcBorders>
                  <w:noWrap w:val="0"/>
                  <w:vAlign w:val="center"/>
                </w:tcPr>
                <w:p>
                  <w:pPr>
                    <w:pStyle w:val="33"/>
                    <w:rPr>
                      <w:color w:val="auto"/>
                    </w:rPr>
                  </w:pPr>
                  <w:r>
                    <w:rPr>
                      <w:rFonts w:hint="eastAsia"/>
                      <w:color w:val="auto"/>
                    </w:rPr>
                    <w:t>70</w:t>
                  </w:r>
                </w:p>
              </w:tc>
              <w:tc>
                <w:tcPr>
                  <w:tcW w:w="676" w:type="pct"/>
                  <w:vMerge w:val="continue"/>
                  <w:tcBorders>
                    <w:tl2br w:val="nil"/>
                    <w:tr2bl w:val="nil"/>
                  </w:tcBorders>
                  <w:noWrap w:val="0"/>
                  <w:vAlign w:val="center"/>
                </w:tcPr>
                <w:p>
                  <w:pPr>
                    <w:pStyle w:val="33"/>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continue"/>
                  <w:tcBorders>
                    <w:tl2br w:val="nil"/>
                    <w:tr2bl w:val="nil"/>
                  </w:tcBorders>
                  <w:noWrap w:val="0"/>
                  <w:vAlign w:val="center"/>
                </w:tcPr>
                <w:p>
                  <w:pPr>
                    <w:pStyle w:val="33"/>
                    <w:rPr>
                      <w:color w:val="auto"/>
                    </w:rPr>
                  </w:pPr>
                </w:p>
              </w:tc>
              <w:tc>
                <w:tcPr>
                  <w:tcW w:w="1126" w:type="pct"/>
                  <w:vMerge w:val="continue"/>
                  <w:tcBorders>
                    <w:tl2br w:val="nil"/>
                    <w:tr2bl w:val="nil"/>
                  </w:tcBorders>
                  <w:noWrap w:val="0"/>
                  <w:vAlign w:val="center"/>
                </w:tcPr>
                <w:p>
                  <w:pPr>
                    <w:pStyle w:val="33"/>
                    <w:rPr>
                      <w:color w:val="auto"/>
                    </w:rPr>
                  </w:pPr>
                </w:p>
              </w:tc>
              <w:tc>
                <w:tcPr>
                  <w:tcW w:w="1385" w:type="pct"/>
                  <w:tcBorders>
                    <w:tl2br w:val="nil"/>
                    <w:tr2bl w:val="nil"/>
                  </w:tcBorders>
                  <w:noWrap w:val="0"/>
                  <w:vAlign w:val="center"/>
                </w:tcPr>
                <w:p>
                  <w:pPr>
                    <w:pStyle w:val="33"/>
                    <w:rPr>
                      <w:color w:val="auto"/>
                    </w:rPr>
                  </w:pPr>
                  <w:r>
                    <w:rPr>
                      <w:color w:val="auto"/>
                    </w:rPr>
                    <w:t>24小时平均</w:t>
                  </w:r>
                </w:p>
              </w:tc>
              <w:tc>
                <w:tcPr>
                  <w:tcW w:w="1385" w:type="pct"/>
                  <w:tcBorders>
                    <w:tl2br w:val="nil"/>
                    <w:tr2bl w:val="nil"/>
                  </w:tcBorders>
                  <w:noWrap w:val="0"/>
                  <w:vAlign w:val="center"/>
                </w:tcPr>
                <w:p>
                  <w:pPr>
                    <w:pStyle w:val="33"/>
                    <w:rPr>
                      <w:color w:val="auto"/>
                    </w:rPr>
                  </w:pPr>
                  <w:r>
                    <w:rPr>
                      <w:rFonts w:hint="eastAsia"/>
                      <w:color w:val="auto"/>
                    </w:rPr>
                    <w:t>150</w:t>
                  </w:r>
                </w:p>
              </w:tc>
              <w:tc>
                <w:tcPr>
                  <w:tcW w:w="676" w:type="pct"/>
                  <w:vMerge w:val="continue"/>
                  <w:tcBorders>
                    <w:tl2br w:val="nil"/>
                    <w:tr2bl w:val="nil"/>
                  </w:tcBorders>
                  <w:noWrap w:val="0"/>
                  <w:vAlign w:val="center"/>
                </w:tcPr>
                <w:p>
                  <w:pPr>
                    <w:pStyle w:val="33"/>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restart"/>
                  <w:tcBorders>
                    <w:tl2br w:val="nil"/>
                    <w:tr2bl w:val="nil"/>
                  </w:tcBorders>
                  <w:noWrap w:val="0"/>
                  <w:vAlign w:val="center"/>
                </w:tcPr>
                <w:p>
                  <w:pPr>
                    <w:pStyle w:val="33"/>
                    <w:rPr>
                      <w:color w:val="auto"/>
                    </w:rPr>
                  </w:pPr>
                  <w:r>
                    <w:rPr>
                      <w:color w:val="auto"/>
                    </w:rPr>
                    <w:t>6</w:t>
                  </w:r>
                </w:p>
              </w:tc>
              <w:tc>
                <w:tcPr>
                  <w:tcW w:w="1126" w:type="pct"/>
                  <w:vMerge w:val="restart"/>
                  <w:tcBorders>
                    <w:tl2br w:val="nil"/>
                    <w:tr2bl w:val="nil"/>
                  </w:tcBorders>
                  <w:noWrap w:val="0"/>
                  <w:vAlign w:val="center"/>
                </w:tcPr>
                <w:p>
                  <w:pPr>
                    <w:pStyle w:val="33"/>
                    <w:rPr>
                      <w:color w:val="auto"/>
                    </w:rPr>
                  </w:pPr>
                  <w:r>
                    <w:rPr>
                      <w:color w:val="auto"/>
                    </w:rPr>
                    <w:t>PM</w:t>
                  </w:r>
                  <w:r>
                    <w:rPr>
                      <w:color w:val="auto"/>
                      <w:vertAlign w:val="subscript"/>
                    </w:rPr>
                    <w:t>2.5</w:t>
                  </w:r>
                </w:p>
              </w:tc>
              <w:tc>
                <w:tcPr>
                  <w:tcW w:w="1385" w:type="pct"/>
                  <w:tcBorders>
                    <w:tl2br w:val="nil"/>
                    <w:tr2bl w:val="nil"/>
                  </w:tcBorders>
                  <w:noWrap w:val="0"/>
                  <w:vAlign w:val="center"/>
                </w:tcPr>
                <w:p>
                  <w:pPr>
                    <w:pStyle w:val="33"/>
                    <w:rPr>
                      <w:color w:val="auto"/>
                    </w:rPr>
                  </w:pPr>
                  <w:r>
                    <w:rPr>
                      <w:color w:val="auto"/>
                    </w:rPr>
                    <w:t>年平均</w:t>
                  </w:r>
                </w:p>
              </w:tc>
              <w:tc>
                <w:tcPr>
                  <w:tcW w:w="1385" w:type="pct"/>
                  <w:tcBorders>
                    <w:tl2br w:val="nil"/>
                    <w:tr2bl w:val="nil"/>
                  </w:tcBorders>
                  <w:noWrap w:val="0"/>
                  <w:vAlign w:val="center"/>
                </w:tcPr>
                <w:p>
                  <w:pPr>
                    <w:pStyle w:val="33"/>
                    <w:rPr>
                      <w:color w:val="auto"/>
                    </w:rPr>
                  </w:pPr>
                  <w:r>
                    <w:rPr>
                      <w:rFonts w:hint="eastAsia"/>
                      <w:color w:val="auto"/>
                    </w:rPr>
                    <w:t>35</w:t>
                  </w:r>
                </w:p>
              </w:tc>
              <w:tc>
                <w:tcPr>
                  <w:tcW w:w="676" w:type="pct"/>
                  <w:vMerge w:val="continue"/>
                  <w:tcBorders>
                    <w:tl2br w:val="nil"/>
                    <w:tr2bl w:val="nil"/>
                  </w:tcBorders>
                  <w:noWrap w:val="0"/>
                  <w:vAlign w:val="center"/>
                </w:tcPr>
                <w:p>
                  <w:pPr>
                    <w:pStyle w:val="33"/>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26" w:type="pct"/>
                  <w:vMerge w:val="continue"/>
                  <w:tcBorders>
                    <w:tl2br w:val="nil"/>
                    <w:tr2bl w:val="nil"/>
                  </w:tcBorders>
                  <w:noWrap w:val="0"/>
                  <w:vAlign w:val="center"/>
                </w:tcPr>
                <w:p>
                  <w:pPr>
                    <w:pStyle w:val="33"/>
                    <w:rPr>
                      <w:color w:val="auto"/>
                    </w:rPr>
                  </w:pPr>
                </w:p>
              </w:tc>
              <w:tc>
                <w:tcPr>
                  <w:tcW w:w="1126" w:type="pct"/>
                  <w:vMerge w:val="continue"/>
                  <w:tcBorders>
                    <w:tl2br w:val="nil"/>
                    <w:tr2bl w:val="nil"/>
                  </w:tcBorders>
                  <w:noWrap w:val="0"/>
                  <w:vAlign w:val="center"/>
                </w:tcPr>
                <w:p>
                  <w:pPr>
                    <w:pStyle w:val="33"/>
                    <w:rPr>
                      <w:color w:val="auto"/>
                    </w:rPr>
                  </w:pPr>
                </w:p>
              </w:tc>
              <w:tc>
                <w:tcPr>
                  <w:tcW w:w="1385" w:type="pct"/>
                  <w:tcBorders>
                    <w:tl2br w:val="nil"/>
                    <w:tr2bl w:val="nil"/>
                  </w:tcBorders>
                  <w:noWrap w:val="0"/>
                  <w:vAlign w:val="center"/>
                </w:tcPr>
                <w:p>
                  <w:pPr>
                    <w:pStyle w:val="33"/>
                    <w:rPr>
                      <w:color w:val="auto"/>
                    </w:rPr>
                  </w:pPr>
                  <w:r>
                    <w:rPr>
                      <w:color w:val="auto"/>
                    </w:rPr>
                    <w:t>24小时平均</w:t>
                  </w:r>
                </w:p>
              </w:tc>
              <w:tc>
                <w:tcPr>
                  <w:tcW w:w="1385" w:type="pct"/>
                  <w:tcBorders>
                    <w:tl2br w:val="nil"/>
                    <w:tr2bl w:val="nil"/>
                  </w:tcBorders>
                  <w:noWrap w:val="0"/>
                  <w:vAlign w:val="center"/>
                </w:tcPr>
                <w:p>
                  <w:pPr>
                    <w:pStyle w:val="33"/>
                    <w:rPr>
                      <w:color w:val="auto"/>
                    </w:rPr>
                  </w:pPr>
                  <w:r>
                    <w:rPr>
                      <w:rFonts w:hint="eastAsia"/>
                      <w:color w:val="auto"/>
                    </w:rPr>
                    <w:t>75</w:t>
                  </w:r>
                </w:p>
              </w:tc>
              <w:tc>
                <w:tcPr>
                  <w:tcW w:w="676" w:type="pct"/>
                  <w:vMerge w:val="continue"/>
                  <w:tcBorders>
                    <w:tl2br w:val="nil"/>
                    <w:tr2bl w:val="nil"/>
                  </w:tcBorders>
                  <w:noWrap w:val="0"/>
                  <w:vAlign w:val="center"/>
                </w:tcPr>
                <w:p>
                  <w:pPr>
                    <w:pStyle w:val="33"/>
                    <w:rPr>
                      <w:color w:val="auto"/>
                    </w:rPr>
                  </w:pPr>
                </w:p>
              </w:tc>
            </w:tr>
          </w:tbl>
          <w:p>
            <w:pPr>
              <w:pStyle w:val="22"/>
              <w:numPr>
                <w:ilvl w:val="0"/>
                <w:numId w:val="0"/>
              </w:numPr>
              <w:bidi w:val="0"/>
              <w:ind w:leftChars="200"/>
              <w:jc w:val="both"/>
              <w:rPr>
                <w:color w:val="auto"/>
              </w:rPr>
            </w:pPr>
            <w:r>
              <w:rPr>
                <w:rStyle w:val="74"/>
                <w:rFonts w:hint="eastAsia"/>
                <w:color w:val="auto"/>
                <w:lang w:eastAsia="zh-CN"/>
              </w:rPr>
              <w:t>（</w:t>
            </w:r>
            <w:r>
              <w:rPr>
                <w:rStyle w:val="74"/>
                <w:rFonts w:hint="eastAsia"/>
                <w:color w:val="auto"/>
                <w:lang w:val="en-US" w:eastAsia="zh-CN"/>
              </w:rPr>
              <w:t>3</w:t>
            </w:r>
            <w:r>
              <w:rPr>
                <w:rStyle w:val="74"/>
                <w:rFonts w:hint="eastAsia"/>
                <w:color w:val="auto"/>
                <w:lang w:eastAsia="zh-CN"/>
              </w:rPr>
              <w:t>）</w:t>
            </w:r>
            <w:r>
              <w:rPr>
                <w:rStyle w:val="74"/>
                <w:color w:val="auto"/>
              </w:rPr>
              <w:t>评价方法</w:t>
            </w:r>
          </w:p>
          <w:p>
            <w:pPr>
              <w:pStyle w:val="22"/>
              <w:bidi w:val="0"/>
              <w:jc w:val="both"/>
              <w:rPr>
                <w:color w:val="auto"/>
              </w:rPr>
            </w:pPr>
            <w:r>
              <w:rPr>
                <w:color w:val="auto"/>
              </w:rPr>
              <w:t>基本污染物按照《环境空气质量评价技术规范（试行）》（HJ 663-2013）中各评价项目的年评价指标进行判定。年评价指标中的年均浓度和相应百分位数24h平均或8h平均质量浓度满足GB3095中浓度限值要求的即为达标。对于超标的污染物，计算其超标倍数和超标率。空气环境质量现状采用单项污染指数法、计算公式为：超标率=超标数据个数/总监测数据个数×100%</w:t>
            </w:r>
          </w:p>
          <w:p>
            <w:pPr>
              <w:pStyle w:val="12"/>
              <w:ind w:firstLine="0" w:firstLineChars="0"/>
              <w:jc w:val="center"/>
              <w:rPr>
                <w:color w:val="auto"/>
              </w:rPr>
            </w:pPr>
            <w:r>
              <w:rPr>
                <w:rFonts w:cs="宋体"/>
                <w:color w:val="auto"/>
                <w:szCs w:val="21"/>
              </w:rPr>
              <w:object>
                <v:shape id="_x0000_i1025" o:spt="75" type="#_x0000_t75" style="height:33.25pt;width:89.1pt;" o:ole="t" filled="f" o:preferrelative="t" stroked="f" coordsize="21600,21600">
                  <v:path/>
                  <v:fill on="f" focussize="0,0"/>
                  <v:stroke on="f"/>
                  <v:imagedata r:id="rId18" o:title=""/>
                  <o:lock v:ext="edit" aspectratio="t"/>
                  <w10:wrap type="none"/>
                  <w10:anchorlock/>
                </v:shape>
                <o:OLEObject Type="Embed" ProgID="Equation.AxMath" ShapeID="_x0000_i1025" DrawAspect="Content" ObjectID="_1468075725" r:id="rId17">
                  <o:LockedField>false</o:LockedField>
                </o:OLEObject>
              </w:object>
            </w:r>
          </w:p>
          <w:p>
            <w:pPr>
              <w:pStyle w:val="22"/>
              <w:bidi w:val="0"/>
              <w:jc w:val="both"/>
              <w:rPr>
                <w:color w:val="auto"/>
              </w:rPr>
            </w:pPr>
            <w:r>
              <w:rPr>
                <w:color w:val="auto"/>
              </w:rPr>
              <w:t>式中：P</w:t>
            </w:r>
            <w:r>
              <w:rPr>
                <w:color w:val="auto"/>
                <w:vertAlign w:val="subscript"/>
              </w:rPr>
              <w:t>i</w:t>
            </w:r>
            <w:r>
              <w:rPr>
                <w:color w:val="auto"/>
              </w:rPr>
              <w:t>—第i个污染物的最大浓度占标率（无量纲）；</w:t>
            </w:r>
          </w:p>
          <w:p>
            <w:pPr>
              <w:pStyle w:val="22"/>
              <w:bidi w:val="0"/>
              <w:jc w:val="both"/>
              <w:rPr>
                <w:color w:val="auto"/>
              </w:rPr>
            </w:pPr>
            <w:r>
              <w:rPr>
                <w:color w:val="auto"/>
              </w:rPr>
              <w:t xml:space="preserve">      C</w:t>
            </w:r>
            <w:r>
              <w:rPr>
                <w:color w:val="auto"/>
                <w:vertAlign w:val="subscript"/>
              </w:rPr>
              <w:t>i</w:t>
            </w:r>
            <w:r>
              <w:rPr>
                <w:color w:val="auto"/>
              </w:rPr>
              <w:t>—第i个污染物的最大浓度（μg/m</w:t>
            </w:r>
            <w:r>
              <w:rPr>
                <w:color w:val="auto"/>
                <w:vertAlign w:val="superscript"/>
              </w:rPr>
              <w:t>3</w:t>
            </w:r>
            <w:r>
              <w:rPr>
                <w:color w:val="auto"/>
              </w:rPr>
              <w:t>）；</w:t>
            </w:r>
          </w:p>
          <w:p>
            <w:pPr>
              <w:pStyle w:val="22"/>
              <w:bidi w:val="0"/>
              <w:ind w:firstLine="1200" w:firstLineChars="500"/>
              <w:jc w:val="both"/>
              <w:rPr>
                <w:color w:val="auto"/>
              </w:rPr>
            </w:pPr>
            <w:r>
              <w:rPr>
                <w:color w:val="auto"/>
              </w:rPr>
              <w:t>C</w:t>
            </w:r>
            <w:r>
              <w:rPr>
                <w:color w:val="auto"/>
                <w:vertAlign w:val="subscript"/>
              </w:rPr>
              <w:t>oi</w:t>
            </w:r>
            <w:r>
              <w:rPr>
                <w:color w:val="auto"/>
              </w:rPr>
              <w:t>—第i个污染物的环境空气质量浓度标准（μg/m</w:t>
            </w:r>
            <w:r>
              <w:rPr>
                <w:color w:val="auto"/>
                <w:vertAlign w:val="superscript"/>
              </w:rPr>
              <w:t>3</w:t>
            </w:r>
            <w:r>
              <w:rPr>
                <w:color w:val="auto"/>
              </w:rPr>
              <w:t>）。</w:t>
            </w:r>
          </w:p>
          <w:p>
            <w:pPr>
              <w:pStyle w:val="22"/>
              <w:bidi w:val="0"/>
              <w:jc w:val="both"/>
              <w:rPr>
                <w:color w:val="auto"/>
              </w:rPr>
            </w:pPr>
            <w:r>
              <w:rPr>
                <w:color w:val="auto"/>
              </w:rPr>
              <w:t>当P</w:t>
            </w:r>
            <w:r>
              <w:rPr>
                <w:color w:val="auto"/>
                <w:vertAlign w:val="subscript"/>
              </w:rPr>
              <w:t>i</w:t>
            </w:r>
            <w:r>
              <w:rPr>
                <w:color w:val="auto"/>
              </w:rPr>
              <w:t>＞1时，说明环境中i污染物含量超过标准值，当Pi≤1时，则说明i污染物符合标准。某污染物的Pi值越大，则污染相对越严重。</w:t>
            </w:r>
          </w:p>
          <w:p>
            <w:pPr>
              <w:pStyle w:val="22"/>
              <w:numPr>
                <w:ilvl w:val="0"/>
                <w:numId w:val="0"/>
              </w:numPr>
              <w:bidi w:val="0"/>
              <w:ind w:leftChars="200"/>
              <w:jc w:val="both"/>
              <w:rPr>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color w:val="auto"/>
              </w:rPr>
              <w:t>基本污染物监测及评价</w:t>
            </w:r>
          </w:p>
          <w:p>
            <w:pPr>
              <w:pStyle w:val="22"/>
              <w:bidi w:val="0"/>
              <w:jc w:val="both"/>
              <w:rPr>
                <w:rFonts w:hint="eastAsia"/>
                <w:color w:val="auto"/>
                <w:lang w:val="en-US" w:eastAsia="zh-CN"/>
              </w:rPr>
            </w:pPr>
            <w:r>
              <w:rPr>
                <w:color w:val="auto"/>
                <w:szCs w:val="24"/>
              </w:rPr>
              <w:t>基本污染物环境空气质量现状评价表见表3-</w:t>
            </w:r>
            <w:r>
              <w:rPr>
                <w:rFonts w:hint="eastAsia"/>
                <w:color w:val="auto"/>
                <w:szCs w:val="24"/>
              </w:rPr>
              <w:t>2</w:t>
            </w:r>
            <w:r>
              <w:rPr>
                <w:color w:val="auto"/>
                <w:szCs w:val="24"/>
              </w:rPr>
              <w:t>。</w:t>
            </w:r>
          </w:p>
          <w:p>
            <w:pPr>
              <w:pStyle w:val="32"/>
              <w:bidi w:val="0"/>
              <w:rPr>
                <w:rFonts w:hint="eastAsia"/>
                <w:color w:val="auto"/>
                <w:lang w:val="en-US" w:eastAsia="zh-CN"/>
              </w:rPr>
            </w:pPr>
            <w:r>
              <w:rPr>
                <w:rFonts w:hint="eastAsia"/>
                <w:color w:val="auto"/>
                <w:lang w:val="en-US" w:eastAsia="zh-CN"/>
              </w:rPr>
              <w:t>表 3-2</w:t>
            </w:r>
            <w:r>
              <w:rPr>
                <w:rFonts w:hint="default"/>
                <w:color w:val="auto"/>
                <w:lang w:val="en-US" w:eastAsia="zh-CN"/>
              </w:rPr>
              <w:t xml:space="preserve"> </w:t>
            </w:r>
            <w:r>
              <w:rPr>
                <w:rFonts w:hint="eastAsia"/>
                <w:color w:val="auto"/>
                <w:lang w:val="en-US" w:eastAsia="zh-CN"/>
              </w:rPr>
              <w:t xml:space="preserve">    区域环境空气质量现状监测及评价结果</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2657"/>
              <w:gridCol w:w="1163"/>
              <w:gridCol w:w="1163"/>
              <w:gridCol w:w="838"/>
              <w:gridCol w:w="11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485" w:type="pct"/>
                  <w:tcBorders>
                    <w:bottom w:val="single" w:color="auto" w:sz="12" w:space="0"/>
                  </w:tcBorders>
                  <w:vAlign w:val="center"/>
                </w:tcPr>
                <w:p>
                  <w:pPr>
                    <w:pStyle w:val="33"/>
                    <w:rPr>
                      <w:b/>
                      <w:bCs/>
                      <w:color w:val="auto"/>
                    </w:rPr>
                  </w:pPr>
                  <w:r>
                    <w:rPr>
                      <w:rFonts w:hint="eastAsia"/>
                      <w:b/>
                      <w:bCs/>
                      <w:color w:val="auto"/>
                    </w:rPr>
                    <w:t>污染物</w:t>
                  </w:r>
                </w:p>
              </w:tc>
              <w:tc>
                <w:tcPr>
                  <w:tcW w:w="1735" w:type="pct"/>
                  <w:tcBorders>
                    <w:bottom w:val="single" w:color="auto" w:sz="12" w:space="0"/>
                  </w:tcBorders>
                  <w:vAlign w:val="center"/>
                </w:tcPr>
                <w:p>
                  <w:pPr>
                    <w:pStyle w:val="33"/>
                    <w:rPr>
                      <w:b/>
                      <w:bCs/>
                      <w:color w:val="auto"/>
                    </w:rPr>
                  </w:pPr>
                  <w:r>
                    <w:rPr>
                      <w:rFonts w:hint="eastAsia"/>
                      <w:b/>
                      <w:bCs/>
                      <w:color w:val="auto"/>
                    </w:rPr>
                    <w:t>年评价指标</w:t>
                  </w:r>
                </w:p>
              </w:tc>
              <w:tc>
                <w:tcPr>
                  <w:tcW w:w="746" w:type="pct"/>
                  <w:tcBorders>
                    <w:bottom w:val="single" w:color="auto" w:sz="12" w:space="0"/>
                  </w:tcBorders>
                  <w:vAlign w:val="center"/>
                </w:tcPr>
                <w:p>
                  <w:pPr>
                    <w:pStyle w:val="33"/>
                    <w:rPr>
                      <w:b/>
                      <w:bCs/>
                      <w:color w:val="auto"/>
                    </w:rPr>
                  </w:pPr>
                  <w:r>
                    <w:rPr>
                      <w:rFonts w:hint="eastAsia"/>
                      <w:b/>
                      <w:bCs/>
                      <w:color w:val="auto"/>
                    </w:rPr>
                    <w:t>现状浓度</w:t>
                  </w:r>
                </w:p>
                <w:p>
                  <w:pPr>
                    <w:pStyle w:val="33"/>
                    <w:rPr>
                      <w:b/>
                      <w:bCs/>
                      <w:color w:val="auto"/>
                    </w:rPr>
                  </w:pPr>
                  <w:r>
                    <w:rPr>
                      <w:b/>
                      <w:bCs/>
                      <w:color w:val="auto"/>
                    </w:rPr>
                    <w:t>（μg</w:t>
                  </w:r>
                  <w:r>
                    <w:rPr>
                      <w:rFonts w:hint="eastAsia"/>
                      <w:b/>
                      <w:bCs/>
                      <w:color w:val="auto"/>
                    </w:rPr>
                    <w:t>/m</w:t>
                  </w:r>
                  <w:r>
                    <w:rPr>
                      <w:rFonts w:hint="eastAsia"/>
                      <w:b/>
                      <w:bCs/>
                      <w:color w:val="auto"/>
                      <w:vertAlign w:val="superscript"/>
                    </w:rPr>
                    <w:t>3</w:t>
                  </w:r>
                  <w:r>
                    <w:rPr>
                      <w:b/>
                      <w:bCs/>
                      <w:color w:val="auto"/>
                    </w:rPr>
                    <w:t>）</w:t>
                  </w:r>
                </w:p>
              </w:tc>
              <w:tc>
                <w:tcPr>
                  <w:tcW w:w="747" w:type="pct"/>
                  <w:tcBorders>
                    <w:bottom w:val="single" w:color="auto" w:sz="12" w:space="0"/>
                  </w:tcBorders>
                  <w:vAlign w:val="center"/>
                </w:tcPr>
                <w:p>
                  <w:pPr>
                    <w:pStyle w:val="33"/>
                    <w:rPr>
                      <w:b/>
                      <w:bCs/>
                      <w:color w:val="auto"/>
                    </w:rPr>
                  </w:pPr>
                  <w:r>
                    <w:rPr>
                      <w:rFonts w:hint="eastAsia"/>
                      <w:b/>
                      <w:bCs/>
                      <w:color w:val="auto"/>
                    </w:rPr>
                    <w:t>标准限值</w:t>
                  </w:r>
                  <w:r>
                    <w:rPr>
                      <w:b/>
                      <w:bCs/>
                      <w:color w:val="auto"/>
                    </w:rPr>
                    <w:t>/（μg</w:t>
                  </w:r>
                  <w:r>
                    <w:rPr>
                      <w:rFonts w:hint="eastAsia"/>
                      <w:b/>
                      <w:bCs/>
                      <w:color w:val="auto"/>
                    </w:rPr>
                    <w:t>/m</w:t>
                  </w:r>
                  <w:r>
                    <w:rPr>
                      <w:rFonts w:hint="eastAsia"/>
                      <w:b/>
                      <w:bCs/>
                      <w:color w:val="auto"/>
                      <w:vertAlign w:val="superscript"/>
                    </w:rPr>
                    <w:t>3</w:t>
                  </w:r>
                  <w:r>
                    <w:rPr>
                      <w:b/>
                      <w:bCs/>
                      <w:color w:val="auto"/>
                    </w:rPr>
                    <w:t>）</w:t>
                  </w:r>
                </w:p>
              </w:tc>
              <w:tc>
                <w:tcPr>
                  <w:tcW w:w="551" w:type="pct"/>
                  <w:tcBorders>
                    <w:bottom w:val="single" w:color="auto" w:sz="12" w:space="0"/>
                  </w:tcBorders>
                  <w:vAlign w:val="center"/>
                </w:tcPr>
                <w:p>
                  <w:pPr>
                    <w:pStyle w:val="33"/>
                    <w:rPr>
                      <w:b/>
                      <w:bCs/>
                      <w:color w:val="auto"/>
                    </w:rPr>
                  </w:pPr>
                  <w:r>
                    <w:rPr>
                      <w:rFonts w:hint="eastAsia"/>
                      <w:b/>
                      <w:bCs/>
                      <w:color w:val="auto"/>
                    </w:rPr>
                    <w:t>占标率</w:t>
                  </w:r>
                  <w:r>
                    <w:rPr>
                      <w:b/>
                      <w:bCs/>
                      <w:color w:val="auto"/>
                    </w:rPr>
                    <w:t>/%</w:t>
                  </w:r>
                </w:p>
              </w:tc>
              <w:tc>
                <w:tcPr>
                  <w:tcW w:w="736" w:type="pct"/>
                  <w:tcBorders>
                    <w:bottom w:val="single" w:color="auto" w:sz="12" w:space="0"/>
                  </w:tcBorders>
                  <w:vAlign w:val="center"/>
                </w:tcPr>
                <w:p>
                  <w:pPr>
                    <w:pStyle w:val="33"/>
                    <w:rPr>
                      <w:b/>
                      <w:bCs/>
                      <w:color w:val="auto"/>
                    </w:rPr>
                  </w:pPr>
                  <w:r>
                    <w:rPr>
                      <w:rFonts w:hint="eastAsia"/>
                      <w:b/>
                      <w:bCs/>
                      <w:color w:val="auto"/>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485" w:type="pct"/>
                  <w:tcBorders>
                    <w:top w:val="single" w:color="auto" w:sz="12" w:space="0"/>
                  </w:tcBorders>
                  <w:vAlign w:val="center"/>
                </w:tcPr>
                <w:p>
                  <w:pPr>
                    <w:pStyle w:val="33"/>
                    <w:rPr>
                      <w:color w:val="auto"/>
                    </w:rPr>
                  </w:pPr>
                  <w:r>
                    <w:rPr>
                      <w:color w:val="auto"/>
                    </w:rPr>
                    <w:t>SO</w:t>
                  </w:r>
                  <w:r>
                    <w:rPr>
                      <w:color w:val="auto"/>
                      <w:vertAlign w:val="subscript"/>
                    </w:rPr>
                    <w:t>2</w:t>
                  </w:r>
                </w:p>
              </w:tc>
              <w:tc>
                <w:tcPr>
                  <w:tcW w:w="1735" w:type="pct"/>
                  <w:tcBorders>
                    <w:top w:val="single" w:color="auto" w:sz="12" w:space="0"/>
                  </w:tcBorders>
                  <w:vAlign w:val="center"/>
                </w:tcPr>
                <w:p>
                  <w:pPr>
                    <w:pStyle w:val="33"/>
                    <w:rPr>
                      <w:color w:val="auto"/>
                    </w:rPr>
                  </w:pPr>
                  <w:r>
                    <w:rPr>
                      <w:rFonts w:hint="eastAsia"/>
                      <w:color w:val="auto"/>
                    </w:rPr>
                    <w:t>年平均质量浓度</w:t>
                  </w:r>
                </w:p>
              </w:tc>
              <w:tc>
                <w:tcPr>
                  <w:tcW w:w="746" w:type="pct"/>
                  <w:tcBorders>
                    <w:top w:val="single" w:color="auto" w:sz="12" w:space="0"/>
                  </w:tcBorders>
                  <w:vAlign w:val="center"/>
                </w:tcPr>
                <w:p>
                  <w:pPr>
                    <w:pStyle w:val="33"/>
                    <w:rPr>
                      <w:rFonts w:hint="eastAsia" w:eastAsia="宋体"/>
                      <w:color w:val="auto"/>
                      <w:lang w:val="en-US" w:eastAsia="zh-CN"/>
                    </w:rPr>
                  </w:pPr>
                  <w:r>
                    <w:rPr>
                      <w:rFonts w:hint="eastAsia"/>
                      <w:color w:val="auto"/>
                      <w:lang w:val="en-US" w:eastAsia="zh-CN"/>
                    </w:rPr>
                    <w:t>7</w:t>
                  </w:r>
                </w:p>
              </w:tc>
              <w:tc>
                <w:tcPr>
                  <w:tcW w:w="747" w:type="pct"/>
                  <w:tcBorders>
                    <w:top w:val="single" w:color="auto" w:sz="12" w:space="0"/>
                  </w:tcBorders>
                  <w:vAlign w:val="center"/>
                </w:tcPr>
                <w:p>
                  <w:pPr>
                    <w:pStyle w:val="33"/>
                    <w:rPr>
                      <w:color w:val="auto"/>
                    </w:rPr>
                  </w:pPr>
                  <w:r>
                    <w:rPr>
                      <w:color w:val="auto"/>
                    </w:rPr>
                    <w:t>60</w:t>
                  </w:r>
                </w:p>
              </w:tc>
              <w:tc>
                <w:tcPr>
                  <w:tcW w:w="551" w:type="pct"/>
                  <w:tcBorders>
                    <w:top w:val="single" w:color="auto" w:sz="12" w:space="0"/>
                  </w:tcBorders>
                  <w:vAlign w:val="center"/>
                </w:tcPr>
                <w:p>
                  <w:pPr>
                    <w:pStyle w:val="33"/>
                    <w:rPr>
                      <w:rFonts w:hint="default" w:eastAsia="宋体"/>
                      <w:color w:val="auto"/>
                      <w:lang w:val="en-US" w:eastAsia="zh-CN"/>
                    </w:rPr>
                  </w:pPr>
                  <w:r>
                    <w:rPr>
                      <w:rFonts w:hint="eastAsia"/>
                      <w:color w:val="auto"/>
                      <w:lang w:val="en-US" w:eastAsia="zh-CN"/>
                    </w:rPr>
                    <w:t>11.7</w:t>
                  </w:r>
                </w:p>
              </w:tc>
              <w:tc>
                <w:tcPr>
                  <w:tcW w:w="736" w:type="pct"/>
                  <w:tcBorders>
                    <w:top w:val="single" w:color="auto" w:sz="12" w:space="0"/>
                  </w:tcBorders>
                  <w:vAlign w:val="center"/>
                </w:tcPr>
                <w:p>
                  <w:pPr>
                    <w:pStyle w:val="33"/>
                    <w:rPr>
                      <w:color w:val="auto"/>
                    </w:rPr>
                  </w:pPr>
                  <w:r>
                    <w:rPr>
                      <w:rFonts w:hint="eastAsia"/>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485" w:type="pct"/>
                  <w:vAlign w:val="center"/>
                </w:tcPr>
                <w:p>
                  <w:pPr>
                    <w:pStyle w:val="33"/>
                    <w:rPr>
                      <w:color w:val="auto"/>
                    </w:rPr>
                  </w:pPr>
                  <w:r>
                    <w:rPr>
                      <w:color w:val="auto"/>
                    </w:rPr>
                    <w:t>NO</w:t>
                  </w:r>
                  <w:r>
                    <w:rPr>
                      <w:color w:val="auto"/>
                      <w:vertAlign w:val="subscript"/>
                    </w:rPr>
                    <w:t>2</w:t>
                  </w:r>
                </w:p>
              </w:tc>
              <w:tc>
                <w:tcPr>
                  <w:tcW w:w="1735" w:type="pct"/>
                  <w:vAlign w:val="center"/>
                </w:tcPr>
                <w:p>
                  <w:pPr>
                    <w:pStyle w:val="33"/>
                    <w:rPr>
                      <w:color w:val="auto"/>
                    </w:rPr>
                  </w:pPr>
                  <w:r>
                    <w:rPr>
                      <w:rFonts w:hint="eastAsia"/>
                      <w:color w:val="auto"/>
                    </w:rPr>
                    <w:t>年平均质量浓度</w:t>
                  </w:r>
                </w:p>
              </w:tc>
              <w:tc>
                <w:tcPr>
                  <w:tcW w:w="746" w:type="pct"/>
                  <w:vAlign w:val="center"/>
                </w:tcPr>
                <w:p>
                  <w:pPr>
                    <w:pStyle w:val="33"/>
                    <w:rPr>
                      <w:rFonts w:hint="default" w:eastAsia="宋体"/>
                      <w:color w:val="auto"/>
                      <w:lang w:val="en-US" w:eastAsia="zh-CN"/>
                    </w:rPr>
                  </w:pPr>
                  <w:r>
                    <w:rPr>
                      <w:rFonts w:hint="eastAsia"/>
                      <w:color w:val="auto"/>
                      <w:lang w:val="en-US" w:eastAsia="zh-CN"/>
                    </w:rPr>
                    <w:t>32</w:t>
                  </w:r>
                </w:p>
              </w:tc>
              <w:tc>
                <w:tcPr>
                  <w:tcW w:w="747" w:type="pct"/>
                  <w:vAlign w:val="center"/>
                </w:tcPr>
                <w:p>
                  <w:pPr>
                    <w:pStyle w:val="33"/>
                    <w:rPr>
                      <w:color w:val="auto"/>
                    </w:rPr>
                  </w:pPr>
                  <w:r>
                    <w:rPr>
                      <w:color w:val="auto"/>
                    </w:rPr>
                    <w:t>40</w:t>
                  </w:r>
                </w:p>
              </w:tc>
              <w:tc>
                <w:tcPr>
                  <w:tcW w:w="551" w:type="pct"/>
                  <w:vAlign w:val="center"/>
                </w:tcPr>
                <w:p>
                  <w:pPr>
                    <w:pStyle w:val="33"/>
                    <w:rPr>
                      <w:rFonts w:hint="default" w:eastAsia="宋体"/>
                      <w:color w:val="auto"/>
                      <w:lang w:val="en-US" w:eastAsia="zh-CN"/>
                    </w:rPr>
                  </w:pPr>
                  <w:r>
                    <w:rPr>
                      <w:rFonts w:hint="eastAsia"/>
                      <w:color w:val="auto"/>
                      <w:lang w:val="en-US" w:eastAsia="zh-CN"/>
                    </w:rPr>
                    <w:t>80</w:t>
                  </w:r>
                </w:p>
              </w:tc>
              <w:tc>
                <w:tcPr>
                  <w:tcW w:w="736" w:type="pct"/>
                  <w:vAlign w:val="center"/>
                </w:tcPr>
                <w:p>
                  <w:pPr>
                    <w:pStyle w:val="33"/>
                    <w:rPr>
                      <w:color w:val="auto"/>
                    </w:rPr>
                  </w:pPr>
                  <w:r>
                    <w:rPr>
                      <w:rFonts w:hint="eastAsia"/>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485" w:type="pct"/>
                  <w:vAlign w:val="center"/>
                </w:tcPr>
                <w:p>
                  <w:pPr>
                    <w:pStyle w:val="33"/>
                    <w:rPr>
                      <w:color w:val="auto"/>
                    </w:rPr>
                  </w:pPr>
                  <w:r>
                    <w:rPr>
                      <w:color w:val="auto"/>
                    </w:rPr>
                    <w:t>PM</w:t>
                  </w:r>
                  <w:r>
                    <w:rPr>
                      <w:color w:val="auto"/>
                      <w:vertAlign w:val="subscript"/>
                    </w:rPr>
                    <w:t>10</w:t>
                  </w:r>
                </w:p>
              </w:tc>
              <w:tc>
                <w:tcPr>
                  <w:tcW w:w="1735" w:type="pct"/>
                  <w:vAlign w:val="center"/>
                </w:tcPr>
                <w:p>
                  <w:pPr>
                    <w:pStyle w:val="33"/>
                    <w:rPr>
                      <w:color w:val="auto"/>
                    </w:rPr>
                  </w:pPr>
                  <w:r>
                    <w:rPr>
                      <w:rFonts w:hint="eastAsia"/>
                      <w:color w:val="auto"/>
                    </w:rPr>
                    <w:t>年平均质量浓度</w:t>
                  </w:r>
                </w:p>
              </w:tc>
              <w:tc>
                <w:tcPr>
                  <w:tcW w:w="746" w:type="pct"/>
                  <w:vAlign w:val="center"/>
                </w:tcPr>
                <w:p>
                  <w:pPr>
                    <w:pStyle w:val="33"/>
                    <w:rPr>
                      <w:rFonts w:hint="default" w:eastAsia="宋体"/>
                      <w:color w:val="auto"/>
                      <w:lang w:val="en-US" w:eastAsia="zh-CN"/>
                    </w:rPr>
                  </w:pPr>
                  <w:r>
                    <w:rPr>
                      <w:rFonts w:hint="eastAsia"/>
                      <w:color w:val="auto"/>
                      <w:lang w:val="en-US" w:eastAsia="zh-CN"/>
                    </w:rPr>
                    <w:t>81</w:t>
                  </w:r>
                </w:p>
              </w:tc>
              <w:tc>
                <w:tcPr>
                  <w:tcW w:w="747" w:type="pct"/>
                  <w:vAlign w:val="center"/>
                </w:tcPr>
                <w:p>
                  <w:pPr>
                    <w:pStyle w:val="33"/>
                    <w:rPr>
                      <w:color w:val="auto"/>
                    </w:rPr>
                  </w:pPr>
                  <w:r>
                    <w:rPr>
                      <w:color w:val="auto"/>
                    </w:rPr>
                    <w:t>70</w:t>
                  </w:r>
                </w:p>
              </w:tc>
              <w:tc>
                <w:tcPr>
                  <w:tcW w:w="551" w:type="pct"/>
                  <w:vAlign w:val="center"/>
                </w:tcPr>
                <w:p>
                  <w:pPr>
                    <w:pStyle w:val="33"/>
                    <w:rPr>
                      <w:rFonts w:hint="default" w:eastAsia="宋体"/>
                      <w:color w:val="auto"/>
                      <w:lang w:val="en-US" w:eastAsia="zh-CN"/>
                    </w:rPr>
                  </w:pPr>
                  <w:r>
                    <w:rPr>
                      <w:rFonts w:hint="eastAsia"/>
                      <w:color w:val="auto"/>
                      <w:lang w:val="en-US" w:eastAsia="zh-CN"/>
                    </w:rPr>
                    <w:t>115.7</w:t>
                  </w:r>
                </w:p>
              </w:tc>
              <w:tc>
                <w:tcPr>
                  <w:tcW w:w="736" w:type="pct"/>
                  <w:vAlign w:val="center"/>
                </w:tcPr>
                <w:p>
                  <w:pPr>
                    <w:pStyle w:val="33"/>
                    <w:rPr>
                      <w:color w:val="auto"/>
                    </w:rPr>
                  </w:pPr>
                  <w:r>
                    <w:rPr>
                      <w:rFonts w:hint="eastAsia"/>
                      <w:color w:val="auto"/>
                    </w:rPr>
                    <w:t>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85" w:type="pct"/>
                  <w:vAlign w:val="center"/>
                </w:tcPr>
                <w:p>
                  <w:pPr>
                    <w:pStyle w:val="33"/>
                    <w:rPr>
                      <w:color w:val="auto"/>
                    </w:rPr>
                  </w:pPr>
                  <w:r>
                    <w:rPr>
                      <w:color w:val="auto"/>
                    </w:rPr>
                    <w:t>P</w:t>
                  </w:r>
                  <w:r>
                    <w:rPr>
                      <w:rFonts w:hint="eastAsia"/>
                      <w:color w:val="auto"/>
                    </w:rPr>
                    <w:t>M</w:t>
                  </w:r>
                  <w:r>
                    <w:rPr>
                      <w:rFonts w:hint="eastAsia"/>
                      <w:color w:val="auto"/>
                      <w:vertAlign w:val="subscript"/>
                    </w:rPr>
                    <w:t>2.5</w:t>
                  </w:r>
                </w:p>
              </w:tc>
              <w:tc>
                <w:tcPr>
                  <w:tcW w:w="1735" w:type="pct"/>
                  <w:vAlign w:val="center"/>
                </w:tcPr>
                <w:p>
                  <w:pPr>
                    <w:pStyle w:val="33"/>
                    <w:rPr>
                      <w:color w:val="auto"/>
                    </w:rPr>
                  </w:pPr>
                  <w:r>
                    <w:rPr>
                      <w:rFonts w:hint="eastAsia"/>
                      <w:color w:val="auto"/>
                    </w:rPr>
                    <w:t>年平均质量浓度</w:t>
                  </w:r>
                </w:p>
              </w:tc>
              <w:tc>
                <w:tcPr>
                  <w:tcW w:w="746" w:type="pct"/>
                  <w:vAlign w:val="center"/>
                </w:tcPr>
                <w:p>
                  <w:pPr>
                    <w:pStyle w:val="33"/>
                    <w:rPr>
                      <w:rFonts w:hint="default" w:eastAsia="宋体"/>
                      <w:color w:val="auto"/>
                      <w:lang w:val="en-US" w:eastAsia="zh-CN"/>
                    </w:rPr>
                  </w:pPr>
                  <w:r>
                    <w:rPr>
                      <w:rFonts w:hint="eastAsia"/>
                      <w:color w:val="auto"/>
                      <w:lang w:val="en-US" w:eastAsia="zh-CN"/>
                    </w:rPr>
                    <w:t>50</w:t>
                  </w:r>
                </w:p>
              </w:tc>
              <w:tc>
                <w:tcPr>
                  <w:tcW w:w="747" w:type="pct"/>
                  <w:vAlign w:val="center"/>
                </w:tcPr>
                <w:p>
                  <w:pPr>
                    <w:pStyle w:val="33"/>
                    <w:rPr>
                      <w:color w:val="auto"/>
                    </w:rPr>
                  </w:pPr>
                  <w:r>
                    <w:rPr>
                      <w:color w:val="auto"/>
                    </w:rPr>
                    <w:t>35</w:t>
                  </w:r>
                </w:p>
              </w:tc>
              <w:tc>
                <w:tcPr>
                  <w:tcW w:w="551" w:type="pct"/>
                  <w:vAlign w:val="center"/>
                </w:tcPr>
                <w:p>
                  <w:pPr>
                    <w:pStyle w:val="33"/>
                    <w:rPr>
                      <w:rFonts w:hint="default" w:eastAsia="宋体"/>
                      <w:color w:val="auto"/>
                      <w:lang w:val="en-US" w:eastAsia="zh-CN"/>
                    </w:rPr>
                  </w:pPr>
                  <w:r>
                    <w:rPr>
                      <w:rFonts w:hint="eastAsia"/>
                      <w:color w:val="auto"/>
                      <w:lang w:val="en-US" w:eastAsia="zh-CN"/>
                    </w:rPr>
                    <w:t>142.9</w:t>
                  </w:r>
                </w:p>
              </w:tc>
              <w:tc>
                <w:tcPr>
                  <w:tcW w:w="736" w:type="pct"/>
                  <w:vAlign w:val="center"/>
                </w:tcPr>
                <w:p>
                  <w:pPr>
                    <w:pStyle w:val="33"/>
                    <w:rPr>
                      <w:color w:val="auto"/>
                    </w:rPr>
                  </w:pPr>
                  <w:r>
                    <w:rPr>
                      <w:rFonts w:hint="eastAsia"/>
                      <w:color w:val="auto"/>
                    </w:rPr>
                    <w:t>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85" w:type="pct"/>
                  <w:vAlign w:val="center"/>
                </w:tcPr>
                <w:p>
                  <w:pPr>
                    <w:pStyle w:val="33"/>
                    <w:rPr>
                      <w:color w:val="auto"/>
                    </w:rPr>
                  </w:pPr>
                  <w:r>
                    <w:rPr>
                      <w:color w:val="auto"/>
                    </w:rPr>
                    <w:t>CO</w:t>
                  </w:r>
                </w:p>
              </w:tc>
              <w:tc>
                <w:tcPr>
                  <w:tcW w:w="1735" w:type="pct"/>
                  <w:vAlign w:val="center"/>
                </w:tcPr>
                <w:p>
                  <w:pPr>
                    <w:pStyle w:val="33"/>
                    <w:rPr>
                      <w:color w:val="auto"/>
                    </w:rPr>
                  </w:pPr>
                  <w:r>
                    <w:rPr>
                      <w:rFonts w:hint="eastAsia"/>
                      <w:color w:val="auto"/>
                    </w:rPr>
                    <w:t>日平均第95百分位数</w:t>
                  </w:r>
                </w:p>
              </w:tc>
              <w:tc>
                <w:tcPr>
                  <w:tcW w:w="746" w:type="pct"/>
                  <w:vAlign w:val="center"/>
                </w:tcPr>
                <w:p>
                  <w:pPr>
                    <w:pStyle w:val="33"/>
                    <w:rPr>
                      <w:rFonts w:hint="default" w:eastAsia="宋体"/>
                      <w:color w:val="auto"/>
                      <w:lang w:val="en-US" w:eastAsia="zh-CN"/>
                    </w:rPr>
                  </w:pPr>
                  <w:r>
                    <w:rPr>
                      <w:rFonts w:hint="eastAsia"/>
                      <w:color w:val="auto"/>
                      <w:lang w:val="en-US" w:eastAsia="zh-CN"/>
                    </w:rPr>
                    <w:t>23</w:t>
                  </w:r>
                </w:p>
              </w:tc>
              <w:tc>
                <w:tcPr>
                  <w:tcW w:w="747" w:type="pct"/>
                  <w:vAlign w:val="center"/>
                </w:tcPr>
                <w:p>
                  <w:pPr>
                    <w:pStyle w:val="33"/>
                    <w:rPr>
                      <w:color w:val="auto"/>
                    </w:rPr>
                  </w:pPr>
                  <w:r>
                    <w:rPr>
                      <w:color w:val="auto"/>
                    </w:rPr>
                    <w:t>4mg/</w:t>
                  </w:r>
                  <w:r>
                    <w:rPr>
                      <w:rFonts w:hint="eastAsia"/>
                      <w:color w:val="auto"/>
                    </w:rPr>
                    <w:t>m</w:t>
                  </w:r>
                  <w:r>
                    <w:rPr>
                      <w:rFonts w:hint="eastAsia"/>
                      <w:color w:val="auto"/>
                      <w:vertAlign w:val="superscript"/>
                    </w:rPr>
                    <w:t>3</w:t>
                  </w:r>
                </w:p>
              </w:tc>
              <w:tc>
                <w:tcPr>
                  <w:tcW w:w="551" w:type="pct"/>
                  <w:vAlign w:val="center"/>
                </w:tcPr>
                <w:p>
                  <w:pPr>
                    <w:pStyle w:val="33"/>
                    <w:rPr>
                      <w:rFonts w:hint="default" w:eastAsia="宋体"/>
                      <w:color w:val="auto"/>
                      <w:lang w:val="en-US" w:eastAsia="zh-CN"/>
                    </w:rPr>
                  </w:pPr>
                  <w:r>
                    <w:rPr>
                      <w:rFonts w:hint="eastAsia"/>
                      <w:color w:val="auto"/>
                      <w:lang w:val="en-US" w:eastAsia="zh-CN"/>
                    </w:rPr>
                    <w:t>57.5</w:t>
                  </w:r>
                </w:p>
              </w:tc>
              <w:tc>
                <w:tcPr>
                  <w:tcW w:w="736" w:type="pct"/>
                  <w:vAlign w:val="center"/>
                </w:tcPr>
                <w:p>
                  <w:pPr>
                    <w:pStyle w:val="33"/>
                    <w:rPr>
                      <w:color w:val="auto"/>
                    </w:rPr>
                  </w:pPr>
                  <w:r>
                    <w:rPr>
                      <w:rFonts w:hint="eastAsia"/>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485" w:type="pct"/>
                  <w:vAlign w:val="center"/>
                </w:tcPr>
                <w:p>
                  <w:pPr>
                    <w:pStyle w:val="33"/>
                    <w:rPr>
                      <w:color w:val="auto"/>
                    </w:rPr>
                  </w:pPr>
                  <w:r>
                    <w:rPr>
                      <w:color w:val="auto"/>
                    </w:rPr>
                    <w:t>O</w:t>
                  </w:r>
                  <w:r>
                    <w:rPr>
                      <w:color w:val="auto"/>
                      <w:vertAlign w:val="subscript"/>
                    </w:rPr>
                    <w:t>3</w:t>
                  </w:r>
                </w:p>
              </w:tc>
              <w:tc>
                <w:tcPr>
                  <w:tcW w:w="1735" w:type="pct"/>
                  <w:vAlign w:val="center"/>
                </w:tcPr>
                <w:p>
                  <w:pPr>
                    <w:pStyle w:val="33"/>
                    <w:rPr>
                      <w:color w:val="auto"/>
                    </w:rPr>
                  </w:pPr>
                  <w:r>
                    <w:rPr>
                      <w:rFonts w:hint="eastAsia"/>
                      <w:color w:val="auto"/>
                    </w:rPr>
                    <w:t>最大8h平均第90百分位数</w:t>
                  </w:r>
                </w:p>
              </w:tc>
              <w:tc>
                <w:tcPr>
                  <w:tcW w:w="746" w:type="pct"/>
                  <w:vAlign w:val="center"/>
                </w:tcPr>
                <w:p>
                  <w:pPr>
                    <w:pStyle w:val="33"/>
                    <w:rPr>
                      <w:rFonts w:hint="default" w:eastAsia="宋体"/>
                      <w:color w:val="auto"/>
                      <w:lang w:val="en-US" w:eastAsia="zh-CN"/>
                    </w:rPr>
                  </w:pPr>
                  <w:r>
                    <w:rPr>
                      <w:rFonts w:hint="eastAsia"/>
                      <w:color w:val="auto"/>
                      <w:lang w:val="en-US" w:eastAsia="zh-CN"/>
                    </w:rPr>
                    <w:t>133</w:t>
                  </w:r>
                </w:p>
              </w:tc>
              <w:tc>
                <w:tcPr>
                  <w:tcW w:w="747" w:type="pct"/>
                  <w:vAlign w:val="center"/>
                </w:tcPr>
                <w:p>
                  <w:pPr>
                    <w:pStyle w:val="33"/>
                    <w:rPr>
                      <w:color w:val="auto"/>
                    </w:rPr>
                  </w:pPr>
                  <w:r>
                    <w:rPr>
                      <w:color w:val="auto"/>
                    </w:rPr>
                    <w:t>160</w:t>
                  </w:r>
                </w:p>
              </w:tc>
              <w:tc>
                <w:tcPr>
                  <w:tcW w:w="551" w:type="pct"/>
                  <w:vAlign w:val="center"/>
                </w:tcPr>
                <w:p>
                  <w:pPr>
                    <w:pStyle w:val="33"/>
                    <w:rPr>
                      <w:rFonts w:hint="default" w:eastAsia="宋体"/>
                      <w:color w:val="auto"/>
                      <w:lang w:val="en-US" w:eastAsia="zh-CN"/>
                    </w:rPr>
                  </w:pPr>
                  <w:r>
                    <w:rPr>
                      <w:rFonts w:hint="eastAsia"/>
                      <w:color w:val="auto"/>
                      <w:lang w:val="en-US" w:eastAsia="zh-CN"/>
                    </w:rPr>
                    <w:t>83.1</w:t>
                  </w:r>
                </w:p>
              </w:tc>
              <w:tc>
                <w:tcPr>
                  <w:tcW w:w="736" w:type="pct"/>
                  <w:vAlign w:val="center"/>
                </w:tcPr>
                <w:p>
                  <w:pPr>
                    <w:pStyle w:val="33"/>
                    <w:rPr>
                      <w:color w:val="auto"/>
                    </w:rPr>
                  </w:pPr>
                  <w:r>
                    <w:rPr>
                      <w:rFonts w:hint="eastAsia"/>
                      <w:color w:val="auto"/>
                    </w:rPr>
                    <w:t>达标</w:t>
                  </w:r>
                </w:p>
              </w:tc>
            </w:tr>
          </w:tbl>
          <w:p>
            <w:pPr>
              <w:pStyle w:val="22"/>
              <w:bidi w:val="0"/>
              <w:jc w:val="both"/>
              <w:rPr>
                <w:rFonts w:hint="default"/>
                <w:color w:val="auto"/>
                <w:lang w:val="en-US" w:eastAsia="zh-CN"/>
              </w:rPr>
            </w:pPr>
            <w:r>
              <w:rPr>
                <w:color w:val="auto"/>
              </w:rPr>
              <w:t>由</w:t>
            </w:r>
            <w:r>
              <w:rPr>
                <w:rFonts w:hint="eastAsia"/>
                <w:color w:val="auto"/>
              </w:rPr>
              <w:t>表3-</w:t>
            </w:r>
            <w:r>
              <w:rPr>
                <w:rFonts w:hint="eastAsia"/>
                <w:color w:val="auto"/>
                <w:lang w:val="en-US" w:eastAsia="zh-CN"/>
              </w:rPr>
              <w:t>2</w:t>
            </w:r>
            <w:r>
              <w:rPr>
                <w:color w:val="auto"/>
              </w:rPr>
              <w:t>可知，项目所在区域SO</w:t>
            </w:r>
            <w:r>
              <w:rPr>
                <w:color w:val="auto"/>
                <w:vertAlign w:val="subscript"/>
              </w:rPr>
              <w:t>2</w:t>
            </w:r>
            <w:r>
              <w:rPr>
                <w:color w:val="auto"/>
              </w:rPr>
              <w:t>、NO</w:t>
            </w:r>
            <w:r>
              <w:rPr>
                <w:color w:val="auto"/>
                <w:vertAlign w:val="subscript"/>
              </w:rPr>
              <w:t>2</w:t>
            </w:r>
            <w:r>
              <w:rPr>
                <w:color w:val="auto"/>
              </w:rPr>
              <w:t>、O</w:t>
            </w:r>
            <w:r>
              <w:rPr>
                <w:color w:val="auto"/>
                <w:vertAlign w:val="subscript"/>
              </w:rPr>
              <w:t>3</w:t>
            </w:r>
            <w:r>
              <w:rPr>
                <w:color w:val="auto"/>
              </w:rPr>
              <w:t>、CO的年均浓度和日均浓度</w:t>
            </w:r>
            <w:r>
              <w:rPr>
                <w:rFonts w:hint="eastAsia"/>
                <w:color w:val="auto"/>
              </w:rPr>
              <w:t>均满足</w:t>
            </w:r>
            <w:r>
              <w:rPr>
                <w:color w:val="auto"/>
              </w:rPr>
              <w:t>《环境空气质量标准》（GB3095-2012）的二级标准要求；PM</w:t>
            </w:r>
            <w:r>
              <w:rPr>
                <w:color w:val="auto"/>
                <w:vertAlign w:val="subscript"/>
              </w:rPr>
              <w:t>10</w:t>
            </w:r>
            <w:r>
              <w:rPr>
                <w:color w:val="auto"/>
              </w:rPr>
              <w:t>和PM</w:t>
            </w:r>
            <w:r>
              <w:rPr>
                <w:rFonts w:hint="eastAsia"/>
                <w:color w:val="auto"/>
                <w:vertAlign w:val="subscript"/>
              </w:rPr>
              <w:t>2.5</w:t>
            </w:r>
            <w:r>
              <w:rPr>
                <w:color w:val="auto"/>
              </w:rPr>
              <w:t>年均浓度和日均浓度均超过《环境空气质量标准》（GB3095-2012）的二级标准要求。因此，项目所在区域为不达标区。</w:t>
            </w:r>
          </w:p>
          <w:p>
            <w:pPr>
              <w:pStyle w:val="6"/>
              <w:jc w:val="both"/>
              <w:outlineLvl w:val="1"/>
            </w:pPr>
            <w:r>
              <w:t>2. 地表水环境质量现状调查与评价</w:t>
            </w:r>
          </w:p>
          <w:p>
            <w:pPr>
              <w:pStyle w:val="22"/>
              <w:ind w:firstLine="480"/>
              <w:jc w:val="both"/>
            </w:pPr>
            <w:r>
              <w:rPr>
                <w:rFonts w:hint="eastAsia"/>
              </w:rPr>
              <w:t>根据《环境影响评价技术导则 地表水环境》（HJ2.3-2018），</w:t>
            </w:r>
            <w:r>
              <w:rPr>
                <w:rFonts w:hint="eastAsia"/>
                <w:lang w:val="en-US" w:eastAsia="zh-CN"/>
              </w:rPr>
              <w:t>本项目区不设置食堂宿舍，无生活污水产生，洗衣废水经厂区污水处理站处理达标后与锅炉排污水及软水制备废水一并排入市政污水管网</w:t>
            </w:r>
            <w:r>
              <w:rPr>
                <w:rFonts w:hint="eastAsia"/>
              </w:rPr>
              <w:t>，评价等级为三级B，且本项目不与地表水直接接触，不开展区域污染源调查，故本次评价不对地表水环境影响进行评价。</w:t>
            </w:r>
          </w:p>
          <w:p>
            <w:pPr>
              <w:pStyle w:val="6"/>
              <w:jc w:val="both"/>
              <w:outlineLvl w:val="1"/>
            </w:pPr>
            <w:r>
              <w:rPr>
                <w:rFonts w:hint="eastAsia"/>
              </w:rPr>
              <w:t xml:space="preserve">3. </w:t>
            </w:r>
            <w:r>
              <w:t>声环境质量现状及分析</w:t>
            </w:r>
          </w:p>
          <w:p>
            <w:pPr>
              <w:pStyle w:val="22"/>
              <w:bidi w:val="0"/>
              <w:jc w:val="both"/>
              <w:rPr>
                <w:rFonts w:ascii="Times New Roman" w:hAnsi="Times New Roman" w:eastAsia="宋体" w:cs="Times New Roman"/>
                <w:b w:val="0"/>
                <w:color w:val="000000"/>
                <w:sz w:val="24"/>
                <w:highlight w:val="none"/>
              </w:rPr>
            </w:pPr>
            <w:r>
              <w:rPr>
                <w:rFonts w:hint="eastAsia"/>
                <w:color w:val="auto"/>
                <w:lang w:val="en-US" w:eastAsia="zh-CN"/>
              </w:rPr>
              <w:t>本项目位于昌</w:t>
            </w:r>
            <w:r>
              <w:rPr>
                <w:rFonts w:hint="eastAsia"/>
                <w:color w:val="auto"/>
                <w:highlight w:val="none"/>
                <w:lang w:val="en-US" w:eastAsia="zh-CN"/>
              </w:rPr>
              <w:t>吉回族自治州</w:t>
            </w:r>
            <w:r>
              <w:rPr>
                <w:rFonts w:hint="eastAsia"/>
                <w:bCs/>
                <w:color w:val="000000" w:themeColor="text1"/>
                <w:sz w:val="24"/>
                <w:lang w:eastAsia="zh-CN"/>
                <w14:textFill>
                  <w14:solidFill>
                    <w14:schemeClr w14:val="tx1"/>
                  </w14:solidFill>
                </w14:textFill>
              </w:rPr>
              <w:t>吉木萨尔县北庭综合物流园内</w:t>
            </w:r>
            <w:r>
              <w:rPr>
                <w:rFonts w:hint="default"/>
                <w:color w:val="auto"/>
                <w:lang w:val="en-US" w:eastAsia="zh-CN"/>
              </w:rPr>
              <w:t>。根据《关于印发&lt;建设项目环境影响报告表&gt;内容、格式及编制技术指南的通知》（环办环评〔2020〕33号），本项目厂界50米范围内无声环境保护目标，故无需对环境敏感点进行声环境质量现状监测。</w:t>
            </w:r>
          </w:p>
          <w:p>
            <w:pPr>
              <w:pStyle w:val="6"/>
              <w:jc w:val="both"/>
              <w:outlineLvl w:val="1"/>
              <w:rPr>
                <w:rFonts w:cs="Times New Roman"/>
                <w:bCs/>
                <w:sz w:val="21"/>
                <w:szCs w:val="21"/>
              </w:rPr>
            </w:pPr>
            <w:r>
              <w:rPr>
                <w:rFonts w:hint="eastAsia"/>
                <w:bCs/>
              </w:rPr>
              <w:t>4.</w:t>
            </w:r>
            <w:r>
              <w:rPr>
                <w:rFonts w:hint="eastAsia"/>
              </w:rPr>
              <w:t xml:space="preserve"> 生态环境</w:t>
            </w:r>
          </w:p>
          <w:p>
            <w:pPr>
              <w:pStyle w:val="22"/>
              <w:bidi w:val="0"/>
              <w:jc w:val="both"/>
              <w:rPr>
                <w:rFonts w:hint="eastAsia"/>
                <w:lang w:val="en-US" w:eastAsia="zh-CN"/>
              </w:rPr>
            </w:pPr>
            <w:r>
              <w:rPr>
                <w:rFonts w:hint="eastAsia" w:ascii="宋体" w:hAnsi="宋体" w:eastAsia="宋体" w:cs="宋体"/>
                <w:color w:val="auto"/>
                <w:kern w:val="0"/>
                <w:sz w:val="24"/>
                <w:szCs w:val="24"/>
                <w:lang w:val="en-US" w:eastAsia="zh-CN" w:bidi="ar"/>
              </w:rPr>
              <w:t>根据《建设项目环境影响报告表编制技术指南（污染影响类）（试行）》中要求，产业</w:t>
            </w:r>
            <w:r>
              <w:rPr>
                <w:rFonts w:hint="eastAsia" w:ascii="宋体" w:hAnsi="宋体" w:cs="宋体"/>
                <w:color w:val="auto"/>
                <w:kern w:val="0"/>
                <w:sz w:val="24"/>
                <w:szCs w:val="24"/>
                <w:lang w:val="en-US" w:eastAsia="zh-CN" w:bidi="ar"/>
              </w:rPr>
              <w:t>市政</w:t>
            </w:r>
            <w:r>
              <w:rPr>
                <w:rFonts w:hint="eastAsia" w:ascii="宋体" w:hAnsi="宋体" w:eastAsia="宋体" w:cs="宋体"/>
                <w:color w:val="auto"/>
                <w:kern w:val="0"/>
                <w:sz w:val="24"/>
                <w:szCs w:val="24"/>
                <w:lang w:val="en-US" w:eastAsia="zh-CN" w:bidi="ar"/>
              </w:rPr>
              <w:t>外建设项目新增用地且用地范围内含有生态环境保护目标时，应进行生态现状调查。</w:t>
            </w:r>
            <w:r>
              <w:rPr>
                <w:rFonts w:hint="eastAsia"/>
                <w:lang w:val="en-US" w:eastAsia="zh-CN"/>
              </w:rPr>
              <w:t>本项目</w:t>
            </w:r>
            <w:r>
              <w:rPr>
                <w:rFonts w:hint="eastAsia"/>
              </w:rPr>
              <w:t>位于新疆</w:t>
            </w:r>
            <w:r>
              <w:rPr>
                <w:bCs/>
                <w:color w:val="000000" w:themeColor="text1"/>
                <w:sz w:val="24"/>
                <w14:textFill>
                  <w14:solidFill>
                    <w14:schemeClr w14:val="tx1"/>
                  </w14:solidFill>
                </w14:textFill>
              </w:rPr>
              <w:t>昌吉回族自治州</w:t>
            </w:r>
            <w:r>
              <w:rPr>
                <w:rFonts w:hint="eastAsia"/>
                <w:bCs/>
                <w:color w:val="000000" w:themeColor="text1"/>
                <w:sz w:val="24"/>
                <w:lang w:eastAsia="zh-CN"/>
                <w14:textFill>
                  <w14:solidFill>
                    <w14:schemeClr w14:val="tx1"/>
                  </w14:solidFill>
                </w14:textFill>
              </w:rPr>
              <w:t>吉木萨尔县北庭综合物流园内</w:t>
            </w:r>
            <w:r>
              <w:rPr>
                <w:rFonts w:hint="eastAsia"/>
                <w:bCs/>
                <w:color w:val="000000" w:themeColor="text1"/>
                <w:sz w:val="24"/>
                <w:lang w:val="en-US" w:eastAsia="zh-CN"/>
                <w14:textFill>
                  <w14:solidFill>
                    <w14:schemeClr w14:val="tx1"/>
                  </w14:solidFill>
                </w14:textFill>
              </w:rPr>
              <w:t>租赁</w:t>
            </w:r>
            <w:r>
              <w:rPr>
                <w:rFonts w:hint="eastAsia" w:cs="Times New Roman"/>
                <w:color w:val="auto"/>
                <w:kern w:val="0"/>
                <w:lang w:val="en-US" w:eastAsia="zh-CN" w:bidi="ar"/>
              </w:rPr>
              <w:t>吉木萨尔县北庭春物流园有限责任公司现有生产厂房</w:t>
            </w:r>
            <w:r>
              <w:rPr>
                <w:rFonts w:hint="eastAsia"/>
                <w:lang w:eastAsia="zh-CN"/>
              </w:rPr>
              <w:t>，</w:t>
            </w:r>
            <w:r>
              <w:rPr>
                <w:rFonts w:hint="eastAsia"/>
                <w:lang w:val="en-US" w:eastAsia="zh-CN"/>
              </w:rPr>
              <w:t>项目不新增占地，且</w:t>
            </w:r>
            <w:r>
              <w:rPr>
                <w:rFonts w:hint="eastAsia"/>
              </w:rPr>
              <w:t>用地范围内</w:t>
            </w:r>
            <w:r>
              <w:rPr>
                <w:rFonts w:hint="eastAsia"/>
                <w:lang w:val="en-US" w:eastAsia="zh-CN"/>
              </w:rPr>
              <w:t>无</w:t>
            </w:r>
            <w:r>
              <w:rPr>
                <w:rFonts w:hint="eastAsia"/>
              </w:rPr>
              <w:t>生态环境保护目标，</w:t>
            </w:r>
            <w:r>
              <w:rPr>
                <w:rFonts w:hint="eastAsia"/>
                <w:lang w:val="en-US" w:eastAsia="zh-CN"/>
              </w:rPr>
              <w:t>不</w:t>
            </w:r>
            <w:r>
              <w:rPr>
                <w:rFonts w:hint="eastAsia"/>
              </w:rPr>
              <w:t>进行生态现状调查</w:t>
            </w:r>
            <w:r>
              <w:rPr>
                <w:rFonts w:hint="eastAsia"/>
                <w:lang w:eastAsia="zh-CN"/>
              </w:rPr>
              <w:t>。</w:t>
            </w:r>
          </w:p>
          <w:p>
            <w:pPr>
              <w:pStyle w:val="6"/>
              <w:numPr>
                <w:ilvl w:val="0"/>
                <w:numId w:val="11"/>
              </w:numPr>
              <w:jc w:val="both"/>
              <w:outlineLvl w:val="1"/>
            </w:pPr>
            <w:r>
              <w:rPr>
                <w:rFonts w:hint="eastAsia"/>
              </w:rPr>
              <w:t>地下水、土壤环境</w:t>
            </w:r>
          </w:p>
          <w:p>
            <w:pPr>
              <w:pStyle w:val="22"/>
              <w:ind w:firstLine="480"/>
              <w:jc w:val="both"/>
              <w:rPr>
                <w:color w:val="000000" w:themeColor="text1"/>
                <w14:textFill>
                  <w14:solidFill>
                    <w14:schemeClr w14:val="tx1"/>
                  </w14:solidFill>
                </w14:textFill>
              </w:rPr>
            </w:pPr>
            <w:r>
              <w:rPr>
                <w:kern w:val="0"/>
                <w:szCs w:val="20"/>
              </w:rPr>
              <w:t>根据《建设项目环境影响报告表编制技术指南（污染影响类）（试行）》，地下水与土壤环境原则上不进行现状调查，</w:t>
            </w:r>
            <w:r>
              <w:rPr>
                <w:rFonts w:hint="eastAsia"/>
                <w:kern w:val="0"/>
                <w:szCs w:val="20"/>
              </w:rPr>
              <w:t>本项目可能对地下水和土壤产生影响的区域为</w:t>
            </w:r>
            <w:r>
              <w:rPr>
                <w:rFonts w:hint="eastAsia"/>
                <w:kern w:val="0"/>
                <w:szCs w:val="20"/>
                <w:lang w:val="en-US" w:eastAsia="zh-CN"/>
              </w:rPr>
              <w:t>污水处理站、</w:t>
            </w:r>
            <w:r>
              <w:rPr>
                <w:rFonts w:hint="eastAsia"/>
                <w:kern w:val="0"/>
                <w:szCs w:val="20"/>
              </w:rPr>
              <w:t>生产车间和</w:t>
            </w:r>
            <w:r>
              <w:rPr>
                <w:rFonts w:hint="eastAsia"/>
                <w:kern w:val="0"/>
                <w:szCs w:val="20"/>
                <w:lang w:val="en-US" w:eastAsia="zh-CN"/>
              </w:rPr>
              <w:t>锅炉房</w:t>
            </w:r>
            <w:r>
              <w:rPr>
                <w:rFonts w:hint="eastAsia"/>
                <w:kern w:val="0"/>
                <w:szCs w:val="20"/>
              </w:rPr>
              <w:t>，项目各区域均采取</w:t>
            </w:r>
            <w:r>
              <w:rPr>
                <w:rFonts w:hint="eastAsia"/>
                <w:kern w:val="0"/>
                <w:szCs w:val="20"/>
                <w:lang w:val="en-US" w:eastAsia="zh-CN"/>
              </w:rPr>
              <w:t>分区</w:t>
            </w:r>
            <w:r>
              <w:rPr>
                <w:rFonts w:hint="eastAsia"/>
                <w:kern w:val="0"/>
                <w:szCs w:val="20"/>
              </w:rPr>
              <w:t>防渗等措施，项目日常运行不存在对土壤、地下水的影响途径，故本报告不开展进行地下水和土壤环境质量现状调查。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2" w:type="dxa"/>
            <w:tcBorders>
              <w:tl2br w:val="nil"/>
              <w:tr2bl w:val="nil"/>
            </w:tcBorders>
            <w:vAlign w:val="center"/>
          </w:tcPr>
          <w:p>
            <w:pPr>
              <w:jc w:val="center"/>
              <w:rPr>
                <w:rFonts w:ascii="宋体" w:hAnsi="宋体" w:cs="宋体"/>
                <w:szCs w:val="21"/>
              </w:rPr>
            </w:pPr>
            <w:r>
              <w:rPr>
                <w:rFonts w:hint="eastAsia" w:ascii="宋体" w:hAnsi="宋体" w:cs="宋体"/>
                <w:szCs w:val="21"/>
              </w:rPr>
              <w:t>环境</w:t>
            </w:r>
          </w:p>
          <w:p>
            <w:pPr>
              <w:jc w:val="center"/>
              <w:rPr>
                <w:rFonts w:ascii="宋体" w:hAnsi="宋体" w:cs="宋体"/>
                <w:szCs w:val="21"/>
              </w:rPr>
            </w:pPr>
            <w:r>
              <w:rPr>
                <w:rFonts w:hint="eastAsia" w:ascii="宋体" w:hAnsi="宋体" w:cs="宋体"/>
                <w:szCs w:val="21"/>
              </w:rPr>
              <w:t>保护</w:t>
            </w:r>
          </w:p>
          <w:p>
            <w:pPr>
              <w:jc w:val="center"/>
            </w:pPr>
            <w:r>
              <w:rPr>
                <w:rFonts w:hint="eastAsia"/>
              </w:rPr>
              <w:t>目标</w:t>
            </w:r>
          </w:p>
        </w:tc>
        <w:tc>
          <w:tcPr>
            <w:tcW w:w="7900" w:type="dxa"/>
            <w:tcBorders>
              <w:tl2br w:val="nil"/>
              <w:tr2bl w:val="nil"/>
            </w:tcBorders>
          </w:tcPr>
          <w:p>
            <w:pPr>
              <w:pStyle w:val="6"/>
              <w:numPr>
                <w:ilvl w:val="0"/>
                <w:numId w:val="0"/>
              </w:numPr>
              <w:jc w:val="both"/>
              <w:outlineLvl w:val="1"/>
            </w:pPr>
            <w:r>
              <w:rPr>
                <w:rFonts w:hint="eastAsia"/>
                <w:lang w:val="en-US" w:eastAsia="zh-CN"/>
              </w:rPr>
              <w:t>1.</w:t>
            </w:r>
            <w:r>
              <w:rPr>
                <w:rFonts w:hint="eastAsia"/>
              </w:rPr>
              <w:t>大气环境</w:t>
            </w:r>
          </w:p>
          <w:p>
            <w:pPr>
              <w:pStyle w:val="22"/>
              <w:ind w:firstLine="480"/>
              <w:jc w:val="both"/>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根据现场调查，本项目厂界外</w:t>
            </w:r>
            <w:r>
              <w:rPr>
                <w:rFonts w:hint="default" w:ascii="Times New Roman" w:hAnsi="Times New Roman" w:eastAsia="宋体" w:cs="Times New Roman"/>
                <w:kern w:val="2"/>
                <w:sz w:val="24"/>
                <w:szCs w:val="24"/>
                <w:lang w:val="en-US" w:eastAsia="zh-CN" w:bidi="ar-SA"/>
              </w:rPr>
              <w:t>500m</w:t>
            </w:r>
            <w:r>
              <w:rPr>
                <w:rFonts w:hint="eastAsia" w:ascii="Times New Roman" w:hAnsi="Times New Roman" w:eastAsia="宋体" w:cs="Times New Roman"/>
                <w:kern w:val="2"/>
                <w:sz w:val="24"/>
                <w:szCs w:val="24"/>
                <w:lang w:val="en-US" w:eastAsia="zh-CN" w:bidi="ar-SA"/>
              </w:rPr>
              <w:t>范围内无自然保护区、风景名胜区、居住区、文化区和农村地区中人群较集中的区域等环境敏感区。</w:t>
            </w:r>
          </w:p>
          <w:p>
            <w:pPr>
              <w:pStyle w:val="6"/>
              <w:numPr>
                <w:ilvl w:val="0"/>
                <w:numId w:val="0"/>
              </w:numPr>
              <w:jc w:val="both"/>
              <w:outlineLvl w:val="1"/>
              <w:rPr>
                <w:rFonts w:hint="eastAsia" w:ascii="Times New Roman" w:hAnsi="Times New Roman" w:eastAsia="宋体"/>
                <w:lang w:val="en-US" w:eastAsia="zh-CN"/>
              </w:rPr>
            </w:pPr>
            <w:r>
              <w:rPr>
                <w:rFonts w:hint="eastAsia"/>
                <w:lang w:val="en-US" w:eastAsia="zh-CN"/>
              </w:rPr>
              <w:t>2.</w:t>
            </w:r>
            <w:r>
              <w:rPr>
                <w:rFonts w:hint="eastAsia" w:ascii="Times New Roman" w:hAnsi="Times New Roman" w:eastAsia="宋体"/>
                <w:lang w:val="en-US" w:eastAsia="zh-CN"/>
              </w:rPr>
              <w:t>声环境</w:t>
            </w:r>
          </w:p>
          <w:p>
            <w:pPr>
              <w:pStyle w:val="22"/>
              <w:ind w:firstLine="480"/>
              <w:jc w:val="both"/>
              <w:rPr>
                <w:rFonts w:hint="eastAsia" w:ascii="Times New Roman" w:hAnsi="Times New Roman" w:eastAsia="宋体" w:cs="Times New Roman"/>
                <w:kern w:val="2"/>
                <w:sz w:val="24"/>
                <w:szCs w:val="24"/>
                <w:highlight w:val="none"/>
                <w:lang w:val="en-US" w:eastAsia="zh-CN" w:bidi="ar-SA"/>
              </w:rPr>
            </w:pPr>
            <w:r>
              <w:rPr>
                <w:rFonts w:hint="eastAsia" w:ascii="Times New Roman" w:hAnsi="Times New Roman" w:eastAsia="宋体" w:cs="Times New Roman"/>
                <w:kern w:val="2"/>
                <w:sz w:val="24"/>
                <w:szCs w:val="24"/>
                <w:highlight w:val="none"/>
                <w:lang w:val="en-US" w:eastAsia="zh-CN" w:bidi="ar-SA"/>
              </w:rPr>
              <w:t>本项目厂界外50m范围内无声环境保护目标。</w:t>
            </w:r>
          </w:p>
          <w:p>
            <w:pPr>
              <w:pStyle w:val="6"/>
              <w:numPr>
                <w:ilvl w:val="0"/>
                <w:numId w:val="0"/>
              </w:numPr>
              <w:jc w:val="both"/>
              <w:outlineLvl w:val="1"/>
            </w:pPr>
            <w:r>
              <w:rPr>
                <w:rFonts w:hint="eastAsia"/>
                <w:lang w:val="en-US" w:eastAsia="zh-CN"/>
              </w:rPr>
              <w:t>3.</w:t>
            </w:r>
            <w:r>
              <w:rPr>
                <w:rFonts w:hint="eastAsia"/>
              </w:rPr>
              <w:t>地下水环境</w:t>
            </w:r>
          </w:p>
          <w:p>
            <w:pPr>
              <w:pStyle w:val="22"/>
              <w:ind w:firstLine="480"/>
              <w:jc w:val="both"/>
              <w:rPr>
                <w:rFonts w:hint="eastAsia" w:eastAsia="宋体"/>
                <w:lang w:eastAsia="zh-CN"/>
              </w:rPr>
            </w:pPr>
            <w:r>
              <w:rPr>
                <w:rFonts w:hint="eastAsia"/>
              </w:rPr>
              <w:t>本项目厂界外500米范围内无地下水集中式饮用水水源和热水、矿泉水、温泉等特殊地下水资源</w:t>
            </w:r>
            <w:r>
              <w:rPr>
                <w:rFonts w:hint="eastAsia"/>
                <w:lang w:eastAsia="zh-CN"/>
              </w:rPr>
              <w:t>；</w:t>
            </w:r>
          </w:p>
          <w:p>
            <w:pPr>
              <w:pStyle w:val="6"/>
              <w:numPr>
                <w:ilvl w:val="0"/>
                <w:numId w:val="0"/>
              </w:numPr>
              <w:jc w:val="both"/>
              <w:outlineLvl w:val="1"/>
            </w:pPr>
            <w:r>
              <w:rPr>
                <w:rFonts w:hint="eastAsia"/>
                <w:lang w:val="en-US" w:eastAsia="zh-CN"/>
              </w:rPr>
              <w:t>4.</w:t>
            </w:r>
            <w:r>
              <w:rPr>
                <w:rFonts w:hint="eastAsia"/>
              </w:rPr>
              <w:t>生态环境</w:t>
            </w:r>
          </w:p>
          <w:p>
            <w:pPr>
              <w:pStyle w:val="22"/>
              <w:ind w:firstLine="480"/>
              <w:jc w:val="both"/>
            </w:pPr>
            <w:r>
              <w:t>本项目位于</w:t>
            </w:r>
            <w:r>
              <w:rPr>
                <w:rFonts w:hint="eastAsia"/>
              </w:rPr>
              <w:t>新疆</w:t>
            </w:r>
            <w:r>
              <w:rPr>
                <w:bCs/>
                <w:color w:val="000000" w:themeColor="text1"/>
                <w:sz w:val="24"/>
                <w14:textFill>
                  <w14:solidFill>
                    <w14:schemeClr w14:val="tx1"/>
                  </w14:solidFill>
                </w14:textFill>
              </w:rPr>
              <w:t>昌吉回族自治州</w:t>
            </w:r>
            <w:r>
              <w:rPr>
                <w:rFonts w:hint="eastAsia"/>
                <w:bCs/>
                <w:color w:val="000000" w:themeColor="text1"/>
                <w:sz w:val="24"/>
                <w:lang w:eastAsia="zh-CN"/>
                <w14:textFill>
                  <w14:solidFill>
                    <w14:schemeClr w14:val="tx1"/>
                  </w14:solidFill>
                </w14:textFill>
              </w:rPr>
              <w:t>吉木萨尔县北庭综合物流园内</w:t>
            </w:r>
            <w:r>
              <w:t>，故不涉及生态环境保护目标。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04" w:hRule="atLeast"/>
          <w:jc w:val="center"/>
        </w:trPr>
        <w:tc>
          <w:tcPr>
            <w:tcW w:w="622" w:type="dxa"/>
            <w:tcBorders>
              <w:tl2br w:val="nil"/>
              <w:tr2bl w:val="nil"/>
            </w:tcBorders>
            <w:vAlign w:val="center"/>
          </w:tcPr>
          <w:p>
            <w:pPr>
              <w:jc w:val="center"/>
              <w:rPr>
                <w:rFonts w:ascii="宋体" w:hAnsi="宋体" w:cs="宋体"/>
                <w:szCs w:val="21"/>
              </w:rPr>
            </w:pPr>
            <w:r>
              <w:rPr>
                <w:rFonts w:hint="eastAsia" w:ascii="宋体" w:hAnsi="宋体" w:cs="宋体"/>
                <w:szCs w:val="21"/>
              </w:rPr>
              <w:t>污染</w:t>
            </w:r>
          </w:p>
          <w:p>
            <w:pPr>
              <w:jc w:val="center"/>
              <w:rPr>
                <w:rFonts w:ascii="宋体" w:hAnsi="宋体" w:cs="宋体"/>
                <w:szCs w:val="21"/>
              </w:rPr>
            </w:pPr>
            <w:r>
              <w:rPr>
                <w:rFonts w:hint="eastAsia" w:ascii="宋体" w:hAnsi="宋体" w:cs="宋体"/>
                <w:szCs w:val="21"/>
              </w:rPr>
              <w:t>物排</w:t>
            </w:r>
          </w:p>
          <w:p>
            <w:pPr>
              <w:jc w:val="center"/>
              <w:rPr>
                <w:rFonts w:ascii="宋体" w:hAnsi="宋体" w:cs="宋体"/>
                <w:szCs w:val="21"/>
              </w:rPr>
            </w:pPr>
            <w:r>
              <w:rPr>
                <w:rFonts w:hint="eastAsia" w:ascii="宋体" w:hAnsi="宋体" w:cs="宋体"/>
                <w:szCs w:val="21"/>
              </w:rPr>
              <w:t>放控</w:t>
            </w:r>
          </w:p>
          <w:p>
            <w:pPr>
              <w:jc w:val="center"/>
              <w:rPr>
                <w:rFonts w:ascii="宋体" w:hAnsi="宋体" w:cs="宋体"/>
                <w:szCs w:val="21"/>
              </w:rPr>
            </w:pPr>
            <w:r>
              <w:rPr>
                <w:rFonts w:hint="eastAsia" w:ascii="宋体" w:hAnsi="宋体" w:cs="宋体"/>
                <w:szCs w:val="21"/>
              </w:rPr>
              <w:t>制标</w:t>
            </w:r>
          </w:p>
          <w:p>
            <w:pPr>
              <w:jc w:val="center"/>
            </w:pPr>
            <w:r>
              <w:rPr>
                <w:rFonts w:hint="eastAsia"/>
              </w:rPr>
              <w:t>准</w:t>
            </w:r>
          </w:p>
        </w:tc>
        <w:tc>
          <w:tcPr>
            <w:tcW w:w="7900" w:type="dxa"/>
            <w:tcBorders>
              <w:tl2br w:val="nil"/>
              <w:tr2bl w:val="nil"/>
            </w:tcBorders>
          </w:tcPr>
          <w:p>
            <w:pPr>
              <w:pStyle w:val="6"/>
              <w:numPr>
                <w:ilvl w:val="0"/>
                <w:numId w:val="12"/>
              </w:numPr>
              <w:jc w:val="both"/>
              <w:outlineLvl w:val="1"/>
            </w:pPr>
            <w:r>
              <w:rPr>
                <w:rFonts w:hint="eastAsia"/>
              </w:rPr>
              <w:t>大气污染物排放标准</w:t>
            </w:r>
          </w:p>
          <w:p>
            <w:pPr>
              <w:pStyle w:val="22"/>
              <w:ind w:firstLine="480"/>
              <w:jc w:val="both"/>
            </w:pPr>
            <w:r>
              <w:rPr>
                <w:rFonts w:hint="eastAsia"/>
              </w:rPr>
              <w:t>本项目燃气</w:t>
            </w:r>
            <w:r>
              <w:rPr>
                <w:rFonts w:hint="eastAsia"/>
                <w:lang w:val="en-US" w:eastAsia="zh-CN"/>
              </w:rPr>
              <w:t>锅炉</w:t>
            </w:r>
            <w:r>
              <w:rPr>
                <w:rFonts w:hint="eastAsia"/>
              </w:rPr>
              <w:t>颗粒物、二氧化硫执行《锅炉大气污染物排放标准》（GB13271-2014）表3大气污染物特别排放限值，氮氧化物执行《关于开展自治区2022年度夏秋季大气污染防治“冬病夏治”工作的通知》（新环大气函〔2022〕483号）的要求，</w:t>
            </w:r>
            <w:r>
              <w:rPr>
                <w:rFonts w:hint="eastAsia"/>
                <w:lang w:val="en-US" w:eastAsia="zh-CN"/>
              </w:rPr>
              <w:t>污水处理站废气执行</w:t>
            </w:r>
            <w:r>
              <w:t>《恶臭污染物排放标准》（GB14554-93）</w:t>
            </w:r>
            <w:r>
              <w:rPr>
                <w:rFonts w:hint="eastAsia"/>
                <w:lang w:eastAsia="zh-CN"/>
              </w:rPr>
              <w:t>，</w:t>
            </w:r>
            <w:r>
              <w:t>具体详见下表</w:t>
            </w:r>
            <w:r>
              <w:rPr>
                <w:rFonts w:hint="eastAsia"/>
              </w:rPr>
              <w:t>：</w:t>
            </w:r>
          </w:p>
          <w:p>
            <w:pPr>
              <w:pStyle w:val="32"/>
              <w:rPr>
                <w:rFonts w:cs="Times New Roman"/>
                <w:bCs/>
                <w:snapToGrid w:val="0"/>
                <w:kern w:val="0"/>
              </w:rPr>
            </w:pPr>
            <w:r>
              <w:rPr>
                <w:rFonts w:hint="eastAsia"/>
              </w:rPr>
              <w:t>表3-</w:t>
            </w:r>
            <w:r>
              <w:rPr>
                <w:rFonts w:hint="eastAsia"/>
                <w:lang w:val="en-US" w:eastAsia="zh-CN"/>
              </w:rPr>
              <w:t>3</w:t>
            </w:r>
            <w:r>
              <w:rPr>
                <w:rFonts w:hint="eastAsia"/>
              </w:rPr>
              <w:t xml:space="preserve">    </w:t>
            </w:r>
            <w:r>
              <w:rPr>
                <w:rFonts w:cs="Times New Roman"/>
                <w:bCs/>
                <w:snapToGrid w:val="0"/>
                <w:kern w:val="0"/>
              </w:rPr>
              <w:t>大气污染物排放标准</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9"/>
              <w:gridCol w:w="1343"/>
              <w:gridCol w:w="1100"/>
              <w:gridCol w:w="1903"/>
              <w:gridCol w:w="26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tcBorders>
                    <w:bottom w:val="single" w:color="auto" w:sz="12" w:space="0"/>
                    <w:tl2br w:val="nil"/>
                    <w:tr2bl w:val="nil"/>
                  </w:tcBorders>
                  <w:vAlign w:val="center"/>
                </w:tcPr>
                <w:p>
                  <w:pPr>
                    <w:pStyle w:val="33"/>
                    <w:rPr>
                      <w:b/>
                      <w:bCs/>
                      <w:lang w:val="en-US" w:eastAsia="zh-CN"/>
                    </w:rPr>
                  </w:pPr>
                  <w:r>
                    <w:rPr>
                      <w:rFonts w:hint="eastAsia"/>
                      <w:b/>
                      <w:bCs/>
                      <w:lang w:val="en-US" w:eastAsia="zh-CN"/>
                    </w:rPr>
                    <w:t>序号</w:t>
                  </w:r>
                </w:p>
              </w:tc>
              <w:tc>
                <w:tcPr>
                  <w:tcW w:w="874" w:type="pct"/>
                  <w:tcBorders>
                    <w:bottom w:val="single" w:color="auto" w:sz="12" w:space="0"/>
                    <w:tl2br w:val="nil"/>
                    <w:tr2bl w:val="nil"/>
                  </w:tcBorders>
                  <w:vAlign w:val="center"/>
                </w:tcPr>
                <w:p>
                  <w:pPr>
                    <w:pStyle w:val="33"/>
                    <w:rPr>
                      <w:b/>
                      <w:bCs/>
                      <w:lang w:val="en-US" w:eastAsia="zh-CN"/>
                    </w:rPr>
                  </w:pPr>
                  <w:r>
                    <w:rPr>
                      <w:rFonts w:hint="eastAsia"/>
                      <w:b/>
                      <w:bCs/>
                      <w:lang w:val="en-US" w:eastAsia="zh-CN"/>
                    </w:rPr>
                    <w:t>污染物</w:t>
                  </w:r>
                </w:p>
              </w:tc>
              <w:tc>
                <w:tcPr>
                  <w:tcW w:w="716" w:type="pct"/>
                  <w:tcBorders>
                    <w:bottom w:val="single" w:color="auto" w:sz="12" w:space="0"/>
                    <w:tl2br w:val="nil"/>
                    <w:tr2bl w:val="nil"/>
                  </w:tcBorders>
                  <w:vAlign w:val="center"/>
                </w:tcPr>
                <w:p>
                  <w:pPr>
                    <w:pStyle w:val="33"/>
                    <w:rPr>
                      <w:rFonts w:hint="default" w:eastAsia="宋体"/>
                      <w:b/>
                      <w:bCs/>
                      <w:snapToGrid w:val="0"/>
                      <w:color w:val="000000"/>
                      <w:kern w:val="0"/>
                      <w:szCs w:val="21"/>
                      <w:lang w:val="en-US" w:eastAsia="zh-CN"/>
                    </w:rPr>
                  </w:pPr>
                  <w:r>
                    <w:rPr>
                      <w:rFonts w:hint="eastAsia"/>
                      <w:b/>
                      <w:bCs/>
                      <w:snapToGrid w:val="0"/>
                      <w:color w:val="000000"/>
                      <w:kern w:val="0"/>
                      <w:szCs w:val="21"/>
                      <w:lang w:val="en-US" w:eastAsia="zh-CN"/>
                    </w:rPr>
                    <w:t>排放形式</w:t>
                  </w:r>
                </w:p>
              </w:tc>
              <w:tc>
                <w:tcPr>
                  <w:tcW w:w="1238" w:type="pct"/>
                  <w:tcBorders>
                    <w:bottom w:val="single" w:color="auto" w:sz="12" w:space="0"/>
                    <w:tl2br w:val="nil"/>
                    <w:tr2bl w:val="nil"/>
                  </w:tcBorders>
                  <w:vAlign w:val="center"/>
                </w:tcPr>
                <w:p>
                  <w:pPr>
                    <w:pStyle w:val="33"/>
                    <w:bidi w:val="0"/>
                    <w:rPr>
                      <w:b/>
                      <w:bCs/>
                    </w:rPr>
                  </w:pPr>
                  <w:r>
                    <w:rPr>
                      <w:b/>
                      <w:bCs/>
                    </w:rPr>
                    <w:t>最高允许排放浓度</w:t>
                  </w:r>
                </w:p>
              </w:tc>
              <w:tc>
                <w:tcPr>
                  <w:tcW w:w="1735" w:type="pct"/>
                  <w:tcBorders>
                    <w:bottom w:val="single" w:color="auto" w:sz="12" w:space="0"/>
                    <w:tl2br w:val="nil"/>
                    <w:tr2bl w:val="nil"/>
                  </w:tcBorders>
                  <w:vAlign w:val="center"/>
                </w:tcPr>
                <w:p>
                  <w:pPr>
                    <w:pStyle w:val="33"/>
                    <w:rPr>
                      <w:b/>
                      <w:bCs/>
                    </w:rPr>
                  </w:pPr>
                  <w:r>
                    <w:rPr>
                      <w:b/>
                      <w:bCs/>
                      <w:snapToGrid w:val="0"/>
                      <w:color w:val="000000"/>
                      <w:kern w:val="0"/>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tcBorders>
                    <w:top w:val="single" w:color="auto" w:sz="12" w:space="0"/>
                    <w:bottom w:val="single" w:color="auto" w:sz="4" w:space="0"/>
                  </w:tcBorders>
                  <w:vAlign w:val="center"/>
                </w:tcPr>
                <w:p>
                  <w:pPr>
                    <w:pStyle w:val="33"/>
                    <w:rPr>
                      <w:lang w:val="en-US" w:eastAsia="zh-CN"/>
                    </w:rPr>
                  </w:pPr>
                  <w:r>
                    <w:rPr>
                      <w:rFonts w:hint="eastAsia"/>
                      <w:lang w:val="en-US" w:eastAsia="zh-CN"/>
                    </w:rPr>
                    <w:t>1</w:t>
                  </w:r>
                </w:p>
              </w:tc>
              <w:tc>
                <w:tcPr>
                  <w:tcW w:w="874" w:type="pct"/>
                  <w:tcBorders>
                    <w:top w:val="single" w:color="auto" w:sz="12" w:space="0"/>
                    <w:bottom w:val="single" w:color="auto" w:sz="4" w:space="0"/>
                  </w:tcBorders>
                  <w:vAlign w:val="center"/>
                </w:tcPr>
                <w:p>
                  <w:pPr>
                    <w:pStyle w:val="33"/>
                    <w:rPr>
                      <w:lang w:val="en-US" w:eastAsia="zh-CN"/>
                    </w:rPr>
                  </w:pPr>
                  <w:r>
                    <w:rPr>
                      <w:rFonts w:hint="eastAsia"/>
                      <w:lang w:val="en-US" w:eastAsia="zh-CN"/>
                    </w:rPr>
                    <w:t>颗粒物</w:t>
                  </w:r>
                </w:p>
              </w:tc>
              <w:tc>
                <w:tcPr>
                  <w:tcW w:w="716" w:type="pct"/>
                  <w:vMerge w:val="restart"/>
                  <w:tcBorders>
                    <w:top w:val="single" w:color="auto" w:sz="12" w:space="0"/>
                  </w:tcBorders>
                  <w:vAlign w:val="center"/>
                </w:tcPr>
                <w:p>
                  <w:pPr>
                    <w:pStyle w:val="33"/>
                    <w:rPr>
                      <w:rFonts w:hint="default" w:ascii="Times New Roman" w:hAnsi="Times New Roman" w:eastAsia="宋体" w:cs="Times New Roman"/>
                      <w:kern w:val="2"/>
                      <w:sz w:val="21"/>
                      <w:szCs w:val="21"/>
                      <w:vertAlign w:val="baseline"/>
                      <w:lang w:val="en-US" w:eastAsia="zh-CN" w:bidi="ar-SA"/>
                    </w:rPr>
                  </w:pPr>
                  <w:r>
                    <w:rPr>
                      <w:rFonts w:hint="eastAsia"/>
                      <w:lang w:val="en-US" w:eastAsia="zh-CN"/>
                    </w:rPr>
                    <w:t>有组织</w:t>
                  </w:r>
                </w:p>
              </w:tc>
              <w:tc>
                <w:tcPr>
                  <w:tcW w:w="1238" w:type="pct"/>
                  <w:tcBorders>
                    <w:top w:val="single" w:color="auto" w:sz="12" w:space="0"/>
                    <w:bottom w:val="single" w:color="auto" w:sz="4" w:space="0"/>
                  </w:tcBorders>
                  <w:vAlign w:val="center"/>
                </w:tcPr>
                <w:p>
                  <w:pPr>
                    <w:pStyle w:val="33"/>
                  </w:pPr>
                  <w:r>
                    <w:rPr>
                      <w:rFonts w:hint="eastAsia"/>
                      <w:lang w:val="en-US" w:eastAsia="zh-CN"/>
                    </w:rPr>
                    <w:t>20mg/m</w:t>
                  </w:r>
                  <w:r>
                    <w:rPr>
                      <w:rFonts w:hint="eastAsia"/>
                      <w:vertAlign w:val="superscript"/>
                      <w:lang w:val="en-US" w:eastAsia="zh-CN"/>
                    </w:rPr>
                    <w:t>3</w:t>
                  </w:r>
                </w:p>
              </w:tc>
              <w:tc>
                <w:tcPr>
                  <w:tcW w:w="1735" w:type="pct"/>
                  <w:vMerge w:val="restart"/>
                  <w:tcBorders>
                    <w:top w:val="single" w:color="auto" w:sz="12" w:space="0"/>
                  </w:tcBorders>
                  <w:vAlign w:val="center"/>
                </w:tcPr>
                <w:p>
                  <w:pPr>
                    <w:pStyle w:val="33"/>
                  </w:pPr>
                  <w:r>
                    <w:rPr>
                      <w:rFonts w:hint="eastAsia"/>
                    </w:rPr>
                    <w:t>《锅炉大气污染物排放标准》（GB13271-2014）</w:t>
                  </w:r>
                  <w:r>
                    <w:rPr>
                      <w:rFonts w:hint="eastAsia"/>
                      <w:lang w:val="en-US" w:eastAsia="zh-CN"/>
                    </w:rPr>
                    <w:t>表3大气污染物特别排放限值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435" w:type="pct"/>
                  <w:tcBorders>
                    <w:top w:val="single" w:color="auto" w:sz="4" w:space="0"/>
                    <w:bottom w:val="single" w:color="auto" w:sz="4" w:space="0"/>
                  </w:tcBorders>
                  <w:vAlign w:val="center"/>
                </w:tcPr>
                <w:p>
                  <w:pPr>
                    <w:pStyle w:val="33"/>
                    <w:rPr>
                      <w:lang w:val="en-US" w:eastAsia="zh-CN"/>
                    </w:rPr>
                  </w:pPr>
                  <w:r>
                    <w:rPr>
                      <w:rFonts w:hint="eastAsia"/>
                      <w:lang w:val="en-US" w:eastAsia="zh-CN"/>
                    </w:rPr>
                    <w:t>2</w:t>
                  </w:r>
                </w:p>
              </w:tc>
              <w:tc>
                <w:tcPr>
                  <w:tcW w:w="874" w:type="pct"/>
                  <w:tcBorders>
                    <w:top w:val="single" w:color="auto" w:sz="4" w:space="0"/>
                    <w:bottom w:val="single" w:color="auto" w:sz="4" w:space="0"/>
                  </w:tcBorders>
                  <w:vAlign w:val="center"/>
                </w:tcPr>
                <w:p>
                  <w:pPr>
                    <w:pStyle w:val="33"/>
                    <w:rPr>
                      <w:lang w:val="en-US" w:eastAsia="zh-CN"/>
                    </w:rPr>
                  </w:pPr>
                  <w:r>
                    <w:rPr>
                      <w:rFonts w:hint="eastAsia"/>
                      <w:lang w:val="en-US" w:eastAsia="zh-CN"/>
                    </w:rPr>
                    <w:t>二氧化硫</w:t>
                  </w:r>
                </w:p>
              </w:tc>
              <w:tc>
                <w:tcPr>
                  <w:tcW w:w="716" w:type="pct"/>
                  <w:vMerge w:val="continue"/>
                  <w:vAlign w:val="center"/>
                </w:tcPr>
                <w:p>
                  <w:pPr>
                    <w:pStyle w:val="33"/>
                    <w:rPr>
                      <w:rFonts w:hint="eastAsia"/>
                      <w:lang w:val="en-US" w:eastAsia="zh-CN"/>
                    </w:rPr>
                  </w:pPr>
                </w:p>
              </w:tc>
              <w:tc>
                <w:tcPr>
                  <w:tcW w:w="1238" w:type="pct"/>
                  <w:tcBorders>
                    <w:top w:val="single" w:color="auto" w:sz="4" w:space="0"/>
                    <w:bottom w:val="single" w:color="auto" w:sz="4" w:space="0"/>
                  </w:tcBorders>
                  <w:vAlign w:val="center"/>
                </w:tcPr>
                <w:p>
                  <w:pPr>
                    <w:pStyle w:val="33"/>
                  </w:pPr>
                  <w:r>
                    <w:rPr>
                      <w:rFonts w:hint="eastAsia"/>
                      <w:lang w:val="en-US" w:eastAsia="zh-CN"/>
                    </w:rPr>
                    <w:t>5</w:t>
                  </w:r>
                  <w:r>
                    <w:rPr>
                      <w:lang w:val="en-US" w:eastAsia="zh-CN"/>
                    </w:rPr>
                    <w:t>0</w:t>
                  </w:r>
                  <w:r>
                    <w:rPr>
                      <w:rFonts w:hint="eastAsia"/>
                      <w:lang w:val="en-US" w:eastAsia="zh-CN"/>
                    </w:rPr>
                    <w:t>mg/m</w:t>
                  </w:r>
                  <w:r>
                    <w:rPr>
                      <w:rFonts w:hint="eastAsia"/>
                      <w:vertAlign w:val="superscript"/>
                      <w:lang w:val="en-US" w:eastAsia="zh-CN"/>
                    </w:rPr>
                    <w:t>3</w:t>
                  </w:r>
                </w:p>
              </w:tc>
              <w:tc>
                <w:tcPr>
                  <w:tcW w:w="1735" w:type="pct"/>
                  <w:vMerge w:val="continue"/>
                  <w:vAlign w:val="center"/>
                </w:tcPr>
                <w:p>
                  <w:pPr>
                    <w:pStyle w:val="33"/>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tcBorders>
                    <w:top w:val="single" w:color="auto" w:sz="4" w:space="0"/>
                    <w:bottom w:val="single" w:color="auto" w:sz="4" w:space="0"/>
                  </w:tcBorders>
                  <w:vAlign w:val="center"/>
                </w:tcPr>
                <w:p>
                  <w:pPr>
                    <w:pStyle w:val="33"/>
                    <w:rPr>
                      <w:lang w:val="en-US" w:eastAsia="zh-CN"/>
                    </w:rPr>
                  </w:pPr>
                  <w:r>
                    <w:rPr>
                      <w:rFonts w:hint="eastAsia"/>
                      <w:lang w:val="en-US" w:eastAsia="zh-CN"/>
                    </w:rPr>
                    <w:t>3</w:t>
                  </w:r>
                </w:p>
              </w:tc>
              <w:tc>
                <w:tcPr>
                  <w:tcW w:w="874" w:type="pct"/>
                  <w:tcBorders>
                    <w:top w:val="single" w:color="auto" w:sz="4" w:space="0"/>
                    <w:bottom w:val="single" w:color="auto" w:sz="4" w:space="0"/>
                  </w:tcBorders>
                  <w:vAlign w:val="center"/>
                </w:tcPr>
                <w:p>
                  <w:pPr>
                    <w:pStyle w:val="33"/>
                    <w:rPr>
                      <w:lang w:val="en-US" w:eastAsia="zh-CN"/>
                    </w:rPr>
                  </w:pPr>
                  <w:r>
                    <w:rPr>
                      <w:rFonts w:hint="eastAsia"/>
                      <w:lang w:val="en-US" w:eastAsia="zh-CN"/>
                    </w:rPr>
                    <w:t>林格曼黑度</w:t>
                  </w:r>
                </w:p>
              </w:tc>
              <w:tc>
                <w:tcPr>
                  <w:tcW w:w="716" w:type="pct"/>
                  <w:vMerge w:val="continue"/>
                  <w:vAlign w:val="center"/>
                </w:tcPr>
                <w:p>
                  <w:pPr>
                    <w:pStyle w:val="33"/>
                    <w:rPr>
                      <w:rFonts w:hint="eastAsia"/>
                      <w:lang w:val="en-US" w:eastAsia="zh-CN"/>
                    </w:rPr>
                  </w:pPr>
                </w:p>
              </w:tc>
              <w:tc>
                <w:tcPr>
                  <w:tcW w:w="1238" w:type="pct"/>
                  <w:tcBorders>
                    <w:top w:val="single" w:color="auto" w:sz="4" w:space="0"/>
                    <w:bottom w:val="single" w:color="auto" w:sz="4" w:space="0"/>
                  </w:tcBorders>
                  <w:vAlign w:val="center"/>
                </w:tcPr>
                <w:p>
                  <w:pPr>
                    <w:pStyle w:val="33"/>
                    <w:rPr>
                      <w:lang w:val="en-US" w:eastAsia="zh-CN"/>
                    </w:rPr>
                  </w:pPr>
                  <w:r>
                    <w:rPr>
                      <w:rFonts w:hint="eastAsia"/>
                      <w:lang w:val="en-US" w:eastAsia="zh-CN"/>
                    </w:rPr>
                    <w:t>≤1</w:t>
                  </w:r>
                </w:p>
              </w:tc>
              <w:tc>
                <w:tcPr>
                  <w:tcW w:w="1735" w:type="pct"/>
                  <w:vMerge w:val="continue"/>
                  <w:tcBorders>
                    <w:bottom w:val="single" w:color="auto" w:sz="4" w:space="0"/>
                  </w:tcBorders>
                  <w:vAlign w:val="center"/>
                </w:tcPr>
                <w:p>
                  <w:pPr>
                    <w:pStyle w:val="33"/>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tcBorders>
                    <w:top w:val="single" w:color="auto" w:sz="4" w:space="0"/>
                    <w:bottom w:val="single" w:color="auto" w:sz="4" w:space="0"/>
                  </w:tcBorders>
                  <w:vAlign w:val="center"/>
                </w:tcPr>
                <w:p>
                  <w:pPr>
                    <w:pStyle w:val="33"/>
                    <w:rPr>
                      <w:lang w:val="en-US" w:eastAsia="zh-CN"/>
                    </w:rPr>
                  </w:pPr>
                  <w:r>
                    <w:rPr>
                      <w:rFonts w:hint="eastAsia"/>
                      <w:lang w:val="en-US" w:eastAsia="zh-CN"/>
                    </w:rPr>
                    <w:t>4</w:t>
                  </w:r>
                </w:p>
              </w:tc>
              <w:tc>
                <w:tcPr>
                  <w:tcW w:w="874" w:type="pct"/>
                  <w:tcBorders>
                    <w:top w:val="single" w:color="auto" w:sz="4" w:space="0"/>
                    <w:bottom w:val="single" w:color="auto" w:sz="4" w:space="0"/>
                  </w:tcBorders>
                  <w:vAlign w:val="center"/>
                </w:tcPr>
                <w:p>
                  <w:pPr>
                    <w:pStyle w:val="33"/>
                    <w:rPr>
                      <w:lang w:val="en-US" w:eastAsia="zh-CN"/>
                    </w:rPr>
                  </w:pPr>
                  <w:r>
                    <w:rPr>
                      <w:rFonts w:hint="eastAsia"/>
                      <w:lang w:val="en-US" w:eastAsia="zh-CN"/>
                    </w:rPr>
                    <w:t>氮氧化物</w:t>
                  </w:r>
                </w:p>
              </w:tc>
              <w:tc>
                <w:tcPr>
                  <w:tcW w:w="716" w:type="pct"/>
                  <w:vMerge w:val="continue"/>
                  <w:vAlign w:val="center"/>
                </w:tcPr>
                <w:p>
                  <w:pPr>
                    <w:pStyle w:val="33"/>
                    <w:rPr>
                      <w:rFonts w:hint="eastAsia"/>
                      <w:lang w:val="en-US" w:eastAsia="zh-CN"/>
                    </w:rPr>
                  </w:pPr>
                </w:p>
              </w:tc>
              <w:tc>
                <w:tcPr>
                  <w:tcW w:w="1238" w:type="pct"/>
                  <w:tcBorders>
                    <w:top w:val="single" w:color="auto" w:sz="4" w:space="0"/>
                    <w:bottom w:val="single" w:color="auto" w:sz="4" w:space="0"/>
                  </w:tcBorders>
                  <w:vAlign w:val="center"/>
                </w:tcPr>
                <w:p>
                  <w:pPr>
                    <w:pStyle w:val="33"/>
                  </w:pPr>
                  <w:r>
                    <w:rPr>
                      <w:rFonts w:hint="eastAsia"/>
                      <w:lang w:val="en-US" w:eastAsia="zh-CN"/>
                    </w:rPr>
                    <w:t>5</w:t>
                  </w:r>
                  <w:r>
                    <w:rPr>
                      <w:lang w:val="en-US" w:eastAsia="zh-CN"/>
                    </w:rPr>
                    <w:t>0</w:t>
                  </w:r>
                  <w:r>
                    <w:rPr>
                      <w:rFonts w:hint="eastAsia"/>
                      <w:lang w:val="en-US" w:eastAsia="zh-CN"/>
                    </w:rPr>
                    <w:t>mg/m</w:t>
                  </w:r>
                  <w:r>
                    <w:rPr>
                      <w:rFonts w:hint="eastAsia"/>
                      <w:vertAlign w:val="superscript"/>
                      <w:lang w:val="en-US" w:eastAsia="zh-CN"/>
                    </w:rPr>
                    <w:t>3</w:t>
                  </w:r>
                </w:p>
              </w:tc>
              <w:tc>
                <w:tcPr>
                  <w:tcW w:w="1735" w:type="pct"/>
                  <w:tcBorders>
                    <w:top w:val="single" w:color="auto" w:sz="4" w:space="0"/>
                    <w:bottom w:val="single" w:color="auto" w:sz="4" w:space="0"/>
                  </w:tcBorders>
                  <w:vAlign w:val="center"/>
                </w:tcPr>
                <w:p>
                  <w:pPr>
                    <w:pStyle w:val="33"/>
                  </w:pPr>
                  <w:r>
                    <w:t>《关于开展自治区</w:t>
                  </w:r>
                  <w:r>
                    <w:rPr>
                      <w:rFonts w:hint="eastAsia"/>
                    </w:rPr>
                    <w:t>2022年度夏秋季大气污染防治“冬病夏治”工作的通知》（新环大气函〔2022〕483号）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tcBorders>
                    <w:top w:val="single" w:color="auto" w:sz="4" w:space="0"/>
                    <w:bottom w:val="single" w:color="auto" w:sz="4" w:space="0"/>
                  </w:tcBorders>
                  <w:vAlign w:val="center"/>
                </w:tcPr>
                <w:p>
                  <w:pPr>
                    <w:pStyle w:val="33"/>
                    <w:rPr>
                      <w:rFonts w:hint="default"/>
                      <w:lang w:val="en-US" w:eastAsia="zh-CN"/>
                    </w:rPr>
                  </w:pPr>
                  <w:r>
                    <w:rPr>
                      <w:rFonts w:hint="eastAsia"/>
                      <w:lang w:val="en-US" w:eastAsia="zh-CN"/>
                    </w:rPr>
                    <w:t>5</w:t>
                  </w:r>
                </w:p>
              </w:tc>
              <w:tc>
                <w:tcPr>
                  <w:tcW w:w="874" w:type="pct"/>
                  <w:tcBorders>
                    <w:top w:val="single" w:color="auto" w:sz="4" w:space="0"/>
                    <w:bottom w:val="single" w:color="auto" w:sz="4" w:space="0"/>
                  </w:tcBorders>
                  <w:vAlign w:val="center"/>
                </w:tcPr>
                <w:p>
                  <w:pPr>
                    <w:pStyle w:val="33"/>
                    <w:bidi w:val="0"/>
                    <w:rPr>
                      <w:rFonts w:hint="eastAsia"/>
                      <w:lang w:val="en-US" w:eastAsia="zh-CN"/>
                    </w:rPr>
                  </w:pPr>
                  <w:r>
                    <w:rPr>
                      <w:rFonts w:hint="eastAsia"/>
                    </w:rPr>
                    <w:t>氨</w:t>
                  </w:r>
                </w:p>
              </w:tc>
              <w:tc>
                <w:tcPr>
                  <w:tcW w:w="716" w:type="pct"/>
                  <w:vMerge w:val="restart"/>
                  <w:vAlign w:val="center"/>
                </w:tcPr>
                <w:p>
                  <w:pPr>
                    <w:pStyle w:val="33"/>
                    <w:widowControl w:val="0"/>
                    <w:bidi w:val="0"/>
                    <w:jc w:val="center"/>
                    <w:rPr>
                      <w:rFonts w:hint="eastAsia"/>
                      <w:lang w:val="en-US" w:eastAsia="zh-CN"/>
                    </w:rPr>
                  </w:pPr>
                  <w:r>
                    <w:rPr>
                      <w:rFonts w:hint="eastAsia"/>
                      <w:lang w:val="en-US" w:eastAsia="zh-CN"/>
                    </w:rPr>
                    <w:t>厂界</w:t>
                  </w:r>
                </w:p>
                <w:p>
                  <w:pPr>
                    <w:pStyle w:val="33"/>
                    <w:rPr>
                      <w:rFonts w:hint="eastAsia"/>
                      <w:lang w:val="en-US" w:eastAsia="zh-CN"/>
                    </w:rPr>
                  </w:pPr>
                  <w:r>
                    <w:rPr>
                      <w:rFonts w:hint="eastAsia"/>
                      <w:lang w:val="en-US" w:eastAsia="zh-CN"/>
                    </w:rPr>
                    <w:t>无组织</w:t>
                  </w:r>
                </w:p>
              </w:tc>
              <w:tc>
                <w:tcPr>
                  <w:tcW w:w="1238" w:type="pct"/>
                  <w:tcBorders>
                    <w:top w:val="single" w:color="auto" w:sz="4" w:space="0"/>
                    <w:bottom w:val="single" w:color="auto" w:sz="4" w:space="0"/>
                  </w:tcBorders>
                  <w:vAlign w:val="center"/>
                </w:tcPr>
                <w:p>
                  <w:pPr>
                    <w:pStyle w:val="33"/>
                    <w:widowControl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1.5mg/m³</w:t>
                  </w:r>
                </w:p>
              </w:tc>
              <w:tc>
                <w:tcPr>
                  <w:tcW w:w="1735" w:type="pct"/>
                  <w:vMerge w:val="restart"/>
                  <w:tcBorders>
                    <w:top w:val="single" w:color="auto" w:sz="4" w:space="0"/>
                  </w:tcBorders>
                  <w:vAlign w:val="center"/>
                </w:tcPr>
                <w:p>
                  <w:pPr>
                    <w:pStyle w:val="33"/>
                  </w:pPr>
                  <w:r>
                    <w:t>《恶臭污染物排放标准》（GB14554-93）</w:t>
                  </w:r>
                  <w:r>
                    <w:rPr>
                      <w:rFonts w:hint="eastAsia"/>
                      <w:lang w:val="en-US" w:eastAsia="zh-CN"/>
                    </w:rPr>
                    <w:t>表1中氨、硫化氢、臭气浓度无组织排放限值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tcBorders>
                    <w:top w:val="single" w:color="auto" w:sz="4" w:space="0"/>
                    <w:bottom w:val="single" w:color="auto" w:sz="4" w:space="0"/>
                  </w:tcBorders>
                  <w:vAlign w:val="center"/>
                </w:tcPr>
                <w:p>
                  <w:pPr>
                    <w:pStyle w:val="33"/>
                    <w:rPr>
                      <w:rFonts w:hint="default"/>
                      <w:lang w:val="en-US" w:eastAsia="zh-CN"/>
                    </w:rPr>
                  </w:pPr>
                  <w:r>
                    <w:rPr>
                      <w:rFonts w:hint="eastAsia"/>
                      <w:lang w:val="en-US" w:eastAsia="zh-CN"/>
                    </w:rPr>
                    <w:t>6</w:t>
                  </w:r>
                </w:p>
              </w:tc>
              <w:tc>
                <w:tcPr>
                  <w:tcW w:w="874" w:type="pct"/>
                  <w:tcBorders>
                    <w:top w:val="single" w:color="auto" w:sz="4" w:space="0"/>
                    <w:bottom w:val="single" w:color="auto" w:sz="4" w:space="0"/>
                  </w:tcBorders>
                  <w:vAlign w:val="center"/>
                </w:tcPr>
                <w:p>
                  <w:pPr>
                    <w:pStyle w:val="33"/>
                    <w:bidi w:val="0"/>
                    <w:rPr>
                      <w:rFonts w:hint="eastAsia"/>
                      <w:lang w:val="en-US" w:eastAsia="zh-CN"/>
                    </w:rPr>
                  </w:pPr>
                  <w:r>
                    <w:rPr>
                      <w:rFonts w:hint="eastAsia"/>
                      <w:lang w:val="en-US" w:eastAsia="zh-CN"/>
                    </w:rPr>
                    <w:t>硫化氢</w:t>
                  </w:r>
                </w:p>
              </w:tc>
              <w:tc>
                <w:tcPr>
                  <w:tcW w:w="716" w:type="pct"/>
                  <w:vMerge w:val="continue"/>
                  <w:vAlign w:val="center"/>
                </w:tcPr>
                <w:p>
                  <w:pPr>
                    <w:pStyle w:val="33"/>
                    <w:rPr>
                      <w:rFonts w:hint="eastAsia"/>
                      <w:lang w:val="en-US" w:eastAsia="zh-CN"/>
                    </w:rPr>
                  </w:pPr>
                </w:p>
              </w:tc>
              <w:tc>
                <w:tcPr>
                  <w:tcW w:w="1238" w:type="pct"/>
                  <w:tcBorders>
                    <w:top w:val="single" w:color="auto" w:sz="4" w:space="0"/>
                    <w:bottom w:val="single" w:color="auto" w:sz="4" w:space="0"/>
                  </w:tcBorders>
                  <w:vAlign w:val="center"/>
                </w:tcPr>
                <w:p>
                  <w:pPr>
                    <w:pStyle w:val="33"/>
                    <w:widowControl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0.06mg/m³</w:t>
                  </w:r>
                </w:p>
              </w:tc>
              <w:tc>
                <w:tcPr>
                  <w:tcW w:w="1735" w:type="pct"/>
                  <w:vMerge w:val="continue"/>
                  <w:vAlign w:val="center"/>
                </w:tcPr>
                <w:p>
                  <w:pPr>
                    <w:pStyle w:val="33"/>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5" w:type="pct"/>
                  <w:tcBorders>
                    <w:top w:val="single" w:color="auto" w:sz="4" w:space="0"/>
                    <w:bottom w:val="single" w:color="auto" w:sz="12" w:space="0"/>
                  </w:tcBorders>
                  <w:vAlign w:val="center"/>
                </w:tcPr>
                <w:p>
                  <w:pPr>
                    <w:pStyle w:val="33"/>
                    <w:rPr>
                      <w:rFonts w:hint="default"/>
                      <w:lang w:val="en-US" w:eastAsia="zh-CN"/>
                    </w:rPr>
                  </w:pPr>
                  <w:r>
                    <w:rPr>
                      <w:rFonts w:hint="eastAsia"/>
                      <w:lang w:val="en-US" w:eastAsia="zh-CN"/>
                    </w:rPr>
                    <w:t>7</w:t>
                  </w:r>
                </w:p>
              </w:tc>
              <w:tc>
                <w:tcPr>
                  <w:tcW w:w="874" w:type="pct"/>
                  <w:tcBorders>
                    <w:top w:val="single" w:color="auto" w:sz="4" w:space="0"/>
                    <w:bottom w:val="single" w:color="auto" w:sz="12" w:space="0"/>
                  </w:tcBorders>
                  <w:vAlign w:val="center"/>
                </w:tcPr>
                <w:p>
                  <w:pPr>
                    <w:pStyle w:val="33"/>
                    <w:bidi w:val="0"/>
                    <w:rPr>
                      <w:rFonts w:hint="eastAsia"/>
                      <w:lang w:val="en-US" w:eastAsia="zh-CN"/>
                    </w:rPr>
                  </w:pPr>
                  <w:r>
                    <w:rPr>
                      <w:rFonts w:hint="eastAsia"/>
                      <w:lang w:val="en-US" w:eastAsia="zh-CN"/>
                    </w:rPr>
                    <w:t>臭气浓度</w:t>
                  </w:r>
                </w:p>
              </w:tc>
              <w:tc>
                <w:tcPr>
                  <w:tcW w:w="716" w:type="pct"/>
                  <w:vMerge w:val="continue"/>
                  <w:tcBorders>
                    <w:bottom w:val="single" w:color="auto" w:sz="12" w:space="0"/>
                  </w:tcBorders>
                  <w:vAlign w:val="center"/>
                </w:tcPr>
                <w:p>
                  <w:pPr>
                    <w:pStyle w:val="33"/>
                    <w:rPr>
                      <w:rFonts w:hint="eastAsia"/>
                      <w:lang w:val="en-US" w:eastAsia="zh-CN"/>
                    </w:rPr>
                  </w:pPr>
                </w:p>
              </w:tc>
              <w:tc>
                <w:tcPr>
                  <w:tcW w:w="1238" w:type="pct"/>
                  <w:tcBorders>
                    <w:top w:val="single" w:color="auto" w:sz="4" w:space="0"/>
                    <w:bottom w:val="single" w:color="auto" w:sz="12" w:space="0"/>
                  </w:tcBorders>
                  <w:vAlign w:val="center"/>
                </w:tcPr>
                <w:p>
                  <w:pPr>
                    <w:pStyle w:val="33"/>
                    <w:widowControl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20</w:t>
                  </w:r>
                </w:p>
              </w:tc>
              <w:tc>
                <w:tcPr>
                  <w:tcW w:w="1735" w:type="pct"/>
                  <w:vMerge w:val="continue"/>
                  <w:tcBorders>
                    <w:bottom w:val="single" w:color="auto" w:sz="12" w:space="0"/>
                  </w:tcBorders>
                  <w:vAlign w:val="center"/>
                </w:tcPr>
                <w:p>
                  <w:pPr>
                    <w:pStyle w:val="33"/>
                  </w:pPr>
                </w:p>
              </w:tc>
            </w:tr>
          </w:tbl>
          <w:p>
            <w:pPr>
              <w:pStyle w:val="6"/>
              <w:numPr>
                <w:ilvl w:val="0"/>
                <w:numId w:val="12"/>
              </w:numPr>
              <w:jc w:val="both"/>
              <w:outlineLvl w:val="1"/>
              <w:rPr>
                <w:rFonts w:hint="default" w:ascii="Times New Roman" w:hAnsi="Times New Roman" w:eastAsia="宋体"/>
                <w:lang w:val="en-US" w:eastAsia="zh-CN"/>
              </w:rPr>
            </w:pPr>
            <w:r>
              <w:rPr>
                <w:rFonts w:hint="eastAsia" w:ascii="Times New Roman" w:hAnsi="Times New Roman" w:eastAsia="宋体"/>
                <w:lang w:val="en-US" w:eastAsia="zh-CN"/>
              </w:rPr>
              <w:t>废水</w:t>
            </w:r>
            <w:r>
              <w:rPr>
                <w:rFonts w:hint="eastAsia" w:ascii="Times New Roman" w:hAnsi="Times New Roman" w:eastAsia="宋体"/>
              </w:rPr>
              <w:t>排放标准</w:t>
            </w:r>
          </w:p>
          <w:p>
            <w:pPr>
              <w:pStyle w:val="22"/>
              <w:bidi w:val="0"/>
              <w:jc w:val="both"/>
              <w:rPr>
                <w:rFonts w:hint="eastAsia"/>
                <w:color w:val="auto"/>
                <w:lang w:val="en-US" w:eastAsia="zh-CN"/>
              </w:rPr>
            </w:pPr>
            <w:r>
              <w:rPr>
                <w:rFonts w:hint="eastAsia"/>
                <w:lang w:val="en-US" w:eastAsia="zh-CN"/>
              </w:rPr>
              <w:t>废水</w:t>
            </w:r>
            <w:r>
              <w:rPr>
                <w:rFonts w:hint="eastAsia"/>
              </w:rPr>
              <w:t>执行《污水综合排放标准》（GB8978-1996）表4中的三级标准</w:t>
            </w:r>
            <w:r>
              <w:rPr>
                <w:rFonts w:hint="eastAsia"/>
                <w:lang w:val="en-US" w:eastAsia="zh-CN"/>
              </w:rPr>
              <w:t>及《污水排入城镇下水道水质标准》</w:t>
            </w:r>
            <w:r>
              <w:rPr>
                <w:rFonts w:hint="eastAsia"/>
              </w:rPr>
              <w:t>（</w:t>
            </w:r>
            <w:r>
              <w:rPr>
                <w:rFonts w:hint="eastAsia"/>
                <w:lang w:val="en-US" w:eastAsia="zh-CN"/>
              </w:rPr>
              <w:t>GB/T31962-2015</w:t>
            </w:r>
            <w:r>
              <w:rPr>
                <w:rFonts w:hint="eastAsia"/>
              </w:rPr>
              <w:t>）</w:t>
            </w:r>
            <w:r>
              <w:rPr>
                <w:rFonts w:hint="eastAsia"/>
                <w:lang w:val="en-US" w:eastAsia="zh-CN"/>
              </w:rPr>
              <w:t>B级标准</w:t>
            </w:r>
            <w:r>
              <w:rPr>
                <w:rFonts w:hint="eastAsia"/>
              </w:rPr>
              <w:t>。</w:t>
            </w:r>
            <w:r>
              <w:rPr>
                <w:rFonts w:hint="eastAsia"/>
                <w:color w:val="auto"/>
                <w:lang w:val="en-US" w:eastAsia="zh-CN"/>
              </w:rPr>
              <w:t>本项目水污染物排放标准见下表。</w:t>
            </w:r>
          </w:p>
          <w:p>
            <w:pPr>
              <w:pStyle w:val="32"/>
              <w:bidi w:val="0"/>
              <w:rPr>
                <w:rFonts w:hint="default"/>
              </w:rPr>
            </w:pPr>
            <w:r>
              <w:rPr>
                <w:rFonts w:hint="default"/>
              </w:rPr>
              <w:t>表</w:t>
            </w:r>
            <w:r>
              <w:rPr>
                <w:rFonts w:hint="default"/>
                <w:lang w:val="en-US" w:eastAsia="zh-CN"/>
              </w:rPr>
              <w:t>3-</w:t>
            </w:r>
            <w:r>
              <w:rPr>
                <w:rFonts w:hint="eastAsia"/>
                <w:lang w:val="en-US" w:eastAsia="zh-CN"/>
              </w:rPr>
              <w:t>4</w:t>
            </w:r>
            <w:r>
              <w:rPr>
                <w:rFonts w:hint="default"/>
              </w:rPr>
              <w:t xml:space="preserve">   </w:t>
            </w:r>
            <w:r>
              <w:rPr>
                <w:rFonts w:hint="default"/>
                <w:lang w:val="en-US" w:eastAsia="zh-CN"/>
              </w:rPr>
              <w:t>污水综合排放标准</w:t>
            </w:r>
          </w:p>
          <w:tbl>
            <w:tblPr>
              <w:tblStyle w:val="27"/>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92"/>
              <w:gridCol w:w="1576"/>
              <w:gridCol w:w="1669"/>
              <w:gridCol w:w="1622"/>
              <w:gridCol w:w="13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71" w:type="pct"/>
                  <w:tcBorders>
                    <w:bottom w:val="single" w:color="auto" w:sz="12" w:space="0"/>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pH</w:t>
                  </w:r>
                </w:p>
              </w:tc>
              <w:tc>
                <w:tcPr>
                  <w:tcW w:w="1025" w:type="pct"/>
                  <w:tcBorders>
                    <w:bottom w:val="single" w:color="auto" w:sz="12" w:space="0"/>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COD</w:t>
                  </w:r>
                  <w:r>
                    <w:rPr>
                      <w:rFonts w:hint="eastAsia" w:cs="Times New Roman"/>
                      <w:b/>
                      <w:bCs/>
                      <w:color w:val="auto"/>
                      <w:sz w:val="21"/>
                      <w:szCs w:val="21"/>
                      <w:vertAlign w:val="baseline"/>
                      <w:lang w:val="en-US" w:eastAsia="zh-CN"/>
                    </w:rPr>
                    <w:t>cr</w:t>
                  </w:r>
                </w:p>
              </w:tc>
              <w:tc>
                <w:tcPr>
                  <w:tcW w:w="1086" w:type="pct"/>
                  <w:tcBorders>
                    <w:bottom w:val="single" w:color="auto" w:sz="12" w:space="0"/>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BOD</w:t>
                  </w:r>
                  <w:r>
                    <w:rPr>
                      <w:rFonts w:hint="default" w:ascii="Times New Roman" w:hAnsi="Times New Roman" w:eastAsia="宋体" w:cs="Times New Roman"/>
                      <w:b/>
                      <w:bCs/>
                      <w:color w:val="auto"/>
                      <w:sz w:val="21"/>
                      <w:szCs w:val="21"/>
                      <w:vertAlign w:val="subscript"/>
                      <w:lang w:val="en-US" w:eastAsia="zh-CN"/>
                    </w:rPr>
                    <w:t>5</w:t>
                  </w:r>
                </w:p>
              </w:tc>
              <w:tc>
                <w:tcPr>
                  <w:tcW w:w="1055" w:type="pct"/>
                  <w:tcBorders>
                    <w:bottom w:val="single" w:color="auto" w:sz="12" w:space="0"/>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NH</w:t>
                  </w:r>
                  <w:r>
                    <w:rPr>
                      <w:rFonts w:hint="default" w:ascii="Times New Roman" w:hAnsi="Times New Roman" w:eastAsia="宋体" w:cs="Times New Roman"/>
                      <w:b/>
                      <w:bCs/>
                      <w:color w:val="auto"/>
                      <w:sz w:val="21"/>
                      <w:szCs w:val="21"/>
                      <w:vertAlign w:val="subscript"/>
                      <w:lang w:val="en-US" w:eastAsia="zh-CN"/>
                    </w:rPr>
                    <w:t>3</w:t>
                  </w:r>
                  <w:r>
                    <w:rPr>
                      <w:rFonts w:hint="default" w:ascii="Times New Roman" w:hAnsi="Times New Roman" w:eastAsia="宋体" w:cs="Times New Roman"/>
                      <w:b/>
                      <w:bCs/>
                      <w:color w:val="auto"/>
                      <w:sz w:val="21"/>
                      <w:szCs w:val="21"/>
                      <w:vertAlign w:val="baseline"/>
                      <w:lang w:val="en-US" w:eastAsia="zh-CN"/>
                    </w:rPr>
                    <w:t>-N</w:t>
                  </w:r>
                </w:p>
              </w:tc>
              <w:tc>
                <w:tcPr>
                  <w:tcW w:w="860" w:type="pct"/>
                  <w:tcBorders>
                    <w:bottom w:val="single" w:color="auto" w:sz="12" w:space="0"/>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SS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71" w:type="pct"/>
                  <w:tcBorders>
                    <w:top w:val="single" w:color="auto" w:sz="12"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6</w:t>
                  </w:r>
                  <w:r>
                    <w:rPr>
                      <w:rFonts w:hint="default" w:ascii="Times New Roman" w:hAnsi="Times New Roman" w:eastAsia="宋体" w:cs="Times New Roman"/>
                      <w:b w:val="0"/>
                      <w:bCs w:val="0"/>
                      <w:color w:val="auto"/>
                      <w:sz w:val="21"/>
                      <w:szCs w:val="21"/>
                      <w:vertAlign w:val="baseline"/>
                      <w:lang w:val="en-US" w:eastAsia="zh-CN"/>
                    </w:rPr>
                    <w:t>～</w:t>
                  </w:r>
                  <w:r>
                    <w:rPr>
                      <w:rFonts w:hint="eastAsia" w:cs="Times New Roman"/>
                      <w:b w:val="0"/>
                      <w:bCs w:val="0"/>
                      <w:color w:val="auto"/>
                      <w:sz w:val="21"/>
                      <w:szCs w:val="21"/>
                      <w:vertAlign w:val="baseline"/>
                      <w:lang w:val="en-US" w:eastAsia="zh-CN"/>
                    </w:rPr>
                    <w:t>9</w:t>
                  </w:r>
                </w:p>
              </w:tc>
              <w:tc>
                <w:tcPr>
                  <w:tcW w:w="1025" w:type="pct"/>
                  <w:tcBorders>
                    <w:top w:val="single" w:color="auto" w:sz="12"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5</w:t>
                  </w:r>
                  <w:r>
                    <w:rPr>
                      <w:rFonts w:hint="default" w:ascii="Times New Roman" w:hAnsi="Times New Roman" w:eastAsia="宋体" w:cs="Times New Roman"/>
                      <w:b w:val="0"/>
                      <w:bCs w:val="0"/>
                      <w:color w:val="auto"/>
                      <w:sz w:val="21"/>
                      <w:szCs w:val="21"/>
                      <w:vertAlign w:val="baseline"/>
                      <w:lang w:val="en-US" w:eastAsia="zh-CN"/>
                    </w:rPr>
                    <w:t>00</w:t>
                  </w:r>
                </w:p>
              </w:tc>
              <w:tc>
                <w:tcPr>
                  <w:tcW w:w="1086" w:type="pct"/>
                  <w:tcBorders>
                    <w:top w:val="single" w:color="auto" w:sz="12"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3</w:t>
                  </w:r>
                  <w:r>
                    <w:rPr>
                      <w:rFonts w:hint="default" w:ascii="Times New Roman" w:hAnsi="Times New Roman" w:eastAsia="宋体" w:cs="Times New Roman"/>
                      <w:b w:val="0"/>
                      <w:bCs w:val="0"/>
                      <w:color w:val="auto"/>
                      <w:sz w:val="21"/>
                      <w:szCs w:val="21"/>
                      <w:vertAlign w:val="baseline"/>
                      <w:lang w:val="en-US" w:eastAsia="zh-CN"/>
                    </w:rPr>
                    <w:t>00</w:t>
                  </w:r>
                </w:p>
              </w:tc>
              <w:tc>
                <w:tcPr>
                  <w:tcW w:w="1055" w:type="pct"/>
                  <w:tcBorders>
                    <w:top w:val="single" w:color="auto" w:sz="12"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w:t>
                  </w:r>
                </w:p>
              </w:tc>
              <w:tc>
                <w:tcPr>
                  <w:tcW w:w="860" w:type="pct"/>
                  <w:tcBorders>
                    <w:top w:val="single" w:color="auto" w:sz="12" w:space="0"/>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4</w:t>
                  </w:r>
                  <w:r>
                    <w:rPr>
                      <w:rFonts w:hint="default" w:ascii="Times New Roman" w:hAnsi="Times New Roman" w:eastAsia="宋体" w:cs="Times New Roman"/>
                      <w:b w:val="0"/>
                      <w:bCs w:val="0"/>
                      <w:color w:val="auto"/>
                      <w:sz w:val="21"/>
                      <w:szCs w:val="21"/>
                      <w:vertAlign w:val="baseline"/>
                      <w:lang w:val="en-US" w:eastAsia="zh-CN"/>
                    </w:rPr>
                    <w:t>00</w:t>
                  </w:r>
                </w:p>
              </w:tc>
            </w:tr>
          </w:tbl>
          <w:p>
            <w:pPr>
              <w:pStyle w:val="32"/>
              <w:rPr>
                <w:color w:val="auto"/>
              </w:rPr>
            </w:pPr>
            <w:r>
              <w:rPr>
                <w:color w:val="auto"/>
              </w:rPr>
              <w:t>表3-</w:t>
            </w:r>
            <w:r>
              <w:rPr>
                <w:rFonts w:hint="eastAsia"/>
                <w:color w:val="auto"/>
                <w:lang w:val="en-US" w:eastAsia="zh-CN"/>
              </w:rPr>
              <w:t>5</w:t>
            </w:r>
            <w:r>
              <w:rPr>
                <w:rFonts w:hint="eastAsia"/>
                <w:color w:val="auto"/>
              </w:rPr>
              <w:t xml:space="preserve">    </w:t>
            </w:r>
            <w:r>
              <w:rPr>
                <w:rFonts w:hint="eastAsia"/>
                <w:color w:val="auto"/>
                <w:lang w:val="en-US" w:eastAsia="zh-CN"/>
              </w:rPr>
              <w:t>污水排入城镇下水道水质标准</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55"/>
              <w:gridCol w:w="1311"/>
              <w:gridCol w:w="39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98" w:type="pct"/>
                  <w:tcBorders>
                    <w:bottom w:val="single" w:color="auto" w:sz="12" w:space="0"/>
                  </w:tcBorders>
                  <w:noWrap w:val="0"/>
                  <w:vAlign w:val="center"/>
                </w:tcPr>
                <w:p>
                  <w:pPr>
                    <w:pStyle w:val="33"/>
                    <w:rPr>
                      <w:b/>
                      <w:bCs/>
                      <w:color w:val="auto"/>
                      <w:lang w:val="en-US" w:eastAsia="zh-CN"/>
                    </w:rPr>
                  </w:pPr>
                  <w:r>
                    <w:rPr>
                      <w:b/>
                      <w:bCs/>
                      <w:color w:val="auto"/>
                      <w:lang w:val="en-US" w:eastAsia="zh-CN"/>
                    </w:rPr>
                    <w:t>污染物</w:t>
                  </w:r>
                </w:p>
              </w:tc>
              <w:tc>
                <w:tcPr>
                  <w:tcW w:w="853" w:type="pct"/>
                  <w:tcBorders>
                    <w:bottom w:val="single" w:color="auto" w:sz="12" w:space="0"/>
                  </w:tcBorders>
                  <w:noWrap w:val="0"/>
                  <w:vAlign w:val="center"/>
                </w:tcPr>
                <w:p>
                  <w:pPr>
                    <w:pStyle w:val="33"/>
                    <w:rPr>
                      <w:b/>
                      <w:bCs/>
                      <w:color w:val="auto"/>
                      <w:lang w:val="en-US" w:eastAsia="zh-CN"/>
                    </w:rPr>
                  </w:pPr>
                  <w:r>
                    <w:rPr>
                      <w:rFonts w:hint="eastAsia"/>
                      <w:b/>
                      <w:bCs/>
                      <w:color w:val="auto"/>
                      <w:lang w:val="en-US" w:eastAsia="zh-CN"/>
                    </w:rPr>
                    <w:t>单位</w:t>
                  </w:r>
                </w:p>
              </w:tc>
              <w:tc>
                <w:tcPr>
                  <w:tcW w:w="2548" w:type="pct"/>
                  <w:tcBorders>
                    <w:bottom w:val="single" w:color="auto" w:sz="12" w:space="0"/>
                  </w:tcBorders>
                  <w:noWrap w:val="0"/>
                  <w:vAlign w:val="center"/>
                </w:tcPr>
                <w:p>
                  <w:pPr>
                    <w:pStyle w:val="33"/>
                    <w:rPr>
                      <w:b/>
                      <w:bCs/>
                      <w:color w:val="auto"/>
                      <w:lang w:val="en-US" w:eastAsia="zh-CN"/>
                    </w:rPr>
                  </w:pPr>
                  <w:r>
                    <w:rPr>
                      <w:b/>
                      <w:bCs/>
                      <w:color w:val="auto"/>
                      <w:lang w:val="en-US" w:eastAsia="zh-CN"/>
                    </w:rP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598" w:type="pct"/>
                  <w:noWrap w:val="0"/>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CODcr</w:t>
                  </w:r>
                </w:p>
              </w:tc>
              <w:tc>
                <w:tcPr>
                  <w:tcW w:w="853" w:type="pct"/>
                  <w:noWrap w:val="0"/>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548" w:type="pct"/>
                  <w:noWrap w:val="0"/>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s="Times New Roman"/>
                      <w:b w:val="0"/>
                      <w:bCs w:val="0"/>
                      <w:color w:val="auto"/>
                      <w:sz w:val="21"/>
                      <w:szCs w:val="21"/>
                      <w:vertAlign w:val="baseline"/>
                      <w:lang w:val="en-US" w:eastAsia="zh-CN"/>
                    </w:rPr>
                    <w:t>5</w:t>
                  </w:r>
                  <w:r>
                    <w:rPr>
                      <w:rFonts w:hint="default" w:ascii="Times New Roman" w:hAnsi="Times New Roman" w:eastAsia="宋体" w:cs="Times New Roman"/>
                      <w:b w:val="0"/>
                      <w:bCs w:val="0"/>
                      <w:color w:val="auto"/>
                      <w:sz w:val="21"/>
                      <w:szCs w:val="21"/>
                      <w:vertAlign w:val="baseline"/>
                      <w:lang w:val="en-US" w:eastAsia="zh-CN"/>
                    </w:rPr>
                    <w:t>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98" w:type="pct"/>
                  <w:noWrap w:val="0"/>
                  <w:vAlign w:val="center"/>
                </w:tcPr>
                <w:p>
                  <w:pPr>
                    <w:pStyle w:val="33"/>
                    <w:rPr>
                      <w:rFonts w:hint="eastAsia" w:ascii="Times New Roman" w:hAnsi="Times New Roman" w:eastAsia="宋体" w:cs="Times New Roman"/>
                      <w:color w:val="auto"/>
                      <w:kern w:val="2"/>
                      <w:sz w:val="21"/>
                      <w:szCs w:val="24"/>
                      <w:lang w:val="en-US" w:eastAsia="zh-CN" w:bidi="ar-SA"/>
                    </w:rPr>
                  </w:pPr>
                  <w:r>
                    <w:rPr>
                      <w:color w:val="auto"/>
                      <w:lang w:val="en-US" w:eastAsia="zh-CN"/>
                    </w:rPr>
                    <w:t>NH</w:t>
                  </w:r>
                  <w:r>
                    <w:rPr>
                      <w:color w:val="auto"/>
                      <w:vertAlign w:val="subscript"/>
                      <w:lang w:val="en-US" w:eastAsia="zh-CN"/>
                    </w:rPr>
                    <w:t>3</w:t>
                  </w:r>
                  <w:r>
                    <w:rPr>
                      <w:rFonts w:hint="eastAsia"/>
                      <w:color w:val="auto"/>
                      <w:lang w:val="en-US" w:eastAsia="zh-CN"/>
                    </w:rPr>
                    <w:t>-</w:t>
                  </w:r>
                  <w:r>
                    <w:rPr>
                      <w:color w:val="auto"/>
                      <w:lang w:val="en-US" w:eastAsia="zh-CN"/>
                    </w:rPr>
                    <w:t>N</w:t>
                  </w:r>
                </w:p>
              </w:tc>
              <w:tc>
                <w:tcPr>
                  <w:tcW w:w="853" w:type="pct"/>
                  <w:noWrap w:val="0"/>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548" w:type="pct"/>
                  <w:noWrap w:val="0"/>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98" w:type="pct"/>
                  <w:noWrap w:val="0"/>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总磷</w:t>
                  </w:r>
                </w:p>
              </w:tc>
              <w:tc>
                <w:tcPr>
                  <w:tcW w:w="853" w:type="pct"/>
                  <w:noWrap w:val="0"/>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548" w:type="pct"/>
                  <w:noWrap w:val="0"/>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98" w:type="pct"/>
                  <w:noWrap w:val="0"/>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总氮</w:t>
                  </w:r>
                </w:p>
              </w:tc>
              <w:tc>
                <w:tcPr>
                  <w:tcW w:w="853" w:type="pct"/>
                  <w:noWrap w:val="0"/>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548" w:type="pct"/>
                  <w:noWrap w:val="0"/>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98" w:type="pct"/>
                  <w:noWrap w:val="0"/>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悬浮物</w:t>
                  </w:r>
                </w:p>
              </w:tc>
              <w:tc>
                <w:tcPr>
                  <w:tcW w:w="853" w:type="pct"/>
                  <w:noWrap w:val="0"/>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548" w:type="pct"/>
                  <w:noWrap w:val="0"/>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98" w:type="pct"/>
                  <w:noWrap w:val="0"/>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动植物油</w:t>
                  </w:r>
                </w:p>
              </w:tc>
              <w:tc>
                <w:tcPr>
                  <w:tcW w:w="853" w:type="pct"/>
                  <w:noWrap w:val="0"/>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548" w:type="pct"/>
                  <w:noWrap w:val="0"/>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1598" w:type="pct"/>
                  <w:noWrap w:val="0"/>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色度</w:t>
                  </w:r>
                </w:p>
              </w:tc>
              <w:tc>
                <w:tcPr>
                  <w:tcW w:w="853" w:type="pct"/>
                  <w:noWrap w:val="0"/>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倍</w:t>
                  </w:r>
                </w:p>
              </w:tc>
              <w:tc>
                <w:tcPr>
                  <w:tcW w:w="2548" w:type="pct"/>
                  <w:noWrap w:val="0"/>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98" w:type="pct"/>
                  <w:noWrap w:val="0"/>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阴离子表面活性剂</w:t>
                  </w:r>
                </w:p>
              </w:tc>
              <w:tc>
                <w:tcPr>
                  <w:tcW w:w="853" w:type="pct"/>
                  <w:noWrap w:val="0"/>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548" w:type="pct"/>
                  <w:noWrap w:val="0"/>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20</w:t>
                  </w:r>
                </w:p>
              </w:tc>
            </w:tr>
          </w:tbl>
          <w:p>
            <w:pPr>
              <w:pStyle w:val="6"/>
              <w:numPr>
                <w:ilvl w:val="0"/>
                <w:numId w:val="12"/>
              </w:numPr>
              <w:jc w:val="both"/>
              <w:outlineLvl w:val="1"/>
            </w:pPr>
            <w:r>
              <w:rPr>
                <w:rFonts w:hint="eastAsia"/>
              </w:rPr>
              <w:t>噪声排放标准</w:t>
            </w:r>
          </w:p>
          <w:p>
            <w:pPr>
              <w:pStyle w:val="32"/>
              <w:bidi w:val="0"/>
            </w:pPr>
            <w:r>
              <w:rPr>
                <w:rFonts w:hint="eastAsia"/>
              </w:rPr>
              <w:t>表</w:t>
            </w:r>
            <w:r>
              <w:t>3-</w:t>
            </w:r>
            <w:r>
              <w:rPr>
                <w:rFonts w:hint="eastAsia"/>
                <w:lang w:val="en-US" w:eastAsia="zh-CN"/>
              </w:rPr>
              <w:t xml:space="preserve">6  </w:t>
            </w:r>
            <w:r>
              <w:rPr>
                <w:rFonts w:hint="eastAsia"/>
              </w:rPr>
              <w:t xml:space="preserve">  噪声排放限值标准</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3688"/>
              <w:gridCol w:w="30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625" w:type="pct"/>
                  <w:tcBorders>
                    <w:bottom w:val="single" w:color="auto" w:sz="12" w:space="0"/>
                  </w:tcBorders>
                  <w:noWrap w:val="0"/>
                  <w:vAlign w:val="center"/>
                </w:tcPr>
                <w:p>
                  <w:pPr>
                    <w:pStyle w:val="33"/>
                    <w:bidi w:val="0"/>
                    <w:rPr>
                      <w:b/>
                      <w:bCs/>
                    </w:rPr>
                  </w:pPr>
                  <w:r>
                    <w:rPr>
                      <w:rFonts w:hint="eastAsia"/>
                      <w:b/>
                      <w:bCs/>
                    </w:rPr>
                    <w:t>时期</w:t>
                  </w:r>
                </w:p>
              </w:tc>
              <w:tc>
                <w:tcPr>
                  <w:tcW w:w="2400" w:type="pct"/>
                  <w:tcBorders>
                    <w:bottom w:val="single" w:color="auto" w:sz="12" w:space="0"/>
                  </w:tcBorders>
                  <w:noWrap w:val="0"/>
                  <w:vAlign w:val="center"/>
                </w:tcPr>
                <w:p>
                  <w:pPr>
                    <w:pStyle w:val="33"/>
                    <w:bidi w:val="0"/>
                    <w:rPr>
                      <w:b/>
                      <w:bCs/>
                    </w:rPr>
                  </w:pPr>
                  <w:r>
                    <w:rPr>
                      <w:rFonts w:hint="eastAsia"/>
                      <w:b/>
                      <w:bCs/>
                    </w:rPr>
                    <w:t>标准</w:t>
                  </w:r>
                </w:p>
              </w:tc>
              <w:tc>
                <w:tcPr>
                  <w:tcW w:w="1974" w:type="pct"/>
                  <w:tcBorders>
                    <w:bottom w:val="single" w:color="auto" w:sz="12" w:space="0"/>
                  </w:tcBorders>
                  <w:noWrap w:val="0"/>
                  <w:vAlign w:val="center"/>
                </w:tcPr>
                <w:p>
                  <w:pPr>
                    <w:pStyle w:val="33"/>
                    <w:bidi w:val="0"/>
                    <w:rPr>
                      <w:b/>
                      <w:bCs/>
                    </w:rPr>
                  </w:pPr>
                  <w:r>
                    <w:rPr>
                      <w:rFonts w:hint="eastAsia"/>
                      <w:b/>
                      <w:bCs/>
                    </w:rP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625" w:type="pct"/>
                  <w:tcBorders>
                    <w:top w:val="single" w:color="auto" w:sz="12" w:space="0"/>
                    <w:tl2br w:val="nil"/>
                    <w:tr2bl w:val="nil"/>
                  </w:tcBorders>
                  <w:noWrap w:val="0"/>
                  <w:vAlign w:val="center"/>
                </w:tcPr>
                <w:p>
                  <w:pPr>
                    <w:pStyle w:val="33"/>
                    <w:bidi w:val="0"/>
                  </w:pPr>
                  <w:r>
                    <w:rPr>
                      <w:rFonts w:hint="eastAsia"/>
                    </w:rPr>
                    <w:t>施工期</w:t>
                  </w:r>
                </w:p>
              </w:tc>
              <w:tc>
                <w:tcPr>
                  <w:tcW w:w="2400" w:type="pct"/>
                  <w:tcBorders>
                    <w:top w:val="single" w:color="auto" w:sz="12" w:space="0"/>
                    <w:tl2br w:val="nil"/>
                    <w:tr2bl w:val="nil"/>
                  </w:tcBorders>
                  <w:noWrap w:val="0"/>
                  <w:vAlign w:val="center"/>
                </w:tcPr>
                <w:p>
                  <w:pPr>
                    <w:pStyle w:val="33"/>
                    <w:bidi w:val="0"/>
                    <w:rPr>
                      <w:rFonts w:hint="eastAsia"/>
                    </w:rPr>
                  </w:pPr>
                  <w:r>
                    <w:rPr>
                      <w:rFonts w:hint="eastAsia"/>
                    </w:rPr>
                    <w:t>《建筑施工场界环境噪声排放标准》</w:t>
                  </w:r>
                </w:p>
                <w:p>
                  <w:pPr>
                    <w:pStyle w:val="33"/>
                    <w:bidi w:val="0"/>
                    <w:rPr>
                      <w:rFonts w:hint="eastAsia"/>
                    </w:rPr>
                  </w:pPr>
                  <w:r>
                    <w:rPr>
                      <w:rFonts w:hint="eastAsia"/>
                      <w:lang w:eastAsia="zh-CN"/>
                    </w:rPr>
                    <w:t>（</w:t>
                  </w:r>
                  <w:r>
                    <w:rPr>
                      <w:rFonts w:hint="eastAsia"/>
                      <w:lang w:val="en-US" w:eastAsia="zh-CN"/>
                    </w:rPr>
                    <w:t>GB 12523-2011</w:t>
                  </w:r>
                  <w:r>
                    <w:rPr>
                      <w:rFonts w:hint="eastAsia"/>
                      <w:lang w:eastAsia="zh-CN"/>
                    </w:rPr>
                    <w:t>）</w:t>
                  </w:r>
                </w:p>
              </w:tc>
              <w:tc>
                <w:tcPr>
                  <w:tcW w:w="1974" w:type="pct"/>
                  <w:tcBorders>
                    <w:top w:val="single" w:color="auto" w:sz="12" w:space="0"/>
                    <w:tl2br w:val="nil"/>
                    <w:tr2bl w:val="nil"/>
                  </w:tcBorders>
                  <w:noWrap w:val="0"/>
                  <w:vAlign w:val="center"/>
                </w:tcPr>
                <w:p>
                  <w:pPr>
                    <w:pStyle w:val="33"/>
                    <w:bidi w:val="0"/>
                  </w:pPr>
                  <w:r>
                    <w:rPr>
                      <w:rFonts w:hint="eastAsia"/>
                    </w:rPr>
                    <w:t>昼间</w:t>
                  </w:r>
                  <w:r>
                    <w:t>70dB（A）</w:t>
                  </w:r>
                  <w:r>
                    <w:rPr>
                      <w:rFonts w:hint="eastAsia"/>
                    </w:rPr>
                    <w:t>、夜间55dB（A）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625" w:type="pct"/>
                  <w:tcBorders>
                    <w:tl2br w:val="nil"/>
                    <w:tr2bl w:val="nil"/>
                  </w:tcBorders>
                  <w:noWrap w:val="0"/>
                  <w:vAlign w:val="center"/>
                </w:tcPr>
                <w:p>
                  <w:pPr>
                    <w:pStyle w:val="33"/>
                    <w:bidi w:val="0"/>
                  </w:pPr>
                  <w:r>
                    <w:rPr>
                      <w:rFonts w:hint="eastAsia"/>
                    </w:rPr>
                    <w:t>运营期</w:t>
                  </w:r>
                </w:p>
              </w:tc>
              <w:tc>
                <w:tcPr>
                  <w:tcW w:w="2400" w:type="pct"/>
                  <w:tcBorders>
                    <w:tl2br w:val="nil"/>
                    <w:tr2bl w:val="nil"/>
                  </w:tcBorders>
                  <w:noWrap w:val="0"/>
                  <w:vAlign w:val="center"/>
                </w:tcPr>
                <w:p>
                  <w:pPr>
                    <w:pStyle w:val="33"/>
                    <w:bidi w:val="0"/>
                  </w:pPr>
                  <w:r>
                    <w:t>《</w:t>
                  </w:r>
                  <w:r>
                    <w:rPr>
                      <w:rFonts w:hint="eastAsia"/>
                    </w:rPr>
                    <w:t>工业企业厂界环境噪声排放标准</w:t>
                  </w:r>
                  <w:r>
                    <w:t>》</w:t>
                  </w:r>
                </w:p>
                <w:p>
                  <w:pPr>
                    <w:pStyle w:val="33"/>
                    <w:bidi w:val="0"/>
                  </w:pPr>
                  <w:r>
                    <w:t>（GB</w:t>
                  </w:r>
                  <w:r>
                    <w:rPr>
                      <w:rFonts w:hint="eastAsia"/>
                    </w:rPr>
                    <w:t>12348-2008</w:t>
                  </w:r>
                  <w:r>
                    <w:t>）</w:t>
                  </w:r>
                  <w:r>
                    <w:rPr>
                      <w:rFonts w:hint="eastAsia"/>
                    </w:rPr>
                    <w:t>中</w:t>
                  </w:r>
                  <w:r>
                    <w:rPr>
                      <w:rFonts w:hint="eastAsia"/>
                      <w:lang w:val="en-US" w:eastAsia="zh-CN"/>
                    </w:rPr>
                    <w:t>2</w:t>
                  </w:r>
                  <w:r>
                    <w:rPr>
                      <w:rFonts w:hint="eastAsia"/>
                    </w:rPr>
                    <w:t>类限值</w:t>
                  </w:r>
                </w:p>
              </w:tc>
              <w:tc>
                <w:tcPr>
                  <w:tcW w:w="1974" w:type="pct"/>
                  <w:tcBorders>
                    <w:tl2br w:val="nil"/>
                    <w:tr2bl w:val="nil"/>
                  </w:tcBorders>
                  <w:noWrap w:val="0"/>
                  <w:vAlign w:val="center"/>
                </w:tcPr>
                <w:p>
                  <w:pPr>
                    <w:pStyle w:val="33"/>
                    <w:bidi w:val="0"/>
                  </w:pPr>
                  <w:r>
                    <w:rPr>
                      <w:rFonts w:hint="eastAsia"/>
                    </w:rPr>
                    <w:t>昼间</w:t>
                  </w:r>
                  <w:r>
                    <w:rPr>
                      <w:rFonts w:hint="eastAsia"/>
                      <w:lang w:val="en-US" w:eastAsia="zh-CN"/>
                    </w:rPr>
                    <w:t>60</w:t>
                  </w:r>
                  <w:r>
                    <w:rPr>
                      <w:rFonts w:hint="eastAsia"/>
                    </w:rPr>
                    <w:t>dB（A）、夜间</w:t>
                  </w:r>
                  <w:r>
                    <w:rPr>
                      <w:rFonts w:hint="eastAsia"/>
                      <w:lang w:val="en-US" w:eastAsia="zh-CN"/>
                    </w:rPr>
                    <w:t>50</w:t>
                  </w:r>
                  <w:r>
                    <w:rPr>
                      <w:rFonts w:hint="eastAsia"/>
                    </w:rPr>
                    <w:t>dB（A）</w:t>
                  </w:r>
                </w:p>
              </w:tc>
            </w:tr>
          </w:tbl>
          <w:p>
            <w:pPr>
              <w:pStyle w:val="6"/>
              <w:numPr>
                <w:ilvl w:val="0"/>
                <w:numId w:val="12"/>
              </w:numPr>
              <w:jc w:val="both"/>
              <w:outlineLvl w:val="1"/>
            </w:pPr>
            <w:r>
              <w:rPr>
                <w:rFonts w:hint="eastAsia"/>
              </w:rPr>
              <w:t>固体废物控制标准</w:t>
            </w:r>
          </w:p>
          <w:p>
            <w:pPr>
              <w:pStyle w:val="22"/>
              <w:ind w:firstLine="480"/>
              <w:jc w:val="both"/>
              <w:rPr>
                <w:rFonts w:hint="eastAsia" w:ascii="Times New Roman" w:hAnsi="Times New Roman" w:eastAsia="宋体" w:cs="Times New Roman"/>
                <w:b w:val="0"/>
                <w:bCs w:val="0"/>
                <w:color w:val="auto"/>
                <w:sz w:val="24"/>
                <w:szCs w:val="24"/>
                <w:lang w:val="en-US" w:eastAsia="zh-CN"/>
              </w:rPr>
            </w:pPr>
            <w:r>
              <w:rPr>
                <w:color w:val="000000"/>
                <w:sz w:val="24"/>
              </w:rPr>
              <w:t>《一般工业固体废物贮存和填埋污染控制标准》（GB 18599-2020）</w:t>
            </w:r>
            <w:r>
              <w:rPr>
                <w:rFonts w:hint="eastAsia"/>
                <w:color w:val="000000"/>
                <w:sz w:val="24"/>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57" w:hRule="atLeast"/>
          <w:jc w:val="center"/>
        </w:trPr>
        <w:tc>
          <w:tcPr>
            <w:tcW w:w="622" w:type="dxa"/>
            <w:tcBorders>
              <w:tl2br w:val="nil"/>
              <w:tr2bl w:val="nil"/>
            </w:tcBorders>
            <w:vAlign w:val="center"/>
          </w:tcPr>
          <w:p>
            <w:pPr>
              <w:jc w:val="center"/>
              <w:rPr>
                <w:rFonts w:ascii="宋体" w:hAnsi="宋体" w:cs="宋体"/>
                <w:szCs w:val="21"/>
              </w:rPr>
            </w:pPr>
            <w:r>
              <w:rPr>
                <w:rFonts w:hint="eastAsia" w:ascii="宋体" w:hAnsi="宋体" w:cs="宋体"/>
                <w:szCs w:val="21"/>
              </w:rPr>
              <w:t>总量</w:t>
            </w:r>
          </w:p>
          <w:p>
            <w:pPr>
              <w:jc w:val="center"/>
              <w:rPr>
                <w:rFonts w:ascii="宋体" w:hAnsi="宋体" w:cs="宋体"/>
                <w:szCs w:val="21"/>
              </w:rPr>
            </w:pPr>
            <w:r>
              <w:rPr>
                <w:rFonts w:hint="eastAsia" w:ascii="宋体" w:hAnsi="宋体" w:cs="宋体"/>
                <w:szCs w:val="21"/>
              </w:rPr>
              <w:t>控制</w:t>
            </w:r>
          </w:p>
          <w:p>
            <w:pPr>
              <w:jc w:val="center"/>
            </w:pPr>
            <w:r>
              <w:rPr>
                <w:rFonts w:hint="eastAsia"/>
              </w:rPr>
              <w:t>指标</w:t>
            </w:r>
          </w:p>
        </w:tc>
        <w:tc>
          <w:tcPr>
            <w:tcW w:w="7900" w:type="dxa"/>
            <w:tcBorders>
              <w:tl2br w:val="nil"/>
              <w:tr2bl w:val="nil"/>
            </w:tcBorders>
            <w:vAlign w:val="center"/>
          </w:tcPr>
          <w:p>
            <w:pPr>
              <w:pStyle w:val="22"/>
              <w:bidi w:val="0"/>
              <w:jc w:val="both"/>
              <w:rPr>
                <w:rFonts w:hint="default"/>
                <w:color w:val="auto"/>
                <w:lang w:val="en-US" w:eastAsia="zh-CN"/>
              </w:rPr>
            </w:pPr>
            <w:r>
              <w:rPr>
                <w:rFonts w:hint="eastAsia"/>
                <w:color w:val="auto"/>
                <w:lang w:val="en-US" w:eastAsia="zh-CN"/>
              </w:rPr>
              <w:t>本项目废水经厂区污水处理站预处理达标后排入吉木萨尔县第二污水处理厂处理，废水排放总量纳入吉木萨尔县第二污水处理厂管理，本项目不设总量控制指标。</w:t>
            </w:r>
          </w:p>
          <w:p>
            <w:pPr>
              <w:pStyle w:val="22"/>
              <w:bidi w:val="0"/>
              <w:jc w:val="both"/>
              <w:rPr>
                <w:rFonts w:hint="default" w:ascii="Times New Roman" w:hAnsi="Times New Roman" w:eastAsia="宋体" w:cs="Times New Roman"/>
                <w:color w:val="auto"/>
                <w:kern w:val="0"/>
                <w:sz w:val="24"/>
                <w:szCs w:val="24"/>
                <w:lang w:val="en-US" w:eastAsia="zh-CN"/>
              </w:rPr>
            </w:pPr>
            <w:r>
              <w:rPr>
                <w:rFonts w:hint="eastAsia"/>
                <w:color w:val="auto"/>
                <w:lang w:val="en-US" w:eastAsia="zh-CN"/>
              </w:rPr>
              <w:t>本项目废气总量控制指标为：</w:t>
            </w:r>
            <w:r>
              <w:rPr>
                <w:rFonts w:hint="eastAsia" w:ascii="Times New Roman" w:hAnsi="Times New Roman" w:eastAsia="宋体" w:cs="Times New Roman"/>
                <w:color w:val="auto"/>
                <w:sz w:val="24"/>
                <w:szCs w:val="24"/>
                <w:highlight w:val="none"/>
                <w:lang w:val="en-US" w:eastAsia="zh-CN"/>
              </w:rPr>
              <w:t>颗粒物</w:t>
            </w:r>
            <w:r>
              <w:rPr>
                <w:rFonts w:hint="eastAsia" w:cs="Times New Roman"/>
                <w:color w:val="auto"/>
                <w:sz w:val="24"/>
                <w:szCs w:val="24"/>
                <w:highlight w:val="none"/>
                <w:lang w:val="en-US" w:eastAsia="zh-CN"/>
              </w:rPr>
              <w:t>为0.168</w:t>
            </w:r>
            <w:r>
              <w:rPr>
                <w:rFonts w:hint="eastAsia" w:ascii="Times New Roman" w:hAnsi="Times New Roman" w:eastAsia="宋体" w:cs="Times New Roman"/>
                <w:color w:val="auto"/>
                <w:sz w:val="24"/>
                <w:szCs w:val="24"/>
                <w:highlight w:val="none"/>
                <w:lang w:val="en-US" w:eastAsia="zh-CN"/>
              </w:rPr>
              <w:t>t/a；</w:t>
            </w:r>
            <w:r>
              <w:rPr>
                <w:rFonts w:hint="eastAsia" w:cs="Times New Roman"/>
                <w:color w:val="auto"/>
                <w:sz w:val="24"/>
                <w:szCs w:val="24"/>
                <w:highlight w:val="none"/>
                <w:lang w:val="en-US" w:eastAsia="zh-CN"/>
              </w:rPr>
              <w:t>SO</w:t>
            </w:r>
            <w:r>
              <w:rPr>
                <w:rFonts w:hint="eastAsia" w:cs="Times New Roman"/>
                <w:color w:val="auto"/>
                <w:sz w:val="24"/>
                <w:szCs w:val="24"/>
                <w:highlight w:val="none"/>
                <w:vertAlign w:val="subscript"/>
                <w:lang w:val="en-US" w:eastAsia="zh-CN"/>
              </w:rPr>
              <w:t>2</w:t>
            </w:r>
            <w:r>
              <w:rPr>
                <w:rFonts w:hint="eastAsia" w:cs="Times New Roman"/>
                <w:color w:val="auto"/>
                <w:sz w:val="24"/>
                <w:szCs w:val="24"/>
                <w:highlight w:val="none"/>
                <w:lang w:val="en-US" w:eastAsia="zh-CN"/>
              </w:rPr>
              <w:t>为</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005</w:t>
            </w:r>
            <w:r>
              <w:rPr>
                <w:rFonts w:hint="eastAsia" w:ascii="Times New Roman" w:hAnsi="Times New Roman" w:eastAsia="宋体" w:cs="Times New Roman"/>
                <w:color w:val="auto"/>
                <w:sz w:val="24"/>
                <w:szCs w:val="24"/>
                <w:highlight w:val="none"/>
                <w:lang w:val="en-US" w:eastAsia="zh-CN"/>
              </w:rPr>
              <w:t>t/a</w:t>
            </w:r>
            <w:r>
              <w:rPr>
                <w:rFonts w:hint="eastAsia" w:cs="Times New Roman"/>
                <w:color w:val="auto"/>
                <w:sz w:val="24"/>
                <w:szCs w:val="24"/>
                <w:highlight w:val="none"/>
                <w:lang w:val="en-US" w:eastAsia="zh-CN"/>
              </w:rPr>
              <w:t>；NOx为0.418</w:t>
            </w:r>
            <w:r>
              <w:rPr>
                <w:rFonts w:hint="eastAsia" w:ascii="Times New Roman" w:hAnsi="Times New Roman" w:eastAsia="宋体" w:cs="Times New Roman"/>
                <w:color w:val="auto"/>
                <w:sz w:val="24"/>
                <w:szCs w:val="24"/>
                <w:highlight w:val="none"/>
                <w:lang w:val="en-US" w:eastAsia="zh-CN"/>
              </w:rPr>
              <w:t>/a。</w:t>
            </w:r>
            <w:r>
              <w:rPr>
                <w:rFonts w:hint="eastAsia"/>
                <w:color w:val="auto"/>
                <w:lang w:val="en-US" w:eastAsia="zh-CN"/>
              </w:rPr>
              <w:t>因吉木萨尔县为不达标区，本项目实行倍量替代，替代量为</w:t>
            </w:r>
            <w:r>
              <w:rPr>
                <w:rFonts w:hint="eastAsia" w:ascii="Times New Roman" w:hAnsi="Times New Roman" w:eastAsia="宋体" w:cs="Times New Roman"/>
                <w:color w:val="auto"/>
                <w:sz w:val="24"/>
                <w:szCs w:val="24"/>
                <w:highlight w:val="none"/>
                <w:lang w:val="en-US" w:eastAsia="zh-CN"/>
              </w:rPr>
              <w:t>颗粒物</w:t>
            </w:r>
            <w:r>
              <w:rPr>
                <w:rFonts w:hint="eastAsia" w:cs="Times New Roman"/>
                <w:color w:val="auto"/>
                <w:sz w:val="24"/>
                <w:szCs w:val="24"/>
                <w:highlight w:val="none"/>
                <w:lang w:val="en-US" w:eastAsia="zh-CN"/>
              </w:rPr>
              <w:t>为0.336</w:t>
            </w:r>
            <w:r>
              <w:rPr>
                <w:rFonts w:hint="eastAsia" w:ascii="Times New Roman" w:hAnsi="Times New Roman" w:eastAsia="宋体" w:cs="Times New Roman"/>
                <w:color w:val="auto"/>
                <w:sz w:val="24"/>
                <w:szCs w:val="24"/>
                <w:highlight w:val="none"/>
                <w:lang w:val="en-US" w:eastAsia="zh-CN"/>
              </w:rPr>
              <w:t>t/a；</w:t>
            </w:r>
            <w:r>
              <w:rPr>
                <w:rFonts w:hint="eastAsia" w:cs="Times New Roman"/>
                <w:color w:val="auto"/>
                <w:sz w:val="24"/>
                <w:szCs w:val="24"/>
                <w:highlight w:val="none"/>
                <w:lang w:val="en-US" w:eastAsia="zh-CN"/>
              </w:rPr>
              <w:t>SO</w:t>
            </w:r>
            <w:r>
              <w:rPr>
                <w:rFonts w:hint="eastAsia" w:cs="Times New Roman"/>
                <w:color w:val="auto"/>
                <w:sz w:val="24"/>
                <w:szCs w:val="24"/>
                <w:highlight w:val="none"/>
                <w:vertAlign w:val="subscript"/>
                <w:lang w:val="en-US" w:eastAsia="zh-CN"/>
              </w:rPr>
              <w:t>2</w:t>
            </w:r>
            <w:r>
              <w:rPr>
                <w:rFonts w:hint="eastAsia" w:cs="Times New Roman"/>
                <w:color w:val="auto"/>
                <w:sz w:val="24"/>
                <w:szCs w:val="24"/>
                <w:highlight w:val="none"/>
                <w:lang w:val="en-US" w:eastAsia="zh-CN"/>
              </w:rPr>
              <w:t>为</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01</w:t>
            </w:r>
            <w:r>
              <w:rPr>
                <w:rFonts w:hint="eastAsia" w:ascii="Times New Roman" w:hAnsi="Times New Roman" w:eastAsia="宋体" w:cs="Times New Roman"/>
                <w:color w:val="auto"/>
                <w:sz w:val="24"/>
                <w:szCs w:val="24"/>
                <w:highlight w:val="none"/>
                <w:lang w:val="en-US" w:eastAsia="zh-CN"/>
              </w:rPr>
              <w:t>t/a</w:t>
            </w:r>
            <w:r>
              <w:rPr>
                <w:rFonts w:hint="eastAsia" w:cs="Times New Roman"/>
                <w:color w:val="auto"/>
                <w:sz w:val="24"/>
                <w:szCs w:val="24"/>
                <w:highlight w:val="none"/>
                <w:lang w:val="en-US" w:eastAsia="zh-CN"/>
              </w:rPr>
              <w:t>；NOx为0.836</w:t>
            </w:r>
            <w:r>
              <w:rPr>
                <w:rFonts w:hint="eastAsia" w:ascii="Times New Roman" w:hAnsi="Times New Roman" w:eastAsia="宋体" w:cs="Times New Roman"/>
                <w:color w:val="auto"/>
                <w:sz w:val="24"/>
                <w:szCs w:val="24"/>
                <w:highlight w:val="none"/>
                <w:lang w:val="en-US" w:eastAsia="zh-CN"/>
              </w:rPr>
              <w:t>/a</w:t>
            </w:r>
            <w:r>
              <w:rPr>
                <w:rFonts w:hint="eastAsia" w:cs="Times New Roman"/>
                <w:color w:val="auto"/>
                <w:sz w:val="24"/>
                <w:szCs w:val="24"/>
                <w:highlight w:val="none"/>
                <w:lang w:val="en-US" w:eastAsia="zh-CN"/>
              </w:rPr>
              <w:t>。</w:t>
            </w:r>
          </w:p>
        </w:tc>
      </w:tr>
    </w:tbl>
    <w:p>
      <w:pPr>
        <w:jc w:val="both"/>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5"/>
        <w:numPr>
          <w:ilvl w:val="0"/>
          <w:numId w:val="2"/>
        </w:numPr>
      </w:pPr>
      <w:r>
        <w:rPr>
          <w:rFonts w:hint="eastAsia"/>
        </w:rPr>
        <w:t>主要环境影响和保护措施</w:t>
      </w:r>
    </w:p>
    <w:tbl>
      <w:tblPr>
        <w:tblStyle w:val="2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7"/>
        <w:gridCol w:w="80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3265" w:hRule="atLeast"/>
        </w:trPr>
        <w:tc>
          <w:tcPr>
            <w:tcW w:w="437" w:type="dxa"/>
            <w:tcBorders>
              <w:tl2br w:val="nil"/>
              <w:tr2bl w:val="nil"/>
            </w:tcBorders>
            <w:vAlign w:val="center"/>
          </w:tcPr>
          <w:p>
            <w:pPr>
              <w:pStyle w:val="23"/>
              <w:adjustRightInd w:val="0"/>
              <w:snapToGrid w:val="0"/>
              <w:spacing w:before="0" w:beforeAutospacing="0" w:after="0" w:afterAutospacing="0"/>
              <w:jc w:val="center"/>
              <w:rPr>
                <w:rFonts w:cs="宋体"/>
                <w:kern w:val="2"/>
                <w:szCs w:val="24"/>
              </w:rPr>
            </w:pPr>
            <w:r>
              <w:rPr>
                <w:rFonts w:hint="eastAsia" w:cs="宋体"/>
                <w:kern w:val="2"/>
                <w:szCs w:val="24"/>
              </w:rPr>
              <w:t>施工</w:t>
            </w:r>
          </w:p>
          <w:p>
            <w:pPr>
              <w:pStyle w:val="23"/>
              <w:adjustRightInd w:val="0"/>
              <w:snapToGrid w:val="0"/>
              <w:spacing w:before="0" w:beforeAutospacing="0" w:after="0" w:afterAutospacing="0"/>
              <w:jc w:val="center"/>
              <w:rPr>
                <w:rFonts w:cs="宋体"/>
                <w:kern w:val="2"/>
                <w:szCs w:val="24"/>
              </w:rPr>
            </w:pPr>
            <w:r>
              <w:rPr>
                <w:rFonts w:hint="eastAsia" w:cs="宋体"/>
                <w:kern w:val="2"/>
                <w:szCs w:val="24"/>
              </w:rPr>
              <w:t>期环</w:t>
            </w:r>
          </w:p>
          <w:p>
            <w:pPr>
              <w:pStyle w:val="23"/>
              <w:adjustRightInd w:val="0"/>
              <w:snapToGrid w:val="0"/>
              <w:spacing w:before="0" w:beforeAutospacing="0" w:after="0" w:afterAutospacing="0"/>
              <w:jc w:val="center"/>
              <w:rPr>
                <w:rFonts w:cs="宋体"/>
                <w:kern w:val="2"/>
                <w:szCs w:val="24"/>
              </w:rPr>
            </w:pPr>
            <w:r>
              <w:rPr>
                <w:rFonts w:hint="eastAsia" w:cs="宋体"/>
                <w:kern w:val="2"/>
                <w:szCs w:val="24"/>
              </w:rPr>
              <w:t>境保</w:t>
            </w:r>
          </w:p>
          <w:p>
            <w:pPr>
              <w:pStyle w:val="23"/>
              <w:adjustRightInd w:val="0"/>
              <w:snapToGrid w:val="0"/>
              <w:spacing w:before="0" w:beforeAutospacing="0" w:after="0" w:afterAutospacing="0"/>
              <w:jc w:val="center"/>
              <w:rPr>
                <w:rFonts w:cs="宋体"/>
                <w:kern w:val="2"/>
                <w:szCs w:val="24"/>
              </w:rPr>
            </w:pPr>
            <w:r>
              <w:rPr>
                <w:rFonts w:hint="eastAsia" w:cs="宋体"/>
                <w:kern w:val="2"/>
                <w:szCs w:val="24"/>
              </w:rPr>
              <w:t>护措</w:t>
            </w:r>
          </w:p>
          <w:p>
            <w:pPr>
              <w:jc w:val="center"/>
            </w:pPr>
            <w:r>
              <w:rPr>
                <w:rFonts w:hint="eastAsia"/>
              </w:rPr>
              <w:t>施</w:t>
            </w:r>
          </w:p>
        </w:tc>
        <w:tc>
          <w:tcPr>
            <w:tcW w:w="8085" w:type="dxa"/>
            <w:tcBorders>
              <w:tl2br w:val="nil"/>
              <w:tr2bl w:val="nil"/>
            </w:tcBorders>
          </w:tcPr>
          <w:p>
            <w:pPr>
              <w:pStyle w:val="22"/>
              <w:bidi w:val="0"/>
              <w:jc w:val="both"/>
              <w:rPr>
                <w:rFonts w:hint="default"/>
                <w:color w:val="auto"/>
              </w:rPr>
            </w:pPr>
            <w:r>
              <w:rPr>
                <w:rFonts w:hint="default"/>
                <w:color w:val="auto"/>
              </w:rPr>
              <w:t>本</w:t>
            </w:r>
            <w:r>
              <w:rPr>
                <w:rFonts w:hint="default" w:ascii="Times New Roman" w:hAnsi="Times New Roman" w:eastAsia="宋体"/>
                <w:color w:val="auto"/>
                <w:lang w:val="en-US" w:eastAsia="zh-CN"/>
              </w:rPr>
              <w:t>项目</w:t>
            </w:r>
            <w:r>
              <w:rPr>
                <w:rFonts w:hint="eastAsia" w:ascii="Times New Roman" w:hAnsi="Times New Roman" w:eastAsia="宋体"/>
                <w:color w:val="auto"/>
                <w:lang w:val="en-US" w:eastAsia="zh-CN"/>
              </w:rPr>
              <w:t>在</w:t>
            </w:r>
            <w:r>
              <w:rPr>
                <w:rFonts w:hint="eastAsia"/>
                <w:color w:val="auto"/>
                <w:lang w:val="en-US" w:eastAsia="zh-CN"/>
              </w:rPr>
              <w:t>吉木萨尔县鸿至兴洗海服务有限公司</w:t>
            </w:r>
            <w:r>
              <w:rPr>
                <w:rFonts w:hint="eastAsia" w:ascii="Times New Roman" w:hAnsi="Times New Roman" w:eastAsia="宋体"/>
                <w:color w:val="auto"/>
                <w:lang w:val="en-US" w:eastAsia="zh-CN"/>
              </w:rPr>
              <w:t>现有</w:t>
            </w:r>
            <w:r>
              <w:rPr>
                <w:rFonts w:hint="eastAsia"/>
                <w:color w:val="auto"/>
                <w:lang w:val="en-US" w:eastAsia="zh-CN"/>
              </w:rPr>
              <w:t>厂房内进行，施工期仅为设备安装</w:t>
            </w:r>
            <w:r>
              <w:rPr>
                <w:rFonts w:hint="default"/>
                <w:color w:val="auto"/>
              </w:rPr>
              <w:t>，</w:t>
            </w:r>
            <w:r>
              <w:rPr>
                <w:rFonts w:hint="default"/>
                <w:color w:val="auto"/>
                <w:lang w:val="en-US" w:eastAsia="zh-CN"/>
              </w:rPr>
              <w:t>施工期</w:t>
            </w:r>
            <w:r>
              <w:rPr>
                <w:rFonts w:hint="eastAsia"/>
                <w:color w:val="auto"/>
                <w:lang w:val="en-US" w:eastAsia="zh-CN"/>
              </w:rPr>
              <w:t>环境</w:t>
            </w:r>
            <w:r>
              <w:rPr>
                <w:rFonts w:hint="default"/>
                <w:color w:val="auto"/>
                <w:lang w:val="en-US" w:eastAsia="zh-CN"/>
              </w:rPr>
              <w:t>影响主要</w:t>
            </w:r>
            <w:r>
              <w:rPr>
                <w:rFonts w:hint="eastAsia"/>
                <w:color w:val="auto"/>
                <w:lang w:val="en-US" w:eastAsia="zh-CN"/>
              </w:rPr>
              <w:t>为</w:t>
            </w:r>
            <w:r>
              <w:rPr>
                <w:rFonts w:hint="default"/>
                <w:color w:val="auto"/>
                <w:lang w:val="en-US" w:eastAsia="zh-CN"/>
              </w:rPr>
              <w:t>设备安装产生的扬尘</w:t>
            </w:r>
            <w:r>
              <w:rPr>
                <w:rFonts w:hint="default"/>
                <w:color w:val="auto"/>
              </w:rPr>
              <w:t>、</w:t>
            </w:r>
            <w:r>
              <w:rPr>
                <w:rFonts w:hint="default"/>
                <w:color w:val="auto"/>
                <w:lang w:val="en-US" w:eastAsia="zh-CN"/>
              </w:rPr>
              <w:t>噪声</w:t>
            </w:r>
            <w:r>
              <w:rPr>
                <w:rFonts w:hint="default"/>
                <w:color w:val="auto"/>
              </w:rPr>
              <w:t>、固体废物</w:t>
            </w:r>
            <w:r>
              <w:rPr>
                <w:rFonts w:hint="default"/>
                <w:color w:val="auto"/>
                <w:lang w:val="en-US" w:eastAsia="zh-CN"/>
              </w:rPr>
              <w:t>和</w:t>
            </w:r>
            <w:r>
              <w:rPr>
                <w:rFonts w:hint="default"/>
                <w:color w:val="auto"/>
              </w:rPr>
              <w:t>施工人员的生活污水</w:t>
            </w:r>
            <w:r>
              <w:rPr>
                <w:rFonts w:hint="default"/>
                <w:color w:val="auto"/>
                <w:lang w:val="en-US" w:eastAsia="zh-CN"/>
              </w:rPr>
              <w:t>等</w:t>
            </w:r>
            <w:r>
              <w:rPr>
                <w:rFonts w:hint="default"/>
                <w:color w:val="auto"/>
              </w:rPr>
              <w:t>。</w:t>
            </w:r>
          </w:p>
          <w:p>
            <w:pPr>
              <w:pStyle w:val="6"/>
              <w:numPr>
                <w:ilvl w:val="0"/>
                <w:numId w:val="13"/>
              </w:numPr>
              <w:bidi w:val="0"/>
              <w:jc w:val="both"/>
              <w:rPr>
                <w:rFonts w:hint="default"/>
              </w:rPr>
            </w:pPr>
            <w:r>
              <w:rPr>
                <w:rFonts w:hint="default"/>
              </w:rPr>
              <w:t>大气污染</w:t>
            </w:r>
            <w:r>
              <w:rPr>
                <w:rFonts w:hint="eastAsia"/>
                <w:lang w:val="en-US" w:eastAsia="zh-CN"/>
              </w:rPr>
              <w:t>及</w:t>
            </w:r>
            <w:r>
              <w:rPr>
                <w:rFonts w:hint="default"/>
              </w:rPr>
              <w:t>防治措施</w:t>
            </w:r>
          </w:p>
          <w:p>
            <w:pPr>
              <w:pStyle w:val="22"/>
              <w:bidi w:val="0"/>
              <w:jc w:val="both"/>
              <w:rPr>
                <w:rFonts w:hint="default"/>
              </w:rPr>
            </w:pPr>
            <w:r>
              <w:rPr>
                <w:rFonts w:hint="default"/>
              </w:rPr>
              <w:t>施工期大气污染物主要源于</w:t>
            </w:r>
            <w:r>
              <w:rPr>
                <w:rFonts w:hint="default"/>
                <w:lang w:val="en-US" w:eastAsia="zh-CN"/>
              </w:rPr>
              <w:t>设备安装完毕场地清理产生的</w:t>
            </w:r>
            <w:r>
              <w:rPr>
                <w:rFonts w:hint="default"/>
              </w:rPr>
              <w:t>扬尘</w:t>
            </w:r>
            <w:r>
              <w:rPr>
                <w:rFonts w:hint="default"/>
                <w:lang w:eastAsia="zh-CN"/>
              </w:rPr>
              <w:t>，</w:t>
            </w:r>
            <w:r>
              <w:rPr>
                <w:rFonts w:hint="default"/>
                <w:lang w:val="en-US" w:eastAsia="zh-CN"/>
              </w:rPr>
              <w:t>设备运送</w:t>
            </w:r>
            <w:r>
              <w:rPr>
                <w:rFonts w:hint="default"/>
              </w:rPr>
              <w:t>车辆行驶等产生扬尘污染。为使施工过程中产生的粉尘（扬尘）对周围环境空气的影响降低到</w:t>
            </w:r>
            <w:r>
              <w:rPr>
                <w:rFonts w:hint="eastAsia"/>
                <w:lang w:eastAsia="zh-CN"/>
              </w:rPr>
              <w:t>最低程度</w:t>
            </w:r>
            <w:r>
              <w:rPr>
                <w:rFonts w:hint="default"/>
              </w:rPr>
              <w:t>，建议采取以下防护措施：</w:t>
            </w:r>
          </w:p>
          <w:p>
            <w:pPr>
              <w:pStyle w:val="22"/>
              <w:bidi w:val="0"/>
              <w:jc w:val="both"/>
              <w:rPr>
                <w:rFonts w:hint="default"/>
              </w:rPr>
            </w:pPr>
            <w:r>
              <w:rPr>
                <w:rFonts w:hint="default"/>
              </w:rPr>
              <w:t>（1）对施工场地内，</w:t>
            </w:r>
            <w:r>
              <w:rPr>
                <w:rFonts w:hint="eastAsia"/>
                <w:lang w:val="en-US" w:eastAsia="zh-CN"/>
              </w:rPr>
              <w:t>定期</w:t>
            </w:r>
            <w:r>
              <w:rPr>
                <w:rFonts w:hint="default"/>
              </w:rPr>
              <w:t>洒水</w:t>
            </w:r>
            <w:r>
              <w:rPr>
                <w:rFonts w:hint="eastAsia"/>
                <w:lang w:eastAsia="zh-CN"/>
              </w:rPr>
              <w:t>、</w:t>
            </w:r>
            <w:r>
              <w:rPr>
                <w:rFonts w:hint="eastAsia"/>
                <w:lang w:val="en-US" w:eastAsia="zh-CN"/>
              </w:rPr>
              <w:t>清扫</w:t>
            </w:r>
            <w:r>
              <w:rPr>
                <w:rFonts w:hint="default"/>
              </w:rPr>
              <w:t>防止扬尘；</w:t>
            </w:r>
          </w:p>
          <w:p>
            <w:pPr>
              <w:pStyle w:val="22"/>
              <w:bidi w:val="0"/>
              <w:jc w:val="both"/>
              <w:rPr>
                <w:rFonts w:hint="eastAsia"/>
                <w:lang w:eastAsia="zh-CN"/>
              </w:rPr>
            </w:pPr>
            <w:r>
              <w:rPr>
                <w:rFonts w:hint="default"/>
              </w:rPr>
              <w:t>（</w:t>
            </w:r>
            <w:r>
              <w:rPr>
                <w:rFonts w:hint="default"/>
                <w:lang w:val="en-US" w:eastAsia="zh-CN"/>
              </w:rPr>
              <w:t>2</w:t>
            </w:r>
            <w:r>
              <w:rPr>
                <w:rFonts w:hint="default"/>
              </w:rPr>
              <w:t>）施工前对进厂车辆应限制车速</w:t>
            </w:r>
            <w:r>
              <w:rPr>
                <w:rFonts w:hint="eastAsia"/>
                <w:lang w:eastAsia="zh-CN"/>
              </w:rPr>
              <w:t>。</w:t>
            </w:r>
          </w:p>
          <w:p>
            <w:pPr>
              <w:pStyle w:val="6"/>
              <w:bidi w:val="0"/>
              <w:jc w:val="both"/>
              <w:rPr>
                <w:rFonts w:hint="default"/>
                <w:lang w:val="en-US" w:eastAsia="zh-CN"/>
              </w:rPr>
            </w:pPr>
            <w:r>
              <w:rPr>
                <w:rFonts w:hint="eastAsia"/>
                <w:lang w:val="en-US" w:eastAsia="zh-CN"/>
              </w:rPr>
              <w:t>2. 水污染及防治措施</w:t>
            </w:r>
          </w:p>
          <w:p>
            <w:pPr>
              <w:pStyle w:val="22"/>
              <w:bidi w:val="0"/>
              <w:jc w:val="both"/>
              <w:rPr>
                <w:color w:val="auto"/>
              </w:rPr>
            </w:pPr>
            <w:r>
              <w:rPr>
                <w:rFonts w:hint="default"/>
                <w:color w:val="auto"/>
              </w:rPr>
              <w:t>施工期间主要的水污染源为施工人员的生活污水，水中主要污染物包括BOD</w:t>
            </w:r>
            <w:r>
              <w:rPr>
                <w:rFonts w:hint="default"/>
                <w:color w:val="auto"/>
                <w:vertAlign w:val="subscript"/>
              </w:rPr>
              <w:t>5</w:t>
            </w:r>
            <w:r>
              <w:rPr>
                <w:rFonts w:hint="default"/>
                <w:color w:val="auto"/>
              </w:rPr>
              <w:t>、COD、SS等。</w:t>
            </w:r>
            <w:r>
              <w:rPr>
                <w:rFonts w:hint="default"/>
                <w:color w:val="auto"/>
                <w:lang w:val="en-US" w:eastAsia="zh-CN"/>
              </w:rPr>
              <w:t>排入</w:t>
            </w:r>
            <w:r>
              <w:rPr>
                <w:rFonts w:hint="eastAsia"/>
                <w:color w:val="auto"/>
                <w:lang w:val="en-US" w:eastAsia="zh-CN"/>
              </w:rPr>
              <w:t>市政污水</w:t>
            </w:r>
            <w:r>
              <w:rPr>
                <w:rFonts w:hint="default"/>
                <w:color w:val="auto"/>
                <w:lang w:val="en-US" w:eastAsia="zh-CN"/>
              </w:rPr>
              <w:t>管网</w:t>
            </w:r>
            <w:r>
              <w:rPr>
                <w:rFonts w:hint="eastAsia"/>
                <w:color w:val="auto"/>
              </w:rPr>
              <w:t>。</w:t>
            </w:r>
          </w:p>
          <w:p>
            <w:pPr>
              <w:pStyle w:val="6"/>
              <w:numPr>
                <w:ilvl w:val="0"/>
                <w:numId w:val="0"/>
              </w:numPr>
              <w:bidi w:val="0"/>
              <w:ind w:leftChars="0"/>
              <w:jc w:val="both"/>
              <w:rPr>
                <w:rFonts w:hint="default"/>
                <w:lang w:val="en-US" w:eastAsia="zh-CN"/>
              </w:rPr>
            </w:pPr>
            <w:r>
              <w:rPr>
                <w:rFonts w:hint="eastAsia"/>
                <w:lang w:val="en-US" w:eastAsia="zh-CN"/>
              </w:rPr>
              <w:t xml:space="preserve">3. </w:t>
            </w:r>
            <w:r>
              <w:rPr>
                <w:rFonts w:hint="eastAsia"/>
              </w:rPr>
              <w:t>噪声</w:t>
            </w:r>
            <w:r>
              <w:rPr>
                <w:rFonts w:hint="eastAsia"/>
                <w:lang w:val="en-US" w:eastAsia="zh-CN"/>
              </w:rPr>
              <w:t>污染及防治措施</w:t>
            </w:r>
          </w:p>
          <w:p>
            <w:pPr>
              <w:pStyle w:val="22"/>
              <w:bidi w:val="0"/>
              <w:jc w:val="both"/>
              <w:rPr>
                <w:rFonts w:hint="default"/>
                <w:lang w:val="en-US" w:eastAsia="zh-CN"/>
              </w:rPr>
            </w:pPr>
            <w:r>
              <w:rPr>
                <w:rFonts w:hint="default"/>
                <w:lang w:val="en-US" w:eastAsia="zh-CN"/>
              </w:rPr>
              <w:t>施工期间主要有设备安装噪声和运输车辆产生的噪声。</w:t>
            </w:r>
          </w:p>
          <w:p>
            <w:pPr>
              <w:pStyle w:val="22"/>
              <w:bidi w:val="0"/>
              <w:jc w:val="both"/>
              <w:rPr>
                <w:rFonts w:hint="default"/>
              </w:rPr>
            </w:pPr>
            <w:r>
              <w:rPr>
                <w:rFonts w:hint="default"/>
                <w:lang w:val="en-US" w:eastAsia="zh-CN"/>
              </w:rPr>
              <w:t>本项目施工期噪声影响主要是设备安装产生的噪声</w:t>
            </w:r>
            <w:r>
              <w:rPr>
                <w:rFonts w:hint="default"/>
              </w:rPr>
              <w:t>，施工期的噪声评价标准执行《</w:t>
            </w:r>
            <w:r>
              <w:rPr>
                <w:rFonts w:hint="default"/>
              </w:rPr>
              <w:fldChar w:fldCharType="begin"/>
            </w:r>
            <w:r>
              <w:rPr>
                <w:rFonts w:hint="default"/>
              </w:rPr>
              <w:instrText xml:space="preserve"> HYPERLINK "http://kjs.mep.gov.cn/hjbhbz/bzwb/wlhj/hjzspfbz/201112/t20111222_221680.htm" </w:instrText>
            </w:r>
            <w:r>
              <w:rPr>
                <w:rFonts w:hint="default"/>
              </w:rPr>
              <w:fldChar w:fldCharType="separate"/>
            </w:r>
            <w:r>
              <w:rPr>
                <w:rFonts w:hint="default"/>
              </w:rPr>
              <w:t>建筑施工场界环境噪声排放标准</w:t>
            </w:r>
            <w:r>
              <w:rPr>
                <w:rFonts w:hint="default"/>
              </w:rPr>
              <w:fldChar w:fldCharType="end"/>
            </w:r>
            <w:r>
              <w:rPr>
                <w:rFonts w:hint="default"/>
              </w:rPr>
              <w:t>》（GB12523-2011）。</w:t>
            </w:r>
            <w:r>
              <w:rPr>
                <w:rFonts w:hint="default"/>
                <w:lang w:val="en-US" w:eastAsia="zh-CN"/>
              </w:rPr>
              <w:t>本项目设备安装在室内，并且工期短，</w:t>
            </w:r>
            <w:r>
              <w:rPr>
                <w:rFonts w:hint="default"/>
              </w:rPr>
              <w:t>为减轻施工噪声的环境影响建议采取的措施如下：</w:t>
            </w:r>
          </w:p>
          <w:p>
            <w:pPr>
              <w:pStyle w:val="22"/>
              <w:bidi w:val="0"/>
              <w:jc w:val="both"/>
              <w:rPr>
                <w:rFonts w:hint="default"/>
              </w:rPr>
            </w:pPr>
            <w:r>
              <w:rPr>
                <w:rFonts w:hint="default"/>
              </w:rPr>
              <w:t>（1）</w:t>
            </w:r>
            <w:r>
              <w:rPr>
                <w:rFonts w:hint="eastAsia"/>
                <w:lang w:eastAsia="zh-CN"/>
              </w:rPr>
              <w:t>制定</w:t>
            </w:r>
            <w:r>
              <w:rPr>
                <w:rFonts w:hint="default"/>
              </w:rPr>
              <w:t>施工计划时应避免同时使用大量高噪声设备施工；</w:t>
            </w:r>
          </w:p>
          <w:p>
            <w:pPr>
              <w:pStyle w:val="22"/>
              <w:bidi w:val="0"/>
              <w:jc w:val="both"/>
              <w:rPr>
                <w:rFonts w:hint="default"/>
              </w:rPr>
            </w:pPr>
            <w:r>
              <w:rPr>
                <w:rFonts w:hint="default"/>
              </w:rPr>
              <w:t>（2）尽量将强噪声设备（如电锯等）安装在</w:t>
            </w:r>
            <w:r>
              <w:rPr>
                <w:rFonts w:hint="default"/>
                <w:lang w:val="en-US" w:eastAsia="zh-CN"/>
              </w:rPr>
              <w:t>室内操作</w:t>
            </w:r>
            <w:r>
              <w:rPr>
                <w:rFonts w:hint="default"/>
              </w:rPr>
              <w:t>；</w:t>
            </w:r>
          </w:p>
          <w:p>
            <w:pPr>
              <w:pStyle w:val="22"/>
              <w:bidi w:val="0"/>
              <w:jc w:val="both"/>
              <w:rPr>
                <w:rFonts w:hint="default"/>
              </w:rPr>
            </w:pPr>
            <w:r>
              <w:rPr>
                <w:rFonts w:hint="default"/>
              </w:rPr>
              <w:t>（3）做好施工机械的维护和保养，有效降低机械设备运转的噪声源强；</w:t>
            </w:r>
          </w:p>
          <w:p>
            <w:pPr>
              <w:pStyle w:val="22"/>
              <w:bidi w:val="0"/>
              <w:jc w:val="both"/>
              <w:rPr>
                <w:lang w:val="en-US" w:eastAsia="zh-CN"/>
              </w:rPr>
            </w:pPr>
            <w:r>
              <w:rPr>
                <w:rFonts w:hint="default"/>
                <w:lang w:val="en-US" w:eastAsia="zh-CN"/>
              </w:rPr>
              <w:t>（4）合理安排强噪声施工机械的工作频次，合理调配车辆来往行车密度。</w:t>
            </w:r>
          </w:p>
          <w:p>
            <w:pPr>
              <w:pStyle w:val="6"/>
              <w:bidi w:val="0"/>
              <w:jc w:val="both"/>
              <w:rPr>
                <w:rFonts w:hint="default"/>
                <w:lang w:val="en-US" w:eastAsia="zh-CN"/>
              </w:rPr>
            </w:pPr>
            <w:r>
              <w:rPr>
                <w:rFonts w:hint="eastAsia"/>
                <w:lang w:val="en-US" w:eastAsia="zh-CN"/>
              </w:rPr>
              <w:t xml:space="preserve">4. </w:t>
            </w:r>
            <w:r>
              <w:rPr>
                <w:rFonts w:hint="eastAsia"/>
              </w:rPr>
              <w:t>固体废物</w:t>
            </w:r>
            <w:r>
              <w:rPr>
                <w:rFonts w:hint="eastAsia"/>
                <w:lang w:val="en-US" w:eastAsia="zh-CN"/>
              </w:rPr>
              <w:t>污染及防治措施</w:t>
            </w:r>
          </w:p>
          <w:p>
            <w:pPr>
              <w:pStyle w:val="22"/>
              <w:bidi w:val="0"/>
              <w:jc w:val="both"/>
            </w:pPr>
            <w:r>
              <w:rPr>
                <w:rFonts w:hint="default"/>
              </w:rPr>
              <w:t>施工期的固体废物主要</w:t>
            </w:r>
            <w:r>
              <w:rPr>
                <w:rFonts w:hint="eastAsia"/>
                <w:lang w:val="en-US" w:eastAsia="zh-CN"/>
              </w:rPr>
              <w:t>为</w:t>
            </w:r>
            <w:r>
              <w:rPr>
                <w:rFonts w:hint="default"/>
              </w:rPr>
              <w:t>施工人员的生活垃圾</w:t>
            </w:r>
            <w:r>
              <w:rPr>
                <w:rFonts w:hint="eastAsia"/>
                <w:lang w:val="en-US" w:eastAsia="zh-CN"/>
              </w:rPr>
              <w:t>及包装材料</w:t>
            </w:r>
            <w:r>
              <w:rPr>
                <w:rFonts w:hint="default"/>
              </w:rPr>
              <w:t>，施工期间及时收集、清理和转运，不会对当地环境产生明显影响。</w:t>
            </w:r>
          </w:p>
        </w:tc>
      </w:tr>
    </w:tbl>
    <w:p>
      <w:pPr>
        <w:adjustRightInd w:val="0"/>
        <w:snapToGrid w:val="0"/>
        <w:jc w:val="center"/>
        <w:rPr>
          <w:rFonts w:hint="eastAsia" w:ascii="宋体" w:hAnsi="宋体" w:cs="宋体"/>
          <w:bCs/>
          <w:szCs w:val="21"/>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7"/>
        <w:gridCol w:w="80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396" w:hRule="atLeast"/>
        </w:trPr>
        <w:tc>
          <w:tcPr>
            <w:tcW w:w="437" w:type="dxa"/>
            <w:tcBorders>
              <w:tl2br w:val="nil"/>
              <w:tr2bl w:val="nil"/>
            </w:tcBorders>
            <w:vAlign w:val="center"/>
          </w:tcPr>
          <w:p>
            <w:pPr>
              <w:adjustRightInd w:val="0"/>
              <w:snapToGrid w:val="0"/>
              <w:jc w:val="center"/>
              <w:rPr>
                <w:rFonts w:ascii="宋体" w:hAnsi="宋体" w:cs="宋体"/>
                <w:bCs/>
                <w:szCs w:val="21"/>
              </w:rPr>
            </w:pPr>
            <w:r>
              <w:rPr>
                <w:rFonts w:hint="eastAsia" w:ascii="宋体" w:hAnsi="宋体" w:cs="宋体"/>
                <w:bCs/>
                <w:szCs w:val="21"/>
              </w:rPr>
              <w:t>运营</w:t>
            </w:r>
          </w:p>
          <w:p>
            <w:pPr>
              <w:adjustRightInd w:val="0"/>
              <w:snapToGrid w:val="0"/>
              <w:jc w:val="center"/>
              <w:rPr>
                <w:rFonts w:ascii="宋体" w:hAnsi="宋体" w:cs="宋体"/>
                <w:bCs/>
                <w:szCs w:val="21"/>
              </w:rPr>
            </w:pPr>
            <w:r>
              <w:rPr>
                <w:rFonts w:hint="eastAsia" w:ascii="宋体" w:hAnsi="宋体" w:cs="宋体"/>
                <w:bCs/>
                <w:szCs w:val="21"/>
              </w:rPr>
              <w:t>期环</w:t>
            </w:r>
          </w:p>
          <w:p>
            <w:pPr>
              <w:adjustRightInd w:val="0"/>
              <w:snapToGrid w:val="0"/>
              <w:jc w:val="center"/>
              <w:rPr>
                <w:rFonts w:ascii="宋体" w:hAnsi="宋体" w:cs="宋体"/>
                <w:bCs/>
                <w:szCs w:val="21"/>
              </w:rPr>
            </w:pPr>
            <w:r>
              <w:rPr>
                <w:rFonts w:hint="eastAsia" w:ascii="宋体" w:hAnsi="宋体" w:cs="宋体"/>
                <w:bCs/>
                <w:szCs w:val="21"/>
              </w:rPr>
              <w:t>境影</w:t>
            </w:r>
          </w:p>
          <w:p>
            <w:pPr>
              <w:adjustRightInd w:val="0"/>
              <w:snapToGrid w:val="0"/>
              <w:jc w:val="center"/>
              <w:rPr>
                <w:rFonts w:ascii="宋体" w:hAnsi="宋体" w:cs="宋体"/>
                <w:bCs/>
                <w:szCs w:val="21"/>
              </w:rPr>
            </w:pPr>
            <w:r>
              <w:rPr>
                <w:rFonts w:hint="eastAsia" w:ascii="宋体" w:hAnsi="宋体" w:cs="宋体"/>
                <w:bCs/>
                <w:szCs w:val="21"/>
              </w:rPr>
              <w:t>响和</w:t>
            </w:r>
          </w:p>
          <w:p>
            <w:pPr>
              <w:adjustRightInd w:val="0"/>
              <w:snapToGrid w:val="0"/>
              <w:jc w:val="center"/>
              <w:rPr>
                <w:rFonts w:ascii="宋体" w:hAnsi="宋体" w:cs="宋体"/>
                <w:bCs/>
                <w:szCs w:val="21"/>
              </w:rPr>
            </w:pPr>
            <w:r>
              <w:rPr>
                <w:rFonts w:hint="eastAsia" w:ascii="宋体" w:hAnsi="宋体" w:cs="宋体"/>
                <w:bCs/>
                <w:szCs w:val="21"/>
              </w:rPr>
              <w:t>保护</w:t>
            </w:r>
          </w:p>
          <w:p>
            <w:pPr>
              <w:jc w:val="center"/>
            </w:pPr>
            <w:r>
              <w:rPr>
                <w:rFonts w:hint="eastAsia"/>
              </w:rPr>
              <w:t>措施</w:t>
            </w:r>
          </w:p>
        </w:tc>
        <w:tc>
          <w:tcPr>
            <w:tcW w:w="8085" w:type="dxa"/>
            <w:tcBorders>
              <w:tl2br w:val="nil"/>
              <w:tr2bl w:val="nil"/>
            </w:tcBorders>
          </w:tcPr>
          <w:p>
            <w:pPr>
              <w:pStyle w:val="6"/>
              <w:numPr>
                <w:ilvl w:val="0"/>
                <w:numId w:val="14"/>
              </w:numPr>
              <w:jc w:val="both"/>
              <w:outlineLvl w:val="1"/>
            </w:pPr>
            <w:r>
              <w:rPr>
                <w:rFonts w:hint="eastAsia"/>
              </w:rPr>
              <w:t>废水环境影响和保护措施</w:t>
            </w:r>
          </w:p>
          <w:p>
            <w:pPr>
              <w:pStyle w:val="7"/>
              <w:bidi w:val="0"/>
              <w:jc w:val="both"/>
              <w:rPr>
                <w:rFonts w:hint="default"/>
                <w:lang w:val="en-US" w:eastAsia="zh-CN"/>
              </w:rPr>
            </w:pPr>
            <w:r>
              <w:rPr>
                <w:rFonts w:hint="eastAsia"/>
                <w:lang w:val="en-US" w:eastAsia="zh-CN"/>
              </w:rPr>
              <w:t>1.1废水</w:t>
            </w:r>
          </w:p>
          <w:p>
            <w:pPr>
              <w:pStyle w:val="22"/>
              <w:bidi w:val="0"/>
              <w:jc w:val="both"/>
              <w:rPr>
                <w:rFonts w:hint="eastAsia" w:eastAsia="宋体"/>
                <w:lang w:val="en-US" w:eastAsia="zh-CN"/>
              </w:rPr>
            </w:pPr>
            <w:r>
              <w:rPr>
                <w:rFonts w:hint="eastAsia"/>
                <w:lang w:val="en-US" w:eastAsia="zh-CN"/>
              </w:rPr>
              <w:t>本项目区不设置食堂及宿舍，无生活污水产生，生产废水主要为洗涤废水、</w:t>
            </w:r>
            <w:r>
              <w:rPr>
                <w:rFonts w:hint="default" w:ascii="Times New Roman" w:hAnsi="Times New Roman" w:cs="Times New Roman"/>
                <w:color w:val="auto"/>
                <w:sz w:val="24"/>
                <w:szCs w:val="32"/>
                <w:lang w:val="en-US" w:eastAsia="zh-CN"/>
              </w:rPr>
              <w:t>锅炉排污水和软化水处理废水</w:t>
            </w:r>
            <w:r>
              <w:rPr>
                <w:rFonts w:hint="eastAsia" w:cs="Times New Roman"/>
                <w:color w:val="auto"/>
                <w:sz w:val="24"/>
                <w:szCs w:val="32"/>
                <w:lang w:val="en-US" w:eastAsia="zh-CN"/>
              </w:rPr>
              <w:t>，蒸汽用水全部蒸发损耗</w:t>
            </w:r>
            <w:r>
              <w:rPr>
                <w:rFonts w:hint="eastAsia" w:cs="Times New Roman"/>
                <w:color w:val="000000"/>
                <w:sz w:val="24"/>
                <w:szCs w:val="32"/>
                <w:lang w:eastAsia="zh-CN"/>
              </w:rPr>
              <w:t>。</w:t>
            </w:r>
          </w:p>
          <w:p>
            <w:pPr>
              <w:pStyle w:val="22"/>
              <w:numPr>
                <w:ilvl w:val="0"/>
                <w:numId w:val="0"/>
              </w:numPr>
              <w:bidi w:val="0"/>
              <w:ind w:leftChars="200"/>
              <w:jc w:val="both"/>
              <w:rPr>
                <w:rFonts w:hint="eastAsia" w:eastAsia="宋体"/>
                <w:color w:val="auto"/>
                <w:lang w:val="en-US" w:eastAsia="zh-CN"/>
              </w:rPr>
            </w:pPr>
            <w:r>
              <w:rPr>
                <w:rFonts w:hint="eastAsia"/>
                <w:color w:val="auto"/>
                <w:lang w:val="en-US" w:eastAsia="zh-CN"/>
              </w:rPr>
              <w:t>（1）洗涤废水</w:t>
            </w:r>
          </w:p>
          <w:p>
            <w:pPr>
              <w:pStyle w:val="22"/>
              <w:bidi w:val="0"/>
              <w:jc w:val="both"/>
              <w:rPr>
                <w:rFonts w:hint="eastAsia" w:cs="Times New Roman"/>
                <w:color w:val="auto"/>
                <w:sz w:val="24"/>
                <w:szCs w:val="32"/>
                <w:lang w:val="en-US" w:eastAsia="zh-CN"/>
              </w:rPr>
            </w:pPr>
            <w:r>
              <w:rPr>
                <w:rFonts w:hint="default"/>
                <w:lang w:val="en-US" w:eastAsia="zh-CN"/>
              </w:rPr>
              <w:t>根据洗涤过程，项目产生的洗涤废水排放量按照用水量的80%进行算</w:t>
            </w:r>
            <w:r>
              <w:rPr>
                <w:rFonts w:hint="eastAsia"/>
                <w:lang w:val="en-US" w:eastAsia="zh-CN"/>
              </w:rPr>
              <w:t>，</w:t>
            </w:r>
            <w:r>
              <w:rPr>
                <w:rFonts w:hint="default" w:ascii="Times New Roman" w:hAnsi="Times New Roman" w:cs="Times New Roman"/>
                <w:color w:val="auto"/>
                <w:sz w:val="24"/>
                <w:szCs w:val="32"/>
              </w:rPr>
              <w:t>本项目洗涤用水量</w:t>
            </w:r>
            <w:r>
              <w:rPr>
                <w:rFonts w:hint="eastAsia" w:cs="Times New Roman"/>
                <w:color w:val="auto"/>
                <w:sz w:val="24"/>
                <w:szCs w:val="32"/>
                <w:lang w:val="en-US" w:eastAsia="zh-CN"/>
              </w:rPr>
              <w:t>219</w:t>
            </w:r>
            <w:r>
              <w:rPr>
                <w:rFonts w:hint="default" w:ascii="Times New Roman" w:hAnsi="Times New Roman" w:cs="Times New Roman"/>
                <w:color w:val="auto"/>
                <w:sz w:val="24"/>
                <w:szCs w:val="32"/>
              </w:rPr>
              <w:t>t/d</w:t>
            </w:r>
            <w:r>
              <w:rPr>
                <w:rFonts w:hint="eastAsia" w:cs="Times New Roman"/>
                <w:color w:val="auto"/>
                <w:sz w:val="24"/>
                <w:szCs w:val="32"/>
                <w:lang w:eastAsia="zh-CN"/>
              </w:rPr>
              <w:t>（</w:t>
            </w:r>
            <w:r>
              <w:rPr>
                <w:rFonts w:hint="eastAsia" w:cs="Times New Roman"/>
                <w:color w:val="auto"/>
                <w:sz w:val="24"/>
                <w:szCs w:val="32"/>
                <w:lang w:val="en-US" w:eastAsia="zh-CN"/>
              </w:rPr>
              <w:t>65700</w:t>
            </w:r>
            <w:r>
              <w:rPr>
                <w:rFonts w:hint="default" w:ascii="Times New Roman" w:hAnsi="Times New Roman" w:cs="Times New Roman"/>
                <w:color w:val="auto"/>
                <w:sz w:val="24"/>
                <w:szCs w:val="32"/>
              </w:rPr>
              <w:t>t/a</w:t>
            </w:r>
            <w:r>
              <w:rPr>
                <w:rFonts w:hint="eastAsia" w:cs="Times New Roman"/>
                <w:color w:val="auto"/>
                <w:sz w:val="24"/>
                <w:szCs w:val="32"/>
                <w:lang w:eastAsia="zh-CN"/>
              </w:rPr>
              <w:t>），</w:t>
            </w:r>
            <w:r>
              <w:rPr>
                <w:rFonts w:hint="default"/>
                <w:lang w:val="en-US" w:eastAsia="zh-CN"/>
              </w:rPr>
              <w:t>则项目产生的洗涤废水约</w:t>
            </w:r>
            <w:r>
              <w:rPr>
                <w:rFonts w:hint="eastAsia"/>
                <w:lang w:val="en-US" w:eastAsia="zh-CN"/>
              </w:rPr>
              <w:t>175.2</w:t>
            </w:r>
            <w:r>
              <w:rPr>
                <w:rFonts w:hint="eastAsia" w:ascii="Times New Roman" w:hAnsi="Times New Roman" w:cs="Times New Roman"/>
                <w:color w:val="auto"/>
                <w:sz w:val="24"/>
                <w:szCs w:val="32"/>
                <w:lang w:val="en-US" w:eastAsia="zh-CN"/>
              </w:rPr>
              <w:t>m</w:t>
            </w:r>
            <w:r>
              <w:rPr>
                <w:rFonts w:hint="eastAsia" w:ascii="Times New Roman" w:hAnsi="Times New Roman" w:cs="Times New Roman"/>
                <w:color w:val="auto"/>
                <w:sz w:val="24"/>
                <w:szCs w:val="32"/>
                <w:vertAlign w:val="superscript"/>
                <w:lang w:val="en-US" w:eastAsia="zh-CN"/>
              </w:rPr>
              <w:t>3</w:t>
            </w:r>
            <w:r>
              <w:rPr>
                <w:rFonts w:hint="eastAsia" w:ascii="Times New Roman" w:hAnsi="Times New Roman" w:cs="Times New Roman"/>
                <w:color w:val="auto"/>
                <w:sz w:val="24"/>
                <w:szCs w:val="32"/>
                <w:lang w:val="en-US" w:eastAsia="zh-CN"/>
              </w:rPr>
              <w:t>/</w:t>
            </w:r>
            <w:r>
              <w:rPr>
                <w:rFonts w:hint="eastAsia" w:cs="Times New Roman"/>
                <w:color w:val="auto"/>
                <w:sz w:val="24"/>
                <w:szCs w:val="32"/>
                <w:lang w:val="en-US" w:eastAsia="zh-CN"/>
              </w:rPr>
              <w:t>d</w:t>
            </w:r>
            <w:r>
              <w:rPr>
                <w:rFonts w:hint="eastAsia" w:ascii="Times New Roman" w:hAnsi="Times New Roman" w:cs="Times New Roman"/>
                <w:color w:val="auto"/>
                <w:sz w:val="24"/>
                <w:szCs w:val="32"/>
                <w:lang w:val="en-US" w:eastAsia="zh-CN"/>
              </w:rPr>
              <w:t>（</w:t>
            </w:r>
            <w:r>
              <w:rPr>
                <w:rFonts w:hint="eastAsia"/>
                <w:lang w:val="en-US" w:eastAsia="zh-CN"/>
              </w:rPr>
              <w:t>52560</w:t>
            </w:r>
            <w:r>
              <w:rPr>
                <w:rFonts w:hint="eastAsia" w:ascii="Times New Roman" w:hAnsi="Times New Roman" w:cs="Times New Roman"/>
                <w:color w:val="auto"/>
                <w:sz w:val="24"/>
                <w:szCs w:val="32"/>
                <w:lang w:val="en-US" w:eastAsia="zh-CN"/>
              </w:rPr>
              <w:t>m</w:t>
            </w:r>
            <w:r>
              <w:rPr>
                <w:rFonts w:hint="eastAsia" w:ascii="Times New Roman" w:hAnsi="Times New Roman" w:cs="Times New Roman"/>
                <w:color w:val="auto"/>
                <w:sz w:val="24"/>
                <w:szCs w:val="32"/>
                <w:vertAlign w:val="superscript"/>
                <w:lang w:val="en-US" w:eastAsia="zh-CN"/>
              </w:rPr>
              <w:t>3</w:t>
            </w:r>
            <w:r>
              <w:rPr>
                <w:rFonts w:hint="eastAsia" w:ascii="Times New Roman" w:hAnsi="Times New Roman" w:cs="Times New Roman"/>
                <w:color w:val="auto"/>
                <w:sz w:val="24"/>
                <w:szCs w:val="32"/>
                <w:lang w:val="en-US" w:eastAsia="zh-CN"/>
              </w:rPr>
              <w:t>/a）</w:t>
            </w:r>
            <w:r>
              <w:rPr>
                <w:rFonts w:hint="eastAsia" w:cs="Times New Roman"/>
                <w:color w:val="auto"/>
                <w:sz w:val="24"/>
                <w:szCs w:val="32"/>
                <w:lang w:val="en-US" w:eastAsia="zh-CN"/>
              </w:rPr>
              <w:t>，洗涤废水水质产生浓度参照《洗衣废水处理工程实践》（朱建，王平，罗文年，工业水处理第29卷第5期）（2009年5月）可知，洗涤废水中主要污染物因子及产生浓度分别为：COD：668mg/L、BOD</w:t>
            </w:r>
            <w:r>
              <w:rPr>
                <w:rFonts w:hint="eastAsia" w:cs="Times New Roman"/>
                <w:color w:val="auto"/>
                <w:sz w:val="24"/>
                <w:szCs w:val="32"/>
                <w:vertAlign w:val="subscript"/>
                <w:lang w:val="en-US" w:eastAsia="zh-CN"/>
              </w:rPr>
              <w:t>5</w:t>
            </w:r>
            <w:r>
              <w:rPr>
                <w:rFonts w:hint="eastAsia" w:cs="Times New Roman"/>
                <w:color w:val="auto"/>
                <w:sz w:val="24"/>
                <w:szCs w:val="32"/>
                <w:lang w:val="en-US" w:eastAsia="zh-CN"/>
              </w:rPr>
              <w:t>：349mg/L、SS：445mg/L、氨氮：25mg/L、LAS：30mg/L。</w:t>
            </w:r>
          </w:p>
          <w:p>
            <w:pPr>
              <w:pStyle w:val="22"/>
              <w:bidi w:val="0"/>
              <w:jc w:val="both"/>
              <w:rPr>
                <w:rFonts w:hint="eastAsia" w:cs="Times New Roman"/>
                <w:color w:val="auto"/>
                <w:sz w:val="24"/>
                <w:szCs w:val="32"/>
                <w:lang w:val="en-US" w:eastAsia="zh-CN"/>
              </w:rPr>
            </w:pPr>
            <w:r>
              <w:rPr>
                <w:rFonts w:hint="eastAsia" w:cs="Times New Roman"/>
                <w:color w:val="auto"/>
                <w:sz w:val="24"/>
                <w:szCs w:val="32"/>
                <w:lang w:val="en-US" w:eastAsia="zh-CN"/>
              </w:rPr>
              <w:t>各污染物的产生排量详见表4-1。</w:t>
            </w:r>
          </w:p>
          <w:p>
            <w:pPr>
              <w:pStyle w:val="32"/>
              <w:bidi w:val="0"/>
              <w:rPr>
                <w:rFonts w:hint="eastAsia"/>
                <w:lang w:val="en-US" w:eastAsia="zh-CN"/>
              </w:rPr>
            </w:pPr>
            <w:r>
              <w:rPr>
                <w:rFonts w:hint="eastAsia"/>
                <w:lang w:val="en-US" w:eastAsia="zh-CN"/>
              </w:rPr>
              <w:t>表4-1项目洗涤废水水质及产排污情况</w:t>
            </w:r>
          </w:p>
          <w:tbl>
            <w:tblPr>
              <w:tblStyle w:val="27"/>
              <w:tblW w:w="786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54"/>
              <w:gridCol w:w="1083"/>
              <w:gridCol w:w="1083"/>
              <w:gridCol w:w="1083"/>
              <w:gridCol w:w="1083"/>
              <w:gridCol w:w="10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69" w:hRule="atLeast"/>
              </w:trPr>
              <w:tc>
                <w:tcPr>
                  <w:tcW w:w="2454" w:type="dxa"/>
                  <w:tcBorders>
                    <w:bottom w:val="single" w:color="auto" w:sz="12" w:space="0"/>
                  </w:tcBorders>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33"/>
                    <w:bidi w:val="0"/>
                    <mc:AlternateContent>
                      <mc:Choice Requires="wpsCustomData">
                        <wpsCustomData:diagonalParaType/>
                      </mc:Choice>
                    </mc:AlternateContent>
                    <w:rPr>
                      <w:rFonts w:hint="default"/>
                      <w:b/>
                      <w:bCs w:val="0"/>
                      <w:lang w:val="en-US" w:eastAsia="zh-CN"/>
                    </w:rPr>
                  </w:pPr>
                  <w:r>
                    <w:rPr>
                      <w:rFonts w:hint="eastAsia"/>
                      <w:b/>
                      <w:bCs w:val="0"/>
                      <w:lang w:val="en-US" w:eastAsia="zh-CN"/>
                    </w:rPr>
                    <w:t>污 污染物名称</w:t>
                  </w:r>
                </w:p>
                <w:p>
                  <w:pPr>
                    <w:pStyle w:val="33"/>
                    <w:bidi w:val="0"/>
                    <w:rPr>
                      <w:rFonts w:hint="default"/>
                      <w:b/>
                      <w:bCs w:val="0"/>
                      <w:lang w:val="en-US" w:eastAsia="zh-CN"/>
                    </w:rPr>
                  </w:pPr>
                  <w:r>
                    <w:rPr>
                      <w:rFonts w:hint="eastAsia"/>
                      <w:b/>
                      <w:bCs w:val="0"/>
                      <w:lang w:val="en-US" w:eastAsia="zh-CN"/>
                    </w:rPr>
                    <w:t>浓度及产生量</w:t>
                  </w:r>
                </w:p>
              </w:tc>
              <w:tc>
                <w:tcPr>
                  <w:tcW w:w="1083" w:type="dxa"/>
                  <w:tcBorders>
                    <w:bottom w:val="single" w:color="auto" w:sz="12" w:space="0"/>
                  </w:tcBorders>
                  <w:vAlign w:val="center"/>
                </w:tcPr>
                <w:p>
                  <w:pPr>
                    <w:pStyle w:val="33"/>
                    <w:bidi w:val="0"/>
                    <w:rPr>
                      <w:rFonts w:hint="default"/>
                      <w:b/>
                      <w:bCs w:val="0"/>
                      <w:lang w:val="en-US" w:eastAsia="zh-CN"/>
                    </w:rPr>
                  </w:pPr>
                  <w:r>
                    <w:rPr>
                      <w:rFonts w:hint="eastAsia"/>
                      <w:b/>
                      <w:bCs w:val="0"/>
                      <w:lang w:val="en-US" w:eastAsia="zh-CN"/>
                    </w:rPr>
                    <w:t>COD</w:t>
                  </w:r>
                </w:p>
              </w:tc>
              <w:tc>
                <w:tcPr>
                  <w:tcW w:w="1083" w:type="dxa"/>
                  <w:tcBorders>
                    <w:bottom w:val="single" w:color="auto" w:sz="12" w:space="0"/>
                  </w:tcBorders>
                  <w:vAlign w:val="center"/>
                </w:tcPr>
                <w:p>
                  <w:pPr>
                    <w:pStyle w:val="33"/>
                    <w:bidi w:val="0"/>
                    <w:rPr>
                      <w:rFonts w:hint="default"/>
                      <w:b/>
                      <w:bCs w:val="0"/>
                      <w:lang w:val="en-US" w:eastAsia="zh-CN"/>
                    </w:rPr>
                  </w:pPr>
                  <w:r>
                    <w:rPr>
                      <w:rFonts w:hint="eastAsia"/>
                      <w:b/>
                      <w:bCs w:val="0"/>
                      <w:lang w:val="en-US" w:eastAsia="zh-CN"/>
                    </w:rPr>
                    <w:t>BOD</w:t>
                  </w:r>
                  <w:r>
                    <w:rPr>
                      <w:rFonts w:hint="eastAsia"/>
                      <w:b/>
                      <w:bCs w:val="0"/>
                      <w:vertAlign w:val="subscript"/>
                      <w:lang w:val="en-US" w:eastAsia="zh-CN"/>
                    </w:rPr>
                    <w:t>5</w:t>
                  </w:r>
                </w:p>
              </w:tc>
              <w:tc>
                <w:tcPr>
                  <w:tcW w:w="1083" w:type="dxa"/>
                  <w:tcBorders>
                    <w:bottom w:val="single" w:color="auto" w:sz="12" w:space="0"/>
                  </w:tcBorders>
                  <w:vAlign w:val="center"/>
                </w:tcPr>
                <w:p>
                  <w:pPr>
                    <w:pStyle w:val="33"/>
                    <w:bidi w:val="0"/>
                    <w:rPr>
                      <w:rFonts w:hint="default"/>
                      <w:b/>
                      <w:bCs w:val="0"/>
                      <w:lang w:val="en-US" w:eastAsia="zh-CN"/>
                    </w:rPr>
                  </w:pPr>
                  <w:r>
                    <w:rPr>
                      <w:rFonts w:hint="eastAsia"/>
                      <w:b/>
                      <w:bCs w:val="0"/>
                      <w:lang w:val="en-US" w:eastAsia="zh-CN"/>
                    </w:rPr>
                    <w:t>SS</w:t>
                  </w:r>
                </w:p>
              </w:tc>
              <w:tc>
                <w:tcPr>
                  <w:tcW w:w="1083" w:type="dxa"/>
                  <w:tcBorders>
                    <w:bottom w:val="single" w:color="auto" w:sz="12" w:space="0"/>
                  </w:tcBorders>
                  <w:vAlign w:val="center"/>
                </w:tcPr>
                <w:p>
                  <w:pPr>
                    <w:pStyle w:val="33"/>
                    <w:bidi w:val="0"/>
                    <w:rPr>
                      <w:rFonts w:hint="default"/>
                      <w:b/>
                      <w:bCs w:val="0"/>
                      <w:lang w:val="en-US" w:eastAsia="zh-CN"/>
                    </w:rPr>
                  </w:pPr>
                  <w:r>
                    <w:rPr>
                      <w:rFonts w:hint="eastAsia"/>
                      <w:b/>
                      <w:bCs w:val="0"/>
                      <w:lang w:val="en-US" w:eastAsia="zh-CN"/>
                    </w:rPr>
                    <w:t>氨氮</w:t>
                  </w:r>
                </w:p>
              </w:tc>
              <w:tc>
                <w:tcPr>
                  <w:tcW w:w="1083" w:type="dxa"/>
                  <w:tcBorders>
                    <w:bottom w:val="single" w:color="auto" w:sz="12" w:space="0"/>
                  </w:tcBorders>
                  <w:vAlign w:val="center"/>
                </w:tcPr>
                <w:p>
                  <w:pPr>
                    <w:pStyle w:val="33"/>
                    <w:bidi w:val="0"/>
                    <w:rPr>
                      <w:rFonts w:hint="default"/>
                      <w:b/>
                      <w:bCs w:val="0"/>
                      <w:lang w:val="en-US" w:eastAsia="zh-CN"/>
                    </w:rPr>
                  </w:pPr>
                  <w:r>
                    <w:rPr>
                      <w:rFonts w:hint="eastAsia"/>
                      <w:b/>
                      <w:bCs w:val="0"/>
                      <w:lang w:val="en-US" w:eastAsia="zh-CN"/>
                    </w:rPr>
                    <w:t>LAS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54" w:type="dxa"/>
                  <w:tcBorders>
                    <w:top w:val="single" w:color="auto" w:sz="12" w:space="0"/>
                    <w:tl2br w:val="nil"/>
                    <w:tr2bl w:val="nil"/>
                  </w:tcBorders>
                  <w:vAlign w:val="center"/>
                </w:tcPr>
                <w:p>
                  <w:pPr>
                    <w:pStyle w:val="33"/>
                    <w:bidi w:val="0"/>
                    <w:rPr>
                      <w:rFonts w:hint="default"/>
                      <w:lang w:val="en-US" w:eastAsia="zh-CN"/>
                    </w:rPr>
                  </w:pPr>
                  <w:r>
                    <w:rPr>
                      <w:rFonts w:hint="default"/>
                      <w:lang w:val="en-US" w:eastAsia="zh-CN"/>
                    </w:rPr>
                    <w:t>污染物浓度平均值（mg/L）</w:t>
                  </w:r>
                </w:p>
              </w:tc>
              <w:tc>
                <w:tcPr>
                  <w:tcW w:w="1083" w:type="dxa"/>
                  <w:tcBorders>
                    <w:top w:val="single" w:color="auto" w:sz="12" w:space="0"/>
                    <w:tl2br w:val="nil"/>
                    <w:tr2bl w:val="nil"/>
                  </w:tcBorders>
                  <w:vAlign w:val="center"/>
                </w:tcPr>
                <w:p>
                  <w:pPr>
                    <w:pStyle w:val="33"/>
                    <w:bidi w:val="0"/>
                    <w:rPr>
                      <w:rFonts w:hint="default"/>
                      <w:lang w:val="en-US" w:eastAsia="zh-CN"/>
                    </w:rPr>
                  </w:pPr>
                  <w:r>
                    <w:rPr>
                      <w:rFonts w:hint="eastAsia"/>
                      <w:lang w:val="en-US" w:eastAsia="zh-CN"/>
                    </w:rPr>
                    <w:t>668</w:t>
                  </w:r>
                </w:p>
              </w:tc>
              <w:tc>
                <w:tcPr>
                  <w:tcW w:w="1083" w:type="dxa"/>
                  <w:tcBorders>
                    <w:top w:val="single" w:color="auto" w:sz="12" w:space="0"/>
                    <w:tl2br w:val="nil"/>
                    <w:tr2bl w:val="nil"/>
                  </w:tcBorders>
                  <w:vAlign w:val="center"/>
                </w:tcPr>
                <w:p>
                  <w:pPr>
                    <w:pStyle w:val="33"/>
                    <w:bidi w:val="0"/>
                    <w:rPr>
                      <w:rFonts w:hint="default"/>
                      <w:lang w:val="en-US" w:eastAsia="zh-CN"/>
                    </w:rPr>
                  </w:pPr>
                  <w:r>
                    <w:rPr>
                      <w:rFonts w:hint="eastAsia"/>
                      <w:lang w:val="en-US" w:eastAsia="zh-CN"/>
                    </w:rPr>
                    <w:t>349</w:t>
                  </w:r>
                </w:p>
              </w:tc>
              <w:tc>
                <w:tcPr>
                  <w:tcW w:w="1083" w:type="dxa"/>
                  <w:tcBorders>
                    <w:top w:val="single" w:color="auto" w:sz="12" w:space="0"/>
                    <w:tl2br w:val="nil"/>
                    <w:tr2bl w:val="nil"/>
                  </w:tcBorders>
                  <w:vAlign w:val="center"/>
                </w:tcPr>
                <w:p>
                  <w:pPr>
                    <w:pStyle w:val="33"/>
                    <w:bidi w:val="0"/>
                    <w:rPr>
                      <w:rFonts w:hint="default"/>
                      <w:lang w:val="en-US" w:eastAsia="zh-CN"/>
                    </w:rPr>
                  </w:pPr>
                  <w:r>
                    <w:rPr>
                      <w:rFonts w:hint="eastAsia"/>
                      <w:lang w:val="en-US" w:eastAsia="zh-CN"/>
                    </w:rPr>
                    <w:t>445</w:t>
                  </w:r>
                </w:p>
              </w:tc>
              <w:tc>
                <w:tcPr>
                  <w:tcW w:w="1083" w:type="dxa"/>
                  <w:tcBorders>
                    <w:top w:val="single" w:color="auto" w:sz="12" w:space="0"/>
                    <w:tl2br w:val="nil"/>
                    <w:tr2bl w:val="nil"/>
                  </w:tcBorders>
                  <w:vAlign w:val="center"/>
                </w:tcPr>
                <w:p>
                  <w:pPr>
                    <w:pStyle w:val="33"/>
                    <w:bidi w:val="0"/>
                    <w:rPr>
                      <w:rFonts w:hint="default"/>
                      <w:lang w:val="en-US" w:eastAsia="zh-CN"/>
                    </w:rPr>
                  </w:pPr>
                  <w:r>
                    <w:rPr>
                      <w:rFonts w:hint="eastAsia"/>
                      <w:lang w:val="en-US" w:eastAsia="zh-CN"/>
                    </w:rPr>
                    <w:t>25</w:t>
                  </w:r>
                </w:p>
              </w:tc>
              <w:tc>
                <w:tcPr>
                  <w:tcW w:w="1083" w:type="dxa"/>
                  <w:tcBorders>
                    <w:top w:val="single" w:color="auto" w:sz="12" w:space="0"/>
                    <w:tl2br w:val="nil"/>
                    <w:tr2bl w:val="nil"/>
                  </w:tcBorders>
                  <w:vAlign w:val="center"/>
                </w:tcPr>
                <w:p>
                  <w:pPr>
                    <w:pStyle w:val="33"/>
                    <w:bidi w:val="0"/>
                    <w:rPr>
                      <w:rFonts w:hint="default"/>
                      <w:lang w:val="en-US" w:eastAsia="zh-CN"/>
                    </w:rPr>
                  </w:pPr>
                  <w:r>
                    <w:rPr>
                      <w:rFonts w:hint="eastAsia"/>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54" w:type="dxa"/>
                  <w:tcBorders>
                    <w:tl2br w:val="nil"/>
                    <w:tr2bl w:val="nil"/>
                  </w:tcBorders>
                  <w:vAlign w:val="center"/>
                </w:tcPr>
                <w:p>
                  <w:pPr>
                    <w:pStyle w:val="33"/>
                    <w:bidi w:val="0"/>
                    <w:rPr>
                      <w:rFonts w:hint="default"/>
                      <w:lang w:val="en-US" w:eastAsia="zh-CN"/>
                    </w:rPr>
                  </w:pPr>
                  <w:r>
                    <w:rPr>
                      <w:rFonts w:hint="default"/>
                      <w:lang w:val="en-US" w:eastAsia="zh-CN"/>
                    </w:rPr>
                    <w:t>污染物产生量（t/a）</w:t>
                  </w:r>
                </w:p>
              </w:tc>
              <w:tc>
                <w:tcPr>
                  <w:tcW w:w="1083" w:type="dxa"/>
                  <w:tcBorders>
                    <w:tl2br w:val="nil"/>
                    <w:tr2bl w:val="nil"/>
                  </w:tcBorders>
                  <w:vAlign w:val="center"/>
                </w:tcPr>
                <w:p>
                  <w:pPr>
                    <w:pStyle w:val="33"/>
                    <w:bidi w:val="0"/>
                    <w:rPr>
                      <w:rFonts w:hint="default"/>
                      <w:lang w:val="en-US" w:eastAsia="zh-CN"/>
                    </w:rPr>
                  </w:pPr>
                  <w:r>
                    <w:rPr>
                      <w:rFonts w:hint="eastAsia"/>
                      <w:lang w:val="en-US" w:eastAsia="zh-CN"/>
                    </w:rPr>
                    <w:t>35.11</w:t>
                  </w:r>
                </w:p>
              </w:tc>
              <w:tc>
                <w:tcPr>
                  <w:tcW w:w="1083" w:type="dxa"/>
                  <w:tcBorders>
                    <w:tl2br w:val="nil"/>
                    <w:tr2bl w:val="nil"/>
                  </w:tcBorders>
                  <w:vAlign w:val="center"/>
                </w:tcPr>
                <w:p>
                  <w:pPr>
                    <w:pStyle w:val="33"/>
                    <w:bidi w:val="0"/>
                    <w:rPr>
                      <w:rFonts w:hint="default"/>
                      <w:lang w:val="en-US" w:eastAsia="zh-CN"/>
                    </w:rPr>
                  </w:pPr>
                  <w:r>
                    <w:rPr>
                      <w:rFonts w:hint="eastAsia"/>
                      <w:lang w:val="en-US" w:eastAsia="zh-CN"/>
                    </w:rPr>
                    <w:t>18.34</w:t>
                  </w:r>
                </w:p>
              </w:tc>
              <w:tc>
                <w:tcPr>
                  <w:tcW w:w="1083" w:type="dxa"/>
                  <w:tcBorders>
                    <w:tl2br w:val="nil"/>
                    <w:tr2bl w:val="nil"/>
                  </w:tcBorders>
                  <w:vAlign w:val="center"/>
                </w:tcPr>
                <w:p>
                  <w:pPr>
                    <w:pStyle w:val="33"/>
                    <w:bidi w:val="0"/>
                    <w:rPr>
                      <w:rFonts w:hint="default"/>
                      <w:lang w:val="en-US" w:eastAsia="zh-CN"/>
                    </w:rPr>
                  </w:pPr>
                  <w:r>
                    <w:rPr>
                      <w:rFonts w:hint="eastAsia"/>
                      <w:lang w:val="en-US" w:eastAsia="zh-CN"/>
                    </w:rPr>
                    <w:t>23.39</w:t>
                  </w:r>
                </w:p>
              </w:tc>
              <w:tc>
                <w:tcPr>
                  <w:tcW w:w="1083" w:type="dxa"/>
                  <w:tcBorders>
                    <w:tl2br w:val="nil"/>
                    <w:tr2bl w:val="nil"/>
                  </w:tcBorders>
                  <w:vAlign w:val="center"/>
                </w:tcPr>
                <w:p>
                  <w:pPr>
                    <w:pStyle w:val="33"/>
                    <w:bidi w:val="0"/>
                    <w:rPr>
                      <w:rFonts w:hint="default"/>
                      <w:lang w:val="en-US" w:eastAsia="zh-CN"/>
                    </w:rPr>
                  </w:pPr>
                  <w:r>
                    <w:rPr>
                      <w:rFonts w:hint="eastAsia"/>
                      <w:lang w:val="en-US" w:eastAsia="zh-CN"/>
                    </w:rPr>
                    <w:t>1.314</w:t>
                  </w:r>
                </w:p>
              </w:tc>
              <w:tc>
                <w:tcPr>
                  <w:tcW w:w="1083" w:type="dxa"/>
                  <w:tcBorders>
                    <w:tl2br w:val="nil"/>
                    <w:tr2bl w:val="nil"/>
                  </w:tcBorders>
                  <w:vAlign w:val="center"/>
                </w:tcPr>
                <w:p>
                  <w:pPr>
                    <w:pStyle w:val="33"/>
                    <w:bidi w:val="0"/>
                    <w:rPr>
                      <w:rFonts w:hint="default"/>
                      <w:lang w:val="en-US" w:eastAsia="zh-CN"/>
                    </w:rPr>
                  </w:pPr>
                  <w:r>
                    <w:rPr>
                      <w:rFonts w:hint="eastAsia"/>
                      <w:lang w:val="en-US" w:eastAsia="zh-CN"/>
                    </w:rPr>
                    <w:t>1.58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54" w:type="dxa"/>
                  <w:tcBorders>
                    <w:tl2br w:val="nil"/>
                    <w:tr2bl w:val="nil"/>
                  </w:tcBorders>
                  <w:vAlign w:val="center"/>
                </w:tcPr>
                <w:p>
                  <w:pPr>
                    <w:pStyle w:val="33"/>
                    <w:bidi w:val="0"/>
                    <w:rPr>
                      <w:rFonts w:hint="default"/>
                      <w:lang w:val="en-US" w:eastAsia="zh-CN"/>
                    </w:rPr>
                  </w:pPr>
                  <w:r>
                    <w:rPr>
                      <w:rFonts w:hint="eastAsia"/>
                      <w:lang w:val="en-US" w:eastAsia="zh-CN"/>
                    </w:rPr>
                    <w:t>处理措施</w:t>
                  </w:r>
                </w:p>
              </w:tc>
              <w:tc>
                <w:tcPr>
                  <w:tcW w:w="5415" w:type="dxa"/>
                  <w:gridSpan w:val="5"/>
                  <w:tcBorders>
                    <w:tl2br w:val="nil"/>
                    <w:tr2bl w:val="nil"/>
                  </w:tcBorders>
                  <w:vAlign w:val="center"/>
                </w:tcPr>
                <w:p>
                  <w:pPr>
                    <w:pStyle w:val="33"/>
                    <w:bidi w:val="0"/>
                    <w:rPr>
                      <w:rFonts w:hint="default"/>
                      <w:lang w:val="en-US" w:eastAsia="zh-CN"/>
                    </w:rPr>
                  </w:pPr>
                  <w:r>
                    <w:rPr>
                      <w:rFonts w:hint="eastAsia"/>
                      <w:lang w:val="en-US" w:eastAsia="zh-CN"/>
                    </w:rPr>
                    <w:t>污水处理站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54" w:type="dxa"/>
                  <w:tcBorders>
                    <w:tl2br w:val="nil"/>
                    <w:tr2bl w:val="nil"/>
                  </w:tcBorders>
                  <w:vAlign w:val="center"/>
                </w:tcPr>
                <w:p>
                  <w:pPr>
                    <w:pStyle w:val="33"/>
                    <w:bidi w:val="0"/>
                    <w:rPr>
                      <w:rFonts w:hint="default"/>
                      <w:lang w:val="en-US" w:eastAsia="zh-CN"/>
                    </w:rPr>
                  </w:pPr>
                  <w:r>
                    <w:rPr>
                      <w:rFonts w:hint="default"/>
                      <w:lang w:val="en-US" w:eastAsia="zh-CN"/>
                    </w:rPr>
                    <w:t>污染物</w:t>
                  </w:r>
                  <w:r>
                    <w:rPr>
                      <w:rFonts w:hint="eastAsia"/>
                      <w:lang w:val="en-US" w:eastAsia="zh-CN"/>
                    </w:rPr>
                    <w:t>排放</w:t>
                  </w:r>
                  <w:r>
                    <w:rPr>
                      <w:rFonts w:hint="default"/>
                      <w:lang w:val="en-US" w:eastAsia="zh-CN"/>
                    </w:rPr>
                    <w:t>量（t/a）</w:t>
                  </w:r>
                </w:p>
              </w:tc>
              <w:tc>
                <w:tcPr>
                  <w:tcW w:w="1083" w:type="dxa"/>
                  <w:tcBorders>
                    <w:tl2br w:val="nil"/>
                    <w:tr2bl w:val="nil"/>
                  </w:tcBorders>
                  <w:vAlign w:val="center"/>
                </w:tcPr>
                <w:p>
                  <w:pPr>
                    <w:pStyle w:val="33"/>
                    <w:bidi w:val="0"/>
                    <w:rPr>
                      <w:rFonts w:hint="default"/>
                      <w:lang w:val="en-US" w:eastAsia="zh-CN"/>
                    </w:rPr>
                  </w:pPr>
                  <w:r>
                    <w:rPr>
                      <w:rFonts w:hint="eastAsia"/>
                      <w:lang w:val="en-US" w:eastAsia="zh-CN"/>
                    </w:rPr>
                    <w:t>15.176</w:t>
                  </w:r>
                </w:p>
              </w:tc>
              <w:tc>
                <w:tcPr>
                  <w:tcW w:w="1083" w:type="dxa"/>
                  <w:tcBorders>
                    <w:tl2br w:val="nil"/>
                    <w:tr2bl w:val="nil"/>
                  </w:tcBorders>
                  <w:vAlign w:val="center"/>
                </w:tcPr>
                <w:p>
                  <w:pPr>
                    <w:pStyle w:val="33"/>
                    <w:bidi w:val="0"/>
                    <w:rPr>
                      <w:rFonts w:hint="default"/>
                      <w:lang w:val="en-US" w:eastAsia="zh-CN"/>
                    </w:rPr>
                  </w:pPr>
                  <w:r>
                    <w:rPr>
                      <w:rFonts w:hint="eastAsia"/>
                      <w:lang w:val="en-US" w:eastAsia="zh-CN"/>
                    </w:rPr>
                    <w:t>5.097</w:t>
                  </w:r>
                </w:p>
              </w:tc>
              <w:tc>
                <w:tcPr>
                  <w:tcW w:w="1083" w:type="dxa"/>
                  <w:tcBorders>
                    <w:tl2br w:val="nil"/>
                    <w:tr2bl w:val="nil"/>
                  </w:tcBorders>
                  <w:vAlign w:val="center"/>
                </w:tcPr>
                <w:p>
                  <w:pPr>
                    <w:pStyle w:val="33"/>
                    <w:bidi w:val="0"/>
                    <w:rPr>
                      <w:rFonts w:hint="default"/>
                      <w:lang w:val="en-US" w:eastAsia="zh-CN"/>
                    </w:rPr>
                  </w:pPr>
                  <w:r>
                    <w:rPr>
                      <w:rFonts w:hint="eastAsia"/>
                      <w:lang w:val="en-US" w:eastAsia="zh-CN"/>
                    </w:rPr>
                    <w:t>13.72</w:t>
                  </w:r>
                </w:p>
              </w:tc>
              <w:tc>
                <w:tcPr>
                  <w:tcW w:w="1083" w:type="dxa"/>
                  <w:tcBorders>
                    <w:tl2br w:val="nil"/>
                    <w:tr2bl w:val="nil"/>
                  </w:tcBorders>
                  <w:vAlign w:val="center"/>
                </w:tcPr>
                <w:p>
                  <w:pPr>
                    <w:pStyle w:val="33"/>
                    <w:bidi w:val="0"/>
                    <w:rPr>
                      <w:rFonts w:hint="default"/>
                      <w:lang w:val="en-US" w:eastAsia="zh-CN"/>
                    </w:rPr>
                  </w:pPr>
                  <w:r>
                    <w:rPr>
                      <w:rFonts w:hint="eastAsia"/>
                      <w:lang w:val="en-US" w:eastAsia="zh-CN"/>
                    </w:rPr>
                    <w:t>1.029</w:t>
                  </w:r>
                </w:p>
              </w:tc>
              <w:tc>
                <w:tcPr>
                  <w:tcW w:w="1083" w:type="dxa"/>
                  <w:tcBorders>
                    <w:tl2br w:val="nil"/>
                    <w:tr2bl w:val="nil"/>
                  </w:tcBorders>
                  <w:vAlign w:val="center"/>
                </w:tcPr>
                <w:p>
                  <w:pPr>
                    <w:pStyle w:val="33"/>
                    <w:bidi w:val="0"/>
                    <w:rPr>
                      <w:rFonts w:hint="default"/>
                      <w:lang w:val="en-US" w:eastAsia="zh-CN"/>
                    </w:rPr>
                  </w:pPr>
                  <w:r>
                    <w:rPr>
                      <w:rFonts w:hint="eastAsia"/>
                      <w:lang w:val="en-US" w:eastAsia="zh-CN"/>
                    </w:rPr>
                    <w:t>0.438</w:t>
                  </w:r>
                </w:p>
              </w:tc>
            </w:tr>
          </w:tbl>
          <w:p>
            <w:pPr>
              <w:pStyle w:val="22"/>
              <w:bidi w:val="0"/>
              <w:jc w:val="both"/>
            </w:pPr>
            <w:r>
              <w:rPr>
                <w:lang w:val="en-US" w:eastAsia="zh-CN"/>
              </w:rPr>
              <w:t>目前</w:t>
            </w:r>
            <w:r>
              <w:rPr>
                <w:rFonts w:hint="eastAsia"/>
                <w:lang w:val="en-US" w:eastAsia="zh-CN"/>
              </w:rPr>
              <w:t>吉木萨尔县第二污水处理厂</w:t>
            </w:r>
            <w:r>
              <w:rPr>
                <w:lang w:val="en-US" w:eastAsia="zh-CN"/>
              </w:rPr>
              <w:t>污水管网已经覆盖项目所在地，项目对</w:t>
            </w:r>
            <w:r>
              <w:rPr>
                <w:rFonts w:hint="default"/>
                <w:lang w:val="en-US" w:eastAsia="zh-CN"/>
              </w:rPr>
              <w:t>洗涤废水采取过滤十MBR生物膜</w:t>
            </w:r>
            <w:r>
              <w:rPr>
                <w:rFonts w:hint="eastAsia"/>
                <w:lang w:val="en-US" w:eastAsia="zh-CN"/>
              </w:rPr>
              <w:t>+消毒</w:t>
            </w:r>
            <w:r>
              <w:rPr>
                <w:rFonts w:hint="default"/>
                <w:lang w:val="en-US" w:eastAsia="zh-CN"/>
              </w:rPr>
              <w:t>工艺进行预处理，具体废水处理工艺流程详见下图：</w:t>
            </w:r>
          </w:p>
          <w:p>
            <w:pPr>
              <w:pStyle w:val="2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lang w:eastAsia="zh-CN"/>
              </w:rPr>
            </w:pPr>
            <w:r>
              <w:rPr>
                <w:rFonts w:hint="eastAsia" w:eastAsia="宋体"/>
                <w:lang w:eastAsia="zh-CN"/>
              </w:rPr>
              <w:drawing>
                <wp:inline distT="0" distB="0" distL="114300" distR="114300">
                  <wp:extent cx="4994275" cy="2159635"/>
                  <wp:effectExtent l="0" t="0" r="9525" b="12065"/>
                  <wp:docPr id="8" name="图片 8" descr="未命名文件(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未命名文件(8)"/>
                          <pic:cNvPicPr>
                            <a:picLocks noChangeAspect="1"/>
                          </pic:cNvPicPr>
                        </pic:nvPicPr>
                        <pic:blipFill>
                          <a:blip r:embed="rId19"/>
                          <a:stretch>
                            <a:fillRect/>
                          </a:stretch>
                        </pic:blipFill>
                        <pic:spPr>
                          <a:xfrm>
                            <a:off x="0" y="0"/>
                            <a:ext cx="4994275" cy="2159635"/>
                          </a:xfrm>
                          <a:prstGeom prst="rect">
                            <a:avLst/>
                          </a:prstGeom>
                        </pic:spPr>
                      </pic:pic>
                    </a:graphicData>
                  </a:graphic>
                </wp:inline>
              </w:drawing>
            </w:r>
          </w:p>
          <w:p>
            <w:pPr>
              <w:keepNext w:val="0"/>
              <w:keepLines w:val="0"/>
              <w:widowControl/>
              <w:suppressLineNumbers w:val="0"/>
              <w:jc w:val="center"/>
            </w:pPr>
            <w:r>
              <w:rPr>
                <w:rFonts w:hint="eastAsia"/>
                <w:lang w:val="en-US" w:eastAsia="zh-CN"/>
              </w:rPr>
              <w:t xml:space="preserve">图5   </w:t>
            </w:r>
            <w:r>
              <w:rPr>
                <w:rFonts w:ascii="CIDFont" w:hAnsi="CIDFont" w:eastAsia="CIDFont" w:cs="CIDFont"/>
                <w:b/>
                <w:bCs/>
                <w:color w:val="000000"/>
                <w:kern w:val="0"/>
                <w:sz w:val="24"/>
                <w:szCs w:val="24"/>
                <w:lang w:val="en-US" w:eastAsia="zh-CN" w:bidi="ar"/>
              </w:rPr>
              <w:t>洗涤废水处理工艺流程图</w:t>
            </w:r>
          </w:p>
          <w:p>
            <w:pPr>
              <w:pStyle w:val="22"/>
              <w:bidi w:val="0"/>
              <w:ind w:left="0" w:leftChars="0" w:firstLine="0" w:firstLineChars="0"/>
              <w:jc w:val="both"/>
              <w:rPr>
                <w:b/>
                <w:bCs/>
              </w:rPr>
            </w:pPr>
            <w:r>
              <w:rPr>
                <w:b/>
                <w:bCs/>
                <w:lang w:val="en-US" w:eastAsia="zh-CN"/>
              </w:rPr>
              <w:t>工艺流程说明：</w:t>
            </w:r>
          </w:p>
          <w:p>
            <w:pPr>
              <w:pStyle w:val="22"/>
              <w:bidi w:val="0"/>
              <w:jc w:val="both"/>
              <w:rPr>
                <w:rFonts w:hint="default"/>
              </w:rPr>
            </w:pPr>
            <w:r>
              <w:rPr>
                <w:rFonts w:hint="default"/>
              </w:rPr>
              <w:t>①格栅</w:t>
            </w:r>
          </w:p>
          <w:p>
            <w:pPr>
              <w:pStyle w:val="22"/>
              <w:bidi w:val="0"/>
              <w:jc w:val="both"/>
              <w:rPr>
                <w:rFonts w:hint="default"/>
              </w:rPr>
            </w:pPr>
            <w:r>
              <w:rPr>
                <w:rFonts w:hint="default"/>
              </w:rPr>
              <w:t>在洗涤污水进入调节池前设置一道格栅，用以去除洗涤污水中的软性缠绕物、较大固颗粒杂物及飘浮物，从而保护后续工作水泵使用寿命并降低系统处理工作负荷。格栅井设置砖混结构，格栅采用手动框式。</w:t>
            </w:r>
          </w:p>
          <w:p>
            <w:pPr>
              <w:pStyle w:val="22"/>
              <w:bidi w:val="0"/>
              <w:jc w:val="both"/>
              <w:rPr>
                <w:rFonts w:hint="default"/>
              </w:rPr>
            </w:pPr>
            <w:r>
              <w:rPr>
                <w:rFonts w:hint="default"/>
              </w:rPr>
              <w:t>②调节池</w:t>
            </w:r>
          </w:p>
          <w:p>
            <w:pPr>
              <w:pStyle w:val="22"/>
              <w:bidi w:val="0"/>
              <w:jc w:val="both"/>
              <w:rPr>
                <w:rFonts w:hint="default"/>
              </w:rPr>
            </w:pPr>
            <w:r>
              <w:rPr>
                <w:rFonts w:hint="default"/>
              </w:rPr>
              <w:t>调节池为污水汇集处，由于来自各时的水质、水量均不一样，因此为使处理系统连续稳定地运行，同时调节水量和均化水质，设计调节池，调节池的设计有效容积一般为平均处理量的4～12倍。调节池内设置潜污泵，液位控制，经均量，均质的污水提升至后级处理。池内设集水坑、爬梯，便于水泵工作及其维护。</w:t>
            </w:r>
          </w:p>
          <w:p>
            <w:pPr>
              <w:pStyle w:val="22"/>
              <w:bidi w:val="0"/>
              <w:jc w:val="both"/>
              <w:rPr>
                <w:rFonts w:hint="default"/>
              </w:rPr>
            </w:pPr>
            <w:r>
              <w:rPr>
                <w:rFonts w:hint="eastAsia"/>
                <w:lang w:val="en-US" w:eastAsia="zh-CN"/>
              </w:rPr>
              <w:t>③</w:t>
            </w:r>
            <w:r>
              <w:rPr>
                <w:rFonts w:hint="eastAsia"/>
                <w:lang w:eastAsia="zh-CN"/>
              </w:rPr>
              <w:t>厌氧</w:t>
            </w:r>
            <w:r>
              <w:rPr>
                <w:rFonts w:hint="default"/>
              </w:rPr>
              <w:t>池</w:t>
            </w:r>
          </w:p>
          <w:p>
            <w:pPr>
              <w:pStyle w:val="22"/>
              <w:bidi w:val="0"/>
              <w:jc w:val="both"/>
              <w:rPr>
                <w:rFonts w:hint="default"/>
              </w:rPr>
            </w:pPr>
            <w:r>
              <w:rPr>
                <w:rFonts w:hint="default"/>
              </w:rPr>
              <w:t>厌氧池内利用厌氧菌的作用，使有机物发生水解、酸化和甲烷化，去除废水中的有机物，并提高污水的可生化性，有利于后续的好氧处理。</w:t>
            </w:r>
          </w:p>
          <w:p>
            <w:pPr>
              <w:pStyle w:val="22"/>
              <w:bidi w:val="0"/>
              <w:jc w:val="both"/>
              <w:rPr>
                <w:rFonts w:hint="default"/>
              </w:rPr>
            </w:pPr>
            <w:r>
              <w:rPr>
                <w:rFonts w:hint="eastAsia"/>
                <w:lang w:val="en-US" w:eastAsia="zh-CN"/>
              </w:rPr>
              <w:t>④</w:t>
            </w:r>
            <w:r>
              <w:rPr>
                <w:rFonts w:hint="default"/>
              </w:rPr>
              <w:t>缺氧池</w:t>
            </w:r>
          </w:p>
          <w:p>
            <w:pPr>
              <w:pStyle w:val="22"/>
              <w:bidi w:val="0"/>
              <w:jc w:val="both"/>
              <w:rPr>
                <w:rFonts w:hint="default"/>
              </w:rPr>
            </w:pPr>
            <w:r>
              <w:rPr>
                <w:rFonts w:hint="default"/>
              </w:rPr>
              <w:t>将污水进一步混合，充分利用池内高效生物弹性填料作为细菌载体，靠兼氧微生物将污水中难溶解有机物转化为可溶解性有机物，将大分子有机物水解成小分子有机物，以利于后道处理池进一步氧化分解，同时通过回流的硝炭氮在硝化菌的作用下，可进行部分硝化和反硝化，去除氨氮。</w:t>
            </w:r>
          </w:p>
          <w:p>
            <w:pPr>
              <w:pStyle w:val="22"/>
              <w:bidi w:val="0"/>
              <w:jc w:val="both"/>
              <w:rPr>
                <w:rFonts w:hint="default"/>
              </w:rPr>
            </w:pPr>
            <w:r>
              <w:rPr>
                <w:rFonts w:hint="eastAsia"/>
                <w:lang w:val="en-US" w:eastAsia="zh-CN"/>
              </w:rPr>
              <w:t>⑤</w:t>
            </w:r>
            <w:r>
              <w:rPr>
                <w:rFonts w:hint="default"/>
              </w:rPr>
              <w:t>MBR膜池</w:t>
            </w:r>
          </w:p>
          <w:p>
            <w:pPr>
              <w:pStyle w:val="22"/>
              <w:bidi w:val="0"/>
              <w:jc w:val="both"/>
              <w:rPr>
                <w:rFonts w:hint="default"/>
              </w:rPr>
            </w:pPr>
            <w:r>
              <w:rPr>
                <w:rFonts w:hint="default"/>
              </w:rPr>
              <w:t>MBR膜池既实现了MBR膜支架的安装，又是传统意义上的好氧池，同时又利用MBR平板膜的泥水分离特性实现了泥水分离。所以MBR膜池是本工艺的核心部分。首先好氧微生物在氧气的作用下，以好氧池里的有机物作为碳源维持正常的生命活动，另一方面硝化菌将氨氮转化为硝态氮，为反硝化提供必要的前提条件。</w:t>
            </w:r>
          </w:p>
          <w:p>
            <w:pPr>
              <w:pStyle w:val="22"/>
              <w:bidi w:val="0"/>
              <w:jc w:val="both"/>
              <w:rPr>
                <w:rFonts w:hint="default"/>
              </w:rPr>
            </w:pPr>
            <w:r>
              <w:rPr>
                <w:rFonts w:hint="default"/>
              </w:rPr>
              <w:t>膜生物反应器（Membrane  Bioreactor, MBR）是一种将高效膜分离技术与传统活性污泥法相结合的新型高效污水处理工艺</w:t>
            </w:r>
            <w:r>
              <w:rPr>
                <w:rFonts w:hint="eastAsia"/>
                <w:lang w:eastAsia="zh-CN"/>
              </w:rPr>
              <w:t>，</w:t>
            </w:r>
            <w:r>
              <w:rPr>
                <w:rFonts w:hint="default"/>
              </w:rPr>
              <w:t>它用膜组件代替传统活性污泥法中的二沉池，大大提高了系统固液分离的能力，从而使系统出水水质和容积负荷都得到大幅度提高，出水可以作为中水回用。由于膜的过滤作用，微生物被完全截留在生物反应器中，实现了水力停留时间与活性污泥泥龄的彻底分离，消除了传统活性污泥法中污泥膨胀问题。</w:t>
            </w:r>
          </w:p>
          <w:p>
            <w:pPr>
              <w:pStyle w:val="22"/>
              <w:bidi w:val="0"/>
              <w:jc w:val="both"/>
              <w:rPr>
                <w:rFonts w:hint="default"/>
              </w:rPr>
            </w:pPr>
            <w:r>
              <w:rPr>
                <w:rFonts w:hint="eastAsia"/>
                <w:lang w:val="en-US" w:eastAsia="zh-CN"/>
              </w:rPr>
              <w:t>⑥</w:t>
            </w:r>
            <w:r>
              <w:rPr>
                <w:rFonts w:hint="default"/>
              </w:rPr>
              <w:t>清水池</w:t>
            </w:r>
          </w:p>
          <w:p>
            <w:pPr>
              <w:pStyle w:val="22"/>
              <w:bidi w:val="0"/>
              <w:jc w:val="both"/>
            </w:pPr>
            <w:r>
              <w:rPr>
                <w:rFonts w:hint="default"/>
              </w:rPr>
              <w:t>消毒池出水进入清水池，达标</w:t>
            </w:r>
            <w:r>
              <w:rPr>
                <w:rFonts w:hint="eastAsia"/>
                <w:lang w:val="en-US" w:eastAsia="zh-CN"/>
              </w:rPr>
              <w:t>后</w:t>
            </w:r>
            <w:r>
              <w:rPr>
                <w:rFonts w:hint="default"/>
              </w:rPr>
              <w:t>排</w:t>
            </w:r>
            <w:r>
              <w:rPr>
                <w:rFonts w:hint="eastAsia"/>
                <w:lang w:val="en-US" w:eastAsia="zh-CN"/>
              </w:rPr>
              <w:t>入园区污水管网</w:t>
            </w:r>
            <w:r>
              <w:rPr>
                <w:rFonts w:hint="default"/>
              </w:rPr>
              <w:t>。</w:t>
            </w:r>
          </w:p>
          <w:p>
            <w:pPr>
              <w:pStyle w:val="22"/>
              <w:bidi w:val="0"/>
              <w:jc w:val="both"/>
            </w:pPr>
            <w:r>
              <w:rPr>
                <w:rFonts w:hint="default"/>
                <w:lang w:val="en-US" w:eastAsia="zh-CN"/>
              </w:rPr>
              <w:t>污泥经干化处理后，废水回流至厌氧池，污泥泵入污泥桶，装袋另行处理。</w:t>
            </w:r>
          </w:p>
          <w:p>
            <w:pPr>
              <w:pStyle w:val="32"/>
              <w:bidi w:val="0"/>
              <w:rPr>
                <w:rFonts w:hint="default"/>
                <w:highlight w:val="none"/>
                <w:lang w:val="en-US" w:eastAsia="zh-CN"/>
              </w:rPr>
            </w:pPr>
            <w:r>
              <w:rPr>
                <w:rFonts w:hint="eastAsia"/>
                <w:highlight w:val="none"/>
              </w:rPr>
              <w:t>表</w:t>
            </w:r>
            <w:r>
              <w:rPr>
                <w:rFonts w:hint="eastAsia"/>
                <w:highlight w:val="none"/>
                <w:lang w:val="en-US" w:eastAsia="zh-CN"/>
              </w:rPr>
              <w:t>4-2</w:t>
            </w:r>
            <w:r>
              <w:rPr>
                <w:rFonts w:hint="eastAsia"/>
                <w:highlight w:val="none"/>
              </w:rPr>
              <w:t xml:space="preserve">      </w:t>
            </w:r>
            <w:r>
              <w:rPr>
                <w:rFonts w:hint="eastAsia"/>
                <w:highlight w:val="none"/>
                <w:lang w:val="en-US" w:eastAsia="zh-CN"/>
              </w:rPr>
              <w:t>污水处理站各单元处理效果一览表    单位：mg/L</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4"/>
              <w:gridCol w:w="1363"/>
              <w:gridCol w:w="1272"/>
              <w:gridCol w:w="1010"/>
              <w:gridCol w:w="1061"/>
              <w:gridCol w:w="1040"/>
              <w:gridCol w:w="9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1631" w:type="pct"/>
                  <w:gridSpan w:val="2"/>
                  <w:tcBorders>
                    <w:bottom w:val="single" w:color="auto" w:sz="12" w:space="0"/>
                  </w:tcBorders>
                  <w:noWrap w:val="0"/>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33"/>
                    <w:bidi w:val="0"/>
                    <w:rPr>
                      <w:rFonts w:hint="default"/>
                      <w:b/>
                      <w:bCs/>
                      <w:lang w:val="en-US" w:eastAsia="zh-CN"/>
                    </w:rPr>
                  </w:pPr>
                </w:p>
                <w:p>
                  <w:pPr>
                    <w:pStyle w:val="33"/>
                    <w:bidi w:val="0"/>
                    <mc:AlternateContent>
                      <mc:Choice Requires="wpsCustomData">
                        <wpsCustomData:diagonalParaType/>
                      </mc:Choice>
                    </mc:AlternateContent>
                    <w:rPr>
                      <w:rFonts w:hint="default"/>
                      <w:b/>
                      <w:bCs/>
                      <w:lang w:val="en-US" w:eastAsia="zh-CN"/>
                    </w:rPr>
                  </w:pPr>
                  <w:r>
                    <w:rPr>
                      <w:rFonts w:hint="default"/>
                      <w:b/>
                      <w:bCs/>
                      <w:lang w:val="en-US" w:eastAsia="zh-CN"/>
                    </w:rPr>
                    <w:t>处理工序</w:t>
                  </w:r>
                </w:p>
                <w:p>
                  <w:pPr>
                    <w:pStyle w:val="33"/>
                    <w:bidi w:val="0"/>
                    <w:rPr>
                      <w:rFonts w:hint="default"/>
                      <w:b/>
                      <w:bCs/>
                      <w:lang w:val="en-US" w:eastAsia="zh-CN"/>
                    </w:rPr>
                  </w:pPr>
                  <w:r>
                    <w:rPr>
                      <w:rFonts w:hint="default"/>
                      <w:b/>
                      <w:bCs/>
                      <w:lang w:val="en-US" w:eastAsia="zh-CN"/>
                    </w:rPr>
                    <w:t>污染因子</w:t>
                  </w:r>
                </w:p>
              </w:tc>
              <w:tc>
                <w:tcPr>
                  <w:tcW w:w="808" w:type="pct"/>
                  <w:tcBorders>
                    <w:bottom w:val="single" w:color="auto" w:sz="12" w:space="0"/>
                  </w:tcBorders>
                  <w:noWrap w:val="0"/>
                  <w:vAlign w:val="center"/>
                </w:tcPr>
                <w:p>
                  <w:pPr>
                    <w:pStyle w:val="33"/>
                    <w:bidi w:val="0"/>
                    <w:jc w:val="center"/>
                    <w:rPr>
                      <w:rFonts w:hint="default"/>
                      <w:b/>
                      <w:bCs/>
                      <w:lang w:val="en-US" w:eastAsia="zh-CN"/>
                    </w:rPr>
                  </w:pPr>
                  <w:r>
                    <w:rPr>
                      <w:rFonts w:hint="eastAsia" w:cs="Times New Roman"/>
                      <w:b/>
                      <w:bCs/>
                      <w:color w:val="auto"/>
                      <w:sz w:val="24"/>
                      <w:szCs w:val="32"/>
                      <w:lang w:val="en-US" w:eastAsia="zh-CN"/>
                    </w:rPr>
                    <w:t>COD</w:t>
                  </w:r>
                </w:p>
              </w:tc>
              <w:tc>
                <w:tcPr>
                  <w:tcW w:w="642" w:type="pct"/>
                  <w:tcBorders>
                    <w:bottom w:val="single" w:color="auto" w:sz="12" w:space="0"/>
                  </w:tcBorders>
                  <w:noWrap w:val="0"/>
                  <w:vAlign w:val="center"/>
                </w:tcPr>
                <w:p>
                  <w:pPr>
                    <w:pStyle w:val="33"/>
                    <w:bidi w:val="0"/>
                    <w:jc w:val="center"/>
                    <w:rPr>
                      <w:rFonts w:hint="default"/>
                      <w:b/>
                      <w:bCs/>
                      <w:lang w:val="en-US" w:eastAsia="zh-CN"/>
                    </w:rPr>
                  </w:pPr>
                  <w:r>
                    <w:rPr>
                      <w:rFonts w:hint="eastAsia" w:cs="Times New Roman"/>
                      <w:b/>
                      <w:bCs/>
                      <w:color w:val="auto"/>
                      <w:sz w:val="24"/>
                      <w:szCs w:val="32"/>
                      <w:lang w:val="en-US" w:eastAsia="zh-CN"/>
                    </w:rPr>
                    <w:t>BOD</w:t>
                  </w:r>
                  <w:r>
                    <w:rPr>
                      <w:rFonts w:hint="eastAsia" w:cs="Times New Roman"/>
                      <w:b/>
                      <w:bCs/>
                      <w:color w:val="auto"/>
                      <w:sz w:val="24"/>
                      <w:szCs w:val="32"/>
                      <w:vertAlign w:val="subscript"/>
                      <w:lang w:val="en-US" w:eastAsia="zh-CN"/>
                    </w:rPr>
                    <w:t>5</w:t>
                  </w:r>
                </w:p>
              </w:tc>
              <w:tc>
                <w:tcPr>
                  <w:tcW w:w="674" w:type="pct"/>
                  <w:tcBorders>
                    <w:bottom w:val="single" w:color="auto" w:sz="12" w:space="0"/>
                  </w:tcBorders>
                  <w:noWrap w:val="0"/>
                  <w:vAlign w:val="center"/>
                </w:tcPr>
                <w:p>
                  <w:pPr>
                    <w:pStyle w:val="33"/>
                    <w:bidi w:val="0"/>
                    <w:jc w:val="center"/>
                    <w:rPr>
                      <w:rFonts w:hint="default"/>
                      <w:b/>
                      <w:bCs/>
                      <w:lang w:val="en-US" w:eastAsia="zh-CN"/>
                    </w:rPr>
                  </w:pPr>
                  <w:r>
                    <w:rPr>
                      <w:rFonts w:hint="eastAsia" w:cs="Times New Roman"/>
                      <w:b/>
                      <w:bCs/>
                      <w:color w:val="auto"/>
                      <w:sz w:val="24"/>
                      <w:szCs w:val="32"/>
                      <w:lang w:val="en-US" w:eastAsia="zh-CN"/>
                    </w:rPr>
                    <w:t>SS</w:t>
                  </w:r>
                </w:p>
              </w:tc>
              <w:tc>
                <w:tcPr>
                  <w:tcW w:w="661" w:type="pct"/>
                  <w:tcBorders>
                    <w:bottom w:val="single" w:color="auto" w:sz="12" w:space="0"/>
                  </w:tcBorders>
                  <w:noWrap w:val="0"/>
                  <w:vAlign w:val="center"/>
                </w:tcPr>
                <w:p>
                  <w:pPr>
                    <w:pStyle w:val="33"/>
                    <w:bidi w:val="0"/>
                    <w:jc w:val="center"/>
                    <w:rPr>
                      <w:rFonts w:hint="default"/>
                      <w:b/>
                      <w:bCs/>
                      <w:lang w:val="en-US" w:eastAsia="zh-CN"/>
                    </w:rPr>
                  </w:pPr>
                  <w:r>
                    <w:rPr>
                      <w:rFonts w:hint="eastAsia" w:cs="Times New Roman"/>
                      <w:b/>
                      <w:bCs/>
                      <w:color w:val="auto"/>
                      <w:sz w:val="24"/>
                      <w:szCs w:val="32"/>
                      <w:lang w:val="en-US" w:eastAsia="zh-CN"/>
                    </w:rPr>
                    <w:t>氨氮</w:t>
                  </w:r>
                </w:p>
              </w:tc>
              <w:tc>
                <w:tcPr>
                  <w:tcW w:w="582" w:type="pct"/>
                  <w:tcBorders>
                    <w:bottom w:val="single" w:color="auto" w:sz="12" w:space="0"/>
                  </w:tcBorders>
                  <w:noWrap w:val="0"/>
                  <w:vAlign w:val="center"/>
                </w:tcPr>
                <w:p>
                  <w:pPr>
                    <w:pStyle w:val="33"/>
                    <w:bidi w:val="0"/>
                    <w:jc w:val="center"/>
                    <w:rPr>
                      <w:rFonts w:hint="default"/>
                      <w:b/>
                      <w:bCs/>
                      <w:lang w:val="en-US" w:eastAsia="zh-CN"/>
                    </w:rPr>
                  </w:pPr>
                  <w:r>
                    <w:rPr>
                      <w:rFonts w:hint="eastAsia" w:cs="Times New Roman"/>
                      <w:b/>
                      <w:bCs/>
                      <w:color w:val="auto"/>
                      <w:sz w:val="24"/>
                      <w:szCs w:val="32"/>
                      <w:lang w:val="en-US" w:eastAsia="zh-CN"/>
                    </w:rPr>
                    <w:t>LAS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65" w:type="pct"/>
                  <w:vMerge w:val="restart"/>
                  <w:tcBorders>
                    <w:top w:val="single" w:color="auto" w:sz="12" w:space="0"/>
                    <w:tl2br w:val="nil"/>
                    <w:tr2bl w:val="nil"/>
                  </w:tcBorders>
                  <w:noWrap w:val="0"/>
                  <w:vAlign w:val="center"/>
                </w:tcPr>
                <w:p>
                  <w:pPr>
                    <w:pStyle w:val="33"/>
                    <w:bidi w:val="0"/>
                    <w:rPr>
                      <w:rFonts w:hint="default"/>
                      <w:b w:val="0"/>
                      <w:bCs w:val="0"/>
                      <w:lang w:val="en-US" w:eastAsia="zh-CN"/>
                    </w:rPr>
                  </w:pPr>
                  <w:r>
                    <w:rPr>
                      <w:rFonts w:hint="eastAsia"/>
                      <w:b w:val="0"/>
                      <w:bCs w:val="0"/>
                      <w:lang w:val="en-US" w:eastAsia="zh-CN"/>
                    </w:rPr>
                    <w:t>过滤+调节</w:t>
                  </w:r>
                </w:p>
              </w:tc>
              <w:tc>
                <w:tcPr>
                  <w:tcW w:w="866" w:type="pct"/>
                  <w:tcBorders>
                    <w:top w:val="single" w:color="auto" w:sz="12" w:space="0"/>
                    <w:tl2br w:val="nil"/>
                    <w:tr2bl w:val="nil"/>
                  </w:tcBorders>
                  <w:noWrap w:val="0"/>
                  <w:vAlign w:val="center"/>
                </w:tcPr>
                <w:p>
                  <w:pPr>
                    <w:pStyle w:val="33"/>
                    <w:bidi w:val="0"/>
                    <w:rPr>
                      <w:rFonts w:hint="default"/>
                      <w:b w:val="0"/>
                      <w:bCs w:val="0"/>
                      <w:lang w:val="en-US" w:eastAsia="zh-CN"/>
                    </w:rPr>
                  </w:pPr>
                  <w:r>
                    <w:rPr>
                      <w:rFonts w:hint="default"/>
                      <w:b w:val="0"/>
                      <w:bCs w:val="0"/>
                      <w:lang w:val="en-US" w:eastAsia="zh-CN"/>
                    </w:rPr>
                    <w:t>进水</w:t>
                  </w:r>
                </w:p>
              </w:tc>
              <w:tc>
                <w:tcPr>
                  <w:tcW w:w="808" w:type="pct"/>
                  <w:tcBorders>
                    <w:top w:val="single" w:color="auto" w:sz="12" w:space="0"/>
                    <w:tl2br w:val="nil"/>
                    <w:tr2bl w:val="nil"/>
                  </w:tcBorders>
                  <w:noWrap w:val="0"/>
                  <w:vAlign w:val="center"/>
                </w:tcPr>
                <w:p>
                  <w:pPr>
                    <w:pStyle w:val="33"/>
                    <w:bidi w:val="0"/>
                    <w:rPr>
                      <w:rFonts w:hint="default"/>
                      <w:lang w:val="en-US" w:eastAsia="zh-CN"/>
                    </w:rPr>
                  </w:pPr>
                  <w:r>
                    <w:rPr>
                      <w:rFonts w:hint="eastAsia"/>
                      <w:lang w:val="en-US" w:eastAsia="zh-CN"/>
                    </w:rPr>
                    <w:t>668</w:t>
                  </w:r>
                </w:p>
              </w:tc>
              <w:tc>
                <w:tcPr>
                  <w:tcW w:w="642" w:type="pct"/>
                  <w:tcBorders>
                    <w:top w:val="single" w:color="auto" w:sz="12" w:space="0"/>
                    <w:tl2br w:val="nil"/>
                    <w:tr2bl w:val="nil"/>
                  </w:tcBorders>
                  <w:noWrap w:val="0"/>
                  <w:vAlign w:val="center"/>
                </w:tcPr>
                <w:p>
                  <w:pPr>
                    <w:pStyle w:val="33"/>
                    <w:bidi w:val="0"/>
                    <w:rPr>
                      <w:rFonts w:hint="default"/>
                      <w:lang w:val="en-US" w:eastAsia="zh-CN"/>
                    </w:rPr>
                  </w:pPr>
                  <w:r>
                    <w:rPr>
                      <w:rFonts w:hint="eastAsia"/>
                      <w:lang w:val="en-US" w:eastAsia="zh-CN"/>
                    </w:rPr>
                    <w:t>349</w:t>
                  </w:r>
                </w:p>
              </w:tc>
              <w:tc>
                <w:tcPr>
                  <w:tcW w:w="674" w:type="pct"/>
                  <w:tcBorders>
                    <w:top w:val="single" w:color="auto" w:sz="12" w:space="0"/>
                    <w:tl2br w:val="nil"/>
                    <w:tr2bl w:val="nil"/>
                  </w:tcBorders>
                  <w:noWrap w:val="0"/>
                  <w:vAlign w:val="center"/>
                </w:tcPr>
                <w:p>
                  <w:pPr>
                    <w:pStyle w:val="33"/>
                    <w:bidi w:val="0"/>
                    <w:rPr>
                      <w:rFonts w:hint="default"/>
                      <w:lang w:val="en-US" w:eastAsia="zh-CN"/>
                    </w:rPr>
                  </w:pPr>
                  <w:r>
                    <w:rPr>
                      <w:rFonts w:hint="eastAsia"/>
                      <w:lang w:val="en-US" w:eastAsia="zh-CN"/>
                    </w:rPr>
                    <w:t>445</w:t>
                  </w:r>
                </w:p>
              </w:tc>
              <w:tc>
                <w:tcPr>
                  <w:tcW w:w="661" w:type="pct"/>
                  <w:tcBorders>
                    <w:top w:val="single" w:color="auto" w:sz="12" w:space="0"/>
                    <w:tl2br w:val="nil"/>
                    <w:tr2bl w:val="nil"/>
                  </w:tcBorders>
                  <w:noWrap w:val="0"/>
                  <w:vAlign w:val="center"/>
                </w:tcPr>
                <w:p>
                  <w:pPr>
                    <w:pStyle w:val="33"/>
                    <w:bidi w:val="0"/>
                    <w:rPr>
                      <w:rFonts w:hint="default"/>
                      <w:lang w:val="en-US" w:eastAsia="zh-CN"/>
                    </w:rPr>
                  </w:pPr>
                  <w:r>
                    <w:rPr>
                      <w:rFonts w:hint="eastAsia"/>
                      <w:lang w:val="en-US" w:eastAsia="zh-CN"/>
                    </w:rPr>
                    <w:t>25</w:t>
                  </w:r>
                </w:p>
              </w:tc>
              <w:tc>
                <w:tcPr>
                  <w:tcW w:w="582" w:type="pct"/>
                  <w:tcBorders>
                    <w:top w:val="single" w:color="auto" w:sz="12" w:space="0"/>
                    <w:tl2br w:val="nil"/>
                    <w:tr2bl w:val="nil"/>
                  </w:tcBorders>
                  <w:noWrap w:val="0"/>
                  <w:vAlign w:val="center"/>
                </w:tcPr>
                <w:p>
                  <w:pPr>
                    <w:pStyle w:val="33"/>
                    <w:bidi w:val="0"/>
                    <w:rPr>
                      <w:rFonts w:hint="default"/>
                      <w:lang w:val="en-US" w:eastAsia="zh-CN"/>
                    </w:rPr>
                  </w:pPr>
                  <w:r>
                    <w:rPr>
                      <w:rFonts w:hint="eastAsia"/>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65" w:type="pct"/>
                  <w:vMerge w:val="continue"/>
                  <w:tcBorders>
                    <w:tl2br w:val="nil"/>
                    <w:tr2bl w:val="nil"/>
                  </w:tcBorders>
                  <w:noWrap w:val="0"/>
                  <w:vAlign w:val="center"/>
                </w:tcPr>
                <w:p>
                  <w:pPr>
                    <w:pStyle w:val="33"/>
                    <w:bidi w:val="0"/>
                    <w:rPr>
                      <w:rFonts w:hint="default"/>
                      <w:b w:val="0"/>
                      <w:bCs w:val="0"/>
                      <w:lang w:val="en-US" w:eastAsia="zh-CN"/>
                    </w:rPr>
                  </w:pPr>
                </w:p>
              </w:tc>
              <w:tc>
                <w:tcPr>
                  <w:tcW w:w="866" w:type="pct"/>
                  <w:tcBorders>
                    <w:tl2br w:val="nil"/>
                    <w:tr2bl w:val="nil"/>
                  </w:tcBorders>
                  <w:noWrap w:val="0"/>
                  <w:vAlign w:val="center"/>
                </w:tcPr>
                <w:p>
                  <w:pPr>
                    <w:pStyle w:val="33"/>
                    <w:bidi w:val="0"/>
                    <w:rPr>
                      <w:rFonts w:hint="default"/>
                      <w:b w:val="0"/>
                      <w:bCs w:val="0"/>
                      <w:lang w:val="en-US" w:eastAsia="zh-CN"/>
                    </w:rPr>
                  </w:pPr>
                  <w:r>
                    <w:rPr>
                      <w:rFonts w:hint="default"/>
                      <w:b w:val="0"/>
                      <w:bCs w:val="0"/>
                      <w:lang w:val="en-US" w:eastAsia="zh-CN"/>
                    </w:rPr>
                    <w:t>去除率（%）</w:t>
                  </w:r>
                </w:p>
              </w:tc>
              <w:tc>
                <w:tcPr>
                  <w:tcW w:w="808" w:type="pct"/>
                  <w:tcBorders>
                    <w:tl2br w:val="nil"/>
                    <w:tr2bl w:val="nil"/>
                  </w:tcBorders>
                  <w:noWrap w:val="0"/>
                  <w:vAlign w:val="center"/>
                </w:tcPr>
                <w:p>
                  <w:pPr>
                    <w:pStyle w:val="33"/>
                    <w:bidi w:val="0"/>
                    <w:rPr>
                      <w:rFonts w:hint="default"/>
                      <w:lang w:val="en-US" w:eastAsia="zh-CN"/>
                    </w:rPr>
                  </w:pPr>
                  <w:r>
                    <w:rPr>
                      <w:rFonts w:hint="eastAsia"/>
                      <w:lang w:val="en-US" w:eastAsia="zh-CN"/>
                    </w:rPr>
                    <w:t>5%</w:t>
                  </w:r>
                </w:p>
              </w:tc>
              <w:tc>
                <w:tcPr>
                  <w:tcW w:w="642" w:type="pct"/>
                  <w:tcBorders>
                    <w:tl2br w:val="nil"/>
                    <w:tr2bl w:val="nil"/>
                  </w:tcBorders>
                  <w:noWrap w:val="0"/>
                  <w:vAlign w:val="center"/>
                </w:tcPr>
                <w:p>
                  <w:pPr>
                    <w:pStyle w:val="33"/>
                    <w:bidi w:val="0"/>
                    <w:rPr>
                      <w:rFonts w:hint="default"/>
                      <w:lang w:val="en-US" w:eastAsia="zh-CN"/>
                    </w:rPr>
                  </w:pPr>
                  <w:r>
                    <w:rPr>
                      <w:rFonts w:hint="eastAsia"/>
                      <w:lang w:val="en-US" w:eastAsia="zh-CN"/>
                    </w:rPr>
                    <w:t>5%</w:t>
                  </w:r>
                </w:p>
              </w:tc>
              <w:tc>
                <w:tcPr>
                  <w:tcW w:w="674" w:type="pct"/>
                  <w:tcBorders>
                    <w:tl2br w:val="nil"/>
                    <w:tr2bl w:val="nil"/>
                  </w:tcBorders>
                  <w:noWrap w:val="0"/>
                  <w:vAlign w:val="center"/>
                </w:tcPr>
                <w:p>
                  <w:pPr>
                    <w:pStyle w:val="33"/>
                    <w:bidi w:val="0"/>
                    <w:rPr>
                      <w:rFonts w:hint="default"/>
                      <w:lang w:val="en-US" w:eastAsia="zh-CN"/>
                    </w:rPr>
                  </w:pPr>
                  <w:r>
                    <w:rPr>
                      <w:rFonts w:hint="eastAsia"/>
                      <w:lang w:val="en-US" w:eastAsia="zh-CN"/>
                    </w:rPr>
                    <w:t>5%</w:t>
                  </w:r>
                </w:p>
              </w:tc>
              <w:tc>
                <w:tcPr>
                  <w:tcW w:w="661" w:type="pct"/>
                  <w:tcBorders>
                    <w:tl2br w:val="nil"/>
                    <w:tr2bl w:val="nil"/>
                  </w:tcBorders>
                  <w:noWrap w:val="0"/>
                  <w:vAlign w:val="center"/>
                </w:tcPr>
                <w:p>
                  <w:pPr>
                    <w:pStyle w:val="33"/>
                    <w:bidi w:val="0"/>
                    <w:rPr>
                      <w:rFonts w:hint="eastAsia"/>
                      <w:lang w:val="en-US" w:eastAsia="zh-CN"/>
                    </w:rPr>
                  </w:pPr>
                  <w:r>
                    <w:rPr>
                      <w:rFonts w:hint="eastAsia"/>
                      <w:lang w:val="en-US" w:eastAsia="zh-CN"/>
                    </w:rPr>
                    <w:t>5%</w:t>
                  </w:r>
                </w:p>
              </w:tc>
              <w:tc>
                <w:tcPr>
                  <w:tcW w:w="582" w:type="pct"/>
                  <w:tcBorders>
                    <w:tl2br w:val="nil"/>
                    <w:tr2bl w:val="nil"/>
                  </w:tcBorders>
                  <w:noWrap w:val="0"/>
                  <w:vAlign w:val="center"/>
                </w:tcPr>
                <w:p>
                  <w:pPr>
                    <w:pStyle w:val="33"/>
                    <w:bidi w:val="0"/>
                    <w:rPr>
                      <w:rFonts w:hint="default"/>
                      <w:lang w:val="en-US" w:eastAsia="zh-CN"/>
                    </w:rPr>
                  </w:pPr>
                  <w:r>
                    <w:rPr>
                      <w:rFonts w:hint="eastAsia"/>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65" w:type="pct"/>
                  <w:vMerge w:val="continue"/>
                  <w:tcBorders>
                    <w:tl2br w:val="nil"/>
                    <w:tr2bl w:val="nil"/>
                  </w:tcBorders>
                  <w:noWrap w:val="0"/>
                  <w:vAlign w:val="center"/>
                </w:tcPr>
                <w:p>
                  <w:pPr>
                    <w:pStyle w:val="33"/>
                    <w:bidi w:val="0"/>
                    <w:rPr>
                      <w:rFonts w:hint="default"/>
                      <w:b w:val="0"/>
                      <w:bCs w:val="0"/>
                      <w:lang w:val="en-US" w:eastAsia="zh-CN"/>
                    </w:rPr>
                  </w:pPr>
                </w:p>
              </w:tc>
              <w:tc>
                <w:tcPr>
                  <w:tcW w:w="866" w:type="pct"/>
                  <w:tcBorders>
                    <w:tl2br w:val="nil"/>
                    <w:tr2bl w:val="nil"/>
                  </w:tcBorders>
                  <w:noWrap w:val="0"/>
                  <w:vAlign w:val="center"/>
                </w:tcPr>
                <w:p>
                  <w:pPr>
                    <w:pStyle w:val="33"/>
                    <w:bidi w:val="0"/>
                    <w:rPr>
                      <w:rFonts w:hint="default"/>
                      <w:b w:val="0"/>
                      <w:bCs w:val="0"/>
                      <w:lang w:val="en-US" w:eastAsia="zh-CN"/>
                    </w:rPr>
                  </w:pPr>
                  <w:r>
                    <w:rPr>
                      <w:rFonts w:hint="default"/>
                      <w:b w:val="0"/>
                      <w:bCs w:val="0"/>
                      <w:lang w:val="en-US" w:eastAsia="zh-CN"/>
                    </w:rPr>
                    <w:t>出水</w:t>
                  </w:r>
                </w:p>
              </w:tc>
              <w:tc>
                <w:tcPr>
                  <w:tcW w:w="808" w:type="pct"/>
                  <w:tcBorders>
                    <w:tl2br w:val="nil"/>
                    <w:tr2bl w:val="nil"/>
                  </w:tcBorders>
                  <w:noWrap w:val="0"/>
                  <w:vAlign w:val="center"/>
                </w:tcPr>
                <w:p>
                  <w:pPr>
                    <w:pStyle w:val="33"/>
                    <w:bidi w:val="0"/>
                    <w:rPr>
                      <w:rFonts w:hint="default"/>
                      <w:lang w:val="en-US" w:eastAsia="zh-CN"/>
                    </w:rPr>
                  </w:pPr>
                  <w:r>
                    <w:rPr>
                      <w:rFonts w:hint="eastAsia"/>
                      <w:lang w:val="en-US" w:eastAsia="zh-CN"/>
                    </w:rPr>
                    <w:t>634.6</w:t>
                  </w:r>
                </w:p>
              </w:tc>
              <w:tc>
                <w:tcPr>
                  <w:tcW w:w="642" w:type="pct"/>
                  <w:tcBorders>
                    <w:tl2br w:val="nil"/>
                    <w:tr2bl w:val="nil"/>
                  </w:tcBorders>
                  <w:noWrap w:val="0"/>
                  <w:vAlign w:val="center"/>
                </w:tcPr>
                <w:p>
                  <w:pPr>
                    <w:pStyle w:val="33"/>
                    <w:bidi w:val="0"/>
                    <w:rPr>
                      <w:rFonts w:hint="default"/>
                      <w:lang w:val="en-US" w:eastAsia="zh-CN"/>
                    </w:rPr>
                  </w:pPr>
                  <w:r>
                    <w:rPr>
                      <w:rFonts w:hint="eastAsia"/>
                      <w:lang w:val="en-US" w:eastAsia="zh-CN"/>
                    </w:rPr>
                    <w:t>331.55</w:t>
                  </w:r>
                </w:p>
              </w:tc>
              <w:tc>
                <w:tcPr>
                  <w:tcW w:w="674" w:type="pct"/>
                  <w:tcBorders>
                    <w:tl2br w:val="nil"/>
                    <w:tr2bl w:val="nil"/>
                  </w:tcBorders>
                  <w:noWrap w:val="0"/>
                  <w:vAlign w:val="center"/>
                </w:tcPr>
                <w:p>
                  <w:pPr>
                    <w:pStyle w:val="33"/>
                    <w:bidi w:val="0"/>
                    <w:rPr>
                      <w:rFonts w:hint="default"/>
                      <w:lang w:val="en-US" w:eastAsia="zh-CN"/>
                    </w:rPr>
                  </w:pPr>
                  <w:r>
                    <w:rPr>
                      <w:rFonts w:hint="eastAsia"/>
                      <w:lang w:val="en-US" w:eastAsia="zh-CN"/>
                    </w:rPr>
                    <w:t>422.75</w:t>
                  </w:r>
                </w:p>
              </w:tc>
              <w:tc>
                <w:tcPr>
                  <w:tcW w:w="661" w:type="pct"/>
                  <w:tcBorders>
                    <w:tl2br w:val="nil"/>
                    <w:tr2bl w:val="nil"/>
                  </w:tcBorders>
                  <w:noWrap w:val="0"/>
                  <w:vAlign w:val="center"/>
                </w:tcPr>
                <w:p>
                  <w:pPr>
                    <w:pStyle w:val="33"/>
                    <w:bidi w:val="0"/>
                    <w:rPr>
                      <w:rFonts w:hint="default"/>
                      <w:lang w:val="en-US" w:eastAsia="zh-CN"/>
                    </w:rPr>
                  </w:pPr>
                  <w:r>
                    <w:rPr>
                      <w:rFonts w:hint="eastAsia"/>
                      <w:lang w:val="en-US" w:eastAsia="zh-CN"/>
                    </w:rPr>
                    <w:t>23.75</w:t>
                  </w:r>
                </w:p>
              </w:tc>
              <w:tc>
                <w:tcPr>
                  <w:tcW w:w="582" w:type="pct"/>
                  <w:tcBorders>
                    <w:tl2br w:val="nil"/>
                    <w:tr2bl w:val="nil"/>
                  </w:tcBorders>
                  <w:noWrap w:val="0"/>
                  <w:vAlign w:val="center"/>
                </w:tcPr>
                <w:p>
                  <w:pPr>
                    <w:pStyle w:val="33"/>
                    <w:bidi w:val="0"/>
                    <w:rPr>
                      <w:rFonts w:hint="default"/>
                      <w:lang w:val="en-US" w:eastAsia="zh-CN"/>
                    </w:rPr>
                  </w:pPr>
                  <w:r>
                    <w:rPr>
                      <w:rFonts w:hint="eastAsia"/>
                      <w:lang w:val="en-US" w:eastAsia="zh-CN"/>
                    </w:rPr>
                    <w:t>28.5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65" w:type="pct"/>
                  <w:vMerge w:val="restart"/>
                  <w:tcBorders>
                    <w:tl2br w:val="nil"/>
                    <w:tr2bl w:val="nil"/>
                  </w:tcBorders>
                  <w:noWrap w:val="0"/>
                  <w:vAlign w:val="center"/>
                </w:tcPr>
                <w:p>
                  <w:pPr>
                    <w:pStyle w:val="33"/>
                    <w:bidi w:val="0"/>
                    <w:rPr>
                      <w:rFonts w:hint="default"/>
                      <w:b w:val="0"/>
                      <w:bCs w:val="0"/>
                      <w:lang w:val="en-US" w:eastAsia="zh-CN"/>
                    </w:rPr>
                  </w:pPr>
                  <w:r>
                    <w:rPr>
                      <w:rFonts w:hint="default"/>
                      <w:b w:val="0"/>
                      <w:bCs w:val="0"/>
                      <w:lang w:val="en-US" w:eastAsia="zh-CN"/>
                    </w:rPr>
                    <w:t>厌氧</w:t>
                  </w:r>
                </w:p>
              </w:tc>
              <w:tc>
                <w:tcPr>
                  <w:tcW w:w="866" w:type="pct"/>
                  <w:tcBorders>
                    <w:tl2br w:val="nil"/>
                    <w:tr2bl w:val="nil"/>
                  </w:tcBorders>
                  <w:noWrap w:val="0"/>
                  <w:vAlign w:val="center"/>
                </w:tcPr>
                <w:p>
                  <w:pPr>
                    <w:pStyle w:val="33"/>
                    <w:bidi w:val="0"/>
                    <w:rPr>
                      <w:rFonts w:hint="default"/>
                      <w:b w:val="0"/>
                      <w:bCs w:val="0"/>
                      <w:lang w:val="en-US" w:eastAsia="zh-CN"/>
                    </w:rPr>
                  </w:pPr>
                  <w:r>
                    <w:rPr>
                      <w:rFonts w:hint="default"/>
                      <w:b w:val="0"/>
                      <w:bCs w:val="0"/>
                      <w:lang w:val="en-US" w:eastAsia="zh-CN"/>
                    </w:rPr>
                    <w:t>去除率（%）</w:t>
                  </w:r>
                </w:p>
              </w:tc>
              <w:tc>
                <w:tcPr>
                  <w:tcW w:w="808" w:type="pct"/>
                  <w:tcBorders>
                    <w:tl2br w:val="nil"/>
                    <w:tr2bl w:val="nil"/>
                  </w:tcBorders>
                  <w:noWrap w:val="0"/>
                  <w:vAlign w:val="center"/>
                </w:tcPr>
                <w:p>
                  <w:pPr>
                    <w:pStyle w:val="33"/>
                    <w:bidi w:val="0"/>
                    <w:rPr>
                      <w:rFonts w:hint="default"/>
                      <w:lang w:val="en-US" w:eastAsia="zh-CN"/>
                    </w:rPr>
                  </w:pPr>
                  <w:r>
                    <w:rPr>
                      <w:rFonts w:hint="eastAsia"/>
                      <w:lang w:val="en-US" w:eastAsia="zh-CN"/>
                    </w:rPr>
                    <w:t>30</w:t>
                  </w:r>
                  <w:r>
                    <w:rPr>
                      <w:rFonts w:hint="default"/>
                      <w:lang w:val="en-US" w:eastAsia="zh-CN"/>
                    </w:rPr>
                    <w:t>%</w:t>
                  </w:r>
                </w:p>
              </w:tc>
              <w:tc>
                <w:tcPr>
                  <w:tcW w:w="642" w:type="pct"/>
                  <w:tcBorders>
                    <w:tl2br w:val="nil"/>
                    <w:tr2bl w:val="nil"/>
                  </w:tcBorders>
                  <w:noWrap w:val="0"/>
                  <w:vAlign w:val="center"/>
                </w:tcPr>
                <w:p>
                  <w:pPr>
                    <w:pStyle w:val="33"/>
                    <w:bidi w:val="0"/>
                    <w:rPr>
                      <w:rFonts w:hint="default"/>
                      <w:lang w:val="en-US" w:eastAsia="zh-CN"/>
                    </w:rPr>
                  </w:pPr>
                  <w:r>
                    <w:rPr>
                      <w:rFonts w:hint="eastAsia"/>
                      <w:lang w:val="en-US" w:eastAsia="zh-CN"/>
                    </w:rPr>
                    <w:t>55</w:t>
                  </w:r>
                  <w:r>
                    <w:rPr>
                      <w:rFonts w:hint="default"/>
                      <w:lang w:val="en-US" w:eastAsia="zh-CN"/>
                    </w:rPr>
                    <w:t>%</w:t>
                  </w:r>
                </w:p>
              </w:tc>
              <w:tc>
                <w:tcPr>
                  <w:tcW w:w="674" w:type="pct"/>
                  <w:tcBorders>
                    <w:tl2br w:val="nil"/>
                    <w:tr2bl w:val="nil"/>
                  </w:tcBorders>
                  <w:noWrap w:val="0"/>
                  <w:vAlign w:val="center"/>
                </w:tcPr>
                <w:p>
                  <w:pPr>
                    <w:pStyle w:val="33"/>
                    <w:bidi w:val="0"/>
                    <w:rPr>
                      <w:rFonts w:hint="default"/>
                      <w:lang w:val="en-US" w:eastAsia="zh-CN"/>
                    </w:rPr>
                  </w:pPr>
                  <w:r>
                    <w:rPr>
                      <w:rFonts w:hint="eastAsia"/>
                      <w:lang w:val="en-US" w:eastAsia="zh-CN"/>
                    </w:rPr>
                    <w:t>5</w:t>
                  </w:r>
                  <w:r>
                    <w:rPr>
                      <w:rFonts w:hint="default"/>
                      <w:lang w:val="en-US" w:eastAsia="zh-CN"/>
                    </w:rPr>
                    <w:t>%</w:t>
                  </w:r>
                </w:p>
              </w:tc>
              <w:tc>
                <w:tcPr>
                  <w:tcW w:w="661" w:type="pct"/>
                  <w:tcBorders>
                    <w:tl2br w:val="nil"/>
                    <w:tr2bl w:val="nil"/>
                  </w:tcBorders>
                  <w:noWrap w:val="0"/>
                  <w:vAlign w:val="center"/>
                </w:tcPr>
                <w:p>
                  <w:pPr>
                    <w:pStyle w:val="33"/>
                    <w:bidi w:val="0"/>
                    <w:rPr>
                      <w:rFonts w:hint="default"/>
                      <w:lang w:val="en-US" w:eastAsia="zh-CN"/>
                    </w:rPr>
                  </w:pPr>
                  <w:r>
                    <w:rPr>
                      <w:rFonts w:hint="eastAsia"/>
                      <w:lang w:val="en-US" w:eastAsia="zh-CN"/>
                    </w:rPr>
                    <w:t>3%</w:t>
                  </w:r>
                </w:p>
              </w:tc>
              <w:tc>
                <w:tcPr>
                  <w:tcW w:w="582" w:type="pct"/>
                  <w:tcBorders>
                    <w:tl2br w:val="nil"/>
                    <w:tr2bl w:val="nil"/>
                  </w:tcBorders>
                  <w:noWrap w:val="0"/>
                  <w:vAlign w:val="center"/>
                </w:tcPr>
                <w:p>
                  <w:pPr>
                    <w:pStyle w:val="33"/>
                    <w:bidi w:val="0"/>
                    <w:rPr>
                      <w:rFonts w:hint="default"/>
                      <w:lang w:val="en-US" w:eastAsia="zh-CN"/>
                    </w:rPr>
                  </w:pPr>
                  <w:r>
                    <w:rPr>
                      <w:rFonts w:hint="eastAsia"/>
                      <w:lang w:val="en-US" w:eastAsia="zh-CN"/>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65" w:type="pct"/>
                  <w:vMerge w:val="continue"/>
                  <w:tcBorders>
                    <w:tl2br w:val="nil"/>
                    <w:tr2bl w:val="nil"/>
                  </w:tcBorders>
                  <w:noWrap w:val="0"/>
                  <w:vAlign w:val="center"/>
                </w:tcPr>
                <w:p>
                  <w:pPr>
                    <w:pStyle w:val="33"/>
                    <w:bidi w:val="0"/>
                    <w:rPr>
                      <w:rFonts w:hint="default"/>
                      <w:b w:val="0"/>
                      <w:bCs w:val="0"/>
                      <w:lang w:val="en-US" w:eastAsia="zh-CN"/>
                    </w:rPr>
                  </w:pPr>
                </w:p>
              </w:tc>
              <w:tc>
                <w:tcPr>
                  <w:tcW w:w="866" w:type="pct"/>
                  <w:tcBorders>
                    <w:tl2br w:val="nil"/>
                    <w:tr2bl w:val="nil"/>
                  </w:tcBorders>
                  <w:noWrap w:val="0"/>
                  <w:vAlign w:val="center"/>
                </w:tcPr>
                <w:p>
                  <w:pPr>
                    <w:pStyle w:val="33"/>
                    <w:bidi w:val="0"/>
                    <w:rPr>
                      <w:rFonts w:hint="default"/>
                      <w:b w:val="0"/>
                      <w:bCs w:val="0"/>
                      <w:lang w:val="en-US" w:eastAsia="zh-CN"/>
                    </w:rPr>
                  </w:pPr>
                  <w:r>
                    <w:rPr>
                      <w:rFonts w:hint="default"/>
                      <w:b w:val="0"/>
                      <w:bCs w:val="0"/>
                      <w:lang w:val="en-US" w:eastAsia="zh-CN"/>
                    </w:rPr>
                    <w:t>出水</w:t>
                  </w:r>
                </w:p>
              </w:tc>
              <w:tc>
                <w:tcPr>
                  <w:tcW w:w="808" w:type="pct"/>
                  <w:tcBorders>
                    <w:tl2br w:val="nil"/>
                    <w:tr2bl w:val="nil"/>
                  </w:tcBorders>
                  <w:noWrap w:val="0"/>
                  <w:vAlign w:val="center"/>
                </w:tcPr>
                <w:p>
                  <w:pPr>
                    <w:pStyle w:val="33"/>
                    <w:bidi w:val="0"/>
                    <w:rPr>
                      <w:rFonts w:hint="default"/>
                      <w:lang w:val="en-US" w:eastAsia="zh-CN"/>
                    </w:rPr>
                  </w:pPr>
                  <w:r>
                    <w:rPr>
                      <w:rFonts w:hint="eastAsia"/>
                      <w:lang w:val="en-US" w:eastAsia="zh-CN"/>
                    </w:rPr>
                    <w:t>444.22</w:t>
                  </w:r>
                </w:p>
              </w:tc>
              <w:tc>
                <w:tcPr>
                  <w:tcW w:w="642" w:type="pct"/>
                  <w:tcBorders>
                    <w:tl2br w:val="nil"/>
                    <w:tr2bl w:val="nil"/>
                  </w:tcBorders>
                  <w:noWrap w:val="0"/>
                  <w:vAlign w:val="center"/>
                </w:tcPr>
                <w:p>
                  <w:pPr>
                    <w:pStyle w:val="33"/>
                    <w:bidi w:val="0"/>
                    <w:rPr>
                      <w:rFonts w:hint="default"/>
                      <w:lang w:val="en-US" w:eastAsia="zh-CN"/>
                    </w:rPr>
                  </w:pPr>
                  <w:r>
                    <w:rPr>
                      <w:rFonts w:hint="eastAsia"/>
                      <w:lang w:val="en-US" w:eastAsia="zh-CN"/>
                    </w:rPr>
                    <w:t>149.198</w:t>
                  </w:r>
                </w:p>
              </w:tc>
              <w:tc>
                <w:tcPr>
                  <w:tcW w:w="674" w:type="pct"/>
                  <w:tcBorders>
                    <w:tl2br w:val="nil"/>
                    <w:tr2bl w:val="nil"/>
                  </w:tcBorders>
                  <w:noWrap w:val="0"/>
                  <w:vAlign w:val="center"/>
                </w:tcPr>
                <w:p>
                  <w:pPr>
                    <w:pStyle w:val="33"/>
                    <w:bidi w:val="0"/>
                    <w:rPr>
                      <w:rFonts w:hint="default"/>
                      <w:lang w:val="en-US" w:eastAsia="zh-CN"/>
                    </w:rPr>
                  </w:pPr>
                  <w:r>
                    <w:rPr>
                      <w:rFonts w:hint="eastAsia"/>
                      <w:lang w:val="en-US" w:eastAsia="zh-CN"/>
                    </w:rPr>
                    <w:t>401.61</w:t>
                  </w:r>
                </w:p>
              </w:tc>
              <w:tc>
                <w:tcPr>
                  <w:tcW w:w="661" w:type="pct"/>
                  <w:tcBorders>
                    <w:tl2br w:val="nil"/>
                    <w:tr2bl w:val="nil"/>
                  </w:tcBorders>
                  <w:noWrap w:val="0"/>
                  <w:vAlign w:val="center"/>
                </w:tcPr>
                <w:p>
                  <w:pPr>
                    <w:pStyle w:val="33"/>
                    <w:bidi w:val="0"/>
                    <w:rPr>
                      <w:rFonts w:hint="default"/>
                      <w:lang w:val="en-US" w:eastAsia="zh-CN"/>
                    </w:rPr>
                  </w:pPr>
                  <w:r>
                    <w:rPr>
                      <w:rFonts w:hint="eastAsia"/>
                      <w:lang w:val="en-US" w:eastAsia="zh-CN"/>
                    </w:rPr>
                    <w:t>23.04</w:t>
                  </w:r>
                </w:p>
              </w:tc>
              <w:tc>
                <w:tcPr>
                  <w:tcW w:w="582" w:type="pct"/>
                  <w:tcBorders>
                    <w:tl2br w:val="nil"/>
                    <w:tr2bl w:val="nil"/>
                  </w:tcBorders>
                  <w:noWrap w:val="0"/>
                  <w:vAlign w:val="center"/>
                </w:tcPr>
                <w:p>
                  <w:pPr>
                    <w:pStyle w:val="33"/>
                    <w:bidi w:val="0"/>
                    <w:rPr>
                      <w:rFonts w:hint="default"/>
                      <w:lang w:val="en-US" w:eastAsia="zh-CN"/>
                    </w:rPr>
                  </w:pPr>
                  <w:r>
                    <w:rPr>
                      <w:rFonts w:hint="eastAsia"/>
                      <w:lang w:val="en-US" w:eastAsia="zh-CN"/>
                    </w:rPr>
                    <w:t>12.825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65" w:type="pct"/>
                  <w:vMerge w:val="restart"/>
                  <w:tcBorders>
                    <w:tl2br w:val="nil"/>
                    <w:tr2bl w:val="nil"/>
                  </w:tcBorders>
                  <w:noWrap w:val="0"/>
                  <w:vAlign w:val="center"/>
                </w:tcPr>
                <w:p>
                  <w:pPr>
                    <w:pStyle w:val="33"/>
                    <w:bidi w:val="0"/>
                    <w:rPr>
                      <w:rFonts w:hint="default"/>
                      <w:b w:val="0"/>
                      <w:bCs w:val="0"/>
                      <w:lang w:val="en-US" w:eastAsia="zh-CN"/>
                    </w:rPr>
                  </w:pPr>
                  <w:r>
                    <w:rPr>
                      <w:rFonts w:hint="eastAsia"/>
                      <w:b w:val="0"/>
                      <w:bCs w:val="0"/>
                      <w:lang w:val="en-US" w:eastAsia="zh-CN"/>
                    </w:rPr>
                    <w:t>MBR</w:t>
                  </w:r>
                </w:p>
              </w:tc>
              <w:tc>
                <w:tcPr>
                  <w:tcW w:w="866" w:type="pct"/>
                  <w:tcBorders>
                    <w:tl2br w:val="nil"/>
                    <w:tr2bl w:val="nil"/>
                  </w:tcBorders>
                  <w:noWrap w:val="0"/>
                  <w:vAlign w:val="center"/>
                </w:tcPr>
                <w:p>
                  <w:pPr>
                    <w:pStyle w:val="33"/>
                    <w:bidi w:val="0"/>
                    <w:rPr>
                      <w:rFonts w:hint="default"/>
                      <w:b w:val="0"/>
                      <w:bCs w:val="0"/>
                      <w:lang w:val="en-US" w:eastAsia="zh-CN"/>
                    </w:rPr>
                  </w:pPr>
                  <w:r>
                    <w:rPr>
                      <w:rFonts w:hint="default"/>
                      <w:b w:val="0"/>
                      <w:bCs w:val="0"/>
                      <w:lang w:val="en-US" w:eastAsia="zh-CN"/>
                    </w:rPr>
                    <w:t>去除率（%）</w:t>
                  </w:r>
                </w:p>
              </w:tc>
              <w:tc>
                <w:tcPr>
                  <w:tcW w:w="808" w:type="pct"/>
                  <w:tcBorders>
                    <w:tl2br w:val="nil"/>
                    <w:tr2bl w:val="nil"/>
                  </w:tcBorders>
                  <w:noWrap w:val="0"/>
                  <w:vAlign w:val="center"/>
                </w:tcPr>
                <w:p>
                  <w:pPr>
                    <w:pStyle w:val="33"/>
                    <w:bidi w:val="0"/>
                    <w:rPr>
                      <w:rFonts w:hint="default"/>
                      <w:lang w:val="en-US" w:eastAsia="zh-CN"/>
                    </w:rPr>
                  </w:pPr>
                  <w:r>
                    <w:rPr>
                      <w:rFonts w:hint="eastAsia"/>
                      <w:lang w:val="en-US" w:eastAsia="zh-CN"/>
                    </w:rPr>
                    <w:t>35</w:t>
                  </w:r>
                  <w:r>
                    <w:rPr>
                      <w:rFonts w:hint="default"/>
                      <w:lang w:val="en-US" w:eastAsia="zh-CN"/>
                    </w:rPr>
                    <w:t>%</w:t>
                  </w:r>
                </w:p>
              </w:tc>
              <w:tc>
                <w:tcPr>
                  <w:tcW w:w="642" w:type="pct"/>
                  <w:tcBorders>
                    <w:tl2br w:val="nil"/>
                    <w:tr2bl w:val="nil"/>
                  </w:tcBorders>
                  <w:noWrap w:val="0"/>
                  <w:vAlign w:val="center"/>
                </w:tcPr>
                <w:p>
                  <w:pPr>
                    <w:pStyle w:val="33"/>
                    <w:bidi w:val="0"/>
                    <w:rPr>
                      <w:rFonts w:hint="default"/>
                      <w:lang w:val="en-US" w:eastAsia="zh-CN"/>
                    </w:rPr>
                  </w:pPr>
                  <w:r>
                    <w:rPr>
                      <w:rFonts w:hint="eastAsia"/>
                      <w:lang w:val="en-US" w:eastAsia="zh-CN"/>
                    </w:rPr>
                    <w:t>35</w:t>
                  </w:r>
                  <w:r>
                    <w:rPr>
                      <w:rFonts w:hint="default"/>
                      <w:lang w:val="en-US" w:eastAsia="zh-CN"/>
                    </w:rPr>
                    <w:t>%</w:t>
                  </w:r>
                </w:p>
              </w:tc>
              <w:tc>
                <w:tcPr>
                  <w:tcW w:w="674" w:type="pct"/>
                  <w:tcBorders>
                    <w:tl2br w:val="nil"/>
                    <w:tr2bl w:val="nil"/>
                  </w:tcBorders>
                  <w:noWrap w:val="0"/>
                  <w:vAlign w:val="center"/>
                </w:tcPr>
                <w:p>
                  <w:pPr>
                    <w:pStyle w:val="33"/>
                    <w:bidi w:val="0"/>
                    <w:rPr>
                      <w:rFonts w:hint="default"/>
                      <w:lang w:val="en-US" w:eastAsia="zh-CN"/>
                    </w:rPr>
                  </w:pPr>
                  <w:r>
                    <w:rPr>
                      <w:rFonts w:hint="eastAsia"/>
                      <w:lang w:val="en-US" w:eastAsia="zh-CN"/>
                    </w:rPr>
                    <w:t>35</w:t>
                  </w:r>
                  <w:r>
                    <w:rPr>
                      <w:rFonts w:hint="default"/>
                      <w:lang w:val="en-US" w:eastAsia="zh-CN"/>
                    </w:rPr>
                    <w:t>%</w:t>
                  </w:r>
                </w:p>
              </w:tc>
              <w:tc>
                <w:tcPr>
                  <w:tcW w:w="661" w:type="pct"/>
                  <w:tcBorders>
                    <w:tl2br w:val="nil"/>
                    <w:tr2bl w:val="nil"/>
                  </w:tcBorders>
                  <w:noWrap w:val="0"/>
                  <w:vAlign w:val="center"/>
                </w:tcPr>
                <w:p>
                  <w:pPr>
                    <w:pStyle w:val="33"/>
                    <w:bidi w:val="0"/>
                    <w:rPr>
                      <w:rFonts w:hint="default"/>
                      <w:lang w:val="en-US" w:eastAsia="zh-CN"/>
                    </w:rPr>
                  </w:pPr>
                  <w:r>
                    <w:rPr>
                      <w:rFonts w:hint="eastAsia"/>
                      <w:lang w:val="en-US" w:eastAsia="zh-CN"/>
                    </w:rPr>
                    <w:t>15%</w:t>
                  </w:r>
                </w:p>
              </w:tc>
              <w:tc>
                <w:tcPr>
                  <w:tcW w:w="582" w:type="pct"/>
                  <w:tcBorders>
                    <w:tl2br w:val="nil"/>
                    <w:tr2bl w:val="nil"/>
                  </w:tcBorders>
                  <w:noWrap w:val="0"/>
                  <w:vAlign w:val="center"/>
                </w:tcPr>
                <w:p>
                  <w:pPr>
                    <w:pStyle w:val="33"/>
                    <w:bidi w:val="0"/>
                    <w:rPr>
                      <w:rFonts w:hint="default"/>
                      <w:lang w:val="en-US" w:eastAsia="zh-CN"/>
                    </w:rPr>
                  </w:pPr>
                  <w:r>
                    <w:rPr>
                      <w:rFonts w:hint="eastAsia"/>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65" w:type="pct"/>
                  <w:vMerge w:val="continue"/>
                  <w:tcBorders>
                    <w:tl2br w:val="nil"/>
                    <w:tr2bl w:val="nil"/>
                  </w:tcBorders>
                  <w:noWrap w:val="0"/>
                  <w:vAlign w:val="center"/>
                </w:tcPr>
                <w:p>
                  <w:pPr>
                    <w:pStyle w:val="33"/>
                    <w:bidi w:val="0"/>
                    <w:rPr>
                      <w:rFonts w:hint="default"/>
                      <w:b w:val="0"/>
                      <w:bCs w:val="0"/>
                      <w:lang w:val="en-US" w:eastAsia="zh-CN"/>
                    </w:rPr>
                  </w:pPr>
                </w:p>
              </w:tc>
              <w:tc>
                <w:tcPr>
                  <w:tcW w:w="866" w:type="pct"/>
                  <w:tcBorders>
                    <w:tl2br w:val="nil"/>
                    <w:tr2bl w:val="nil"/>
                  </w:tcBorders>
                  <w:noWrap w:val="0"/>
                  <w:vAlign w:val="center"/>
                </w:tcPr>
                <w:p>
                  <w:pPr>
                    <w:pStyle w:val="33"/>
                    <w:bidi w:val="0"/>
                    <w:rPr>
                      <w:rFonts w:hint="default"/>
                      <w:b w:val="0"/>
                      <w:bCs w:val="0"/>
                      <w:lang w:val="en-US" w:eastAsia="zh-CN"/>
                    </w:rPr>
                  </w:pPr>
                  <w:r>
                    <w:rPr>
                      <w:rFonts w:hint="default"/>
                      <w:b w:val="0"/>
                      <w:bCs w:val="0"/>
                      <w:lang w:val="en-US" w:eastAsia="zh-CN"/>
                    </w:rPr>
                    <w:t>出水</w:t>
                  </w:r>
                </w:p>
              </w:tc>
              <w:tc>
                <w:tcPr>
                  <w:tcW w:w="808" w:type="pct"/>
                  <w:tcBorders>
                    <w:tl2br w:val="nil"/>
                    <w:tr2bl w:val="nil"/>
                  </w:tcBorders>
                  <w:noWrap w:val="0"/>
                  <w:vAlign w:val="center"/>
                </w:tcPr>
                <w:p>
                  <w:pPr>
                    <w:pStyle w:val="33"/>
                    <w:bidi w:val="0"/>
                    <w:rPr>
                      <w:rFonts w:hint="default"/>
                      <w:lang w:val="en-US" w:eastAsia="zh-CN"/>
                    </w:rPr>
                  </w:pPr>
                  <w:r>
                    <w:rPr>
                      <w:rFonts w:hint="eastAsia"/>
                      <w:lang w:val="en-US" w:eastAsia="zh-CN"/>
                    </w:rPr>
                    <w:t>288.743</w:t>
                  </w:r>
                </w:p>
              </w:tc>
              <w:tc>
                <w:tcPr>
                  <w:tcW w:w="642" w:type="pct"/>
                  <w:tcBorders>
                    <w:tl2br w:val="nil"/>
                    <w:tr2bl w:val="nil"/>
                  </w:tcBorders>
                  <w:noWrap w:val="0"/>
                  <w:vAlign w:val="center"/>
                </w:tcPr>
                <w:p>
                  <w:pPr>
                    <w:pStyle w:val="33"/>
                    <w:bidi w:val="0"/>
                    <w:rPr>
                      <w:rFonts w:hint="default"/>
                      <w:lang w:val="en-US" w:eastAsia="zh-CN"/>
                    </w:rPr>
                  </w:pPr>
                  <w:r>
                    <w:rPr>
                      <w:rFonts w:hint="eastAsia"/>
                      <w:lang w:val="en-US" w:eastAsia="zh-CN"/>
                    </w:rPr>
                    <w:t>96.98</w:t>
                  </w:r>
                </w:p>
              </w:tc>
              <w:tc>
                <w:tcPr>
                  <w:tcW w:w="674" w:type="pct"/>
                  <w:tcBorders>
                    <w:tl2br w:val="nil"/>
                    <w:tr2bl w:val="nil"/>
                  </w:tcBorders>
                  <w:noWrap w:val="0"/>
                  <w:vAlign w:val="center"/>
                </w:tcPr>
                <w:p>
                  <w:pPr>
                    <w:pStyle w:val="33"/>
                    <w:bidi w:val="0"/>
                    <w:rPr>
                      <w:rFonts w:hint="default"/>
                      <w:lang w:val="en-US" w:eastAsia="zh-CN"/>
                    </w:rPr>
                  </w:pPr>
                  <w:r>
                    <w:rPr>
                      <w:rFonts w:hint="eastAsia"/>
                      <w:lang w:val="en-US" w:eastAsia="zh-CN"/>
                    </w:rPr>
                    <w:t>261.05</w:t>
                  </w:r>
                </w:p>
              </w:tc>
              <w:tc>
                <w:tcPr>
                  <w:tcW w:w="661" w:type="pct"/>
                  <w:tcBorders>
                    <w:tl2br w:val="nil"/>
                    <w:tr2bl w:val="nil"/>
                  </w:tcBorders>
                  <w:noWrap w:val="0"/>
                  <w:vAlign w:val="center"/>
                </w:tcPr>
                <w:p>
                  <w:pPr>
                    <w:pStyle w:val="33"/>
                    <w:bidi w:val="0"/>
                    <w:rPr>
                      <w:rFonts w:hint="default"/>
                      <w:lang w:val="en-US" w:eastAsia="zh-CN"/>
                    </w:rPr>
                  </w:pPr>
                  <w:r>
                    <w:rPr>
                      <w:rFonts w:hint="eastAsia"/>
                      <w:lang w:val="en-US" w:eastAsia="zh-CN"/>
                    </w:rPr>
                    <w:t>19.584</w:t>
                  </w:r>
                </w:p>
              </w:tc>
              <w:tc>
                <w:tcPr>
                  <w:tcW w:w="582" w:type="pct"/>
                  <w:tcBorders>
                    <w:tl2br w:val="nil"/>
                    <w:tr2bl w:val="nil"/>
                  </w:tcBorders>
                  <w:noWrap w:val="0"/>
                  <w:vAlign w:val="center"/>
                </w:tcPr>
                <w:p>
                  <w:pPr>
                    <w:pStyle w:val="33"/>
                    <w:bidi w:val="0"/>
                    <w:rPr>
                      <w:rFonts w:hint="default"/>
                      <w:lang w:val="en-US" w:eastAsia="zh-CN"/>
                    </w:rPr>
                  </w:pPr>
                  <w:r>
                    <w:rPr>
                      <w:rFonts w:hint="eastAsia"/>
                      <w:lang w:val="en-US" w:eastAsia="zh-CN"/>
                    </w:rPr>
                    <w:t>8.34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631" w:type="pct"/>
                  <w:gridSpan w:val="2"/>
                  <w:tcBorders>
                    <w:tl2br w:val="nil"/>
                    <w:tr2bl w:val="nil"/>
                  </w:tcBorders>
                  <w:noWrap w:val="0"/>
                  <w:vAlign w:val="center"/>
                </w:tcPr>
                <w:p>
                  <w:pPr>
                    <w:pStyle w:val="33"/>
                    <w:bidi w:val="0"/>
                    <w:rPr>
                      <w:rFonts w:hint="eastAsia"/>
                      <w:b w:val="0"/>
                      <w:bCs w:val="0"/>
                      <w:lang w:val="en-US" w:eastAsia="zh-CN"/>
                    </w:rPr>
                  </w:pPr>
                  <w:r>
                    <w:rPr>
                      <w:rFonts w:hint="eastAsia"/>
                      <w:b w:val="0"/>
                      <w:bCs w:val="0"/>
                    </w:rPr>
                    <w:t>《污水综合排放标准》（GB8978-1996）</w:t>
                  </w:r>
                  <w:r>
                    <w:rPr>
                      <w:rFonts w:hint="eastAsia"/>
                      <w:b w:val="0"/>
                      <w:bCs w:val="0"/>
                      <w:lang w:val="en-US" w:eastAsia="zh-CN"/>
                    </w:rPr>
                    <w:t>《污水排入城镇下水道水质标准》</w:t>
                  </w:r>
                  <w:r>
                    <w:rPr>
                      <w:rFonts w:hint="eastAsia"/>
                      <w:b w:val="0"/>
                      <w:bCs w:val="0"/>
                    </w:rPr>
                    <w:t>（</w:t>
                  </w:r>
                  <w:r>
                    <w:rPr>
                      <w:rFonts w:hint="eastAsia"/>
                      <w:b w:val="0"/>
                      <w:bCs w:val="0"/>
                      <w:lang w:val="en-US" w:eastAsia="zh-CN"/>
                    </w:rPr>
                    <w:t>GB/T31962-2015</w:t>
                  </w:r>
                  <w:r>
                    <w:rPr>
                      <w:rFonts w:hint="eastAsia"/>
                      <w:b w:val="0"/>
                      <w:bCs w:val="0"/>
                    </w:rPr>
                    <w:t>）</w:t>
                  </w:r>
                </w:p>
              </w:tc>
              <w:tc>
                <w:tcPr>
                  <w:tcW w:w="808" w:type="pct"/>
                  <w:tcBorders>
                    <w:tl2br w:val="nil"/>
                    <w:tr2bl w:val="nil"/>
                  </w:tcBorders>
                  <w:noWrap w:val="0"/>
                  <w:vAlign w:val="center"/>
                </w:tcPr>
                <w:p>
                  <w:pPr>
                    <w:pStyle w:val="33"/>
                    <w:bidi w:val="0"/>
                    <w:rPr>
                      <w:rFonts w:hint="default"/>
                      <w:b w:val="0"/>
                      <w:bCs w:val="0"/>
                      <w:lang w:val="en-US" w:eastAsia="zh-CN"/>
                    </w:rPr>
                  </w:pPr>
                  <w:r>
                    <w:rPr>
                      <w:rFonts w:hint="eastAsia"/>
                      <w:b w:val="0"/>
                      <w:bCs w:val="0"/>
                      <w:lang w:val="en-US" w:eastAsia="zh-CN"/>
                    </w:rPr>
                    <w:t>500</w:t>
                  </w:r>
                </w:p>
              </w:tc>
              <w:tc>
                <w:tcPr>
                  <w:tcW w:w="642" w:type="pct"/>
                  <w:tcBorders>
                    <w:tl2br w:val="nil"/>
                    <w:tr2bl w:val="nil"/>
                  </w:tcBorders>
                  <w:noWrap w:val="0"/>
                  <w:vAlign w:val="center"/>
                </w:tcPr>
                <w:p>
                  <w:pPr>
                    <w:pStyle w:val="33"/>
                    <w:bidi w:val="0"/>
                    <w:rPr>
                      <w:rFonts w:hint="default"/>
                      <w:b w:val="0"/>
                      <w:bCs w:val="0"/>
                      <w:lang w:val="en-US" w:eastAsia="zh-CN"/>
                    </w:rPr>
                  </w:pPr>
                  <w:r>
                    <w:rPr>
                      <w:rFonts w:hint="eastAsia"/>
                      <w:b w:val="0"/>
                      <w:bCs w:val="0"/>
                      <w:lang w:val="en-US" w:eastAsia="zh-CN"/>
                    </w:rPr>
                    <w:t>300</w:t>
                  </w:r>
                </w:p>
              </w:tc>
              <w:tc>
                <w:tcPr>
                  <w:tcW w:w="674" w:type="pct"/>
                  <w:tcBorders>
                    <w:tl2br w:val="nil"/>
                    <w:tr2bl w:val="nil"/>
                  </w:tcBorders>
                  <w:noWrap w:val="0"/>
                  <w:vAlign w:val="center"/>
                </w:tcPr>
                <w:p>
                  <w:pPr>
                    <w:pStyle w:val="33"/>
                    <w:bidi w:val="0"/>
                    <w:rPr>
                      <w:rFonts w:hint="default"/>
                      <w:b w:val="0"/>
                      <w:bCs w:val="0"/>
                      <w:lang w:val="en-US" w:eastAsia="zh-CN"/>
                    </w:rPr>
                  </w:pPr>
                  <w:r>
                    <w:rPr>
                      <w:rFonts w:hint="eastAsia"/>
                      <w:b w:val="0"/>
                      <w:bCs w:val="0"/>
                      <w:lang w:val="en-US" w:eastAsia="zh-CN"/>
                    </w:rPr>
                    <w:t>400</w:t>
                  </w:r>
                </w:p>
              </w:tc>
              <w:tc>
                <w:tcPr>
                  <w:tcW w:w="661" w:type="pct"/>
                  <w:tcBorders>
                    <w:tl2br w:val="nil"/>
                    <w:tr2bl w:val="nil"/>
                  </w:tcBorders>
                  <w:noWrap w:val="0"/>
                  <w:vAlign w:val="center"/>
                </w:tcPr>
                <w:p>
                  <w:pPr>
                    <w:pStyle w:val="33"/>
                    <w:bidi w:val="0"/>
                    <w:rPr>
                      <w:rFonts w:hint="default"/>
                      <w:b w:val="0"/>
                      <w:bCs w:val="0"/>
                      <w:lang w:val="en-US" w:eastAsia="zh-CN"/>
                    </w:rPr>
                  </w:pPr>
                  <w:r>
                    <w:rPr>
                      <w:rFonts w:hint="eastAsia"/>
                      <w:b w:val="0"/>
                      <w:bCs w:val="0"/>
                      <w:lang w:val="en-US" w:eastAsia="zh-CN"/>
                    </w:rPr>
                    <w:t>45</w:t>
                  </w:r>
                </w:p>
              </w:tc>
              <w:tc>
                <w:tcPr>
                  <w:tcW w:w="582" w:type="pct"/>
                  <w:tcBorders>
                    <w:tl2br w:val="nil"/>
                    <w:tr2bl w:val="nil"/>
                  </w:tcBorders>
                  <w:noWrap w:val="0"/>
                  <w:vAlign w:val="center"/>
                </w:tcPr>
                <w:p>
                  <w:pPr>
                    <w:pStyle w:val="33"/>
                    <w:bidi w:val="0"/>
                    <w:rPr>
                      <w:rFonts w:hint="default"/>
                      <w:b w:val="0"/>
                      <w:bCs w:val="0"/>
                      <w:lang w:val="en-US" w:eastAsia="zh-CN"/>
                    </w:rPr>
                  </w:pPr>
                  <w:r>
                    <w:rPr>
                      <w:rFonts w:hint="eastAsia"/>
                      <w:b w:val="0"/>
                      <w:bCs w:val="0"/>
                      <w:lang w:val="en-US" w:eastAsia="zh-CN"/>
                    </w:rPr>
                    <w:t>20</w:t>
                  </w:r>
                </w:p>
              </w:tc>
            </w:tr>
          </w:tbl>
          <w:p>
            <w:pPr>
              <w:pStyle w:val="22"/>
              <w:bidi w:val="0"/>
              <w:jc w:val="both"/>
            </w:pPr>
            <w:r>
              <w:rPr>
                <w:lang w:val="en-US" w:eastAsia="zh-CN"/>
              </w:rPr>
              <w:t>本项目洗涤废水经过上述工艺处理后，可以达到《污水综合排放标准》</w:t>
            </w:r>
            <w:r>
              <w:rPr>
                <w:rFonts w:hint="default"/>
                <w:lang w:val="en-US" w:eastAsia="zh-CN"/>
              </w:rPr>
              <w:t>（GB8978-1996）表4中三级标准</w:t>
            </w:r>
            <w:r>
              <w:rPr>
                <w:rFonts w:hint="eastAsia"/>
                <w:lang w:val="en-US" w:eastAsia="zh-CN"/>
              </w:rPr>
              <w:t>及</w:t>
            </w:r>
            <w:r>
              <w:rPr>
                <w:rFonts w:hint="eastAsia"/>
                <w:b w:val="0"/>
                <w:bCs w:val="0"/>
                <w:lang w:val="en-US" w:eastAsia="zh-CN"/>
              </w:rPr>
              <w:t>《污水排入城镇下水道水质标准》</w:t>
            </w:r>
            <w:r>
              <w:rPr>
                <w:rFonts w:hint="eastAsia"/>
                <w:b w:val="0"/>
                <w:bCs w:val="0"/>
              </w:rPr>
              <w:t>（</w:t>
            </w:r>
            <w:r>
              <w:rPr>
                <w:rFonts w:hint="eastAsia"/>
                <w:b w:val="0"/>
                <w:bCs w:val="0"/>
                <w:lang w:val="en-US" w:eastAsia="zh-CN"/>
              </w:rPr>
              <w:t>GB/T31962-2015</w:t>
            </w:r>
            <w:r>
              <w:rPr>
                <w:rFonts w:hint="eastAsia"/>
                <w:b w:val="0"/>
                <w:bCs w:val="0"/>
              </w:rPr>
              <w:t>）</w:t>
            </w:r>
            <w:r>
              <w:rPr>
                <w:rFonts w:hint="eastAsia"/>
                <w:b w:val="0"/>
                <w:bCs w:val="0"/>
                <w:lang w:val="en-US" w:eastAsia="zh-CN"/>
              </w:rPr>
              <w:t>B级标准</w:t>
            </w:r>
            <w:r>
              <w:rPr>
                <w:rFonts w:hint="default"/>
                <w:lang w:val="en-US" w:eastAsia="zh-CN"/>
              </w:rPr>
              <w:t>和</w:t>
            </w:r>
            <w:r>
              <w:rPr>
                <w:rFonts w:hint="eastAsia"/>
                <w:lang w:val="en-US" w:eastAsia="zh-CN"/>
              </w:rPr>
              <w:t>吉木萨尔县第二污水处理厂</w:t>
            </w:r>
            <w:r>
              <w:rPr>
                <w:rFonts w:hint="default"/>
                <w:lang w:val="en-US" w:eastAsia="zh-CN"/>
              </w:rPr>
              <w:t>进水水质标准，与项目</w:t>
            </w:r>
            <w:r>
              <w:rPr>
                <w:rFonts w:hint="eastAsia"/>
                <w:lang w:val="en-US" w:eastAsia="zh-CN"/>
              </w:rPr>
              <w:t>锅炉废水、软水制备废水</w:t>
            </w:r>
            <w:r>
              <w:rPr>
                <w:rFonts w:hint="default"/>
                <w:lang w:val="en-US" w:eastAsia="zh-CN"/>
              </w:rPr>
              <w:t>一起经污水管网排入</w:t>
            </w:r>
            <w:r>
              <w:rPr>
                <w:rFonts w:hint="eastAsia"/>
                <w:lang w:val="en-US" w:eastAsia="zh-CN"/>
              </w:rPr>
              <w:t>吉木萨尔县第二污水处理厂</w:t>
            </w:r>
            <w:r>
              <w:rPr>
                <w:rFonts w:hint="default"/>
                <w:lang w:val="en-US" w:eastAsia="zh-CN"/>
              </w:rPr>
              <w:t>。</w:t>
            </w:r>
          </w:p>
          <w:p>
            <w:pPr>
              <w:pStyle w:val="22"/>
              <w:numPr>
                <w:ilvl w:val="0"/>
                <w:numId w:val="0"/>
              </w:numPr>
              <w:bidi w:val="0"/>
              <w:ind w:leftChars="200"/>
              <w:jc w:val="both"/>
              <w:rPr>
                <w:rFonts w:hint="eastAsia" w:eastAsia="宋体"/>
                <w:color w:val="auto"/>
                <w:lang w:val="en-US" w:eastAsia="zh-CN"/>
              </w:rPr>
            </w:pPr>
            <w:r>
              <w:rPr>
                <w:rFonts w:hint="eastAsia" w:ascii="Times New Roman" w:hAnsi="Times New Roman" w:cs="Times New Roman"/>
                <w:color w:val="auto"/>
                <w:sz w:val="24"/>
                <w:szCs w:val="32"/>
                <w:lang w:val="en-US" w:eastAsia="zh-CN"/>
              </w:rPr>
              <w:t>（2）</w:t>
            </w:r>
            <w:r>
              <w:rPr>
                <w:rFonts w:hint="default" w:ascii="Times New Roman" w:hAnsi="Times New Roman" w:cs="Times New Roman"/>
                <w:color w:val="auto"/>
                <w:sz w:val="24"/>
                <w:szCs w:val="32"/>
                <w:lang w:val="en-US" w:eastAsia="zh-CN"/>
              </w:rPr>
              <w:t>锅炉排污水</w:t>
            </w:r>
          </w:p>
          <w:p>
            <w:pPr>
              <w:pStyle w:val="22"/>
              <w:ind w:firstLine="480"/>
              <w:jc w:val="both"/>
              <w:rPr>
                <w:rFonts w:hint="eastAsia" w:ascii="Times New Roman" w:hAnsi="Times New Roman" w:cs="Times New Roman"/>
                <w:color w:val="auto"/>
                <w:sz w:val="24"/>
                <w:szCs w:val="32"/>
                <w:lang w:val="en-US" w:eastAsia="zh-CN"/>
              </w:rPr>
            </w:pPr>
            <w:r>
              <w:rPr>
                <w:rFonts w:hint="default" w:ascii="Times New Roman" w:hAnsi="Times New Roman" w:cs="Times New Roman"/>
                <w:color w:val="auto"/>
                <w:sz w:val="24"/>
                <w:szCs w:val="32"/>
              </w:rPr>
              <w:t>锅炉排污量约为额定蒸发量的0.5%，锅炉排污</w:t>
            </w:r>
            <w:r>
              <w:rPr>
                <w:rFonts w:hint="eastAsia" w:ascii="Times New Roman" w:hAnsi="Times New Roman" w:cs="Times New Roman"/>
                <w:color w:val="auto"/>
                <w:sz w:val="24"/>
                <w:szCs w:val="32"/>
                <w:lang w:val="en-US" w:eastAsia="zh-CN"/>
              </w:rPr>
              <w:t>水量为0.01</w:t>
            </w:r>
            <w:r>
              <w:rPr>
                <w:rFonts w:hint="default" w:ascii="Times New Roman" w:hAnsi="Times New Roman" w:cs="Times New Roman"/>
                <w:color w:val="auto"/>
                <w:sz w:val="24"/>
                <w:szCs w:val="32"/>
              </w:rPr>
              <w:t>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/d（</w:t>
            </w:r>
            <w:r>
              <w:rPr>
                <w:rFonts w:hint="eastAsia" w:ascii="Times New Roman" w:hAnsi="Times New Roman" w:cs="Times New Roman"/>
                <w:color w:val="auto"/>
                <w:sz w:val="24"/>
                <w:szCs w:val="32"/>
                <w:lang w:val="en-US" w:eastAsia="zh-CN"/>
              </w:rPr>
              <w:t>3</w:t>
            </w:r>
            <w:r>
              <w:rPr>
                <w:rFonts w:hint="default" w:ascii="Times New Roman" w:hAnsi="Times New Roman" w:cs="Times New Roman"/>
                <w:color w:val="auto"/>
                <w:sz w:val="24"/>
                <w:szCs w:val="32"/>
              </w:rPr>
              <w:t>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/a）</w:t>
            </w:r>
            <w:r>
              <w:rPr>
                <w:rFonts w:hint="eastAsia" w:ascii="Times New Roman" w:hAnsi="Times New Roman" w:cs="Times New Roman"/>
                <w:color w:val="auto"/>
                <w:sz w:val="24"/>
                <w:szCs w:val="32"/>
                <w:lang w:eastAsia="zh-CN"/>
              </w:rPr>
              <w:t>，</w:t>
            </w:r>
            <w:r>
              <w:rPr>
                <w:rFonts w:hint="eastAsia" w:ascii="Times New Roman" w:hAnsi="Times New Roman" w:cs="Times New Roman"/>
                <w:color w:val="auto"/>
                <w:sz w:val="24"/>
                <w:szCs w:val="32"/>
                <w:lang w:val="en-US" w:eastAsia="zh-CN"/>
              </w:rPr>
              <w:t>排入园区污水管网；</w:t>
            </w:r>
          </w:p>
          <w:p>
            <w:pPr>
              <w:pStyle w:val="22"/>
              <w:numPr>
                <w:ilvl w:val="0"/>
                <w:numId w:val="0"/>
              </w:numPr>
              <w:ind w:leftChars="200"/>
              <w:jc w:val="both"/>
              <w:rPr>
                <w:rFonts w:hint="eastAsia"/>
                <w:color w:val="auto"/>
                <w:highlight w:val="none"/>
                <w:lang w:val="en-US" w:eastAsia="zh-CN"/>
              </w:rPr>
            </w:pPr>
            <w:r>
              <w:rPr>
                <w:rFonts w:hint="eastAsia"/>
                <w:color w:val="auto"/>
                <w:highlight w:val="none"/>
                <w:lang w:val="en-US" w:eastAsia="zh-CN"/>
              </w:rPr>
              <w:t>（3）软水制备废水</w:t>
            </w:r>
          </w:p>
          <w:p>
            <w:pPr>
              <w:pStyle w:val="22"/>
              <w:bidi w:val="0"/>
              <w:jc w:val="both"/>
              <w:rPr>
                <w:rFonts w:hint="eastAsia"/>
                <w:color w:val="auto"/>
                <w:lang w:eastAsia="zh-CN"/>
              </w:rPr>
            </w:pPr>
            <w:r>
              <w:rPr>
                <w:rFonts w:hint="default"/>
              </w:rPr>
              <w:t>项目离子交换树脂约1周进行1次反冲洗，耗水量为软水制备量的5%，则</w:t>
            </w:r>
            <w:r>
              <w:rPr>
                <w:rFonts w:hint="eastAsia"/>
                <w:color w:val="auto"/>
                <w:highlight w:val="none"/>
                <w:lang w:val="en-US" w:eastAsia="zh-CN"/>
              </w:rPr>
              <w:t>软水制备废水</w:t>
            </w:r>
            <w:r>
              <w:rPr>
                <w:rFonts w:hint="default"/>
              </w:rPr>
              <w:t>为</w:t>
            </w:r>
            <w:r>
              <w:rPr>
                <w:rFonts w:hint="eastAsia"/>
                <w:lang w:val="en-US" w:eastAsia="zh-CN"/>
              </w:rPr>
              <w:t>0.84</w:t>
            </w:r>
            <w:r>
              <w:rPr>
                <w:rFonts w:hint="default"/>
              </w:rPr>
              <w:t>m</w:t>
            </w:r>
            <w:r>
              <w:rPr>
                <w:rFonts w:hint="default"/>
                <w:vertAlign w:val="superscript"/>
              </w:rPr>
              <w:t>3</w:t>
            </w:r>
            <w:r>
              <w:rPr>
                <w:rFonts w:hint="default"/>
              </w:rPr>
              <w:t>/d（</w:t>
            </w:r>
            <w:r>
              <w:rPr>
                <w:rFonts w:hint="eastAsia"/>
                <w:lang w:val="en-US" w:eastAsia="zh-CN"/>
              </w:rPr>
              <w:t>252</w:t>
            </w:r>
            <w:r>
              <w:rPr>
                <w:rFonts w:hint="default"/>
              </w:rPr>
              <w:t>m</w:t>
            </w:r>
            <w:r>
              <w:rPr>
                <w:rFonts w:hint="default"/>
                <w:vertAlign w:val="superscript"/>
              </w:rPr>
              <w:t>3</w:t>
            </w:r>
            <w:r>
              <w:rPr>
                <w:rFonts w:hint="default"/>
              </w:rPr>
              <w:t>/a）</w:t>
            </w:r>
            <w:r>
              <w:rPr>
                <w:rFonts w:hint="eastAsia" w:ascii="Times New Roman" w:hAnsi="Times New Roman" w:cs="Times New Roman"/>
                <w:color w:val="auto"/>
                <w:sz w:val="24"/>
                <w:szCs w:val="32"/>
                <w:lang w:eastAsia="zh-CN"/>
              </w:rPr>
              <w:t>，</w:t>
            </w:r>
            <w:r>
              <w:rPr>
                <w:rFonts w:hint="eastAsia" w:ascii="Times New Roman" w:hAnsi="Times New Roman" w:cs="Times New Roman"/>
                <w:color w:val="auto"/>
                <w:sz w:val="24"/>
                <w:szCs w:val="32"/>
                <w:lang w:val="en-US" w:eastAsia="zh-CN"/>
              </w:rPr>
              <w:t>排入园区污水管网；</w:t>
            </w:r>
          </w:p>
          <w:p>
            <w:pPr>
              <w:pStyle w:val="7"/>
              <w:bidi w:val="0"/>
              <w:jc w:val="both"/>
              <w:rPr>
                <w:rFonts w:hint="default"/>
                <w:lang w:val="en-US" w:eastAsia="zh-CN"/>
              </w:rPr>
            </w:pPr>
            <w:r>
              <w:rPr>
                <w:rFonts w:hint="eastAsia"/>
                <w:lang w:val="en-US" w:eastAsia="zh-CN"/>
              </w:rPr>
              <w:t xml:space="preserve">1.2 </w:t>
            </w:r>
            <w:r>
              <w:rPr>
                <w:rFonts w:hint="default"/>
                <w:lang w:val="en-US" w:eastAsia="zh-CN"/>
              </w:rPr>
              <w:t>废水污染物治理措施的可行性分析</w:t>
            </w:r>
          </w:p>
          <w:p>
            <w:pPr>
              <w:pStyle w:val="7"/>
              <w:bidi w:val="0"/>
              <w:jc w:val="both"/>
              <w:rPr>
                <w:rFonts w:hint="eastAsia" w:ascii="Times New Roman" w:hAnsi="Times New Roman" w:eastAsia="宋体"/>
                <w:lang w:val="en-US" w:eastAsia="zh-CN"/>
              </w:rPr>
            </w:pPr>
            <w:r>
              <w:rPr>
                <w:rFonts w:hint="eastAsia" w:ascii="Times New Roman" w:hAnsi="Times New Roman" w:eastAsia="宋体"/>
                <w:lang w:val="en-US" w:eastAsia="zh-CN"/>
              </w:rPr>
              <w:t>1.2.1生产废水处理的可行性</w:t>
            </w:r>
          </w:p>
          <w:p>
            <w:pPr>
              <w:pStyle w:val="22"/>
              <w:bidi w:val="0"/>
              <w:jc w:val="both"/>
              <w:rPr>
                <w:rFonts w:hint="default"/>
                <w:lang w:val="en-US" w:eastAsia="zh-CN"/>
              </w:rPr>
            </w:pPr>
            <w:r>
              <w:rPr>
                <w:rFonts w:hint="default"/>
              </w:rPr>
              <w:t xml:space="preserve">根据《排污许可证申请与核发技术规范 总则》、《排污许可证申请与核发技术规范 </w:t>
            </w:r>
            <w:r>
              <w:rPr>
                <w:rFonts w:hint="default"/>
                <w:lang w:val="en-US" w:eastAsia="zh-CN"/>
              </w:rPr>
              <w:t>水处理（试行）</w:t>
            </w:r>
            <w:r>
              <w:rPr>
                <w:rFonts w:hint="default"/>
              </w:rPr>
              <w:t>》（HJ9</w:t>
            </w:r>
            <w:r>
              <w:rPr>
                <w:rFonts w:hint="default"/>
                <w:lang w:val="en-US" w:eastAsia="zh-CN"/>
              </w:rPr>
              <w:t>78</w:t>
            </w:r>
            <w:r>
              <w:rPr>
                <w:rFonts w:hint="default"/>
              </w:rPr>
              <w:t>-2018），</w:t>
            </w:r>
            <w:r>
              <w:rPr>
                <w:rFonts w:hint="default"/>
                <w:lang w:val="en-US" w:eastAsia="zh-CN"/>
              </w:rPr>
              <w:t>具体废水污染治理设施技术如下表：</w:t>
            </w:r>
          </w:p>
          <w:p>
            <w:pPr>
              <w:pStyle w:val="32"/>
              <w:bidi w:val="0"/>
              <w:ind w:firstLine="0" w:firstLineChars="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表4-</w:t>
            </w:r>
            <w:r>
              <w:rPr>
                <w:rFonts w:hint="eastAsia" w:cs="Times New Roman"/>
                <w:highlight w:val="none"/>
                <w:lang w:val="en-US" w:eastAsia="zh-CN"/>
              </w:rPr>
              <w:t>3</w:t>
            </w:r>
            <w:r>
              <w:rPr>
                <w:rFonts w:hint="default" w:ascii="Times New Roman" w:hAnsi="Times New Roman" w:eastAsia="宋体" w:cs="Times New Roman"/>
                <w:highlight w:val="none"/>
                <w:lang w:val="en-US" w:eastAsia="zh-CN"/>
              </w:rPr>
              <w:t xml:space="preserve">  项目废水污染治理设施技术可行性分析</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Layout w:type="fixed"/>
              <w:tblCellMar>
                <w:top w:w="57" w:type="dxa"/>
                <w:left w:w="108" w:type="dxa"/>
                <w:bottom w:w="57" w:type="dxa"/>
                <w:right w:w="108" w:type="dxa"/>
              </w:tblCellMar>
            </w:tblPr>
            <w:tblGrid>
              <w:gridCol w:w="368"/>
              <w:gridCol w:w="422"/>
              <w:gridCol w:w="1056"/>
              <w:gridCol w:w="664"/>
              <w:gridCol w:w="2858"/>
              <w:gridCol w:w="1708"/>
              <w:gridCol w:w="790"/>
            </w:tblGrid>
            <w:tr>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57" w:type="dxa"/>
                  <w:left w:w="108" w:type="dxa"/>
                  <w:bottom w:w="57" w:type="dxa"/>
                  <w:right w:w="108" w:type="dxa"/>
                </w:tblCellMar>
              </w:tblPrEx>
              <w:trPr>
                <w:trHeight w:val="0" w:hRule="atLeast"/>
                <w:jc w:val="center"/>
              </w:trPr>
              <w:tc>
                <w:tcPr>
                  <w:tcW w:w="502" w:type="pct"/>
                  <w:gridSpan w:val="2"/>
                  <w:vMerge w:val="restart"/>
                  <w:noWrap w:val="0"/>
                  <w:vAlign w:val="center"/>
                </w:tcPr>
                <w:p>
                  <w:pPr>
                    <w:pStyle w:val="33"/>
                    <w:bidi w:val="0"/>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lang w:val="en-US" w:eastAsia="zh-CN"/>
                    </w:rPr>
                    <w:t>废水类别</w:t>
                  </w:r>
                </w:p>
              </w:tc>
              <w:tc>
                <w:tcPr>
                  <w:tcW w:w="671" w:type="pct"/>
                  <w:vMerge w:val="restart"/>
                  <w:noWrap w:val="0"/>
                  <w:vAlign w:val="center"/>
                </w:tcPr>
                <w:p>
                  <w:pPr>
                    <w:pStyle w:val="33"/>
                    <w:bidi w:val="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主要污染物项目</w:t>
                  </w:r>
                </w:p>
              </w:tc>
              <w:tc>
                <w:tcPr>
                  <w:tcW w:w="422" w:type="pct"/>
                  <w:vMerge w:val="restart"/>
                  <w:noWrap w:val="0"/>
                  <w:vAlign w:val="center"/>
                </w:tcPr>
                <w:p>
                  <w:pPr>
                    <w:pStyle w:val="33"/>
                    <w:bidi w:val="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废水排放去向</w:t>
                  </w:r>
                </w:p>
              </w:tc>
              <w:tc>
                <w:tcPr>
                  <w:tcW w:w="1816" w:type="pct"/>
                  <w:noWrap w:val="0"/>
                  <w:vAlign w:val="center"/>
                </w:tcPr>
                <w:p>
                  <w:pPr>
                    <w:pStyle w:val="33"/>
                    <w:bidi w:val="0"/>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可行技术依据</w:t>
                  </w:r>
                </w:p>
              </w:tc>
              <w:tc>
                <w:tcPr>
                  <w:tcW w:w="1085" w:type="pct"/>
                  <w:vMerge w:val="restart"/>
                  <w:noWrap w:val="0"/>
                  <w:vAlign w:val="center"/>
                </w:tcPr>
                <w:p>
                  <w:pPr>
                    <w:pStyle w:val="33"/>
                    <w:bidi w:val="0"/>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本项目污染治理设施</w:t>
                  </w:r>
                </w:p>
              </w:tc>
              <w:tc>
                <w:tcPr>
                  <w:tcW w:w="502" w:type="pct"/>
                  <w:vMerge w:val="restart"/>
                  <w:noWrap w:val="0"/>
                  <w:vAlign w:val="center"/>
                </w:tcPr>
                <w:p>
                  <w:pPr>
                    <w:pStyle w:val="33"/>
                    <w:bidi w:val="0"/>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可行性分析</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57" w:type="dxa"/>
                  <w:left w:w="108" w:type="dxa"/>
                  <w:bottom w:w="57" w:type="dxa"/>
                  <w:right w:w="108" w:type="dxa"/>
                </w:tblCellMar>
              </w:tblPrEx>
              <w:trPr>
                <w:trHeight w:val="0" w:hRule="atLeast"/>
                <w:jc w:val="center"/>
              </w:trPr>
              <w:tc>
                <w:tcPr>
                  <w:tcW w:w="502" w:type="pct"/>
                  <w:gridSpan w:val="2"/>
                  <w:vMerge w:val="continue"/>
                  <w:noWrap w:val="0"/>
                  <w:vAlign w:val="center"/>
                </w:tcPr>
                <w:p>
                  <w:pPr>
                    <w:pStyle w:val="33"/>
                    <w:bidi w:val="0"/>
                    <w:rPr>
                      <w:rFonts w:hint="default" w:ascii="Times New Roman" w:hAnsi="Times New Roman" w:eastAsia="宋体" w:cs="Times New Roman"/>
                      <w:b w:val="0"/>
                      <w:bCs w:val="0"/>
                      <w:highlight w:val="none"/>
                    </w:rPr>
                  </w:pPr>
                </w:p>
              </w:tc>
              <w:tc>
                <w:tcPr>
                  <w:tcW w:w="671" w:type="pct"/>
                  <w:vMerge w:val="continue"/>
                  <w:noWrap w:val="0"/>
                  <w:vAlign w:val="center"/>
                </w:tcPr>
                <w:p>
                  <w:pPr>
                    <w:pStyle w:val="33"/>
                    <w:bidi w:val="0"/>
                    <w:rPr>
                      <w:rFonts w:hint="default" w:ascii="Times New Roman" w:hAnsi="Times New Roman" w:eastAsia="宋体" w:cs="Times New Roman"/>
                      <w:b w:val="0"/>
                      <w:bCs w:val="0"/>
                      <w:highlight w:val="none"/>
                    </w:rPr>
                  </w:pPr>
                </w:p>
              </w:tc>
              <w:tc>
                <w:tcPr>
                  <w:tcW w:w="422" w:type="pct"/>
                  <w:vMerge w:val="continue"/>
                  <w:noWrap w:val="0"/>
                  <w:vAlign w:val="center"/>
                </w:tcPr>
                <w:p>
                  <w:pPr>
                    <w:pStyle w:val="33"/>
                    <w:bidi w:val="0"/>
                    <w:rPr>
                      <w:rFonts w:hint="default" w:ascii="Times New Roman" w:hAnsi="Times New Roman" w:eastAsia="宋体" w:cs="Times New Roman"/>
                      <w:b w:val="0"/>
                      <w:bCs w:val="0"/>
                      <w:highlight w:val="none"/>
                    </w:rPr>
                  </w:pPr>
                </w:p>
              </w:tc>
              <w:tc>
                <w:tcPr>
                  <w:tcW w:w="1816" w:type="pct"/>
                  <w:noWrap w:val="0"/>
                  <w:vAlign w:val="center"/>
                </w:tcPr>
                <w:p>
                  <w:pPr>
                    <w:pStyle w:val="33"/>
                    <w:bidi w:val="0"/>
                    <w:rPr>
                      <w:rFonts w:hint="default" w:ascii="Times New Roman" w:hAnsi="Times New Roman" w:eastAsia="宋体" w:cs="Times New Roman"/>
                      <w:b w:val="0"/>
                      <w:bCs w:val="0"/>
                      <w:highlight w:val="none"/>
                    </w:rPr>
                  </w:pPr>
                  <w:r>
                    <w:rPr>
                      <w:rFonts w:hint="default" w:ascii="Times New Roman" w:hAnsi="Times New Roman" w:eastAsia="宋体" w:cs="Times New Roman"/>
                      <w:b/>
                      <w:bCs/>
                      <w:highlight w:val="none"/>
                    </w:rPr>
                    <w:t>污染治理设施名称</w:t>
                  </w:r>
                </w:p>
              </w:tc>
              <w:tc>
                <w:tcPr>
                  <w:tcW w:w="1085" w:type="pct"/>
                  <w:vMerge w:val="continue"/>
                  <w:noWrap w:val="0"/>
                  <w:vAlign w:val="center"/>
                </w:tcPr>
                <w:p>
                  <w:pPr>
                    <w:pStyle w:val="33"/>
                    <w:bidi w:val="0"/>
                    <w:rPr>
                      <w:rFonts w:hint="default" w:ascii="Times New Roman" w:hAnsi="Times New Roman" w:eastAsia="宋体" w:cs="Times New Roman"/>
                      <w:b w:val="0"/>
                      <w:bCs w:val="0"/>
                      <w:highlight w:val="none"/>
                    </w:rPr>
                  </w:pPr>
                </w:p>
              </w:tc>
              <w:tc>
                <w:tcPr>
                  <w:tcW w:w="502" w:type="pct"/>
                  <w:vMerge w:val="continue"/>
                  <w:noWrap w:val="0"/>
                  <w:vAlign w:val="center"/>
                </w:tcPr>
                <w:p>
                  <w:pPr>
                    <w:pStyle w:val="33"/>
                    <w:bidi w:val="0"/>
                    <w:rPr>
                      <w:rFonts w:hint="default" w:ascii="Times New Roman" w:hAnsi="Times New Roman" w:eastAsia="宋体" w:cs="Times New Roman"/>
                      <w:b w:val="0"/>
                      <w:bCs w:val="0"/>
                      <w:highlight w:val="none"/>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57" w:type="dxa"/>
                  <w:left w:w="108" w:type="dxa"/>
                  <w:bottom w:w="57" w:type="dxa"/>
                  <w:right w:w="108" w:type="dxa"/>
                </w:tblCellMar>
              </w:tblPrEx>
              <w:trPr>
                <w:trHeight w:val="0" w:hRule="atLeast"/>
                <w:jc w:val="center"/>
              </w:trPr>
              <w:tc>
                <w:tcPr>
                  <w:tcW w:w="234" w:type="pct"/>
                  <w:noWrap w:val="0"/>
                  <w:vAlign w:val="center"/>
                </w:tcPr>
                <w:p>
                  <w:pPr>
                    <w:pStyle w:val="33"/>
                    <w:bidi w:val="0"/>
                    <w:rPr>
                      <w:rFonts w:hint="default" w:ascii="Times New Roman" w:hAnsi="Times New Roman" w:eastAsia="宋体" w:cs="Times New Roman"/>
                      <w:b w:val="0"/>
                      <w:bCs w:val="0"/>
                      <w:highlight w:val="none"/>
                      <w:lang w:val="en-US" w:eastAsia="zh-CN"/>
                    </w:rPr>
                  </w:pPr>
                  <w:r>
                    <w:rPr>
                      <w:rFonts w:hint="default" w:ascii="Times New Roman" w:hAnsi="Times New Roman" w:eastAsia="宋体" w:cs="Times New Roman"/>
                      <w:b w:val="0"/>
                      <w:bCs w:val="0"/>
                      <w:highlight w:val="none"/>
                      <w:lang w:val="en-US" w:eastAsia="zh-CN"/>
                    </w:rPr>
                    <w:t>生产废水</w:t>
                  </w:r>
                </w:p>
              </w:tc>
              <w:tc>
                <w:tcPr>
                  <w:tcW w:w="268" w:type="pct"/>
                  <w:noWrap w:val="0"/>
                  <w:vAlign w:val="center"/>
                </w:tcPr>
                <w:p>
                  <w:pPr>
                    <w:pStyle w:val="33"/>
                    <w:bidi w:val="0"/>
                    <w:rPr>
                      <w:rFonts w:hint="default" w:ascii="Times New Roman" w:hAnsi="Times New Roman" w:eastAsia="宋体" w:cs="Times New Roman"/>
                      <w:b w:val="0"/>
                      <w:bCs w:val="0"/>
                      <w:highlight w:val="none"/>
                      <w:lang w:val="en-US" w:eastAsia="zh-CN"/>
                    </w:rPr>
                  </w:pPr>
                  <w:r>
                    <w:rPr>
                      <w:rFonts w:hint="default" w:ascii="Times New Roman" w:hAnsi="Times New Roman" w:eastAsia="宋体" w:cs="Times New Roman"/>
                      <w:b w:val="0"/>
                      <w:bCs w:val="0"/>
                      <w:highlight w:val="none"/>
                      <w:lang w:val="en-US" w:eastAsia="zh-CN"/>
                    </w:rPr>
                    <w:t>洗涤废水</w:t>
                  </w:r>
                </w:p>
              </w:tc>
              <w:tc>
                <w:tcPr>
                  <w:tcW w:w="671" w:type="pct"/>
                  <w:noWrap w:val="0"/>
                  <w:vAlign w:val="center"/>
                </w:tcPr>
                <w:p>
                  <w:pPr>
                    <w:pStyle w:val="33"/>
                    <w:bidi w:val="0"/>
                    <w:jc w:val="left"/>
                    <w:rPr>
                      <w:rFonts w:hint="default" w:ascii="Times New Roman" w:hAnsi="Times New Roman" w:eastAsia="宋体" w:cs="Times New Roman"/>
                      <w:b w:val="0"/>
                      <w:bCs w:val="0"/>
                      <w:highlight w:val="none"/>
                      <w:lang w:val="en-US" w:eastAsia="zh-CN"/>
                    </w:rPr>
                  </w:pPr>
                  <w:r>
                    <w:rPr>
                      <w:rFonts w:hint="default" w:ascii="Times New Roman" w:hAnsi="Times New Roman" w:eastAsia="宋体" w:cs="Times New Roman"/>
                      <w:b w:val="0"/>
                      <w:bCs w:val="0"/>
                      <w:highlight w:val="none"/>
                      <w:lang w:val="en-US" w:eastAsia="zh-CN"/>
                    </w:rPr>
                    <w:t>CODCr、BOD</w:t>
                  </w:r>
                  <w:r>
                    <w:rPr>
                      <w:rFonts w:hint="default" w:ascii="Times New Roman" w:hAnsi="Times New Roman" w:eastAsia="宋体" w:cs="Times New Roman"/>
                      <w:b w:val="0"/>
                      <w:bCs w:val="0"/>
                      <w:highlight w:val="none"/>
                      <w:vertAlign w:val="subscript"/>
                      <w:lang w:val="en-US" w:eastAsia="zh-CN"/>
                    </w:rPr>
                    <w:t>5</w:t>
                  </w:r>
                  <w:r>
                    <w:rPr>
                      <w:rFonts w:hint="default" w:ascii="Times New Roman" w:hAnsi="Times New Roman" w:eastAsia="宋体" w:cs="Times New Roman"/>
                      <w:b w:val="0"/>
                      <w:bCs w:val="0"/>
                      <w:highlight w:val="none"/>
                      <w:lang w:val="en-US" w:eastAsia="zh-CN"/>
                    </w:rPr>
                    <w:t>、SS、NH</w:t>
                  </w:r>
                  <w:r>
                    <w:rPr>
                      <w:rFonts w:hint="default" w:ascii="Times New Roman" w:hAnsi="Times New Roman" w:eastAsia="宋体" w:cs="Times New Roman"/>
                      <w:b w:val="0"/>
                      <w:bCs w:val="0"/>
                      <w:highlight w:val="none"/>
                      <w:vertAlign w:val="subscript"/>
                      <w:lang w:val="en-US" w:eastAsia="zh-CN"/>
                    </w:rPr>
                    <w:t>3</w:t>
                  </w:r>
                  <w:r>
                    <w:rPr>
                      <w:rFonts w:hint="default" w:ascii="Times New Roman" w:hAnsi="Times New Roman" w:eastAsia="宋体" w:cs="Times New Roman"/>
                      <w:b w:val="0"/>
                      <w:bCs w:val="0"/>
                      <w:highlight w:val="none"/>
                      <w:lang w:val="en-US" w:eastAsia="zh-CN"/>
                    </w:rPr>
                    <w:t>-N、LAS</w:t>
                  </w:r>
                </w:p>
              </w:tc>
              <w:tc>
                <w:tcPr>
                  <w:tcW w:w="422" w:type="pct"/>
                  <w:noWrap w:val="0"/>
                  <w:vAlign w:val="center"/>
                </w:tcPr>
                <w:p>
                  <w:pPr>
                    <w:pStyle w:val="33"/>
                    <w:bidi w:val="0"/>
                    <w:rPr>
                      <w:rFonts w:hint="default" w:ascii="Times New Roman" w:hAnsi="Times New Roman" w:eastAsia="宋体" w:cs="Times New Roman"/>
                      <w:b w:val="0"/>
                      <w:bCs w:val="0"/>
                      <w:highlight w:val="none"/>
                      <w:lang w:val="en-US" w:eastAsia="zh-CN"/>
                    </w:rPr>
                  </w:pPr>
                  <w:r>
                    <w:rPr>
                      <w:rFonts w:hint="default" w:ascii="Times New Roman" w:hAnsi="Times New Roman" w:eastAsia="宋体" w:cs="Times New Roman"/>
                      <w:b w:val="0"/>
                      <w:bCs w:val="0"/>
                      <w:highlight w:val="none"/>
                      <w:lang w:val="en-US" w:eastAsia="zh-CN"/>
                    </w:rPr>
                    <w:t>间接排放</w:t>
                  </w:r>
                </w:p>
              </w:tc>
              <w:tc>
                <w:tcPr>
                  <w:tcW w:w="1816" w:type="pct"/>
                  <w:noWrap w:val="0"/>
                  <w:vAlign w:val="center"/>
                </w:tcPr>
                <w:p>
                  <w:pPr>
                    <w:pStyle w:val="33"/>
                    <w:bidi w:val="0"/>
                    <w:jc w:val="left"/>
                    <w:rPr>
                      <w:rFonts w:hint="default" w:ascii="Times New Roman" w:hAnsi="Times New Roman" w:eastAsia="宋体" w:cs="Times New Roman"/>
                      <w:b w:val="0"/>
                      <w:bCs w:val="0"/>
                      <w:highlight w:val="none"/>
                      <w:lang w:val="en-US" w:eastAsia="zh-CN"/>
                    </w:rPr>
                  </w:pPr>
                  <w:r>
                    <w:rPr>
                      <w:rFonts w:hint="default" w:ascii="Times New Roman" w:hAnsi="Times New Roman" w:eastAsia="宋体" w:cs="Times New Roman"/>
                      <w:b w:val="0"/>
                      <w:bCs w:val="0"/>
                      <w:highlight w:val="none"/>
                      <w:lang w:val="en-US" w:eastAsia="zh-CN"/>
                    </w:rPr>
                    <w:t>预处理：沉淀、调节、气浮、水解酸化；</w:t>
                  </w:r>
                </w:p>
                <w:p>
                  <w:pPr>
                    <w:pStyle w:val="33"/>
                    <w:bidi w:val="0"/>
                    <w:jc w:val="left"/>
                    <w:rPr>
                      <w:rFonts w:hint="default" w:ascii="Times New Roman" w:hAnsi="Times New Roman" w:eastAsia="宋体" w:cs="Times New Roman"/>
                      <w:b w:val="0"/>
                      <w:bCs w:val="0"/>
                      <w:highlight w:val="none"/>
                      <w:lang w:val="en-US" w:eastAsia="zh-CN"/>
                    </w:rPr>
                  </w:pPr>
                  <w:r>
                    <w:rPr>
                      <w:rFonts w:hint="default" w:ascii="Times New Roman" w:hAnsi="Times New Roman" w:eastAsia="宋体" w:cs="Times New Roman"/>
                      <w:b w:val="0"/>
                      <w:bCs w:val="0"/>
                      <w:highlight w:val="none"/>
                      <w:lang w:val="en-US" w:eastAsia="zh-CN"/>
                    </w:rPr>
                    <w:t>生化处理：好氧、缺氧好氧、厌氧缺氧好氧、序批式活性污泥、氧化沟、移动生物床反应器、膜生物反应器；</w:t>
                  </w:r>
                </w:p>
                <w:p>
                  <w:pPr>
                    <w:pStyle w:val="33"/>
                    <w:bidi w:val="0"/>
                    <w:jc w:val="left"/>
                    <w:rPr>
                      <w:rFonts w:hint="default" w:ascii="Times New Roman" w:hAnsi="Times New Roman" w:eastAsia="宋体" w:cs="Times New Roman"/>
                      <w:b w:val="0"/>
                      <w:bCs w:val="0"/>
                      <w:highlight w:val="none"/>
                      <w:lang w:val="en-US" w:eastAsia="zh-CN"/>
                    </w:rPr>
                  </w:pPr>
                  <w:r>
                    <w:rPr>
                      <w:rFonts w:hint="default" w:ascii="Times New Roman" w:hAnsi="Times New Roman" w:eastAsia="宋体" w:cs="Times New Roman"/>
                      <w:b w:val="0"/>
                      <w:bCs w:val="0"/>
                      <w:highlight w:val="none"/>
                      <w:lang w:val="en-US" w:eastAsia="zh-CN"/>
                    </w:rPr>
                    <w:t>深度处理：反硝化滤池、化学沉淀、过滤、高级氧化、曝气生物滤池、生物接触氧化、膜分离、离子交换</w:t>
                  </w:r>
                </w:p>
              </w:tc>
              <w:tc>
                <w:tcPr>
                  <w:tcW w:w="1085" w:type="pct"/>
                  <w:noWrap w:val="0"/>
                  <w:vAlign w:val="center"/>
                </w:tcPr>
                <w:p>
                  <w:pPr>
                    <w:pStyle w:val="33"/>
                    <w:bidi w:val="0"/>
                    <w:rPr>
                      <w:rFonts w:hint="default" w:ascii="Times New Roman" w:hAnsi="Times New Roman" w:eastAsia="宋体" w:cs="Times New Roman"/>
                      <w:b w:val="0"/>
                      <w:bCs w:val="0"/>
                      <w:highlight w:val="none"/>
                      <w:lang w:val="en-US" w:eastAsia="zh-CN"/>
                    </w:rPr>
                  </w:pPr>
                  <w:r>
                    <w:rPr>
                      <w:rFonts w:hint="default" w:ascii="Times New Roman" w:hAnsi="Times New Roman" w:eastAsia="宋体" w:cs="Times New Roman"/>
                      <w:b w:val="0"/>
                      <w:bCs w:val="0"/>
                      <w:highlight w:val="none"/>
                      <w:lang w:val="en-US" w:eastAsia="zh-CN"/>
                    </w:rPr>
                    <w:t>预处理采用“</w:t>
                  </w:r>
                  <w:r>
                    <w:rPr>
                      <w:rFonts w:hint="eastAsia" w:ascii="Times New Roman" w:hAnsi="Times New Roman" w:eastAsia="宋体" w:cs="Times New Roman"/>
                      <w:b w:val="0"/>
                      <w:bCs w:val="0"/>
                      <w:highlight w:val="none"/>
                      <w:lang w:val="en-US" w:eastAsia="zh-CN"/>
                    </w:rPr>
                    <w:t>过滤、初沉调节</w:t>
                  </w:r>
                  <w:r>
                    <w:rPr>
                      <w:rFonts w:hint="default" w:ascii="Times New Roman" w:hAnsi="Times New Roman" w:eastAsia="宋体" w:cs="Times New Roman"/>
                      <w:b w:val="0"/>
                      <w:bCs w:val="0"/>
                      <w:highlight w:val="none"/>
                      <w:lang w:val="en-US" w:eastAsia="zh-CN"/>
                    </w:rPr>
                    <w:t>”处理；生化处理采用“</w:t>
                  </w:r>
                  <w:r>
                    <w:rPr>
                      <w:rFonts w:hint="eastAsia" w:ascii="Times New Roman" w:hAnsi="Times New Roman" w:eastAsia="宋体" w:cs="Times New Roman"/>
                      <w:b w:val="0"/>
                      <w:bCs w:val="0"/>
                      <w:highlight w:val="none"/>
                      <w:lang w:val="en-US" w:eastAsia="zh-CN"/>
                    </w:rPr>
                    <w:t>厌氧、</w:t>
                  </w:r>
                  <w:r>
                    <w:rPr>
                      <w:rFonts w:hint="default" w:ascii="Times New Roman" w:hAnsi="Times New Roman" w:eastAsia="宋体" w:cs="Times New Roman"/>
                      <w:b w:val="0"/>
                      <w:bCs w:val="0"/>
                      <w:highlight w:val="none"/>
                      <w:lang w:val="en-US" w:eastAsia="zh-CN"/>
                    </w:rPr>
                    <w:t>缺氧”、深度处理采用“</w:t>
                  </w:r>
                  <w:r>
                    <w:rPr>
                      <w:rFonts w:hint="eastAsia" w:ascii="Times New Roman" w:hAnsi="Times New Roman" w:eastAsia="宋体" w:cs="Times New Roman"/>
                      <w:b w:val="0"/>
                      <w:bCs w:val="0"/>
                      <w:highlight w:val="none"/>
                      <w:lang w:val="en-US" w:eastAsia="zh-CN"/>
                    </w:rPr>
                    <w:t>MBR池</w:t>
                  </w:r>
                  <w:r>
                    <w:rPr>
                      <w:rFonts w:hint="default" w:ascii="Times New Roman" w:hAnsi="Times New Roman" w:eastAsia="宋体" w:cs="Times New Roman"/>
                      <w:b w:val="0"/>
                      <w:bCs w:val="0"/>
                      <w:highlight w:val="none"/>
                      <w:lang w:val="en-US" w:eastAsia="zh-CN"/>
                    </w:rPr>
                    <w:t>”处理，满足预处理、生化处理、深度处理的要求</w:t>
                  </w:r>
                </w:p>
              </w:tc>
              <w:tc>
                <w:tcPr>
                  <w:tcW w:w="502" w:type="pct"/>
                  <w:noWrap w:val="0"/>
                  <w:vAlign w:val="center"/>
                </w:tcPr>
                <w:p>
                  <w:pPr>
                    <w:pStyle w:val="33"/>
                    <w:bidi w:val="0"/>
                    <w:rPr>
                      <w:rFonts w:hint="default" w:ascii="Times New Roman" w:hAnsi="Times New Roman" w:eastAsia="宋体" w:cs="Times New Roman"/>
                      <w:b w:val="0"/>
                      <w:bCs w:val="0"/>
                      <w:highlight w:val="none"/>
                      <w:lang w:val="en-US" w:eastAsia="zh-CN"/>
                    </w:rPr>
                  </w:pPr>
                  <w:r>
                    <w:rPr>
                      <w:rFonts w:hint="default" w:ascii="Times New Roman" w:hAnsi="Times New Roman" w:eastAsia="宋体" w:cs="Times New Roman"/>
                      <w:b w:val="0"/>
                      <w:bCs w:val="0"/>
                      <w:highlight w:val="none"/>
                      <w:lang w:val="en-US" w:eastAsia="zh-CN"/>
                    </w:rPr>
                    <w:t>可行</w:t>
                  </w:r>
                </w:p>
              </w:tc>
            </w:tr>
          </w:tbl>
          <w:p>
            <w:pPr>
              <w:pStyle w:val="22"/>
              <w:bidi w:val="0"/>
              <w:jc w:val="both"/>
              <w:rPr>
                <w:rFonts w:hint="default"/>
                <w:lang w:val="en-US" w:eastAsia="zh-CN"/>
              </w:rPr>
            </w:pPr>
            <w:r>
              <w:rPr>
                <w:rFonts w:hint="eastAsia"/>
                <w:lang w:val="en-US" w:eastAsia="zh-CN"/>
              </w:rPr>
              <w:t>本项目污水处理站日处理200m</w:t>
            </w:r>
            <w:r>
              <w:rPr>
                <w:rFonts w:hint="eastAsia"/>
                <w:vertAlign w:val="superscript"/>
                <w:lang w:val="en-US" w:eastAsia="zh-CN"/>
              </w:rPr>
              <w:t>3</w:t>
            </w:r>
            <w:r>
              <w:rPr>
                <w:rFonts w:hint="eastAsia"/>
                <w:lang w:val="en-US" w:eastAsia="zh-CN"/>
              </w:rPr>
              <w:t>/d，</w:t>
            </w:r>
            <w:r>
              <w:rPr>
                <w:rFonts w:hint="default" w:ascii="Times New Roman" w:hAnsi="Times New Roman" w:cs="Times New Roman"/>
                <w:color w:val="auto"/>
              </w:rPr>
              <w:t>满足废水处理满负荷要求，完全能接纳本项目废水。预处理采用“</w:t>
            </w:r>
            <w:r>
              <w:rPr>
                <w:rFonts w:hint="eastAsia" w:ascii="Times New Roman" w:hAnsi="Times New Roman" w:eastAsia="宋体" w:cs="Times New Roman"/>
                <w:b w:val="0"/>
                <w:bCs w:val="0"/>
                <w:highlight w:val="none"/>
                <w:lang w:val="en-US" w:eastAsia="zh-CN"/>
              </w:rPr>
              <w:t>过滤、初沉调节</w:t>
            </w:r>
            <w:r>
              <w:rPr>
                <w:rFonts w:hint="default" w:ascii="Times New Roman" w:hAnsi="Times New Roman" w:cs="Times New Roman"/>
                <w:color w:val="auto"/>
              </w:rPr>
              <w:t>”，生化处理采用“</w:t>
            </w:r>
            <w:r>
              <w:rPr>
                <w:rFonts w:hint="eastAsia" w:ascii="Times New Roman" w:hAnsi="Times New Roman" w:eastAsia="宋体" w:cs="Times New Roman"/>
                <w:b w:val="0"/>
                <w:bCs w:val="0"/>
                <w:highlight w:val="none"/>
                <w:lang w:val="en-US" w:eastAsia="zh-CN"/>
              </w:rPr>
              <w:t>厌氧、</w:t>
            </w:r>
            <w:r>
              <w:rPr>
                <w:rFonts w:hint="default" w:ascii="Times New Roman" w:hAnsi="Times New Roman" w:eastAsia="宋体" w:cs="Times New Roman"/>
                <w:b w:val="0"/>
                <w:bCs w:val="0"/>
                <w:highlight w:val="none"/>
                <w:lang w:val="en-US" w:eastAsia="zh-CN"/>
              </w:rPr>
              <w:t>缺氧</w:t>
            </w:r>
            <w:r>
              <w:rPr>
                <w:rFonts w:hint="default" w:ascii="Times New Roman" w:hAnsi="Times New Roman" w:cs="Times New Roman"/>
                <w:color w:val="auto"/>
              </w:rPr>
              <w:t>”，深度处理采用“</w:t>
            </w:r>
            <w:r>
              <w:rPr>
                <w:rFonts w:hint="eastAsia" w:ascii="Times New Roman" w:hAnsi="Times New Roman" w:eastAsia="宋体" w:cs="Times New Roman"/>
                <w:b w:val="0"/>
                <w:bCs w:val="0"/>
                <w:highlight w:val="none"/>
                <w:lang w:val="en-US" w:eastAsia="zh-CN"/>
              </w:rPr>
              <w:t>MBR池</w:t>
            </w:r>
            <w:r>
              <w:rPr>
                <w:rFonts w:hint="default" w:ascii="Times New Roman" w:hAnsi="Times New Roman" w:cs="Times New Roman"/>
                <w:color w:val="auto"/>
              </w:rPr>
              <w:t xml:space="preserve">”，满足《排污许可证申请与核发技术规范 </w:t>
            </w:r>
            <w:r>
              <w:rPr>
                <w:rFonts w:hint="default" w:ascii="Times New Roman" w:hAnsi="Times New Roman" w:cs="Times New Roman"/>
                <w:color w:val="auto"/>
                <w:lang w:val="en-US" w:eastAsia="zh-CN"/>
              </w:rPr>
              <w:t>水处理（试行）</w:t>
            </w:r>
            <w:r>
              <w:rPr>
                <w:rFonts w:hint="default" w:ascii="Times New Roman" w:hAnsi="Times New Roman" w:cs="Times New Roman"/>
                <w:color w:val="auto"/>
              </w:rPr>
              <w:t>》（HJ9</w:t>
            </w:r>
            <w:r>
              <w:rPr>
                <w:rFonts w:hint="default" w:ascii="Times New Roman" w:hAnsi="Times New Roman" w:cs="Times New Roman"/>
                <w:color w:val="auto"/>
                <w:lang w:val="en-US" w:eastAsia="zh-CN"/>
              </w:rPr>
              <w:t>78</w:t>
            </w:r>
            <w:r>
              <w:rPr>
                <w:rFonts w:hint="default" w:ascii="Times New Roman" w:hAnsi="Times New Roman" w:cs="Times New Roman"/>
                <w:color w:val="auto"/>
              </w:rPr>
              <w:t>-2018）污染防治可行技术，属于可行性技术。</w:t>
            </w:r>
          </w:p>
          <w:p>
            <w:pPr>
              <w:jc w:val="both"/>
              <w:rPr>
                <w:rFonts w:hint="default"/>
                <w:lang w:val="en-US" w:eastAsia="zh-CN"/>
              </w:rPr>
            </w:pPr>
            <w:r>
              <w:rPr>
                <w:rFonts w:hint="eastAsia" w:ascii="Times New Roman" w:hAnsi="Times New Roman" w:eastAsia="宋体"/>
                <w:lang w:val="en-US" w:eastAsia="zh-CN"/>
              </w:rPr>
              <w:t>1.2.2</w:t>
            </w:r>
            <w:r>
              <w:rPr>
                <w:rFonts w:hint="eastAsia"/>
                <w:highlight w:val="none"/>
              </w:rPr>
              <w:t>废水处理依托</w:t>
            </w:r>
            <w:r>
              <w:rPr>
                <w:rFonts w:hint="eastAsia"/>
                <w:lang w:val="en-US" w:eastAsia="zh-CN"/>
              </w:rPr>
              <w:t>吉木萨尔县污水处理厂</w:t>
            </w:r>
            <w:r>
              <w:rPr>
                <w:highlight w:val="none"/>
              </w:rPr>
              <w:t>的可行性</w:t>
            </w:r>
          </w:p>
          <w:p>
            <w:pPr>
              <w:pStyle w:val="22"/>
              <w:bidi w:val="0"/>
              <w:jc w:val="both"/>
              <w:rPr>
                <w:rFonts w:hint="default"/>
                <w:lang w:val="en-US" w:eastAsia="zh-CN"/>
              </w:rPr>
            </w:pPr>
            <w:r>
              <w:rPr>
                <w:rFonts w:hint="eastAsia"/>
                <w:lang w:val="en-US" w:eastAsia="zh-CN"/>
              </w:rPr>
              <w:t>（1）环保手续</w:t>
            </w:r>
          </w:p>
          <w:p>
            <w:pPr>
              <w:pStyle w:val="22"/>
              <w:bidi w:val="0"/>
              <w:jc w:val="both"/>
            </w:pPr>
            <w:r>
              <w:rPr>
                <w:rFonts w:hint="default"/>
                <w:lang w:val="en-US" w:eastAsia="zh-CN"/>
              </w:rPr>
              <w:t>2015</w:t>
            </w:r>
            <w:r>
              <w:rPr>
                <w:rFonts w:hint="eastAsia"/>
                <w:lang w:val="en-US" w:eastAsia="zh-CN"/>
              </w:rPr>
              <w:t>年</w:t>
            </w:r>
            <w:r>
              <w:rPr>
                <w:rFonts w:hint="default"/>
                <w:lang w:val="en-US" w:eastAsia="zh-CN"/>
              </w:rPr>
              <w:t>4</w:t>
            </w:r>
            <w:r>
              <w:rPr>
                <w:rFonts w:hint="eastAsia"/>
                <w:lang w:val="en-US" w:eastAsia="zh-CN"/>
              </w:rPr>
              <w:t>月《吉木萨尔县污水处理厂工程环境影响报告书》编制完成，</w:t>
            </w:r>
            <w:r>
              <w:rPr>
                <w:rFonts w:hint="default"/>
                <w:lang w:val="en-US" w:eastAsia="zh-CN"/>
              </w:rPr>
              <w:t>2015</w:t>
            </w:r>
            <w:r>
              <w:rPr>
                <w:rFonts w:hint="eastAsia"/>
                <w:lang w:val="en-US" w:eastAsia="zh-CN"/>
              </w:rPr>
              <w:t>年</w:t>
            </w:r>
            <w:r>
              <w:rPr>
                <w:rFonts w:hint="default"/>
                <w:lang w:val="en-US" w:eastAsia="zh-CN"/>
              </w:rPr>
              <w:t>4</w:t>
            </w:r>
            <w:r>
              <w:rPr>
                <w:rFonts w:hint="eastAsia"/>
                <w:lang w:val="en-US" w:eastAsia="zh-CN"/>
              </w:rPr>
              <w:t>月</w:t>
            </w:r>
            <w:r>
              <w:rPr>
                <w:rFonts w:hint="default"/>
                <w:lang w:val="en-US" w:eastAsia="zh-CN"/>
              </w:rPr>
              <w:t>13</w:t>
            </w:r>
            <w:r>
              <w:rPr>
                <w:rFonts w:hint="eastAsia"/>
                <w:lang w:val="en-US" w:eastAsia="zh-CN"/>
              </w:rPr>
              <w:t>日吉木萨尔县环境保护局以吉环项发〔</w:t>
            </w:r>
            <w:r>
              <w:rPr>
                <w:rFonts w:hint="default"/>
                <w:lang w:val="en-US" w:eastAsia="zh-CN"/>
              </w:rPr>
              <w:t>2015</w:t>
            </w:r>
            <w:r>
              <w:rPr>
                <w:rFonts w:hint="eastAsia"/>
                <w:lang w:val="en-US" w:eastAsia="zh-CN"/>
              </w:rPr>
              <w:t>〕</w:t>
            </w:r>
            <w:r>
              <w:rPr>
                <w:rFonts w:hint="default"/>
                <w:lang w:val="en-US" w:eastAsia="zh-CN"/>
              </w:rPr>
              <w:t>19</w:t>
            </w:r>
            <w:r>
              <w:rPr>
                <w:rFonts w:hint="eastAsia"/>
                <w:lang w:val="en-US" w:eastAsia="zh-CN"/>
              </w:rPr>
              <w:t>号文对该项目环评提出了审查意见，该环评于</w:t>
            </w:r>
            <w:r>
              <w:rPr>
                <w:rFonts w:hint="default"/>
                <w:lang w:val="en-US" w:eastAsia="zh-CN"/>
              </w:rPr>
              <w:t>2015</w:t>
            </w:r>
            <w:r>
              <w:rPr>
                <w:rFonts w:hint="eastAsia"/>
                <w:lang w:val="en-US" w:eastAsia="zh-CN"/>
              </w:rPr>
              <w:t>年</w:t>
            </w:r>
            <w:r>
              <w:rPr>
                <w:rFonts w:hint="default"/>
                <w:lang w:val="en-US" w:eastAsia="zh-CN"/>
              </w:rPr>
              <w:t>6</w:t>
            </w:r>
            <w:r>
              <w:rPr>
                <w:rFonts w:hint="eastAsia"/>
                <w:lang w:val="en-US" w:eastAsia="zh-CN"/>
              </w:rPr>
              <w:t>月</w:t>
            </w:r>
            <w:r>
              <w:rPr>
                <w:rFonts w:hint="default"/>
                <w:lang w:val="en-US" w:eastAsia="zh-CN"/>
              </w:rPr>
              <w:t>1</w:t>
            </w:r>
            <w:r>
              <w:rPr>
                <w:rFonts w:hint="eastAsia"/>
                <w:lang w:val="en-US" w:eastAsia="zh-CN"/>
              </w:rPr>
              <w:t>日取得原新疆昌吉州环境保护局的批复（昌州环评〔</w:t>
            </w:r>
            <w:r>
              <w:rPr>
                <w:rFonts w:hint="default"/>
                <w:lang w:val="en-US" w:eastAsia="zh-CN"/>
              </w:rPr>
              <w:t>2015</w:t>
            </w:r>
            <w:r>
              <w:rPr>
                <w:rFonts w:hint="eastAsia"/>
                <w:lang w:val="en-US" w:eastAsia="zh-CN"/>
              </w:rPr>
              <w:t>〕</w:t>
            </w:r>
            <w:r>
              <w:rPr>
                <w:rFonts w:hint="default"/>
                <w:lang w:val="en-US" w:eastAsia="zh-CN"/>
              </w:rPr>
              <w:t>48</w:t>
            </w:r>
            <w:r>
              <w:rPr>
                <w:rFonts w:hint="eastAsia"/>
                <w:lang w:val="en-US" w:eastAsia="zh-CN"/>
              </w:rPr>
              <w:t>号），工程于</w:t>
            </w:r>
            <w:r>
              <w:rPr>
                <w:rFonts w:hint="default"/>
                <w:lang w:val="en-US" w:eastAsia="zh-CN"/>
              </w:rPr>
              <w:t>2015</w:t>
            </w:r>
            <w:r>
              <w:rPr>
                <w:rFonts w:hint="eastAsia"/>
                <w:lang w:val="en-US" w:eastAsia="zh-CN"/>
              </w:rPr>
              <w:t>年</w:t>
            </w:r>
            <w:r>
              <w:rPr>
                <w:rFonts w:hint="default"/>
                <w:lang w:val="en-US" w:eastAsia="zh-CN"/>
              </w:rPr>
              <w:t>6</w:t>
            </w:r>
            <w:r>
              <w:rPr>
                <w:rFonts w:hint="eastAsia"/>
                <w:lang w:val="en-US" w:eastAsia="zh-CN"/>
              </w:rPr>
              <w:t>月动工开建，</w:t>
            </w:r>
            <w:r>
              <w:rPr>
                <w:rFonts w:hint="default"/>
                <w:lang w:val="en-US" w:eastAsia="zh-CN"/>
              </w:rPr>
              <w:t>2017</w:t>
            </w:r>
            <w:r>
              <w:rPr>
                <w:rFonts w:hint="eastAsia"/>
                <w:lang w:val="en-US" w:eastAsia="zh-CN"/>
              </w:rPr>
              <w:t>年</w:t>
            </w:r>
            <w:r>
              <w:rPr>
                <w:rFonts w:hint="default"/>
                <w:lang w:val="en-US" w:eastAsia="zh-CN"/>
              </w:rPr>
              <w:t>10</w:t>
            </w:r>
            <w:r>
              <w:rPr>
                <w:rFonts w:hint="eastAsia"/>
                <w:lang w:val="en-US" w:eastAsia="zh-CN"/>
              </w:rPr>
              <w:t>月建成并投入试运行，并于</w:t>
            </w:r>
            <w:r>
              <w:rPr>
                <w:rFonts w:hint="default"/>
                <w:lang w:val="en-US" w:eastAsia="zh-CN"/>
              </w:rPr>
              <w:t>2018</w:t>
            </w:r>
            <w:r>
              <w:rPr>
                <w:rFonts w:hint="eastAsia"/>
                <w:lang w:val="en-US" w:eastAsia="zh-CN"/>
              </w:rPr>
              <w:t>年</w:t>
            </w:r>
            <w:r>
              <w:rPr>
                <w:rFonts w:hint="default"/>
                <w:lang w:val="en-US" w:eastAsia="zh-CN"/>
              </w:rPr>
              <w:t>9</w:t>
            </w:r>
            <w:r>
              <w:rPr>
                <w:rFonts w:hint="eastAsia"/>
                <w:lang w:val="en-US" w:eastAsia="zh-CN"/>
              </w:rPr>
              <w:t>月通过了原昌吉州环境保护局的竣工环境保护验收。</w:t>
            </w:r>
          </w:p>
          <w:p>
            <w:pPr>
              <w:pStyle w:val="22"/>
              <w:bidi w:val="0"/>
              <w:jc w:val="both"/>
              <w:rPr>
                <w:rFonts w:hint="default"/>
                <w:lang w:val="en-US" w:eastAsia="zh-CN"/>
              </w:rPr>
            </w:pPr>
            <w:r>
              <w:rPr>
                <w:rFonts w:hint="eastAsia"/>
                <w:lang w:val="en-US" w:eastAsia="zh-CN"/>
              </w:rPr>
              <w:t>（2）污水处理厂概况</w:t>
            </w:r>
          </w:p>
          <w:p>
            <w:pPr>
              <w:pStyle w:val="22"/>
              <w:bidi w:val="0"/>
              <w:jc w:val="both"/>
              <w:rPr>
                <w:rFonts w:hint="eastAsia"/>
                <w:lang w:val="en-US" w:eastAsia="zh-CN"/>
              </w:rPr>
            </w:pPr>
            <w:r>
              <w:rPr>
                <w:rFonts w:hint="eastAsia"/>
                <w:lang w:val="en-US" w:eastAsia="zh-CN"/>
              </w:rPr>
              <w:t>吉木萨尔县第二污水处理厂位于县城东北15公里，占地面积200多亩。</w:t>
            </w:r>
            <w:r>
              <w:rPr>
                <w:rFonts w:hint="default"/>
                <w:lang w:val="de-DE" w:eastAsia="zh-CN"/>
              </w:rPr>
              <w:t>处理规模为</w:t>
            </w:r>
            <w:r>
              <w:rPr>
                <w:rFonts w:hint="eastAsia"/>
                <w:lang w:val="en-US" w:eastAsia="zh-CN"/>
              </w:rPr>
              <w:t>3</w:t>
            </w:r>
            <w:r>
              <w:rPr>
                <w:rFonts w:hint="default"/>
                <w:lang w:val="de-DE" w:eastAsia="zh-CN"/>
              </w:rPr>
              <w:t>万立方米每日</w:t>
            </w:r>
            <w:r>
              <w:rPr>
                <w:rFonts w:hint="default"/>
                <w:lang w:val="en-US" w:eastAsia="zh-CN"/>
              </w:rPr>
              <w:t>，实际建设规模为处理污水量1万m</w:t>
            </w:r>
            <w:r>
              <w:rPr>
                <w:rFonts w:hint="default"/>
                <w:vertAlign w:val="superscript"/>
                <w:lang w:val="en-US" w:eastAsia="zh-CN"/>
              </w:rPr>
              <w:t>3</w:t>
            </w:r>
            <w:r>
              <w:rPr>
                <w:rFonts w:hint="default"/>
                <w:lang w:val="en-US" w:eastAsia="zh-CN"/>
              </w:rPr>
              <w:t>/d。</w:t>
            </w:r>
            <w:r>
              <w:rPr>
                <w:rFonts w:hint="eastAsia"/>
                <w:lang w:val="en-US" w:eastAsia="zh-CN"/>
              </w:rPr>
              <w:t>项目总投资</w:t>
            </w:r>
            <w:r>
              <w:rPr>
                <w:rFonts w:hint="default"/>
                <w:lang w:val="en-US" w:eastAsia="zh-CN"/>
              </w:rPr>
              <w:t>12628.47</w:t>
            </w:r>
            <w:r>
              <w:rPr>
                <w:rFonts w:hint="eastAsia"/>
                <w:lang w:val="en-US" w:eastAsia="zh-CN"/>
              </w:rPr>
              <w:t>万元，该污水处理厂采用“强化脱氮改良</w:t>
            </w:r>
            <w:r>
              <w:rPr>
                <w:rFonts w:hint="default"/>
                <w:lang w:val="en-US" w:eastAsia="zh-CN"/>
              </w:rPr>
              <w:t>A</w:t>
            </w:r>
            <w:r>
              <w:rPr>
                <w:rFonts w:hint="default"/>
                <w:vertAlign w:val="superscript"/>
                <w:lang w:val="en-US" w:eastAsia="zh-CN"/>
              </w:rPr>
              <w:t>2</w:t>
            </w:r>
            <w:r>
              <w:rPr>
                <w:rFonts w:hint="default"/>
                <w:lang w:val="en-US" w:eastAsia="zh-CN"/>
              </w:rPr>
              <w:t>/O</w:t>
            </w:r>
            <w:r>
              <w:rPr>
                <w:rFonts w:hint="eastAsia"/>
                <w:lang w:val="en-US" w:eastAsia="zh-CN"/>
              </w:rPr>
              <w:t>工艺</w:t>
            </w:r>
            <w:r>
              <w:rPr>
                <w:rFonts w:hint="default"/>
                <w:lang w:val="en-US" w:eastAsia="zh-CN"/>
              </w:rPr>
              <w:t>+</w:t>
            </w:r>
            <w:r>
              <w:rPr>
                <w:rFonts w:hint="eastAsia"/>
                <w:lang w:val="en-US" w:eastAsia="zh-CN"/>
              </w:rPr>
              <w:t>絮凝沉淀滤布滤池”工艺处理后废水达到《城镇污水处理厂污染物排放标准》（</w:t>
            </w:r>
            <w:r>
              <w:rPr>
                <w:rFonts w:hint="default"/>
                <w:lang w:val="en-US" w:eastAsia="zh-CN"/>
              </w:rPr>
              <w:t>GB18918-2002</w:t>
            </w:r>
            <w:r>
              <w:rPr>
                <w:rFonts w:hint="eastAsia"/>
                <w:lang w:val="en-US" w:eastAsia="zh-CN"/>
              </w:rPr>
              <w:t>）中一级</w:t>
            </w:r>
            <w:r>
              <w:rPr>
                <w:rFonts w:hint="default"/>
                <w:lang w:val="en-US" w:eastAsia="zh-CN"/>
              </w:rPr>
              <w:t>A</w:t>
            </w:r>
            <w:r>
              <w:rPr>
                <w:rFonts w:hint="eastAsia"/>
                <w:lang w:val="en-US" w:eastAsia="zh-CN"/>
              </w:rPr>
              <w:t>标准后，排水回用于下游生态林建设及电解铝厂的生产用水。</w:t>
            </w:r>
          </w:p>
          <w:p>
            <w:pPr>
              <w:pStyle w:val="22"/>
              <w:bidi w:val="0"/>
              <w:jc w:val="both"/>
              <w:rPr>
                <w:rFonts w:hint="eastAsia"/>
                <w:lang w:val="en-US" w:eastAsia="zh-CN"/>
              </w:rPr>
            </w:pPr>
            <w:r>
              <w:rPr>
                <w:rFonts w:hint="eastAsia"/>
                <w:lang w:val="en-US" w:eastAsia="zh-CN"/>
              </w:rPr>
              <w:t>吉木萨尔县污水处理厂目前运行中实际处理量在0.6~0.7万m</w:t>
            </w:r>
            <w:r>
              <w:rPr>
                <w:rFonts w:hint="eastAsia"/>
                <w:vertAlign w:val="superscript"/>
                <w:lang w:val="en-US" w:eastAsia="zh-CN"/>
              </w:rPr>
              <w:t>3</w:t>
            </w:r>
            <w:r>
              <w:rPr>
                <w:rFonts w:hint="eastAsia"/>
                <w:lang w:val="en-US" w:eastAsia="zh-CN"/>
              </w:rPr>
              <w:t>/d，剩余处理量0.3~0.4万m</w:t>
            </w:r>
            <w:r>
              <w:rPr>
                <w:rFonts w:hint="eastAsia"/>
                <w:vertAlign w:val="superscript"/>
                <w:lang w:val="en-US" w:eastAsia="zh-CN"/>
              </w:rPr>
              <w:t>3</w:t>
            </w:r>
            <w:r>
              <w:rPr>
                <w:rFonts w:hint="eastAsia"/>
                <w:lang w:val="en-US" w:eastAsia="zh-CN"/>
              </w:rPr>
              <w:t>/d，本项目废水排放量为176.05m³/d，小于其设计污水剩余处理能力。</w:t>
            </w:r>
          </w:p>
          <w:p>
            <w:pPr>
              <w:pStyle w:val="22"/>
              <w:bidi w:val="0"/>
              <w:jc w:val="both"/>
              <w:rPr>
                <w:rFonts w:hint="default"/>
                <w:lang w:val="en-US" w:eastAsia="zh-CN"/>
              </w:rPr>
            </w:pPr>
            <w:r>
              <w:rPr>
                <w:rFonts w:hint="default"/>
                <w:lang w:val="en-US" w:eastAsia="zh-CN"/>
              </w:rPr>
              <w:t>综上，本项目水质、水量、管网建设情况都满足纳管要求，且本项目废水纳管后不会影响污水处理厂的正常运行。</w:t>
            </w:r>
          </w:p>
          <w:p>
            <w:pPr>
              <w:keepNext/>
              <w:keepLines/>
              <w:widowControl w:val="0"/>
              <w:bidi w:val="0"/>
              <w:spacing w:line="360" w:lineRule="auto"/>
              <w:jc w:val="left"/>
              <w:outlineLvl w:val="2"/>
              <w:rPr>
                <w:rFonts w:hint="eastAsia" w:cs="Times New Roman"/>
                <w:b/>
                <w:kern w:val="2"/>
                <w:sz w:val="24"/>
                <w:szCs w:val="24"/>
                <w:highlight w:val="none"/>
                <w:lang w:val="en-US" w:eastAsia="zh-CN" w:bidi="ar-SA"/>
              </w:rPr>
            </w:pPr>
            <w:r>
              <w:rPr>
                <w:rFonts w:hint="eastAsia" w:ascii="Times New Roman" w:hAnsi="Times New Roman" w:eastAsia="宋体" w:cs="Times New Roman"/>
                <w:b/>
                <w:kern w:val="2"/>
                <w:sz w:val="24"/>
                <w:szCs w:val="24"/>
                <w:highlight w:val="none"/>
                <w:lang w:val="en-US" w:eastAsia="zh-CN" w:bidi="ar-SA"/>
              </w:rPr>
              <w:t>1.3</w:t>
            </w:r>
            <w:r>
              <w:rPr>
                <w:rFonts w:hint="eastAsia" w:cs="Times New Roman"/>
                <w:b/>
                <w:kern w:val="2"/>
                <w:sz w:val="24"/>
                <w:szCs w:val="24"/>
                <w:highlight w:val="none"/>
                <w:lang w:val="en-US" w:eastAsia="zh-CN" w:bidi="ar-SA"/>
              </w:rPr>
              <w:t>非正常工况</w:t>
            </w:r>
          </w:p>
          <w:p>
            <w:pPr>
              <w:pStyle w:val="22"/>
              <w:bidi w:val="0"/>
              <w:jc w:val="both"/>
              <w:rPr>
                <w:rFonts w:hint="eastAsia"/>
                <w:lang w:val="en-US" w:eastAsia="zh-CN"/>
              </w:rPr>
            </w:pPr>
            <w:r>
              <w:rPr>
                <w:rFonts w:hint="eastAsia"/>
                <w:lang w:val="en-US" w:eastAsia="zh-CN"/>
              </w:rPr>
              <w:t>项目废水非正常排放主要为污水处理站内污水处理设施未正常运行。处理过程中如混凝剂、消毒剂等投加不及时、投加量不足或设备发生故障时，废水污染物去除率下降或完全失效，造成废水中各污染物排放将会超标；项目废水非正常工况仅考虑生产废水污水处理站处理效率全部下降至</w:t>
            </w:r>
            <w:r>
              <w:rPr>
                <w:rFonts w:hint="default"/>
                <w:lang w:val="en-US" w:eastAsia="zh-CN"/>
              </w:rPr>
              <w:t>50%</w:t>
            </w:r>
            <w:r>
              <w:rPr>
                <w:rFonts w:hint="eastAsia"/>
                <w:lang w:val="en-US" w:eastAsia="zh-CN"/>
              </w:rPr>
              <w:t>的情况，建设项目废水源强详见表</w:t>
            </w:r>
            <w:r>
              <w:rPr>
                <w:rFonts w:hint="default"/>
                <w:lang w:val="en-US" w:eastAsia="zh-CN"/>
              </w:rPr>
              <w:t>4-</w:t>
            </w:r>
            <w:r>
              <w:rPr>
                <w:rFonts w:hint="eastAsia"/>
                <w:lang w:val="en-US" w:eastAsia="zh-CN"/>
              </w:rPr>
              <w:t>4。</w:t>
            </w:r>
          </w:p>
          <w:p>
            <w:pPr>
              <w:pStyle w:val="32"/>
              <w:bidi w:val="0"/>
            </w:pPr>
            <w:r>
              <w:rPr>
                <w:rFonts w:hint="eastAsia"/>
                <w:lang w:val="en-US" w:eastAsia="zh-CN"/>
              </w:rPr>
              <w:t>表4-4   非正常工况下项目废水污染物产生与排放情况表</w:t>
            </w:r>
          </w:p>
          <w:tbl>
            <w:tblPr>
              <w:tblStyle w:val="27"/>
              <w:tblW w:w="786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33"/>
              <w:gridCol w:w="936"/>
              <w:gridCol w:w="1036"/>
              <w:gridCol w:w="1050"/>
              <w:gridCol w:w="1086"/>
              <w:gridCol w:w="8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69" w:hRule="atLeast"/>
              </w:trPr>
              <w:tc>
                <w:tcPr>
                  <w:tcW w:w="2933" w:type="dxa"/>
                  <w:tcBorders>
                    <w:bottom w:val="single" w:color="auto" w:sz="12" w:space="0"/>
                  </w:tcBorders>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33"/>
                    <w:bidi w:val="0"/>
                    <mc:AlternateContent>
                      <mc:Choice Requires="wpsCustomData">
                        <wpsCustomData:diagonalParaType/>
                      </mc:Choice>
                    </mc:AlternateContent>
                    <w:rPr>
                      <w:rFonts w:hint="default"/>
                      <w:b/>
                      <w:bCs w:val="0"/>
                      <w:lang w:val="en-US" w:eastAsia="zh-CN"/>
                    </w:rPr>
                  </w:pPr>
                  <w:r>
                    <w:rPr>
                      <w:rFonts w:hint="eastAsia"/>
                      <w:b/>
                      <w:bCs w:val="0"/>
                      <w:lang w:val="en-US" w:eastAsia="zh-CN"/>
                    </w:rPr>
                    <w:t xml:space="preserve"> 污染物名称</w:t>
                  </w:r>
                </w:p>
                <w:p>
                  <w:pPr>
                    <w:pStyle w:val="33"/>
                    <w:bidi w:val="0"/>
                    <w:rPr>
                      <w:rFonts w:hint="default"/>
                      <w:b/>
                      <w:bCs w:val="0"/>
                      <w:lang w:val="en-US" w:eastAsia="zh-CN"/>
                    </w:rPr>
                  </w:pPr>
                  <w:r>
                    <w:rPr>
                      <w:rFonts w:hint="eastAsia"/>
                      <w:b/>
                      <w:bCs w:val="0"/>
                      <w:lang w:val="en-US" w:eastAsia="zh-CN"/>
                    </w:rPr>
                    <w:t>浓度及产生量</w:t>
                  </w:r>
                </w:p>
              </w:tc>
              <w:tc>
                <w:tcPr>
                  <w:tcW w:w="936" w:type="dxa"/>
                  <w:tcBorders>
                    <w:bottom w:val="single" w:color="auto" w:sz="12" w:space="0"/>
                  </w:tcBorders>
                  <w:vAlign w:val="center"/>
                </w:tcPr>
                <w:p>
                  <w:pPr>
                    <w:pStyle w:val="33"/>
                    <w:bidi w:val="0"/>
                    <w:rPr>
                      <w:rFonts w:hint="default"/>
                      <w:b/>
                      <w:bCs w:val="0"/>
                      <w:lang w:val="en-US" w:eastAsia="zh-CN"/>
                    </w:rPr>
                  </w:pPr>
                  <w:r>
                    <w:rPr>
                      <w:rFonts w:hint="eastAsia"/>
                      <w:b/>
                      <w:bCs w:val="0"/>
                      <w:lang w:val="en-US" w:eastAsia="zh-CN"/>
                    </w:rPr>
                    <w:t>COD</w:t>
                  </w:r>
                </w:p>
              </w:tc>
              <w:tc>
                <w:tcPr>
                  <w:tcW w:w="1036" w:type="dxa"/>
                  <w:tcBorders>
                    <w:bottom w:val="single" w:color="auto" w:sz="12" w:space="0"/>
                  </w:tcBorders>
                  <w:vAlign w:val="center"/>
                </w:tcPr>
                <w:p>
                  <w:pPr>
                    <w:pStyle w:val="33"/>
                    <w:bidi w:val="0"/>
                    <w:rPr>
                      <w:rFonts w:hint="default"/>
                      <w:b/>
                      <w:bCs w:val="0"/>
                      <w:lang w:val="en-US" w:eastAsia="zh-CN"/>
                    </w:rPr>
                  </w:pPr>
                  <w:r>
                    <w:rPr>
                      <w:rFonts w:hint="eastAsia"/>
                      <w:b/>
                      <w:bCs w:val="0"/>
                      <w:lang w:val="en-US" w:eastAsia="zh-CN"/>
                    </w:rPr>
                    <w:t>BOD</w:t>
                  </w:r>
                  <w:r>
                    <w:rPr>
                      <w:rFonts w:hint="eastAsia"/>
                      <w:b/>
                      <w:bCs w:val="0"/>
                      <w:vertAlign w:val="subscript"/>
                      <w:lang w:val="en-US" w:eastAsia="zh-CN"/>
                    </w:rPr>
                    <w:t>5</w:t>
                  </w:r>
                </w:p>
              </w:tc>
              <w:tc>
                <w:tcPr>
                  <w:tcW w:w="1050" w:type="dxa"/>
                  <w:tcBorders>
                    <w:bottom w:val="single" w:color="auto" w:sz="12" w:space="0"/>
                  </w:tcBorders>
                  <w:vAlign w:val="center"/>
                </w:tcPr>
                <w:p>
                  <w:pPr>
                    <w:pStyle w:val="33"/>
                    <w:bidi w:val="0"/>
                    <w:rPr>
                      <w:rFonts w:hint="default"/>
                      <w:b/>
                      <w:bCs w:val="0"/>
                      <w:lang w:val="en-US" w:eastAsia="zh-CN"/>
                    </w:rPr>
                  </w:pPr>
                  <w:r>
                    <w:rPr>
                      <w:rFonts w:hint="eastAsia"/>
                      <w:b/>
                      <w:bCs w:val="0"/>
                      <w:lang w:val="en-US" w:eastAsia="zh-CN"/>
                    </w:rPr>
                    <w:t>SS</w:t>
                  </w:r>
                </w:p>
              </w:tc>
              <w:tc>
                <w:tcPr>
                  <w:tcW w:w="1086" w:type="dxa"/>
                  <w:tcBorders>
                    <w:bottom w:val="single" w:color="auto" w:sz="12" w:space="0"/>
                  </w:tcBorders>
                  <w:vAlign w:val="center"/>
                </w:tcPr>
                <w:p>
                  <w:pPr>
                    <w:pStyle w:val="33"/>
                    <w:bidi w:val="0"/>
                    <w:rPr>
                      <w:rFonts w:hint="default"/>
                      <w:b/>
                      <w:bCs w:val="0"/>
                      <w:lang w:val="en-US" w:eastAsia="zh-CN"/>
                    </w:rPr>
                  </w:pPr>
                  <w:r>
                    <w:rPr>
                      <w:rFonts w:hint="eastAsia"/>
                      <w:b/>
                      <w:bCs w:val="0"/>
                      <w:lang w:val="en-US" w:eastAsia="zh-CN"/>
                    </w:rPr>
                    <w:t>氨氮</w:t>
                  </w:r>
                </w:p>
              </w:tc>
              <w:tc>
                <w:tcPr>
                  <w:tcW w:w="828" w:type="dxa"/>
                  <w:tcBorders>
                    <w:bottom w:val="single" w:color="auto" w:sz="12" w:space="0"/>
                  </w:tcBorders>
                  <w:vAlign w:val="center"/>
                </w:tcPr>
                <w:p>
                  <w:pPr>
                    <w:pStyle w:val="33"/>
                    <w:bidi w:val="0"/>
                    <w:rPr>
                      <w:rFonts w:hint="default"/>
                      <w:b/>
                      <w:bCs w:val="0"/>
                      <w:lang w:val="en-US" w:eastAsia="zh-CN"/>
                    </w:rPr>
                  </w:pPr>
                  <w:r>
                    <w:rPr>
                      <w:rFonts w:hint="eastAsia"/>
                      <w:b/>
                      <w:bCs w:val="0"/>
                      <w:lang w:val="en-US" w:eastAsia="zh-CN"/>
                    </w:rPr>
                    <w:t>LAS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33" w:type="dxa"/>
                  <w:tcBorders>
                    <w:top w:val="single" w:color="auto" w:sz="12" w:space="0"/>
                    <w:tl2br w:val="nil"/>
                    <w:tr2bl w:val="nil"/>
                  </w:tcBorders>
                  <w:vAlign w:val="center"/>
                </w:tcPr>
                <w:p>
                  <w:pPr>
                    <w:pStyle w:val="33"/>
                    <w:bidi w:val="0"/>
                    <w:rPr>
                      <w:rFonts w:hint="default"/>
                      <w:lang w:val="en-US" w:eastAsia="zh-CN"/>
                    </w:rPr>
                  </w:pPr>
                  <w:r>
                    <w:rPr>
                      <w:rFonts w:hint="default"/>
                      <w:lang w:val="en-US" w:eastAsia="zh-CN"/>
                    </w:rPr>
                    <w:t>污染物产生浓度（mg/L）</w:t>
                  </w:r>
                </w:p>
              </w:tc>
              <w:tc>
                <w:tcPr>
                  <w:tcW w:w="936" w:type="dxa"/>
                  <w:tcBorders>
                    <w:top w:val="single" w:color="auto" w:sz="12" w:space="0"/>
                    <w:tl2br w:val="nil"/>
                    <w:tr2bl w:val="nil"/>
                  </w:tcBorders>
                  <w:vAlign w:val="center"/>
                </w:tcPr>
                <w:p>
                  <w:pPr>
                    <w:pStyle w:val="33"/>
                    <w:bidi w:val="0"/>
                    <w:rPr>
                      <w:rFonts w:hint="default"/>
                      <w:lang w:val="en-US" w:eastAsia="zh-CN"/>
                    </w:rPr>
                  </w:pPr>
                  <w:r>
                    <w:rPr>
                      <w:rFonts w:hint="eastAsia"/>
                      <w:lang w:val="en-US" w:eastAsia="zh-CN"/>
                    </w:rPr>
                    <w:t>668</w:t>
                  </w:r>
                </w:p>
              </w:tc>
              <w:tc>
                <w:tcPr>
                  <w:tcW w:w="1036" w:type="dxa"/>
                  <w:tcBorders>
                    <w:top w:val="single" w:color="auto" w:sz="12" w:space="0"/>
                    <w:tl2br w:val="nil"/>
                    <w:tr2bl w:val="nil"/>
                  </w:tcBorders>
                  <w:vAlign w:val="center"/>
                </w:tcPr>
                <w:p>
                  <w:pPr>
                    <w:pStyle w:val="33"/>
                    <w:bidi w:val="0"/>
                    <w:rPr>
                      <w:rFonts w:hint="default"/>
                      <w:lang w:val="en-US" w:eastAsia="zh-CN"/>
                    </w:rPr>
                  </w:pPr>
                  <w:r>
                    <w:rPr>
                      <w:rFonts w:hint="eastAsia"/>
                      <w:lang w:val="en-US" w:eastAsia="zh-CN"/>
                    </w:rPr>
                    <w:t>349</w:t>
                  </w:r>
                </w:p>
              </w:tc>
              <w:tc>
                <w:tcPr>
                  <w:tcW w:w="1050" w:type="dxa"/>
                  <w:tcBorders>
                    <w:top w:val="single" w:color="auto" w:sz="12" w:space="0"/>
                    <w:tl2br w:val="nil"/>
                    <w:tr2bl w:val="nil"/>
                  </w:tcBorders>
                  <w:vAlign w:val="center"/>
                </w:tcPr>
                <w:p>
                  <w:pPr>
                    <w:pStyle w:val="33"/>
                    <w:bidi w:val="0"/>
                    <w:rPr>
                      <w:rFonts w:hint="default"/>
                      <w:lang w:val="en-US" w:eastAsia="zh-CN"/>
                    </w:rPr>
                  </w:pPr>
                  <w:r>
                    <w:rPr>
                      <w:rFonts w:hint="eastAsia"/>
                      <w:lang w:val="en-US" w:eastAsia="zh-CN"/>
                    </w:rPr>
                    <w:t>445</w:t>
                  </w:r>
                </w:p>
              </w:tc>
              <w:tc>
                <w:tcPr>
                  <w:tcW w:w="1086" w:type="dxa"/>
                  <w:tcBorders>
                    <w:top w:val="single" w:color="auto" w:sz="12" w:space="0"/>
                    <w:tl2br w:val="nil"/>
                    <w:tr2bl w:val="nil"/>
                  </w:tcBorders>
                  <w:vAlign w:val="center"/>
                </w:tcPr>
                <w:p>
                  <w:pPr>
                    <w:pStyle w:val="33"/>
                    <w:bidi w:val="0"/>
                    <w:rPr>
                      <w:rFonts w:hint="default"/>
                      <w:lang w:val="en-US" w:eastAsia="zh-CN"/>
                    </w:rPr>
                  </w:pPr>
                  <w:r>
                    <w:rPr>
                      <w:rFonts w:hint="eastAsia"/>
                      <w:lang w:val="en-US" w:eastAsia="zh-CN"/>
                    </w:rPr>
                    <w:t>25</w:t>
                  </w:r>
                </w:p>
              </w:tc>
              <w:tc>
                <w:tcPr>
                  <w:tcW w:w="828" w:type="dxa"/>
                  <w:tcBorders>
                    <w:top w:val="single" w:color="auto" w:sz="12" w:space="0"/>
                    <w:tl2br w:val="nil"/>
                    <w:tr2bl w:val="nil"/>
                  </w:tcBorders>
                  <w:vAlign w:val="center"/>
                </w:tcPr>
                <w:p>
                  <w:pPr>
                    <w:pStyle w:val="33"/>
                    <w:bidi w:val="0"/>
                    <w:rPr>
                      <w:rFonts w:hint="default"/>
                      <w:lang w:val="en-US" w:eastAsia="zh-CN"/>
                    </w:rPr>
                  </w:pPr>
                  <w:r>
                    <w:rPr>
                      <w:rFonts w:hint="eastAsia"/>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33" w:type="dxa"/>
                  <w:tcBorders>
                    <w:tl2br w:val="nil"/>
                    <w:tr2bl w:val="nil"/>
                  </w:tcBorders>
                  <w:vAlign w:val="center"/>
                </w:tcPr>
                <w:p>
                  <w:pPr>
                    <w:pStyle w:val="33"/>
                    <w:bidi w:val="0"/>
                    <w:rPr>
                      <w:rFonts w:hint="default"/>
                      <w:lang w:val="en-US" w:eastAsia="zh-CN"/>
                    </w:rPr>
                  </w:pPr>
                  <w:r>
                    <w:rPr>
                      <w:rFonts w:hint="default"/>
                      <w:lang w:val="en-US" w:eastAsia="zh-CN"/>
                    </w:rPr>
                    <w:t>污染物产生量（t/a）</w:t>
                  </w:r>
                </w:p>
              </w:tc>
              <w:tc>
                <w:tcPr>
                  <w:tcW w:w="936" w:type="dxa"/>
                  <w:tcBorders>
                    <w:tl2br w:val="nil"/>
                    <w:tr2bl w:val="nil"/>
                  </w:tcBorders>
                  <w:vAlign w:val="center"/>
                </w:tcPr>
                <w:p>
                  <w:pPr>
                    <w:pStyle w:val="33"/>
                    <w:bidi w:val="0"/>
                    <w:rPr>
                      <w:rFonts w:hint="default"/>
                      <w:lang w:val="en-US" w:eastAsia="zh-CN"/>
                    </w:rPr>
                  </w:pPr>
                  <w:r>
                    <w:rPr>
                      <w:rFonts w:hint="eastAsia"/>
                      <w:lang w:val="en-US" w:eastAsia="zh-CN"/>
                    </w:rPr>
                    <w:t>35.11</w:t>
                  </w:r>
                </w:p>
              </w:tc>
              <w:tc>
                <w:tcPr>
                  <w:tcW w:w="1036" w:type="dxa"/>
                  <w:tcBorders>
                    <w:tl2br w:val="nil"/>
                    <w:tr2bl w:val="nil"/>
                  </w:tcBorders>
                  <w:vAlign w:val="center"/>
                </w:tcPr>
                <w:p>
                  <w:pPr>
                    <w:pStyle w:val="33"/>
                    <w:bidi w:val="0"/>
                    <w:rPr>
                      <w:rFonts w:hint="default"/>
                      <w:lang w:val="en-US" w:eastAsia="zh-CN"/>
                    </w:rPr>
                  </w:pPr>
                  <w:r>
                    <w:rPr>
                      <w:rFonts w:hint="eastAsia"/>
                      <w:lang w:val="en-US" w:eastAsia="zh-CN"/>
                    </w:rPr>
                    <w:t>18.34</w:t>
                  </w:r>
                </w:p>
              </w:tc>
              <w:tc>
                <w:tcPr>
                  <w:tcW w:w="1050" w:type="dxa"/>
                  <w:tcBorders>
                    <w:tl2br w:val="nil"/>
                    <w:tr2bl w:val="nil"/>
                  </w:tcBorders>
                  <w:vAlign w:val="center"/>
                </w:tcPr>
                <w:p>
                  <w:pPr>
                    <w:pStyle w:val="33"/>
                    <w:bidi w:val="0"/>
                    <w:rPr>
                      <w:rFonts w:hint="default"/>
                      <w:lang w:val="en-US" w:eastAsia="zh-CN"/>
                    </w:rPr>
                  </w:pPr>
                  <w:r>
                    <w:rPr>
                      <w:rFonts w:hint="eastAsia"/>
                      <w:lang w:val="en-US" w:eastAsia="zh-CN"/>
                    </w:rPr>
                    <w:t>23.39</w:t>
                  </w:r>
                </w:p>
              </w:tc>
              <w:tc>
                <w:tcPr>
                  <w:tcW w:w="1086" w:type="dxa"/>
                  <w:tcBorders>
                    <w:tl2br w:val="nil"/>
                    <w:tr2bl w:val="nil"/>
                  </w:tcBorders>
                  <w:vAlign w:val="center"/>
                </w:tcPr>
                <w:p>
                  <w:pPr>
                    <w:pStyle w:val="33"/>
                    <w:bidi w:val="0"/>
                    <w:rPr>
                      <w:rFonts w:hint="default"/>
                      <w:lang w:val="en-US" w:eastAsia="zh-CN"/>
                    </w:rPr>
                  </w:pPr>
                  <w:r>
                    <w:rPr>
                      <w:rFonts w:hint="eastAsia"/>
                      <w:lang w:val="en-US" w:eastAsia="zh-CN"/>
                    </w:rPr>
                    <w:t>1.314</w:t>
                  </w:r>
                </w:p>
              </w:tc>
              <w:tc>
                <w:tcPr>
                  <w:tcW w:w="828" w:type="dxa"/>
                  <w:tcBorders>
                    <w:tl2br w:val="nil"/>
                    <w:tr2bl w:val="nil"/>
                  </w:tcBorders>
                  <w:vAlign w:val="center"/>
                </w:tcPr>
                <w:p>
                  <w:pPr>
                    <w:pStyle w:val="33"/>
                    <w:bidi w:val="0"/>
                    <w:rPr>
                      <w:rFonts w:hint="default"/>
                      <w:lang w:val="en-US" w:eastAsia="zh-CN"/>
                    </w:rPr>
                  </w:pPr>
                  <w:r>
                    <w:rPr>
                      <w:rFonts w:hint="eastAsia"/>
                      <w:lang w:val="en-US" w:eastAsia="zh-CN"/>
                    </w:rPr>
                    <w:t>1.58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69" w:type="dxa"/>
                  <w:gridSpan w:val="6"/>
                  <w:tcBorders>
                    <w:tl2br w:val="nil"/>
                    <w:tr2bl w:val="nil"/>
                  </w:tcBorders>
                  <w:vAlign w:val="center"/>
                </w:tcPr>
                <w:p>
                  <w:pPr>
                    <w:pStyle w:val="33"/>
                    <w:bidi w:val="0"/>
                    <w:rPr>
                      <w:rFonts w:hint="default"/>
                      <w:lang w:val="en-US" w:eastAsia="zh-CN"/>
                    </w:rPr>
                  </w:pPr>
                  <w:r>
                    <w:rPr>
                      <w:rFonts w:hint="eastAsia"/>
                      <w:lang w:val="en-US" w:eastAsia="zh-CN"/>
                    </w:rPr>
                    <w:t>污水处理站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33" w:type="dxa"/>
                  <w:tcBorders>
                    <w:tl2br w:val="nil"/>
                    <w:tr2bl w:val="nil"/>
                  </w:tcBorders>
                  <w:vAlign w:val="center"/>
                </w:tcPr>
                <w:p>
                  <w:pPr>
                    <w:pStyle w:val="33"/>
                    <w:bidi w:val="0"/>
                    <w:rPr>
                      <w:rFonts w:hint="default"/>
                      <w:lang w:val="en-US" w:eastAsia="zh-CN"/>
                    </w:rPr>
                  </w:pPr>
                  <w:r>
                    <w:rPr>
                      <w:rFonts w:hint="eastAsia"/>
                      <w:lang w:val="en-US" w:eastAsia="zh-CN"/>
                    </w:rPr>
                    <w:t>去除效率%</w:t>
                  </w:r>
                </w:p>
              </w:tc>
              <w:tc>
                <w:tcPr>
                  <w:tcW w:w="936" w:type="dxa"/>
                  <w:tcBorders>
                    <w:tl2br w:val="nil"/>
                    <w:tr2bl w:val="nil"/>
                  </w:tcBorders>
                  <w:vAlign w:val="center"/>
                </w:tcPr>
                <w:p>
                  <w:pPr>
                    <w:pStyle w:val="33"/>
                    <w:bidi w:val="0"/>
                    <w:rPr>
                      <w:rFonts w:hint="default"/>
                      <w:lang w:val="en-US" w:eastAsia="zh-CN"/>
                    </w:rPr>
                  </w:pPr>
                  <w:r>
                    <w:rPr>
                      <w:rFonts w:hint="eastAsia"/>
                      <w:lang w:val="en-US" w:eastAsia="zh-CN"/>
                    </w:rPr>
                    <w:t>50</w:t>
                  </w:r>
                </w:p>
              </w:tc>
              <w:tc>
                <w:tcPr>
                  <w:tcW w:w="1036" w:type="dxa"/>
                  <w:tcBorders>
                    <w:tl2br w:val="nil"/>
                    <w:tr2bl w:val="nil"/>
                  </w:tcBorders>
                  <w:vAlign w:val="center"/>
                </w:tcPr>
                <w:p>
                  <w:pPr>
                    <w:pStyle w:val="33"/>
                    <w:bidi w:val="0"/>
                    <w:rPr>
                      <w:rFonts w:hint="eastAsia"/>
                      <w:lang w:val="en-US" w:eastAsia="zh-CN"/>
                    </w:rPr>
                  </w:pPr>
                  <w:r>
                    <w:rPr>
                      <w:rFonts w:hint="eastAsia"/>
                      <w:lang w:val="en-US" w:eastAsia="zh-CN"/>
                    </w:rPr>
                    <w:t>50</w:t>
                  </w:r>
                </w:p>
              </w:tc>
              <w:tc>
                <w:tcPr>
                  <w:tcW w:w="1050" w:type="dxa"/>
                  <w:tcBorders>
                    <w:tl2br w:val="nil"/>
                    <w:tr2bl w:val="nil"/>
                  </w:tcBorders>
                  <w:vAlign w:val="center"/>
                </w:tcPr>
                <w:p>
                  <w:pPr>
                    <w:pStyle w:val="33"/>
                    <w:bidi w:val="0"/>
                    <w:rPr>
                      <w:rFonts w:hint="eastAsia"/>
                      <w:lang w:val="en-US" w:eastAsia="zh-CN"/>
                    </w:rPr>
                  </w:pPr>
                  <w:r>
                    <w:rPr>
                      <w:rFonts w:hint="eastAsia"/>
                      <w:lang w:val="en-US" w:eastAsia="zh-CN"/>
                    </w:rPr>
                    <w:t>50</w:t>
                  </w:r>
                </w:p>
              </w:tc>
              <w:tc>
                <w:tcPr>
                  <w:tcW w:w="1086" w:type="dxa"/>
                  <w:tcBorders>
                    <w:tl2br w:val="nil"/>
                    <w:tr2bl w:val="nil"/>
                  </w:tcBorders>
                  <w:vAlign w:val="center"/>
                </w:tcPr>
                <w:p>
                  <w:pPr>
                    <w:pStyle w:val="33"/>
                    <w:bidi w:val="0"/>
                    <w:rPr>
                      <w:rFonts w:hint="eastAsia"/>
                      <w:lang w:val="en-US" w:eastAsia="zh-CN"/>
                    </w:rPr>
                  </w:pPr>
                  <w:r>
                    <w:rPr>
                      <w:rFonts w:hint="eastAsia"/>
                      <w:lang w:val="en-US" w:eastAsia="zh-CN"/>
                    </w:rPr>
                    <w:t>50</w:t>
                  </w:r>
                </w:p>
              </w:tc>
              <w:tc>
                <w:tcPr>
                  <w:tcW w:w="828" w:type="dxa"/>
                  <w:tcBorders>
                    <w:tl2br w:val="nil"/>
                    <w:tr2bl w:val="nil"/>
                  </w:tcBorders>
                  <w:vAlign w:val="center"/>
                </w:tcPr>
                <w:p>
                  <w:pPr>
                    <w:pStyle w:val="33"/>
                    <w:bidi w:val="0"/>
                    <w:rPr>
                      <w:rFonts w:hint="eastAsia"/>
                      <w:lang w:val="en-US" w:eastAsia="zh-CN"/>
                    </w:rPr>
                  </w:pPr>
                  <w:r>
                    <w:rPr>
                      <w:rFonts w:hint="eastAsia"/>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33" w:type="dxa"/>
                  <w:tcBorders>
                    <w:tl2br w:val="nil"/>
                    <w:tr2bl w:val="nil"/>
                  </w:tcBorders>
                  <w:vAlign w:val="center"/>
                </w:tcPr>
                <w:p>
                  <w:pPr>
                    <w:pStyle w:val="33"/>
                    <w:bidi w:val="0"/>
                    <w:ind w:firstLine="0" w:firstLineChars="0"/>
                    <w:rPr>
                      <w:rFonts w:hint="default" w:ascii="Times New Roman" w:hAnsi="Times New Roman" w:eastAsia="宋体" w:cs="Times New Roman"/>
                      <w:b w:val="0"/>
                      <w:bCs/>
                      <w:kern w:val="2"/>
                      <w:sz w:val="21"/>
                      <w:szCs w:val="24"/>
                      <w:lang w:val="en-US" w:eastAsia="zh-CN" w:bidi="ar-SA"/>
                    </w:rPr>
                  </w:pPr>
                  <w:r>
                    <w:rPr>
                      <w:rFonts w:hint="default"/>
                      <w:lang w:val="en-US" w:eastAsia="zh-CN"/>
                    </w:rPr>
                    <w:t>污染物</w:t>
                  </w:r>
                  <w:r>
                    <w:rPr>
                      <w:rFonts w:hint="eastAsia"/>
                      <w:lang w:val="en-US" w:eastAsia="zh-CN"/>
                    </w:rPr>
                    <w:t>排放</w:t>
                  </w:r>
                  <w:r>
                    <w:rPr>
                      <w:rFonts w:hint="default"/>
                      <w:lang w:val="en-US" w:eastAsia="zh-CN"/>
                    </w:rPr>
                    <w:t>浓度（mg/L）</w:t>
                  </w:r>
                </w:p>
              </w:tc>
              <w:tc>
                <w:tcPr>
                  <w:tcW w:w="936" w:type="dxa"/>
                  <w:tcBorders>
                    <w:tl2br w:val="nil"/>
                    <w:tr2bl w:val="nil"/>
                  </w:tcBorders>
                  <w:vAlign w:val="center"/>
                </w:tcPr>
                <w:p>
                  <w:pPr>
                    <w:pStyle w:val="33"/>
                    <w:bidi w:val="0"/>
                    <w:ind w:firstLine="0" w:firstLineChars="0"/>
                    <w:rPr>
                      <w:rFonts w:hint="default" w:ascii="Times New Roman" w:hAnsi="Times New Roman" w:eastAsia="宋体" w:cs="Times New Roman"/>
                      <w:b w:val="0"/>
                      <w:bCs w:val="0"/>
                      <w:kern w:val="2"/>
                      <w:sz w:val="21"/>
                      <w:szCs w:val="24"/>
                      <w:lang w:val="en-US" w:eastAsia="zh-CN" w:bidi="ar-SA"/>
                    </w:rPr>
                  </w:pPr>
                  <w:r>
                    <w:rPr>
                      <w:rFonts w:hint="eastAsia"/>
                      <w:b w:val="0"/>
                      <w:bCs w:val="0"/>
                      <w:lang w:val="en-US" w:eastAsia="zh-CN"/>
                    </w:rPr>
                    <w:t>457.486</w:t>
                  </w:r>
                </w:p>
              </w:tc>
              <w:tc>
                <w:tcPr>
                  <w:tcW w:w="1036" w:type="dxa"/>
                  <w:tcBorders>
                    <w:tl2br w:val="nil"/>
                    <w:tr2bl w:val="nil"/>
                  </w:tcBorders>
                  <w:vAlign w:val="center"/>
                </w:tcPr>
                <w:p>
                  <w:pPr>
                    <w:pStyle w:val="33"/>
                    <w:bidi w:val="0"/>
                    <w:ind w:firstLine="0" w:firstLineChars="0"/>
                    <w:rPr>
                      <w:rFonts w:hint="default" w:ascii="Times New Roman" w:hAnsi="Times New Roman" w:eastAsia="宋体" w:cs="Times New Roman"/>
                      <w:b w:val="0"/>
                      <w:bCs w:val="0"/>
                      <w:kern w:val="2"/>
                      <w:sz w:val="21"/>
                      <w:szCs w:val="24"/>
                      <w:lang w:val="en-US" w:eastAsia="zh-CN" w:bidi="ar-SA"/>
                    </w:rPr>
                  </w:pPr>
                  <w:r>
                    <w:rPr>
                      <w:rFonts w:hint="eastAsia"/>
                      <w:b w:val="0"/>
                      <w:bCs w:val="0"/>
                      <w:lang w:val="en-US" w:eastAsia="zh-CN"/>
                    </w:rPr>
                    <w:t>193.96</w:t>
                  </w:r>
                </w:p>
              </w:tc>
              <w:tc>
                <w:tcPr>
                  <w:tcW w:w="1050" w:type="dxa"/>
                  <w:tcBorders>
                    <w:tl2br w:val="nil"/>
                    <w:tr2bl w:val="nil"/>
                  </w:tcBorders>
                  <w:vAlign w:val="center"/>
                </w:tcPr>
                <w:p>
                  <w:pPr>
                    <w:pStyle w:val="33"/>
                    <w:bidi w:val="0"/>
                    <w:ind w:firstLine="0" w:firstLineChars="0"/>
                    <w:rPr>
                      <w:rFonts w:hint="default" w:ascii="Times New Roman" w:hAnsi="Times New Roman" w:eastAsia="宋体" w:cs="Times New Roman"/>
                      <w:b w:val="0"/>
                      <w:bCs w:val="0"/>
                      <w:kern w:val="2"/>
                      <w:sz w:val="21"/>
                      <w:szCs w:val="24"/>
                      <w:lang w:val="en-US" w:eastAsia="zh-CN" w:bidi="ar-SA"/>
                    </w:rPr>
                  </w:pPr>
                  <w:r>
                    <w:rPr>
                      <w:rFonts w:hint="eastAsia"/>
                      <w:b w:val="0"/>
                      <w:bCs w:val="0"/>
                      <w:lang w:val="en-US" w:eastAsia="zh-CN"/>
                    </w:rPr>
                    <w:t>522.1</w:t>
                  </w:r>
                </w:p>
              </w:tc>
              <w:tc>
                <w:tcPr>
                  <w:tcW w:w="1086" w:type="dxa"/>
                  <w:tcBorders>
                    <w:tl2br w:val="nil"/>
                    <w:tr2bl w:val="nil"/>
                  </w:tcBorders>
                  <w:vAlign w:val="center"/>
                </w:tcPr>
                <w:p>
                  <w:pPr>
                    <w:pStyle w:val="33"/>
                    <w:bidi w:val="0"/>
                    <w:ind w:firstLine="0" w:firstLineChars="0"/>
                    <w:rPr>
                      <w:rFonts w:hint="default" w:ascii="Times New Roman" w:hAnsi="Times New Roman" w:eastAsia="宋体" w:cs="Times New Roman"/>
                      <w:b w:val="0"/>
                      <w:bCs w:val="0"/>
                      <w:kern w:val="2"/>
                      <w:sz w:val="21"/>
                      <w:szCs w:val="24"/>
                      <w:lang w:val="en-US" w:eastAsia="zh-CN" w:bidi="ar-SA"/>
                    </w:rPr>
                  </w:pPr>
                  <w:r>
                    <w:rPr>
                      <w:rFonts w:hint="eastAsia"/>
                      <w:b w:val="0"/>
                      <w:bCs w:val="0"/>
                      <w:lang w:val="en-US" w:eastAsia="zh-CN"/>
                    </w:rPr>
                    <w:t>39.168</w:t>
                  </w:r>
                </w:p>
              </w:tc>
              <w:tc>
                <w:tcPr>
                  <w:tcW w:w="828" w:type="dxa"/>
                  <w:tcBorders>
                    <w:tl2br w:val="nil"/>
                    <w:tr2bl w:val="nil"/>
                  </w:tcBorders>
                  <w:vAlign w:val="center"/>
                </w:tcPr>
                <w:p>
                  <w:pPr>
                    <w:pStyle w:val="33"/>
                    <w:bidi w:val="0"/>
                    <w:ind w:firstLine="0" w:firstLineChars="0"/>
                    <w:rPr>
                      <w:rFonts w:hint="default" w:ascii="Times New Roman" w:hAnsi="Times New Roman" w:eastAsia="宋体" w:cs="Times New Roman"/>
                      <w:b w:val="0"/>
                      <w:bCs w:val="0"/>
                      <w:kern w:val="2"/>
                      <w:sz w:val="21"/>
                      <w:szCs w:val="24"/>
                      <w:lang w:val="en-US" w:eastAsia="zh-CN" w:bidi="ar-SA"/>
                    </w:rPr>
                  </w:pPr>
                  <w:r>
                    <w:rPr>
                      <w:rFonts w:hint="eastAsia"/>
                      <w:b w:val="0"/>
                      <w:bCs w:val="0"/>
                      <w:lang w:val="en-US" w:eastAsia="zh-CN"/>
                    </w:rPr>
                    <w:t>16.68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33" w:type="dxa"/>
                  <w:tcBorders>
                    <w:tl2br w:val="nil"/>
                    <w:tr2bl w:val="nil"/>
                  </w:tcBorders>
                  <w:vAlign w:val="center"/>
                </w:tcPr>
                <w:p>
                  <w:pPr>
                    <w:pStyle w:val="33"/>
                    <w:bidi w:val="0"/>
                    <w:ind w:firstLine="0" w:firstLineChars="0"/>
                    <w:rPr>
                      <w:rFonts w:hint="default" w:ascii="Times New Roman" w:hAnsi="Times New Roman" w:eastAsia="宋体" w:cs="Times New Roman"/>
                      <w:b w:val="0"/>
                      <w:bCs/>
                      <w:kern w:val="2"/>
                      <w:sz w:val="21"/>
                      <w:szCs w:val="24"/>
                      <w:lang w:val="en-US" w:eastAsia="zh-CN" w:bidi="ar-SA"/>
                    </w:rPr>
                  </w:pPr>
                  <w:r>
                    <w:rPr>
                      <w:rFonts w:hint="default"/>
                      <w:lang w:val="en-US" w:eastAsia="zh-CN"/>
                    </w:rPr>
                    <w:t>污染物</w:t>
                  </w:r>
                  <w:r>
                    <w:rPr>
                      <w:rFonts w:hint="eastAsia"/>
                      <w:lang w:val="en-US" w:eastAsia="zh-CN"/>
                    </w:rPr>
                    <w:t>排放</w:t>
                  </w:r>
                  <w:r>
                    <w:rPr>
                      <w:rFonts w:hint="default"/>
                      <w:lang w:val="en-US" w:eastAsia="zh-CN"/>
                    </w:rPr>
                    <w:t>量（t/a）</w:t>
                  </w:r>
                </w:p>
              </w:tc>
              <w:tc>
                <w:tcPr>
                  <w:tcW w:w="936" w:type="dxa"/>
                  <w:tcBorders>
                    <w:tl2br w:val="nil"/>
                    <w:tr2bl w:val="nil"/>
                  </w:tcBorders>
                  <w:vAlign w:val="center"/>
                </w:tcPr>
                <w:p>
                  <w:pPr>
                    <w:pStyle w:val="33"/>
                    <w:bidi w:val="0"/>
                    <w:rPr>
                      <w:rFonts w:hint="default"/>
                      <w:lang w:val="en-US" w:eastAsia="zh-CN"/>
                    </w:rPr>
                  </w:pPr>
                  <w:r>
                    <w:rPr>
                      <w:rFonts w:hint="eastAsia"/>
                      <w:lang w:val="en-US" w:eastAsia="zh-CN"/>
                    </w:rPr>
                    <w:t>17.555</w:t>
                  </w:r>
                </w:p>
              </w:tc>
              <w:tc>
                <w:tcPr>
                  <w:tcW w:w="1036" w:type="dxa"/>
                  <w:tcBorders>
                    <w:tl2br w:val="nil"/>
                    <w:tr2bl w:val="nil"/>
                  </w:tcBorders>
                  <w:vAlign w:val="center"/>
                </w:tcPr>
                <w:p>
                  <w:pPr>
                    <w:pStyle w:val="33"/>
                    <w:bidi w:val="0"/>
                    <w:rPr>
                      <w:rFonts w:hint="default"/>
                      <w:lang w:val="en-US" w:eastAsia="zh-CN"/>
                    </w:rPr>
                  </w:pPr>
                  <w:r>
                    <w:rPr>
                      <w:rFonts w:hint="eastAsia"/>
                      <w:lang w:val="en-US" w:eastAsia="zh-CN"/>
                    </w:rPr>
                    <w:t>9.17</w:t>
                  </w:r>
                </w:p>
              </w:tc>
              <w:tc>
                <w:tcPr>
                  <w:tcW w:w="1050" w:type="dxa"/>
                  <w:tcBorders>
                    <w:tl2br w:val="nil"/>
                    <w:tr2bl w:val="nil"/>
                  </w:tcBorders>
                  <w:vAlign w:val="center"/>
                </w:tcPr>
                <w:p>
                  <w:pPr>
                    <w:pStyle w:val="33"/>
                    <w:bidi w:val="0"/>
                    <w:rPr>
                      <w:rFonts w:hint="default"/>
                      <w:lang w:val="en-US" w:eastAsia="zh-CN"/>
                    </w:rPr>
                  </w:pPr>
                  <w:r>
                    <w:rPr>
                      <w:rFonts w:hint="eastAsia"/>
                      <w:lang w:val="en-US" w:eastAsia="zh-CN"/>
                    </w:rPr>
                    <w:t>11.695</w:t>
                  </w:r>
                </w:p>
              </w:tc>
              <w:tc>
                <w:tcPr>
                  <w:tcW w:w="1086" w:type="dxa"/>
                  <w:tcBorders>
                    <w:tl2br w:val="nil"/>
                    <w:tr2bl w:val="nil"/>
                  </w:tcBorders>
                  <w:vAlign w:val="center"/>
                </w:tcPr>
                <w:p>
                  <w:pPr>
                    <w:pStyle w:val="33"/>
                    <w:bidi w:val="0"/>
                    <w:rPr>
                      <w:rFonts w:hint="default"/>
                      <w:lang w:val="en-US" w:eastAsia="zh-CN"/>
                    </w:rPr>
                  </w:pPr>
                  <w:r>
                    <w:rPr>
                      <w:rFonts w:hint="eastAsia"/>
                      <w:lang w:val="en-US" w:eastAsia="zh-CN"/>
                    </w:rPr>
                    <w:t>0.657</w:t>
                  </w:r>
                </w:p>
              </w:tc>
              <w:tc>
                <w:tcPr>
                  <w:tcW w:w="828" w:type="dxa"/>
                  <w:tcBorders>
                    <w:tl2br w:val="nil"/>
                    <w:tr2bl w:val="nil"/>
                  </w:tcBorders>
                  <w:vAlign w:val="center"/>
                </w:tcPr>
                <w:p>
                  <w:pPr>
                    <w:pStyle w:val="33"/>
                    <w:bidi w:val="0"/>
                    <w:rPr>
                      <w:rFonts w:hint="default"/>
                      <w:lang w:val="en-US" w:eastAsia="zh-CN"/>
                    </w:rPr>
                  </w:pPr>
                  <w:r>
                    <w:rPr>
                      <w:rFonts w:hint="eastAsia"/>
                      <w:lang w:val="en-US" w:eastAsia="zh-CN"/>
                    </w:rPr>
                    <w:t>0.79</w:t>
                  </w:r>
                </w:p>
              </w:tc>
            </w:tr>
          </w:tbl>
          <w:p>
            <w:pPr>
              <w:keepNext/>
              <w:keepLines/>
              <w:widowControl w:val="0"/>
              <w:bidi w:val="0"/>
              <w:spacing w:line="360" w:lineRule="auto"/>
              <w:jc w:val="left"/>
              <w:outlineLvl w:val="2"/>
              <w:rPr>
                <w:rFonts w:ascii="Times New Roman" w:hAnsi="Times New Roman" w:eastAsia="宋体" w:cs="Times New Roman"/>
                <w:b/>
                <w:kern w:val="2"/>
                <w:sz w:val="24"/>
                <w:szCs w:val="24"/>
                <w:highlight w:val="none"/>
                <w:lang w:val="en-US" w:eastAsia="zh-CN" w:bidi="ar-SA"/>
              </w:rPr>
            </w:pPr>
            <w:r>
              <w:rPr>
                <w:rFonts w:hint="eastAsia" w:cs="Times New Roman"/>
                <w:b/>
                <w:kern w:val="2"/>
                <w:sz w:val="24"/>
                <w:szCs w:val="24"/>
                <w:highlight w:val="none"/>
                <w:lang w:val="en-US" w:eastAsia="zh-CN" w:bidi="ar-SA"/>
              </w:rPr>
              <w:t>1.4</w:t>
            </w:r>
            <w:r>
              <w:rPr>
                <w:rFonts w:hint="eastAsia" w:ascii="Times New Roman" w:hAnsi="Times New Roman" w:eastAsia="宋体" w:cs="Times New Roman"/>
                <w:b/>
                <w:kern w:val="2"/>
                <w:sz w:val="24"/>
                <w:szCs w:val="24"/>
                <w:highlight w:val="none"/>
                <w:lang w:val="en-US" w:eastAsia="zh-CN" w:bidi="ar-SA"/>
              </w:rPr>
              <w:t>排放口设置情况</w:t>
            </w:r>
          </w:p>
          <w:p>
            <w:pPr>
              <w:pStyle w:val="22"/>
              <w:bidi w:val="0"/>
              <w:jc w:val="both"/>
              <w:rPr>
                <w:rFonts w:hint="eastAsia"/>
                <w:lang w:val="en-US" w:eastAsia="zh-CN"/>
              </w:rPr>
            </w:pPr>
            <w:r>
              <w:rPr>
                <w:rFonts w:hint="eastAsia"/>
                <w:lang w:val="en-US" w:eastAsia="zh-CN"/>
              </w:rPr>
              <w:t>本项目废水主要分为洗涤废水和锅炉排污水、软水制备废水，洗涤废水排入厂区自建污水处理站处理达到吉木萨尔县第二污水处理厂接管标准，本项目废水污染治理设施情况见下表4-5。</w:t>
            </w:r>
          </w:p>
          <w:p>
            <w:pPr>
              <w:pStyle w:val="22"/>
              <w:bidi w:val="0"/>
              <w:jc w:val="both"/>
              <w:rPr>
                <w:rFonts w:hint="eastAsia"/>
                <w:lang w:val="en-US" w:eastAsia="zh-CN"/>
              </w:rPr>
            </w:pPr>
          </w:p>
          <w:p>
            <w:pPr>
              <w:pStyle w:val="22"/>
              <w:bidi w:val="0"/>
              <w:jc w:val="both"/>
              <w:rPr>
                <w:rFonts w:hint="eastAsia"/>
                <w:lang w:val="en-US" w:eastAsia="zh-CN"/>
              </w:rPr>
            </w:pPr>
          </w:p>
          <w:p>
            <w:pPr>
              <w:widowControl w:val="0"/>
              <w:bidi w:val="0"/>
              <w:spacing w:line="360" w:lineRule="auto"/>
              <w:ind w:firstLine="0" w:firstLineChars="0"/>
              <w:jc w:val="center"/>
              <w:rPr>
                <w:rFonts w:hint="eastAsia" w:ascii="Times New Roman" w:hAnsi="Times New Roman" w:eastAsia="宋体" w:cs="Times New Roman"/>
                <w:b/>
                <w:kern w:val="2"/>
                <w:sz w:val="24"/>
                <w:szCs w:val="24"/>
                <w:highlight w:val="none"/>
                <w:lang w:val="en-US" w:eastAsia="zh-CN" w:bidi="ar-SA"/>
              </w:rPr>
            </w:pPr>
            <w:r>
              <w:rPr>
                <w:rFonts w:hint="eastAsia" w:ascii="Times New Roman" w:hAnsi="Times New Roman" w:eastAsia="宋体" w:cs="Times New Roman"/>
                <w:b/>
                <w:kern w:val="2"/>
                <w:sz w:val="24"/>
                <w:szCs w:val="24"/>
                <w:highlight w:val="none"/>
                <w:lang w:val="en-US" w:eastAsia="zh-CN" w:bidi="ar-SA"/>
              </w:rPr>
              <w:t>表4-</w:t>
            </w:r>
            <w:r>
              <w:rPr>
                <w:rFonts w:hint="eastAsia" w:cs="Times New Roman"/>
                <w:b/>
                <w:kern w:val="2"/>
                <w:sz w:val="24"/>
                <w:szCs w:val="24"/>
                <w:highlight w:val="none"/>
                <w:lang w:val="en-US" w:eastAsia="zh-CN" w:bidi="ar-SA"/>
              </w:rPr>
              <w:t>5</w:t>
            </w:r>
            <w:r>
              <w:rPr>
                <w:rFonts w:hint="eastAsia" w:ascii="Times New Roman" w:hAnsi="Times New Roman" w:eastAsia="宋体" w:cs="Times New Roman"/>
                <w:b/>
                <w:kern w:val="2"/>
                <w:sz w:val="24"/>
                <w:szCs w:val="24"/>
                <w:highlight w:val="none"/>
                <w:lang w:val="en-US" w:eastAsia="zh-CN" w:bidi="ar-SA"/>
              </w:rPr>
              <w:t xml:space="preserve">      废水类别、污染物及污染治理设施信息表</w:t>
            </w:r>
          </w:p>
          <w:tbl>
            <w:tblPr>
              <w:tblStyle w:val="26"/>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8"/>
              <w:gridCol w:w="428"/>
              <w:gridCol w:w="659"/>
              <w:gridCol w:w="749"/>
              <w:gridCol w:w="757"/>
              <w:gridCol w:w="611"/>
              <w:gridCol w:w="702"/>
              <w:gridCol w:w="483"/>
              <w:gridCol w:w="518"/>
              <w:gridCol w:w="810"/>
              <w:gridCol w:w="428"/>
              <w:gridCol w:w="771"/>
              <w:gridCol w:w="5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3" w:type="pct"/>
                  <w:vMerge w:val="restart"/>
                  <w:noWrap w:val="0"/>
                  <w:vAlign w:val="center"/>
                </w:tcPr>
                <w:p>
                  <w:pPr>
                    <w:pStyle w:val="33"/>
                    <w:bidi w:val="0"/>
                    <w:rPr>
                      <w:b/>
                      <w:bCs w:val="0"/>
                      <w:lang w:val="zh-TW" w:eastAsia="zh-TW"/>
                    </w:rPr>
                  </w:pPr>
                  <w:r>
                    <w:rPr>
                      <w:rFonts w:hint="eastAsia"/>
                      <w:b/>
                      <w:bCs w:val="0"/>
                      <w:lang w:val="zh-TW" w:eastAsia="zh-TW"/>
                    </w:rPr>
                    <w:t>编号</w:t>
                  </w:r>
                </w:p>
              </w:tc>
              <w:tc>
                <w:tcPr>
                  <w:tcW w:w="272" w:type="pct"/>
                  <w:vMerge w:val="restart"/>
                  <w:noWrap w:val="0"/>
                  <w:vAlign w:val="center"/>
                </w:tcPr>
                <w:p>
                  <w:pPr>
                    <w:pStyle w:val="33"/>
                    <w:bidi w:val="0"/>
                    <w:rPr>
                      <w:b/>
                      <w:bCs w:val="0"/>
                      <w:lang w:val="zh-TW" w:eastAsia="zh-TW"/>
                    </w:rPr>
                  </w:pPr>
                  <w:r>
                    <w:rPr>
                      <w:rFonts w:hint="eastAsia"/>
                      <w:b/>
                      <w:bCs w:val="0"/>
                      <w:lang w:val="zh-TW" w:eastAsia="zh-TW"/>
                    </w:rPr>
                    <w:t>名称</w:t>
                  </w:r>
                </w:p>
              </w:tc>
              <w:tc>
                <w:tcPr>
                  <w:tcW w:w="419" w:type="pct"/>
                  <w:vMerge w:val="restart"/>
                  <w:noWrap w:val="0"/>
                  <w:vAlign w:val="center"/>
                </w:tcPr>
                <w:p>
                  <w:pPr>
                    <w:pStyle w:val="33"/>
                    <w:bidi w:val="0"/>
                    <w:rPr>
                      <w:b/>
                      <w:bCs w:val="0"/>
                      <w:lang w:val="zh-TW" w:eastAsia="zh-TW"/>
                    </w:rPr>
                  </w:pPr>
                  <w:r>
                    <w:rPr>
                      <w:rFonts w:hint="eastAsia"/>
                      <w:b/>
                      <w:bCs w:val="0"/>
                      <w:lang w:val="zh-TW" w:eastAsia="zh-TW"/>
                    </w:rPr>
                    <w:t>类别</w:t>
                  </w:r>
                </w:p>
              </w:tc>
              <w:tc>
                <w:tcPr>
                  <w:tcW w:w="476" w:type="pct"/>
                  <w:vMerge w:val="restart"/>
                  <w:noWrap w:val="0"/>
                  <w:vAlign w:val="center"/>
                </w:tcPr>
                <w:p>
                  <w:pPr>
                    <w:pStyle w:val="33"/>
                    <w:bidi w:val="0"/>
                    <w:rPr>
                      <w:b/>
                      <w:bCs w:val="0"/>
                      <w:lang w:val="zh-TW" w:eastAsia="zh-TW"/>
                    </w:rPr>
                  </w:pPr>
                  <w:r>
                    <w:rPr>
                      <w:rFonts w:hint="eastAsia"/>
                      <w:b/>
                      <w:bCs w:val="0"/>
                      <w:lang w:val="zh-TW" w:eastAsia="zh-TW"/>
                    </w:rPr>
                    <w:t>污染物</w:t>
                  </w:r>
                </w:p>
              </w:tc>
              <w:tc>
                <w:tcPr>
                  <w:tcW w:w="1316" w:type="pct"/>
                  <w:gridSpan w:val="3"/>
                  <w:noWrap w:val="0"/>
                  <w:vAlign w:val="center"/>
                </w:tcPr>
                <w:p>
                  <w:pPr>
                    <w:pStyle w:val="33"/>
                    <w:bidi w:val="0"/>
                    <w:rPr>
                      <w:b/>
                      <w:bCs w:val="0"/>
                      <w:lang w:val="zh-TW" w:eastAsia="zh-TW"/>
                    </w:rPr>
                  </w:pPr>
                  <w:r>
                    <w:rPr>
                      <w:rFonts w:hint="eastAsia"/>
                      <w:b/>
                      <w:bCs w:val="0"/>
                      <w:lang w:val="zh-TW" w:eastAsia="zh-TW"/>
                    </w:rPr>
                    <w:t>污染防治措施</w:t>
                  </w:r>
                </w:p>
              </w:tc>
              <w:tc>
                <w:tcPr>
                  <w:tcW w:w="636" w:type="pct"/>
                  <w:gridSpan w:val="2"/>
                  <w:noWrap w:val="0"/>
                  <w:vAlign w:val="center"/>
                </w:tcPr>
                <w:p>
                  <w:pPr>
                    <w:pStyle w:val="33"/>
                    <w:bidi w:val="0"/>
                    <w:rPr>
                      <w:b/>
                      <w:bCs w:val="0"/>
                      <w:lang w:val="zh-TW" w:eastAsia="zh-TW"/>
                    </w:rPr>
                  </w:pPr>
                  <w:r>
                    <w:rPr>
                      <w:rFonts w:hint="eastAsia"/>
                      <w:b/>
                      <w:bCs w:val="0"/>
                      <w:lang w:val="zh-TW" w:eastAsia="zh-TW"/>
                    </w:rPr>
                    <w:t>排放口</w:t>
                  </w:r>
                </w:p>
              </w:tc>
              <w:tc>
                <w:tcPr>
                  <w:tcW w:w="515" w:type="pct"/>
                  <w:vMerge w:val="restart"/>
                  <w:tcBorders>
                    <w:bottom w:val="single" w:color="auto" w:sz="12" w:space="0"/>
                  </w:tcBorders>
                  <w:noWrap w:val="0"/>
                  <w:vAlign w:val="center"/>
                </w:tcPr>
                <w:p>
                  <w:pPr>
                    <w:pStyle w:val="33"/>
                    <w:bidi w:val="0"/>
                    <w:rPr>
                      <w:b/>
                      <w:bCs w:val="0"/>
                      <w:lang w:val="zh-TW" w:eastAsia="zh-TW"/>
                    </w:rPr>
                  </w:pPr>
                  <w:r>
                    <w:rPr>
                      <w:rFonts w:hint="eastAsia"/>
                      <w:b/>
                      <w:bCs w:val="0"/>
                      <w:lang w:val="zh-TW" w:eastAsia="zh-TW"/>
                    </w:rPr>
                    <w:t>排放去向</w:t>
                  </w:r>
                </w:p>
              </w:tc>
              <w:tc>
                <w:tcPr>
                  <w:tcW w:w="272" w:type="pct"/>
                  <w:vMerge w:val="restart"/>
                  <w:tcBorders>
                    <w:bottom w:val="single" w:color="auto" w:sz="12" w:space="0"/>
                  </w:tcBorders>
                  <w:noWrap w:val="0"/>
                  <w:vAlign w:val="center"/>
                </w:tcPr>
                <w:p>
                  <w:pPr>
                    <w:pStyle w:val="33"/>
                    <w:bidi w:val="0"/>
                    <w:rPr>
                      <w:b/>
                      <w:bCs w:val="0"/>
                      <w:lang w:val="zh-TW" w:eastAsia="zh-TW"/>
                    </w:rPr>
                  </w:pPr>
                  <w:r>
                    <w:rPr>
                      <w:rFonts w:hint="eastAsia"/>
                      <w:b/>
                      <w:bCs w:val="0"/>
                      <w:lang w:val="zh-TW" w:eastAsia="zh-TW"/>
                    </w:rPr>
                    <w:t>排放方式</w:t>
                  </w:r>
                </w:p>
              </w:tc>
              <w:tc>
                <w:tcPr>
                  <w:tcW w:w="490" w:type="pct"/>
                  <w:vMerge w:val="restart"/>
                  <w:tcBorders>
                    <w:bottom w:val="single" w:color="auto" w:sz="12" w:space="0"/>
                  </w:tcBorders>
                  <w:noWrap w:val="0"/>
                  <w:vAlign w:val="center"/>
                </w:tcPr>
                <w:p>
                  <w:pPr>
                    <w:pStyle w:val="33"/>
                    <w:bidi w:val="0"/>
                    <w:rPr>
                      <w:b/>
                      <w:bCs w:val="0"/>
                      <w:lang w:val="zh-TW" w:eastAsia="zh-TW"/>
                    </w:rPr>
                  </w:pPr>
                  <w:r>
                    <w:rPr>
                      <w:rFonts w:hint="eastAsia"/>
                      <w:b/>
                      <w:bCs w:val="0"/>
                      <w:lang w:val="zh-TW" w:eastAsia="zh-TW"/>
                    </w:rPr>
                    <w:t>排放规律</w:t>
                  </w:r>
                </w:p>
              </w:tc>
              <w:tc>
                <w:tcPr>
                  <w:tcW w:w="347" w:type="pct"/>
                  <w:vMerge w:val="restart"/>
                  <w:tcBorders>
                    <w:bottom w:val="single" w:color="auto" w:sz="12" w:space="0"/>
                  </w:tcBorders>
                  <w:noWrap w:val="0"/>
                  <w:vAlign w:val="center"/>
                </w:tcPr>
                <w:p>
                  <w:pPr>
                    <w:pStyle w:val="33"/>
                    <w:bidi w:val="0"/>
                    <w:rPr>
                      <w:b/>
                      <w:bCs w:val="0"/>
                      <w:lang w:val="zh-TW" w:eastAsia="zh-TW"/>
                    </w:rPr>
                  </w:pPr>
                  <w:r>
                    <w:rPr>
                      <w:rFonts w:hint="eastAsia"/>
                      <w:b/>
                      <w:bCs w:val="0"/>
                      <w:lang w:val="zh-TW" w:eastAsia="zh-TW"/>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3" w:type="pct"/>
                  <w:vMerge w:val="continue"/>
                  <w:tcBorders>
                    <w:bottom w:val="single" w:color="auto" w:sz="12" w:space="0"/>
                  </w:tcBorders>
                  <w:noWrap w:val="0"/>
                  <w:vAlign w:val="center"/>
                </w:tcPr>
                <w:p>
                  <w:pPr>
                    <w:pStyle w:val="33"/>
                    <w:bidi w:val="0"/>
                    <w:rPr>
                      <w:lang w:val="zh-TW" w:eastAsia="zh-TW"/>
                    </w:rPr>
                  </w:pPr>
                </w:p>
              </w:tc>
              <w:tc>
                <w:tcPr>
                  <w:tcW w:w="272" w:type="pct"/>
                  <w:vMerge w:val="continue"/>
                  <w:tcBorders>
                    <w:bottom w:val="single" w:color="auto" w:sz="12" w:space="0"/>
                  </w:tcBorders>
                  <w:noWrap w:val="0"/>
                  <w:vAlign w:val="center"/>
                </w:tcPr>
                <w:p>
                  <w:pPr>
                    <w:pStyle w:val="33"/>
                    <w:bidi w:val="0"/>
                    <w:rPr>
                      <w:lang w:val="zh-TW" w:eastAsia="zh-TW"/>
                    </w:rPr>
                  </w:pPr>
                </w:p>
              </w:tc>
              <w:tc>
                <w:tcPr>
                  <w:tcW w:w="419" w:type="pct"/>
                  <w:vMerge w:val="continue"/>
                  <w:tcBorders>
                    <w:bottom w:val="single" w:color="auto" w:sz="12" w:space="0"/>
                  </w:tcBorders>
                  <w:noWrap w:val="0"/>
                  <w:vAlign w:val="center"/>
                </w:tcPr>
                <w:p>
                  <w:pPr>
                    <w:pStyle w:val="33"/>
                    <w:bidi w:val="0"/>
                    <w:rPr>
                      <w:lang w:val="zh-TW" w:eastAsia="zh-TW"/>
                    </w:rPr>
                  </w:pPr>
                </w:p>
              </w:tc>
              <w:tc>
                <w:tcPr>
                  <w:tcW w:w="476" w:type="pct"/>
                  <w:vMerge w:val="continue"/>
                  <w:tcBorders>
                    <w:bottom w:val="single" w:color="auto" w:sz="12" w:space="0"/>
                  </w:tcBorders>
                  <w:noWrap w:val="0"/>
                  <w:vAlign w:val="center"/>
                </w:tcPr>
                <w:p>
                  <w:pPr>
                    <w:pStyle w:val="33"/>
                    <w:bidi w:val="0"/>
                    <w:rPr>
                      <w:lang w:val="zh-TW" w:eastAsia="zh-TW"/>
                    </w:rPr>
                  </w:pPr>
                </w:p>
              </w:tc>
              <w:tc>
                <w:tcPr>
                  <w:tcW w:w="481" w:type="pct"/>
                  <w:tcBorders>
                    <w:bottom w:val="single" w:color="auto" w:sz="12" w:space="0"/>
                  </w:tcBorders>
                  <w:noWrap w:val="0"/>
                  <w:vAlign w:val="center"/>
                </w:tcPr>
                <w:p>
                  <w:pPr>
                    <w:pStyle w:val="33"/>
                    <w:bidi w:val="0"/>
                    <w:rPr>
                      <w:b/>
                      <w:bCs w:val="0"/>
                      <w:lang w:val="zh-TW" w:eastAsia="zh-TW"/>
                    </w:rPr>
                  </w:pPr>
                  <w:r>
                    <w:rPr>
                      <w:rFonts w:hint="eastAsia"/>
                      <w:b/>
                      <w:bCs w:val="0"/>
                      <w:lang w:val="zh-TW" w:eastAsia="zh-TW"/>
                    </w:rPr>
                    <w:t>工艺</w:t>
                  </w:r>
                </w:p>
              </w:tc>
              <w:tc>
                <w:tcPr>
                  <w:tcW w:w="388" w:type="pct"/>
                  <w:tcBorders>
                    <w:bottom w:val="single" w:color="auto" w:sz="12" w:space="0"/>
                  </w:tcBorders>
                  <w:noWrap w:val="0"/>
                  <w:vAlign w:val="center"/>
                </w:tcPr>
                <w:p>
                  <w:pPr>
                    <w:pStyle w:val="33"/>
                    <w:bidi w:val="0"/>
                    <w:rPr>
                      <w:b/>
                      <w:bCs w:val="0"/>
                      <w:lang w:val="zh-TW" w:eastAsia="zh-TW"/>
                    </w:rPr>
                  </w:pPr>
                  <w:r>
                    <w:rPr>
                      <w:rFonts w:hint="eastAsia"/>
                      <w:b/>
                      <w:bCs w:val="0"/>
                      <w:lang w:val="zh-TW" w:eastAsia="zh-TW"/>
                    </w:rPr>
                    <w:t>是否为可行技术</w:t>
                  </w:r>
                </w:p>
              </w:tc>
              <w:tc>
                <w:tcPr>
                  <w:tcW w:w="446" w:type="pct"/>
                  <w:tcBorders>
                    <w:bottom w:val="single" w:color="auto" w:sz="12" w:space="0"/>
                  </w:tcBorders>
                  <w:noWrap w:val="0"/>
                  <w:vAlign w:val="center"/>
                </w:tcPr>
                <w:p>
                  <w:pPr>
                    <w:pStyle w:val="33"/>
                    <w:bidi w:val="0"/>
                    <w:rPr>
                      <w:b/>
                      <w:bCs w:val="0"/>
                      <w:lang w:val="zh-TW" w:eastAsia="zh-TW"/>
                    </w:rPr>
                  </w:pPr>
                  <w:r>
                    <w:rPr>
                      <w:rFonts w:hint="eastAsia"/>
                      <w:b/>
                      <w:bCs w:val="0"/>
                      <w:lang w:val="zh-TW" w:eastAsia="zh-TW"/>
                    </w:rPr>
                    <w:t>处理能力</w:t>
                  </w:r>
                </w:p>
              </w:tc>
              <w:tc>
                <w:tcPr>
                  <w:tcW w:w="307" w:type="pct"/>
                  <w:tcBorders>
                    <w:bottom w:val="single" w:color="auto" w:sz="12" w:space="0"/>
                  </w:tcBorders>
                  <w:noWrap w:val="0"/>
                  <w:vAlign w:val="center"/>
                </w:tcPr>
                <w:p>
                  <w:pPr>
                    <w:pStyle w:val="33"/>
                    <w:bidi w:val="0"/>
                    <w:rPr>
                      <w:b/>
                      <w:bCs w:val="0"/>
                      <w:lang w:val="zh-TW" w:eastAsia="zh-TW"/>
                    </w:rPr>
                  </w:pPr>
                  <w:r>
                    <w:rPr>
                      <w:rFonts w:hint="eastAsia"/>
                      <w:b/>
                      <w:bCs w:val="0"/>
                      <w:lang w:val="zh-TW" w:eastAsia="zh-TW"/>
                    </w:rPr>
                    <w:t>经度</w:t>
                  </w:r>
                </w:p>
              </w:tc>
              <w:tc>
                <w:tcPr>
                  <w:tcW w:w="329" w:type="pct"/>
                  <w:tcBorders>
                    <w:bottom w:val="single" w:color="auto" w:sz="12" w:space="0"/>
                  </w:tcBorders>
                  <w:noWrap w:val="0"/>
                  <w:vAlign w:val="center"/>
                </w:tcPr>
                <w:p>
                  <w:pPr>
                    <w:pStyle w:val="33"/>
                    <w:bidi w:val="0"/>
                    <w:rPr>
                      <w:b/>
                      <w:bCs w:val="0"/>
                      <w:lang w:val="zh-TW" w:eastAsia="zh-TW"/>
                    </w:rPr>
                  </w:pPr>
                  <w:r>
                    <w:rPr>
                      <w:rFonts w:hint="eastAsia"/>
                      <w:b/>
                      <w:bCs w:val="0"/>
                      <w:lang w:val="zh-TW" w:eastAsia="zh-TW"/>
                    </w:rPr>
                    <w:t>纬度</w:t>
                  </w:r>
                </w:p>
              </w:tc>
              <w:tc>
                <w:tcPr>
                  <w:tcW w:w="515" w:type="pct"/>
                  <w:vMerge w:val="continue"/>
                  <w:tcBorders>
                    <w:top w:val="single" w:color="auto" w:sz="12" w:space="0"/>
                    <w:bottom w:val="single" w:color="auto" w:sz="12" w:space="0"/>
                  </w:tcBorders>
                  <w:noWrap w:val="0"/>
                  <w:vAlign w:val="center"/>
                </w:tcPr>
                <w:p>
                  <w:pPr>
                    <w:pStyle w:val="33"/>
                    <w:bidi w:val="0"/>
                    <w:rPr>
                      <w:lang w:val="zh-TW" w:eastAsia="zh-TW"/>
                    </w:rPr>
                  </w:pPr>
                </w:p>
              </w:tc>
              <w:tc>
                <w:tcPr>
                  <w:tcW w:w="272" w:type="pct"/>
                  <w:vMerge w:val="continue"/>
                  <w:tcBorders>
                    <w:top w:val="single" w:color="auto" w:sz="12" w:space="0"/>
                    <w:bottom w:val="single" w:color="auto" w:sz="12" w:space="0"/>
                  </w:tcBorders>
                  <w:noWrap w:val="0"/>
                  <w:vAlign w:val="center"/>
                </w:tcPr>
                <w:p>
                  <w:pPr>
                    <w:pStyle w:val="33"/>
                    <w:bidi w:val="0"/>
                    <w:rPr>
                      <w:lang w:val="zh-TW" w:eastAsia="zh-TW"/>
                    </w:rPr>
                  </w:pPr>
                </w:p>
              </w:tc>
              <w:tc>
                <w:tcPr>
                  <w:tcW w:w="490" w:type="pct"/>
                  <w:vMerge w:val="continue"/>
                  <w:tcBorders>
                    <w:top w:val="single" w:color="auto" w:sz="12" w:space="0"/>
                    <w:bottom w:val="single" w:color="auto" w:sz="12" w:space="0"/>
                  </w:tcBorders>
                  <w:noWrap w:val="0"/>
                  <w:vAlign w:val="center"/>
                </w:tcPr>
                <w:p>
                  <w:pPr>
                    <w:pStyle w:val="33"/>
                    <w:bidi w:val="0"/>
                    <w:rPr>
                      <w:lang w:val="zh-TW" w:eastAsia="zh-TW"/>
                    </w:rPr>
                  </w:pPr>
                </w:p>
              </w:tc>
              <w:tc>
                <w:tcPr>
                  <w:tcW w:w="347" w:type="pct"/>
                  <w:vMerge w:val="continue"/>
                  <w:tcBorders>
                    <w:top w:val="single" w:color="auto" w:sz="12" w:space="0"/>
                    <w:bottom w:val="single" w:color="auto" w:sz="12" w:space="0"/>
                  </w:tcBorders>
                  <w:noWrap w:val="0"/>
                  <w:vAlign w:val="center"/>
                </w:tcPr>
                <w:p>
                  <w:pPr>
                    <w:pStyle w:val="33"/>
                    <w:bidi w:val="0"/>
                    <w:rPr>
                      <w:lang w:val="zh-TW" w:eastAsia="zh-T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3" w:type="pct"/>
                  <w:vMerge w:val="restart"/>
                  <w:tcBorders>
                    <w:top w:val="single" w:color="auto" w:sz="12" w:space="0"/>
                  </w:tcBorders>
                  <w:noWrap w:val="0"/>
                  <w:vAlign w:val="center"/>
                </w:tcPr>
                <w:p>
                  <w:pPr>
                    <w:pStyle w:val="33"/>
                    <w:bidi w:val="0"/>
                    <w:rPr>
                      <w:lang w:val="zh-TW" w:eastAsia="zh-TW"/>
                    </w:rPr>
                  </w:pPr>
                  <w:r>
                    <w:rPr>
                      <w:lang w:val="zh-TW" w:eastAsia="zh-TW"/>
                    </w:rPr>
                    <w:t>DW001</w:t>
                  </w:r>
                </w:p>
              </w:tc>
              <w:tc>
                <w:tcPr>
                  <w:tcW w:w="272" w:type="pct"/>
                  <w:vMerge w:val="restart"/>
                  <w:tcBorders>
                    <w:top w:val="single" w:color="auto" w:sz="12" w:space="0"/>
                  </w:tcBorders>
                  <w:noWrap w:val="0"/>
                  <w:vAlign w:val="center"/>
                </w:tcPr>
                <w:p>
                  <w:pPr>
                    <w:pStyle w:val="33"/>
                    <w:bidi w:val="0"/>
                    <w:rPr>
                      <w:lang w:val="zh-TW" w:eastAsia="zh-TW"/>
                    </w:rPr>
                  </w:pPr>
                  <w:r>
                    <w:rPr>
                      <w:rFonts w:hint="eastAsia"/>
                      <w:lang w:val="zh-TW" w:eastAsia="zh-TW"/>
                    </w:rPr>
                    <w:t>总排放口</w:t>
                  </w:r>
                </w:p>
              </w:tc>
              <w:tc>
                <w:tcPr>
                  <w:tcW w:w="419" w:type="pct"/>
                  <w:tcBorders>
                    <w:top w:val="single" w:color="auto" w:sz="12" w:space="0"/>
                  </w:tcBorders>
                  <w:noWrap w:val="0"/>
                  <w:vAlign w:val="center"/>
                </w:tcPr>
                <w:p>
                  <w:pPr>
                    <w:pStyle w:val="33"/>
                    <w:bidi w:val="0"/>
                    <w:rPr>
                      <w:rFonts w:hint="default"/>
                      <w:lang w:val="en-US" w:eastAsia="zh-CN"/>
                    </w:rPr>
                  </w:pPr>
                  <w:r>
                    <w:rPr>
                      <w:rFonts w:hint="eastAsia"/>
                      <w:lang w:val="en-US" w:eastAsia="zh-CN"/>
                    </w:rPr>
                    <w:t>洗涤废水</w:t>
                  </w:r>
                </w:p>
              </w:tc>
              <w:tc>
                <w:tcPr>
                  <w:tcW w:w="476" w:type="pct"/>
                  <w:tcBorders>
                    <w:top w:val="single" w:color="auto" w:sz="12" w:space="0"/>
                  </w:tcBorders>
                  <w:noWrap w:val="0"/>
                  <w:vAlign w:val="center"/>
                </w:tcPr>
                <w:p>
                  <w:pPr>
                    <w:pStyle w:val="33"/>
                    <w:bidi w:val="0"/>
                    <w:rPr>
                      <w:rFonts w:hint="eastAsia"/>
                      <w:lang w:val="zh-TW" w:eastAsia="zh-TW"/>
                    </w:rPr>
                  </w:pPr>
                  <w:r>
                    <w:rPr>
                      <w:rFonts w:hint="default"/>
                      <w:lang w:val="en-US" w:eastAsia="zh-CN"/>
                    </w:rPr>
                    <w:t>CODCr、BOD</w:t>
                  </w:r>
                  <w:r>
                    <w:rPr>
                      <w:rFonts w:hint="default"/>
                      <w:vertAlign w:val="subscript"/>
                      <w:lang w:val="en-US" w:eastAsia="zh-CN"/>
                    </w:rPr>
                    <w:t>5</w:t>
                  </w:r>
                  <w:r>
                    <w:rPr>
                      <w:rFonts w:hint="default"/>
                      <w:lang w:val="en-US" w:eastAsia="zh-CN"/>
                    </w:rPr>
                    <w:t>、SS、NH</w:t>
                  </w:r>
                  <w:r>
                    <w:rPr>
                      <w:rFonts w:hint="default"/>
                      <w:vertAlign w:val="subscript"/>
                      <w:lang w:val="en-US" w:eastAsia="zh-CN"/>
                    </w:rPr>
                    <w:t>3</w:t>
                  </w:r>
                  <w:r>
                    <w:rPr>
                      <w:rFonts w:hint="default"/>
                      <w:lang w:val="en-US" w:eastAsia="zh-CN"/>
                    </w:rPr>
                    <w:t>-N、LAS</w:t>
                  </w:r>
                </w:p>
              </w:tc>
              <w:tc>
                <w:tcPr>
                  <w:tcW w:w="481" w:type="pct"/>
                  <w:tcBorders>
                    <w:top w:val="single" w:color="auto" w:sz="12" w:space="0"/>
                  </w:tcBorders>
                  <w:noWrap w:val="0"/>
                  <w:vAlign w:val="center"/>
                </w:tcPr>
                <w:p>
                  <w:pPr>
                    <w:pStyle w:val="33"/>
                    <w:bidi w:val="0"/>
                    <w:rPr>
                      <w:lang w:val="zh-TW" w:eastAsia="zh-TW"/>
                    </w:rPr>
                  </w:pPr>
                  <w:r>
                    <w:rPr>
                      <w:rFonts w:hint="default"/>
                    </w:rPr>
                    <w:t>“</w:t>
                  </w:r>
                  <w:r>
                    <w:rPr>
                      <w:rFonts w:hint="eastAsia"/>
                      <w:lang w:val="en-US" w:eastAsia="zh-CN"/>
                    </w:rPr>
                    <w:t>过滤、初沉调节</w:t>
                  </w:r>
                  <w:r>
                    <w:rPr>
                      <w:rFonts w:hint="default"/>
                    </w:rPr>
                    <w:t>”，“</w:t>
                  </w:r>
                  <w:r>
                    <w:rPr>
                      <w:rFonts w:hint="eastAsia"/>
                      <w:lang w:val="en-US" w:eastAsia="zh-CN"/>
                    </w:rPr>
                    <w:t>厌氧、</w:t>
                  </w:r>
                  <w:r>
                    <w:rPr>
                      <w:rFonts w:hint="default"/>
                      <w:lang w:val="en-US" w:eastAsia="zh-CN"/>
                    </w:rPr>
                    <w:t>缺氧</w:t>
                  </w:r>
                  <w:r>
                    <w:rPr>
                      <w:rFonts w:hint="eastAsia"/>
                      <w:lang w:val="en-US" w:eastAsia="zh-CN"/>
                    </w:rPr>
                    <w:t>、</w:t>
                  </w:r>
                  <w:r>
                    <w:rPr>
                      <w:rFonts w:hint="default"/>
                      <w:lang w:val="en-US" w:eastAsia="zh-CN"/>
                    </w:rPr>
                    <w:t>好氧池</w:t>
                  </w:r>
                  <w:r>
                    <w:rPr>
                      <w:rFonts w:hint="default"/>
                    </w:rPr>
                    <w:t>”，“</w:t>
                  </w:r>
                  <w:r>
                    <w:rPr>
                      <w:rFonts w:hint="eastAsia"/>
                      <w:lang w:val="en-US" w:eastAsia="zh-CN"/>
                    </w:rPr>
                    <w:t>MBR生物池</w:t>
                  </w:r>
                  <w:r>
                    <w:rPr>
                      <w:rFonts w:hint="default"/>
                    </w:rPr>
                    <w:t>”</w:t>
                  </w:r>
                </w:p>
              </w:tc>
              <w:tc>
                <w:tcPr>
                  <w:tcW w:w="388" w:type="pct"/>
                  <w:tcBorders>
                    <w:top w:val="single" w:color="auto" w:sz="12" w:space="0"/>
                  </w:tcBorders>
                  <w:noWrap w:val="0"/>
                  <w:vAlign w:val="center"/>
                </w:tcPr>
                <w:p>
                  <w:pPr>
                    <w:pStyle w:val="33"/>
                    <w:bidi w:val="0"/>
                    <w:rPr>
                      <w:rFonts w:hint="default"/>
                      <w:lang w:val="en-US" w:eastAsia="zh-CN"/>
                    </w:rPr>
                  </w:pPr>
                  <w:r>
                    <w:rPr>
                      <w:rFonts w:hint="eastAsia"/>
                      <w:lang w:val="en-US" w:eastAsia="zh-CN"/>
                    </w:rPr>
                    <w:t>是</w:t>
                  </w:r>
                </w:p>
              </w:tc>
              <w:tc>
                <w:tcPr>
                  <w:tcW w:w="446" w:type="pct"/>
                  <w:tcBorders>
                    <w:top w:val="single" w:color="auto" w:sz="12" w:space="0"/>
                  </w:tcBorders>
                  <w:noWrap w:val="0"/>
                  <w:vAlign w:val="center"/>
                </w:tcPr>
                <w:p>
                  <w:pPr>
                    <w:pStyle w:val="33"/>
                    <w:bidi w:val="0"/>
                    <w:rPr>
                      <w:rFonts w:hint="default"/>
                      <w:lang w:val="en-US" w:eastAsia="zh-CN"/>
                    </w:rPr>
                  </w:pPr>
                  <w:r>
                    <w:rPr>
                      <w:rFonts w:hint="eastAsia"/>
                      <w:lang w:val="en-US" w:eastAsia="zh-CN"/>
                    </w:rPr>
                    <w:t>200t/d</w:t>
                  </w:r>
                </w:p>
              </w:tc>
              <w:tc>
                <w:tcPr>
                  <w:tcW w:w="307" w:type="pct"/>
                  <w:vMerge w:val="restart"/>
                  <w:tcBorders>
                    <w:top w:val="single" w:color="auto" w:sz="12" w:space="0"/>
                  </w:tcBorders>
                  <w:noWrap w:val="0"/>
                  <w:vAlign w:val="center"/>
                </w:tcPr>
                <w:p>
                  <w:pPr>
                    <w:pStyle w:val="33"/>
                    <w:bidi w:val="0"/>
                    <w:rPr>
                      <w:lang w:val="zh-TW" w:eastAsia="zh-TW"/>
                    </w:rPr>
                  </w:pPr>
                  <w:r>
                    <w:rPr>
                      <w:rFonts w:hint="eastAsia"/>
                      <w:lang w:val="zh-TW" w:eastAsia="zh-TW"/>
                    </w:rPr>
                    <w:t>89.23710150</w:t>
                  </w:r>
                </w:p>
              </w:tc>
              <w:tc>
                <w:tcPr>
                  <w:tcW w:w="329" w:type="pct"/>
                  <w:vMerge w:val="restart"/>
                  <w:tcBorders>
                    <w:top w:val="single" w:color="auto" w:sz="12" w:space="0"/>
                  </w:tcBorders>
                  <w:noWrap w:val="0"/>
                  <w:vAlign w:val="center"/>
                </w:tcPr>
                <w:p>
                  <w:pPr>
                    <w:pStyle w:val="33"/>
                    <w:bidi w:val="0"/>
                    <w:rPr>
                      <w:lang w:val="zh-TW" w:eastAsia="zh-TW"/>
                    </w:rPr>
                  </w:pPr>
                  <w:r>
                    <w:rPr>
                      <w:rFonts w:hint="eastAsia"/>
                      <w:lang w:val="zh-TW" w:eastAsia="zh-TW"/>
                    </w:rPr>
                    <w:t>43.98825702</w:t>
                  </w:r>
                </w:p>
              </w:tc>
              <w:tc>
                <w:tcPr>
                  <w:tcW w:w="515" w:type="pct"/>
                  <w:tcBorders>
                    <w:top w:val="single" w:color="auto" w:sz="12" w:space="0"/>
                  </w:tcBorders>
                  <w:noWrap w:val="0"/>
                  <w:vAlign w:val="center"/>
                </w:tcPr>
                <w:p>
                  <w:pPr>
                    <w:pStyle w:val="33"/>
                    <w:bidi w:val="0"/>
                    <w:rPr>
                      <w:rFonts w:hint="default"/>
                      <w:lang w:val="en-US" w:eastAsia="zh-CN"/>
                    </w:rPr>
                  </w:pPr>
                  <w:r>
                    <w:rPr>
                      <w:rFonts w:hint="eastAsia"/>
                      <w:lang w:val="en-US" w:eastAsia="zh-CN"/>
                    </w:rPr>
                    <w:t>污水处理站处理后排入吉木萨尔县第二污水处理厂</w:t>
                  </w:r>
                </w:p>
              </w:tc>
              <w:tc>
                <w:tcPr>
                  <w:tcW w:w="272" w:type="pct"/>
                  <w:vMerge w:val="restart"/>
                  <w:tcBorders>
                    <w:top w:val="single" w:color="auto" w:sz="12" w:space="0"/>
                  </w:tcBorders>
                  <w:noWrap w:val="0"/>
                  <w:vAlign w:val="center"/>
                </w:tcPr>
                <w:p>
                  <w:pPr>
                    <w:pStyle w:val="33"/>
                    <w:bidi w:val="0"/>
                    <w:rPr>
                      <w:lang w:val="zh-TW" w:eastAsia="zh-TW"/>
                    </w:rPr>
                  </w:pPr>
                  <w:r>
                    <w:rPr>
                      <w:rFonts w:hint="eastAsia"/>
                      <w:lang w:val="zh-TW" w:eastAsia="zh-TW"/>
                    </w:rPr>
                    <w:t>间接排放</w:t>
                  </w:r>
                </w:p>
              </w:tc>
              <w:tc>
                <w:tcPr>
                  <w:tcW w:w="490" w:type="pct"/>
                  <w:vMerge w:val="restart"/>
                  <w:tcBorders>
                    <w:top w:val="single" w:color="auto" w:sz="12" w:space="0"/>
                  </w:tcBorders>
                  <w:noWrap w:val="0"/>
                  <w:vAlign w:val="center"/>
                </w:tcPr>
                <w:p>
                  <w:pPr>
                    <w:pStyle w:val="33"/>
                    <w:bidi w:val="0"/>
                    <w:rPr>
                      <w:lang w:val="zh-TW" w:eastAsia="zh-TW"/>
                    </w:rPr>
                  </w:pPr>
                  <w:r>
                    <w:rPr>
                      <w:lang w:val="zh-TW" w:eastAsia="zh-TW"/>
                    </w:rPr>
                    <w:t>连续排放，流量</w:t>
                  </w:r>
                </w:p>
                <w:p>
                  <w:pPr>
                    <w:pStyle w:val="33"/>
                    <w:bidi w:val="0"/>
                    <w:rPr>
                      <w:lang w:val="zh-TW" w:eastAsia="zh-TW"/>
                    </w:rPr>
                  </w:pPr>
                  <w:r>
                    <w:rPr>
                      <w:lang w:val="zh-TW" w:eastAsia="zh-TW"/>
                    </w:rPr>
                    <w:t>不稳定且无规</w:t>
                  </w:r>
                </w:p>
                <w:p>
                  <w:pPr>
                    <w:pStyle w:val="33"/>
                    <w:bidi w:val="0"/>
                    <w:rPr>
                      <w:lang w:val="zh-TW" w:eastAsia="zh-TW"/>
                    </w:rPr>
                  </w:pPr>
                  <w:r>
                    <w:rPr>
                      <w:lang w:val="zh-TW" w:eastAsia="zh-TW"/>
                    </w:rPr>
                    <w:t>律，但不属于冲击型排放</w:t>
                  </w:r>
                </w:p>
              </w:tc>
              <w:tc>
                <w:tcPr>
                  <w:tcW w:w="347" w:type="pct"/>
                  <w:vMerge w:val="restart"/>
                  <w:tcBorders>
                    <w:top w:val="single" w:color="auto" w:sz="12" w:space="0"/>
                  </w:tcBorders>
                  <w:noWrap w:val="0"/>
                  <w:vAlign w:val="center"/>
                </w:tcPr>
                <w:p>
                  <w:pPr>
                    <w:pStyle w:val="33"/>
                    <w:bidi w:val="0"/>
                    <w:rPr>
                      <w:rFonts w:hint="eastAsia"/>
                      <w:lang w:val="zh-TW" w:eastAsia="zh-TW"/>
                    </w:rPr>
                  </w:pPr>
                  <w:r>
                    <w:rPr>
                      <w:lang w:val="zh-TW" w:eastAsia="zh-TW"/>
                    </w:rPr>
                    <w:t>企业总排</w:t>
                  </w:r>
                  <w:r>
                    <w:rPr>
                      <w:rFonts w:hint="eastAsia"/>
                      <w:lang w:val="zh-TW" w:eastAsia="zh-TW"/>
                    </w:rPr>
                    <w:t>口</w:t>
                  </w:r>
                </w:p>
                <w:p>
                  <w:pPr>
                    <w:pStyle w:val="33"/>
                    <w:bidi w:val="0"/>
                    <w:rPr>
                      <w:rFonts w:hint="eastAsia"/>
                      <w:lang w:val="zh-TW" w:eastAsia="zh-TW"/>
                    </w:rPr>
                  </w:pPr>
                  <w:r>
                    <w:rPr>
                      <w:rFonts w:hint="eastAsia"/>
                      <w:lang w:val="zh-TW" w:eastAsia="zh-TW"/>
                    </w:rPr>
                    <w:t>-</w:t>
                  </w:r>
                </w:p>
                <w:p>
                  <w:pPr>
                    <w:pStyle w:val="33"/>
                    <w:bidi w:val="0"/>
                    <w:rPr>
                      <w:lang w:val="zh-TW" w:eastAsia="zh-TW"/>
                    </w:rPr>
                  </w:pPr>
                  <w:r>
                    <w:rPr>
                      <w:rFonts w:hint="eastAsia"/>
                      <w:lang w:val="zh-TW" w:eastAsia="zh-TW"/>
                    </w:rPr>
                    <w:t>一般排放口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3" w:type="pct"/>
                  <w:vMerge w:val="continue"/>
                  <w:noWrap w:val="0"/>
                  <w:vAlign w:val="center"/>
                </w:tcPr>
                <w:p>
                  <w:pPr>
                    <w:pStyle w:val="33"/>
                    <w:bidi w:val="0"/>
                    <w:rPr>
                      <w:lang w:val="zh-TW" w:eastAsia="zh-TW"/>
                    </w:rPr>
                  </w:pPr>
                </w:p>
              </w:tc>
              <w:tc>
                <w:tcPr>
                  <w:tcW w:w="272" w:type="pct"/>
                  <w:vMerge w:val="continue"/>
                  <w:noWrap w:val="0"/>
                  <w:vAlign w:val="center"/>
                </w:tcPr>
                <w:p>
                  <w:pPr>
                    <w:pStyle w:val="33"/>
                    <w:bidi w:val="0"/>
                    <w:rPr>
                      <w:rFonts w:hint="eastAsia"/>
                      <w:lang w:val="zh-TW" w:eastAsia="zh-TW"/>
                    </w:rPr>
                  </w:pPr>
                </w:p>
              </w:tc>
              <w:tc>
                <w:tcPr>
                  <w:tcW w:w="419" w:type="pct"/>
                  <w:noWrap w:val="0"/>
                  <w:vAlign w:val="center"/>
                </w:tcPr>
                <w:p>
                  <w:pPr>
                    <w:pStyle w:val="33"/>
                    <w:bidi w:val="0"/>
                    <w:rPr>
                      <w:lang w:val="zh-TW" w:eastAsia="zh-TW"/>
                    </w:rPr>
                  </w:pPr>
                  <w:r>
                    <w:rPr>
                      <w:rFonts w:hint="eastAsia"/>
                      <w:lang w:val="zh-TW" w:eastAsia="zh-TW"/>
                    </w:rPr>
                    <w:t>锅炉排污水</w:t>
                  </w:r>
                </w:p>
              </w:tc>
              <w:tc>
                <w:tcPr>
                  <w:tcW w:w="476" w:type="pct"/>
                  <w:noWrap w:val="0"/>
                  <w:vAlign w:val="center"/>
                </w:tcPr>
                <w:p>
                  <w:pPr>
                    <w:pStyle w:val="33"/>
                    <w:bidi w:val="0"/>
                    <w:rPr>
                      <w:rFonts w:hint="default"/>
                      <w:lang w:val="en-US" w:eastAsia="zh-CN"/>
                    </w:rPr>
                  </w:pPr>
                  <w:r>
                    <w:rPr>
                      <w:rFonts w:hint="default"/>
                    </w:rPr>
                    <w:t>TDS</w:t>
                  </w:r>
                  <w:r>
                    <w:rPr>
                      <w:rFonts w:hint="eastAsia"/>
                      <w:lang w:eastAsia="zh-CN"/>
                    </w:rPr>
                    <w:t>、</w:t>
                  </w:r>
                  <w:r>
                    <w:rPr>
                      <w:rFonts w:hint="eastAsia"/>
                      <w:lang w:val="en-US" w:eastAsia="zh-CN"/>
                    </w:rPr>
                    <w:t>SS</w:t>
                  </w:r>
                </w:p>
              </w:tc>
              <w:tc>
                <w:tcPr>
                  <w:tcW w:w="481" w:type="pct"/>
                  <w:noWrap w:val="0"/>
                  <w:vAlign w:val="center"/>
                </w:tcPr>
                <w:p>
                  <w:pPr>
                    <w:pStyle w:val="33"/>
                    <w:bidi w:val="0"/>
                    <w:rPr>
                      <w:rFonts w:hint="eastAsia"/>
                      <w:lang w:val="zh-TW" w:eastAsia="zh-CN"/>
                    </w:rPr>
                  </w:pPr>
                  <w:r>
                    <w:rPr>
                      <w:rFonts w:hint="eastAsia"/>
                      <w:lang w:val="en-US" w:eastAsia="zh-CN"/>
                    </w:rPr>
                    <w:t>/</w:t>
                  </w:r>
                </w:p>
              </w:tc>
              <w:tc>
                <w:tcPr>
                  <w:tcW w:w="388" w:type="pct"/>
                  <w:noWrap w:val="0"/>
                  <w:vAlign w:val="center"/>
                </w:tcPr>
                <w:p>
                  <w:pPr>
                    <w:pStyle w:val="33"/>
                    <w:bidi w:val="0"/>
                    <w:rPr>
                      <w:rFonts w:hint="eastAsia"/>
                      <w:lang w:val="en-US" w:eastAsia="zh-CN"/>
                    </w:rPr>
                  </w:pPr>
                  <w:r>
                    <w:rPr>
                      <w:rFonts w:hint="eastAsia"/>
                      <w:lang w:val="en-US" w:eastAsia="zh-CN"/>
                    </w:rPr>
                    <w:t>/</w:t>
                  </w:r>
                </w:p>
              </w:tc>
              <w:tc>
                <w:tcPr>
                  <w:tcW w:w="446" w:type="pct"/>
                  <w:noWrap w:val="0"/>
                  <w:vAlign w:val="center"/>
                </w:tcPr>
                <w:p>
                  <w:pPr>
                    <w:pStyle w:val="33"/>
                    <w:bidi w:val="0"/>
                    <w:rPr>
                      <w:rFonts w:hint="eastAsia"/>
                      <w:lang w:val="en-US" w:eastAsia="zh-CN"/>
                    </w:rPr>
                  </w:pPr>
                  <w:r>
                    <w:rPr>
                      <w:rFonts w:hint="eastAsia"/>
                      <w:lang w:val="en-US" w:eastAsia="zh-CN"/>
                    </w:rPr>
                    <w:t>/</w:t>
                  </w:r>
                </w:p>
              </w:tc>
              <w:tc>
                <w:tcPr>
                  <w:tcW w:w="307" w:type="pct"/>
                  <w:vMerge w:val="continue"/>
                  <w:noWrap w:val="0"/>
                  <w:vAlign w:val="center"/>
                </w:tcPr>
                <w:p>
                  <w:pPr>
                    <w:pStyle w:val="33"/>
                    <w:bidi w:val="0"/>
                    <w:rPr>
                      <w:lang w:val="zh-TW" w:eastAsia="zh-TW"/>
                    </w:rPr>
                  </w:pPr>
                </w:p>
              </w:tc>
              <w:tc>
                <w:tcPr>
                  <w:tcW w:w="329" w:type="pct"/>
                  <w:vMerge w:val="continue"/>
                  <w:noWrap w:val="0"/>
                  <w:vAlign w:val="center"/>
                </w:tcPr>
                <w:p>
                  <w:pPr>
                    <w:pStyle w:val="33"/>
                    <w:bidi w:val="0"/>
                    <w:rPr>
                      <w:lang w:val="zh-TW" w:eastAsia="zh-TW"/>
                    </w:rPr>
                  </w:pPr>
                </w:p>
              </w:tc>
              <w:tc>
                <w:tcPr>
                  <w:tcW w:w="515" w:type="pct"/>
                  <w:vMerge w:val="restart"/>
                  <w:noWrap w:val="0"/>
                  <w:vAlign w:val="center"/>
                </w:tcPr>
                <w:p>
                  <w:pPr>
                    <w:pStyle w:val="33"/>
                    <w:bidi w:val="0"/>
                    <w:rPr>
                      <w:lang w:val="zh-TW" w:eastAsia="zh-TW"/>
                    </w:rPr>
                  </w:pPr>
                  <w:r>
                    <w:rPr>
                      <w:rFonts w:hint="eastAsia"/>
                      <w:lang w:val="en-US" w:eastAsia="zh-CN"/>
                    </w:rPr>
                    <w:t>吉木萨尔县第二污水处理厂</w:t>
                  </w:r>
                </w:p>
              </w:tc>
              <w:tc>
                <w:tcPr>
                  <w:tcW w:w="272" w:type="pct"/>
                  <w:vMerge w:val="continue"/>
                  <w:noWrap w:val="0"/>
                  <w:vAlign w:val="center"/>
                </w:tcPr>
                <w:p>
                  <w:pPr>
                    <w:pStyle w:val="33"/>
                    <w:bidi w:val="0"/>
                    <w:rPr>
                      <w:lang w:val="zh-TW" w:eastAsia="zh-TW"/>
                    </w:rPr>
                  </w:pPr>
                </w:p>
              </w:tc>
              <w:tc>
                <w:tcPr>
                  <w:tcW w:w="490" w:type="pct"/>
                  <w:vMerge w:val="continue"/>
                  <w:noWrap w:val="0"/>
                  <w:vAlign w:val="center"/>
                </w:tcPr>
                <w:p>
                  <w:pPr>
                    <w:pStyle w:val="33"/>
                    <w:bidi w:val="0"/>
                    <w:rPr>
                      <w:lang w:val="zh-TW" w:eastAsia="zh-TW"/>
                    </w:rPr>
                  </w:pPr>
                </w:p>
              </w:tc>
              <w:tc>
                <w:tcPr>
                  <w:tcW w:w="347" w:type="pct"/>
                  <w:vMerge w:val="continue"/>
                  <w:noWrap w:val="0"/>
                  <w:vAlign w:val="center"/>
                </w:tcPr>
                <w:p>
                  <w:pPr>
                    <w:pStyle w:val="33"/>
                    <w:bidi w:val="0"/>
                    <w:rPr>
                      <w:lang w:val="zh-TW" w:eastAsia="zh-T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53" w:type="pct"/>
                  <w:vMerge w:val="continue"/>
                  <w:noWrap w:val="0"/>
                  <w:vAlign w:val="center"/>
                </w:tcPr>
                <w:p>
                  <w:pPr>
                    <w:pStyle w:val="33"/>
                    <w:bidi w:val="0"/>
                    <w:rPr>
                      <w:lang w:val="zh-TW" w:eastAsia="zh-TW"/>
                    </w:rPr>
                  </w:pPr>
                </w:p>
              </w:tc>
              <w:tc>
                <w:tcPr>
                  <w:tcW w:w="272" w:type="pct"/>
                  <w:vMerge w:val="continue"/>
                  <w:noWrap w:val="0"/>
                  <w:vAlign w:val="center"/>
                </w:tcPr>
                <w:p>
                  <w:pPr>
                    <w:pStyle w:val="33"/>
                    <w:bidi w:val="0"/>
                    <w:rPr>
                      <w:rFonts w:hint="eastAsia"/>
                      <w:lang w:val="zh-TW" w:eastAsia="zh-TW"/>
                    </w:rPr>
                  </w:pPr>
                </w:p>
              </w:tc>
              <w:tc>
                <w:tcPr>
                  <w:tcW w:w="419" w:type="pct"/>
                  <w:noWrap w:val="0"/>
                  <w:vAlign w:val="center"/>
                </w:tcPr>
                <w:p>
                  <w:pPr>
                    <w:pStyle w:val="33"/>
                    <w:bidi w:val="0"/>
                    <w:rPr>
                      <w:rFonts w:hint="eastAsia"/>
                      <w:lang w:val="zh-TW" w:eastAsia="zh-TW"/>
                    </w:rPr>
                  </w:pPr>
                  <w:r>
                    <w:rPr>
                      <w:rFonts w:hint="eastAsia"/>
                      <w:lang w:val="zh-TW" w:eastAsia="zh-TW"/>
                    </w:rPr>
                    <w:t>软水制备废水</w:t>
                  </w:r>
                </w:p>
              </w:tc>
              <w:tc>
                <w:tcPr>
                  <w:tcW w:w="476" w:type="pct"/>
                  <w:noWrap w:val="0"/>
                  <w:vAlign w:val="center"/>
                </w:tcPr>
                <w:p>
                  <w:pPr>
                    <w:pStyle w:val="33"/>
                    <w:bidi w:val="0"/>
                    <w:rPr>
                      <w:rFonts w:hint="eastAsia"/>
                      <w:lang w:val="en-US" w:eastAsia="zh-CN"/>
                    </w:rPr>
                  </w:pPr>
                  <w:r>
                    <w:rPr>
                      <w:rFonts w:hint="default"/>
                    </w:rPr>
                    <w:t>TDS</w:t>
                  </w:r>
                  <w:r>
                    <w:rPr>
                      <w:rFonts w:hint="eastAsia"/>
                      <w:lang w:eastAsia="zh-CN"/>
                    </w:rPr>
                    <w:t>、</w:t>
                  </w:r>
                  <w:r>
                    <w:rPr>
                      <w:rFonts w:hint="eastAsia"/>
                      <w:lang w:val="en-US" w:eastAsia="zh-CN"/>
                    </w:rPr>
                    <w:t>SS</w:t>
                  </w:r>
                </w:p>
              </w:tc>
              <w:tc>
                <w:tcPr>
                  <w:tcW w:w="481" w:type="pct"/>
                  <w:noWrap w:val="0"/>
                  <w:vAlign w:val="center"/>
                </w:tcPr>
                <w:p>
                  <w:pPr>
                    <w:pStyle w:val="33"/>
                    <w:bidi w:val="0"/>
                    <w:rPr>
                      <w:rFonts w:hint="eastAsia"/>
                      <w:lang w:val="en-US" w:eastAsia="zh-CN"/>
                    </w:rPr>
                  </w:pPr>
                  <w:r>
                    <w:rPr>
                      <w:rFonts w:hint="eastAsia"/>
                      <w:lang w:val="en-US" w:eastAsia="zh-CN"/>
                    </w:rPr>
                    <w:t>/</w:t>
                  </w:r>
                </w:p>
              </w:tc>
              <w:tc>
                <w:tcPr>
                  <w:tcW w:w="388" w:type="pct"/>
                  <w:noWrap w:val="0"/>
                  <w:vAlign w:val="center"/>
                </w:tcPr>
                <w:p>
                  <w:pPr>
                    <w:pStyle w:val="33"/>
                    <w:bidi w:val="0"/>
                    <w:rPr>
                      <w:rFonts w:hint="eastAsia"/>
                      <w:lang w:val="en-US" w:eastAsia="zh-CN"/>
                    </w:rPr>
                  </w:pPr>
                  <w:r>
                    <w:rPr>
                      <w:rFonts w:hint="eastAsia"/>
                      <w:lang w:val="en-US" w:eastAsia="zh-CN"/>
                    </w:rPr>
                    <w:t>/</w:t>
                  </w:r>
                </w:p>
              </w:tc>
              <w:tc>
                <w:tcPr>
                  <w:tcW w:w="446" w:type="pct"/>
                  <w:noWrap w:val="0"/>
                  <w:vAlign w:val="center"/>
                </w:tcPr>
                <w:p>
                  <w:pPr>
                    <w:pStyle w:val="33"/>
                    <w:bidi w:val="0"/>
                    <w:rPr>
                      <w:rFonts w:hint="default"/>
                      <w:lang w:val="en-US" w:eastAsia="zh-CN"/>
                    </w:rPr>
                  </w:pPr>
                  <w:r>
                    <w:rPr>
                      <w:rFonts w:hint="eastAsia"/>
                      <w:lang w:val="en-US" w:eastAsia="zh-CN"/>
                    </w:rPr>
                    <w:t>/</w:t>
                  </w:r>
                </w:p>
              </w:tc>
              <w:tc>
                <w:tcPr>
                  <w:tcW w:w="307" w:type="pct"/>
                  <w:vMerge w:val="continue"/>
                  <w:noWrap w:val="0"/>
                  <w:vAlign w:val="center"/>
                </w:tcPr>
                <w:p>
                  <w:pPr>
                    <w:pStyle w:val="33"/>
                    <w:bidi w:val="0"/>
                    <w:rPr>
                      <w:lang w:val="zh-TW" w:eastAsia="zh-TW"/>
                    </w:rPr>
                  </w:pPr>
                </w:p>
              </w:tc>
              <w:tc>
                <w:tcPr>
                  <w:tcW w:w="329" w:type="pct"/>
                  <w:vMerge w:val="continue"/>
                  <w:noWrap w:val="0"/>
                  <w:vAlign w:val="center"/>
                </w:tcPr>
                <w:p>
                  <w:pPr>
                    <w:pStyle w:val="33"/>
                    <w:bidi w:val="0"/>
                    <w:rPr>
                      <w:lang w:val="zh-TW" w:eastAsia="zh-TW"/>
                    </w:rPr>
                  </w:pPr>
                </w:p>
              </w:tc>
              <w:tc>
                <w:tcPr>
                  <w:tcW w:w="515" w:type="pct"/>
                  <w:vMerge w:val="continue"/>
                  <w:noWrap w:val="0"/>
                  <w:vAlign w:val="center"/>
                </w:tcPr>
                <w:p>
                  <w:pPr>
                    <w:pStyle w:val="33"/>
                    <w:bidi w:val="0"/>
                    <w:rPr>
                      <w:lang w:val="zh-TW" w:eastAsia="zh-TW"/>
                    </w:rPr>
                  </w:pPr>
                </w:p>
              </w:tc>
              <w:tc>
                <w:tcPr>
                  <w:tcW w:w="272" w:type="pct"/>
                  <w:vMerge w:val="continue"/>
                  <w:noWrap w:val="0"/>
                  <w:vAlign w:val="center"/>
                </w:tcPr>
                <w:p>
                  <w:pPr>
                    <w:pStyle w:val="33"/>
                    <w:bidi w:val="0"/>
                    <w:rPr>
                      <w:lang w:val="zh-TW" w:eastAsia="zh-TW"/>
                    </w:rPr>
                  </w:pPr>
                </w:p>
              </w:tc>
              <w:tc>
                <w:tcPr>
                  <w:tcW w:w="490" w:type="pct"/>
                  <w:vMerge w:val="continue"/>
                  <w:noWrap w:val="0"/>
                  <w:vAlign w:val="center"/>
                </w:tcPr>
                <w:p>
                  <w:pPr>
                    <w:pStyle w:val="33"/>
                    <w:bidi w:val="0"/>
                    <w:rPr>
                      <w:lang w:val="zh-TW" w:eastAsia="zh-TW"/>
                    </w:rPr>
                  </w:pPr>
                </w:p>
              </w:tc>
              <w:tc>
                <w:tcPr>
                  <w:tcW w:w="347" w:type="pct"/>
                  <w:vMerge w:val="continue"/>
                  <w:noWrap w:val="0"/>
                  <w:vAlign w:val="center"/>
                </w:tcPr>
                <w:p>
                  <w:pPr>
                    <w:pStyle w:val="33"/>
                    <w:bidi w:val="0"/>
                    <w:rPr>
                      <w:lang w:val="zh-TW" w:eastAsia="zh-TW"/>
                    </w:rPr>
                  </w:pPr>
                </w:p>
              </w:tc>
            </w:tr>
          </w:tbl>
          <w:p>
            <w:pPr>
              <w:keepNext/>
              <w:keepLines/>
              <w:widowControl w:val="0"/>
              <w:bidi w:val="0"/>
              <w:spacing w:line="360" w:lineRule="auto"/>
              <w:jc w:val="left"/>
              <w:outlineLvl w:val="2"/>
              <w:rPr>
                <w:rFonts w:ascii="Times New Roman" w:hAnsi="Times New Roman" w:eastAsia="宋体" w:cs="Times New Roman"/>
                <w:b/>
                <w:kern w:val="2"/>
                <w:sz w:val="24"/>
                <w:szCs w:val="24"/>
                <w:highlight w:val="none"/>
                <w:lang w:val="en-US" w:eastAsia="zh-CN" w:bidi="ar-SA"/>
              </w:rPr>
            </w:pPr>
            <w:r>
              <w:rPr>
                <w:rFonts w:hint="eastAsia" w:ascii="Times New Roman" w:hAnsi="Times New Roman" w:eastAsia="宋体" w:cs="Times New Roman"/>
                <w:b/>
                <w:kern w:val="2"/>
                <w:sz w:val="24"/>
                <w:szCs w:val="24"/>
                <w:highlight w:val="none"/>
                <w:lang w:val="en-US" w:eastAsia="zh-CN" w:bidi="ar-SA"/>
              </w:rPr>
              <w:t>1.</w:t>
            </w:r>
            <w:r>
              <w:rPr>
                <w:rFonts w:hint="eastAsia" w:cs="Times New Roman"/>
                <w:b/>
                <w:kern w:val="2"/>
                <w:sz w:val="24"/>
                <w:szCs w:val="24"/>
                <w:highlight w:val="none"/>
                <w:lang w:val="en-US" w:eastAsia="zh-CN" w:bidi="ar-SA"/>
              </w:rPr>
              <w:t>5</w:t>
            </w:r>
            <w:r>
              <w:rPr>
                <w:rFonts w:hint="eastAsia" w:ascii="Times New Roman" w:hAnsi="Times New Roman" w:eastAsia="宋体" w:cs="Times New Roman"/>
                <w:b/>
                <w:kern w:val="2"/>
                <w:sz w:val="24"/>
                <w:szCs w:val="24"/>
                <w:highlight w:val="none"/>
                <w:lang w:val="en-US" w:eastAsia="zh-CN" w:bidi="ar-SA"/>
              </w:rPr>
              <w:t xml:space="preserve"> 监测计划及要求</w:t>
            </w:r>
          </w:p>
          <w:p>
            <w:pPr>
              <w:pStyle w:val="22"/>
              <w:bidi w:val="0"/>
              <w:jc w:val="both"/>
              <w:rPr>
                <w:lang w:val="en-US" w:eastAsia="zh-CN"/>
              </w:rPr>
            </w:pPr>
            <w:r>
              <w:rPr>
                <w:lang w:val="en-US" w:eastAsia="zh-CN"/>
              </w:rPr>
              <w:t>根据《排污单位自行监测技术指南</w:t>
            </w:r>
            <w:r>
              <w:rPr>
                <w:rFonts w:hint="eastAsia"/>
                <w:lang w:val="en-US" w:eastAsia="zh-CN"/>
              </w:rPr>
              <w:t xml:space="preserve"> </w:t>
            </w:r>
            <w:r>
              <w:rPr>
                <w:lang w:val="en-US" w:eastAsia="zh-CN"/>
              </w:rPr>
              <w:t>总则》（HJ 819-2017）</w:t>
            </w:r>
            <w:r>
              <w:rPr>
                <w:rFonts w:hint="eastAsia"/>
                <w:lang w:val="en-US" w:eastAsia="zh-CN"/>
              </w:rPr>
              <w:t>和《排污单位自行监测技术指南 火力发电机锅炉》（HJ820-2017）、《排污许可证申请与核发技术规范 水处理通用工序》（HJ1120-2020）相关规定</w:t>
            </w:r>
            <w:r>
              <w:rPr>
                <w:lang w:val="en-US" w:eastAsia="zh-CN"/>
              </w:rPr>
              <w:t>，排污单位应按照最新的监测方案开展监测活动，</w:t>
            </w:r>
            <w:r>
              <w:rPr>
                <w:rFonts w:hint="eastAsia"/>
                <w:lang w:val="en-US" w:eastAsia="zh-CN"/>
              </w:rPr>
              <w:t>建设单位可委托有资质的环境监测机构进行监测。同时，企业应建立健全污染源监控和环境监测技术档案，并接受当地环境保护主管部门的业务指导、监督和检查。具体监测项目及内容如下：</w:t>
            </w:r>
          </w:p>
          <w:p>
            <w:pPr>
              <w:widowControl w:val="0"/>
              <w:bidi w:val="0"/>
              <w:spacing w:line="360" w:lineRule="auto"/>
              <w:ind w:firstLine="0" w:firstLineChars="0"/>
              <w:jc w:val="center"/>
              <w:rPr>
                <w:rFonts w:ascii="Times New Roman" w:hAnsi="Times New Roman" w:eastAsia="宋体" w:cs="Times New Roman"/>
                <w:b/>
                <w:kern w:val="2"/>
                <w:sz w:val="24"/>
                <w:szCs w:val="24"/>
                <w:highlight w:val="none"/>
                <w:lang w:val="en-US" w:eastAsia="zh-CN" w:bidi="ar-SA"/>
              </w:rPr>
            </w:pPr>
            <w:r>
              <w:rPr>
                <w:rFonts w:ascii="Times New Roman" w:hAnsi="Times New Roman" w:eastAsia="宋体" w:cs="Times New Roman"/>
                <w:b/>
                <w:kern w:val="2"/>
                <w:sz w:val="24"/>
                <w:szCs w:val="24"/>
                <w:highlight w:val="none"/>
                <w:lang w:val="en-US" w:eastAsia="zh-CN" w:bidi="ar-SA"/>
              </w:rPr>
              <w:t>表</w:t>
            </w:r>
            <w:r>
              <w:rPr>
                <w:rFonts w:hint="eastAsia" w:ascii="Times New Roman" w:hAnsi="Times New Roman" w:eastAsia="宋体" w:cs="Times New Roman"/>
                <w:b/>
                <w:kern w:val="2"/>
                <w:sz w:val="24"/>
                <w:szCs w:val="24"/>
                <w:highlight w:val="none"/>
                <w:lang w:val="en-US" w:eastAsia="zh-CN" w:bidi="ar-SA"/>
              </w:rPr>
              <w:t>4-</w:t>
            </w:r>
            <w:r>
              <w:rPr>
                <w:rFonts w:hint="eastAsia" w:cs="Times New Roman"/>
                <w:b/>
                <w:kern w:val="2"/>
                <w:sz w:val="24"/>
                <w:szCs w:val="24"/>
                <w:highlight w:val="none"/>
                <w:lang w:val="en-US" w:eastAsia="zh-CN" w:bidi="ar-SA"/>
              </w:rPr>
              <w:t>6</w:t>
            </w:r>
            <w:r>
              <w:rPr>
                <w:rFonts w:ascii="Times New Roman" w:hAnsi="Times New Roman" w:eastAsia="宋体" w:cs="Times New Roman"/>
                <w:b/>
                <w:kern w:val="2"/>
                <w:sz w:val="24"/>
                <w:szCs w:val="24"/>
                <w:highlight w:val="none"/>
                <w:lang w:val="en-US" w:eastAsia="zh-CN" w:bidi="ar-SA"/>
              </w:rPr>
              <w:t xml:space="preserve">   </w:t>
            </w:r>
            <w:r>
              <w:rPr>
                <w:rFonts w:hint="eastAsia" w:ascii="Times New Roman" w:hAnsi="Times New Roman" w:eastAsia="宋体" w:cs="Times New Roman"/>
                <w:b/>
                <w:kern w:val="2"/>
                <w:sz w:val="24"/>
                <w:szCs w:val="24"/>
                <w:highlight w:val="none"/>
                <w:lang w:val="en-US" w:eastAsia="zh-CN" w:bidi="ar-SA"/>
              </w:rPr>
              <w:t xml:space="preserve">  废水</w:t>
            </w:r>
            <w:r>
              <w:rPr>
                <w:rFonts w:ascii="Times New Roman" w:hAnsi="Times New Roman" w:eastAsia="宋体" w:cs="Times New Roman"/>
                <w:b/>
                <w:kern w:val="2"/>
                <w:sz w:val="24"/>
                <w:szCs w:val="24"/>
                <w:highlight w:val="none"/>
                <w:lang w:val="en-US" w:eastAsia="zh-CN" w:bidi="ar-SA"/>
              </w:rPr>
              <w:t>监测内容及计划</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7"/>
              <w:gridCol w:w="1704"/>
              <w:gridCol w:w="2042"/>
              <w:gridCol w:w="1813"/>
              <w:gridCol w:w="11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6" w:type="pct"/>
                  <w:tcBorders>
                    <w:top w:val="single" w:color="auto" w:sz="12" w:space="0"/>
                    <w:bottom w:val="single" w:color="auto" w:sz="12" w:space="0"/>
                  </w:tcBorders>
                  <w:noWrap w:val="0"/>
                  <w:vAlign w:val="center"/>
                </w:tcPr>
                <w:p>
                  <w:pPr>
                    <w:bidi w:val="0"/>
                    <w:jc w:val="center"/>
                    <w:rPr>
                      <w:rFonts w:ascii="Times New Roman" w:hAnsi="Times New Roman" w:eastAsia="宋体" w:cs="Times New Roman"/>
                      <w:b/>
                      <w:bCs/>
                      <w:kern w:val="2"/>
                      <w:sz w:val="21"/>
                      <w:szCs w:val="24"/>
                      <w:highlight w:val="none"/>
                      <w:lang w:val="zh-TW" w:eastAsia="zh-TW" w:bidi="ar-SA"/>
                    </w:rPr>
                  </w:pPr>
                  <w:r>
                    <w:rPr>
                      <w:rFonts w:ascii="Times New Roman" w:hAnsi="Times New Roman" w:eastAsia="宋体" w:cs="Times New Roman"/>
                      <w:b/>
                      <w:bCs/>
                      <w:kern w:val="2"/>
                      <w:sz w:val="21"/>
                      <w:szCs w:val="24"/>
                      <w:highlight w:val="none"/>
                      <w:lang w:val="zh-TW" w:eastAsia="zh-TW" w:bidi="ar-SA"/>
                    </w:rPr>
                    <w:t>监测点位</w:t>
                  </w:r>
                </w:p>
              </w:tc>
              <w:tc>
                <w:tcPr>
                  <w:tcW w:w="1084" w:type="pct"/>
                  <w:tcBorders>
                    <w:top w:val="single" w:color="auto" w:sz="12" w:space="0"/>
                    <w:bottom w:val="single" w:color="auto" w:sz="12" w:space="0"/>
                  </w:tcBorders>
                  <w:noWrap w:val="0"/>
                  <w:vAlign w:val="center"/>
                </w:tcPr>
                <w:p>
                  <w:pPr>
                    <w:bidi w:val="0"/>
                    <w:jc w:val="center"/>
                    <w:rPr>
                      <w:rFonts w:ascii="Times New Roman" w:hAnsi="Times New Roman" w:eastAsia="宋体" w:cs="Times New Roman"/>
                      <w:b/>
                      <w:bCs/>
                      <w:kern w:val="2"/>
                      <w:sz w:val="21"/>
                      <w:szCs w:val="24"/>
                      <w:highlight w:val="none"/>
                      <w:lang w:val="zh-TW" w:eastAsia="zh-TW" w:bidi="ar-SA"/>
                    </w:rPr>
                  </w:pPr>
                  <w:r>
                    <w:rPr>
                      <w:rFonts w:ascii="Times New Roman" w:hAnsi="Times New Roman" w:eastAsia="宋体" w:cs="Times New Roman"/>
                      <w:b/>
                      <w:bCs/>
                      <w:kern w:val="2"/>
                      <w:sz w:val="21"/>
                      <w:szCs w:val="24"/>
                      <w:highlight w:val="none"/>
                      <w:lang w:val="zh-TW" w:eastAsia="zh-TW" w:bidi="ar-SA"/>
                    </w:rPr>
                    <w:t>检测项目</w:t>
                  </w:r>
                </w:p>
              </w:tc>
              <w:tc>
                <w:tcPr>
                  <w:tcW w:w="1299" w:type="pct"/>
                  <w:tcBorders>
                    <w:top w:val="single" w:color="auto" w:sz="12" w:space="0"/>
                    <w:bottom w:val="single" w:color="auto" w:sz="12" w:space="0"/>
                  </w:tcBorders>
                  <w:noWrap w:val="0"/>
                  <w:vAlign w:val="center"/>
                </w:tcPr>
                <w:p>
                  <w:pPr>
                    <w:bidi w:val="0"/>
                    <w:jc w:val="center"/>
                    <w:rPr>
                      <w:rFonts w:ascii="Times New Roman" w:hAnsi="Times New Roman" w:eastAsia="宋体" w:cs="Times New Roman"/>
                      <w:b/>
                      <w:bCs/>
                      <w:kern w:val="2"/>
                      <w:sz w:val="21"/>
                      <w:szCs w:val="24"/>
                      <w:highlight w:val="none"/>
                      <w:lang w:val="zh-TW" w:eastAsia="zh-TW" w:bidi="ar-SA"/>
                    </w:rPr>
                  </w:pPr>
                  <w:r>
                    <w:rPr>
                      <w:rFonts w:ascii="Times New Roman" w:hAnsi="Times New Roman" w:eastAsia="宋体" w:cs="Times New Roman"/>
                      <w:b/>
                      <w:bCs/>
                      <w:kern w:val="2"/>
                      <w:sz w:val="21"/>
                      <w:szCs w:val="24"/>
                      <w:highlight w:val="none"/>
                      <w:lang w:val="zh-TW" w:eastAsia="zh-TW" w:bidi="ar-SA"/>
                    </w:rPr>
                    <w:t>监测频次</w:t>
                  </w:r>
                </w:p>
              </w:tc>
              <w:tc>
                <w:tcPr>
                  <w:tcW w:w="1153" w:type="pct"/>
                  <w:tcBorders>
                    <w:top w:val="single" w:color="auto" w:sz="12" w:space="0"/>
                    <w:bottom w:val="single" w:color="auto" w:sz="12" w:space="0"/>
                  </w:tcBorders>
                  <w:noWrap w:val="0"/>
                  <w:vAlign w:val="center"/>
                </w:tcPr>
                <w:p>
                  <w:pPr>
                    <w:bidi w:val="0"/>
                    <w:jc w:val="center"/>
                    <w:rPr>
                      <w:rFonts w:ascii="Times New Roman" w:hAnsi="Times New Roman" w:eastAsia="宋体" w:cs="Times New Roman"/>
                      <w:b/>
                      <w:bCs/>
                      <w:kern w:val="2"/>
                      <w:sz w:val="21"/>
                      <w:szCs w:val="24"/>
                      <w:highlight w:val="none"/>
                      <w:lang w:val="zh-TW" w:eastAsia="zh-TW" w:bidi="ar-SA"/>
                    </w:rPr>
                  </w:pPr>
                  <w:r>
                    <w:rPr>
                      <w:rFonts w:ascii="Times New Roman" w:hAnsi="Times New Roman" w:eastAsia="宋体" w:cs="Times New Roman"/>
                      <w:b/>
                      <w:bCs/>
                      <w:kern w:val="2"/>
                      <w:sz w:val="21"/>
                      <w:szCs w:val="24"/>
                      <w:highlight w:val="none"/>
                      <w:lang w:val="zh-TW" w:eastAsia="zh-TW" w:bidi="ar-SA"/>
                    </w:rPr>
                    <w:t>执行标准</w:t>
                  </w:r>
                </w:p>
              </w:tc>
              <w:tc>
                <w:tcPr>
                  <w:tcW w:w="725" w:type="pct"/>
                  <w:tcBorders>
                    <w:top w:val="single" w:color="auto" w:sz="12" w:space="0"/>
                    <w:bottom w:val="single" w:color="auto" w:sz="12" w:space="0"/>
                    <w:right w:val="nil"/>
                  </w:tcBorders>
                  <w:noWrap w:val="0"/>
                  <w:vAlign w:val="center"/>
                </w:tcPr>
                <w:p>
                  <w:pPr>
                    <w:bidi w:val="0"/>
                    <w:jc w:val="center"/>
                    <w:rPr>
                      <w:rFonts w:hint="default" w:ascii="Times New Roman" w:hAnsi="Times New Roman" w:eastAsia="宋体" w:cs="Times New Roman"/>
                      <w:b/>
                      <w:bCs/>
                      <w:kern w:val="2"/>
                      <w:sz w:val="21"/>
                      <w:szCs w:val="24"/>
                      <w:highlight w:val="none"/>
                      <w:lang w:val="en-US" w:eastAsia="zh-CN" w:bidi="ar-SA"/>
                    </w:rPr>
                  </w:pPr>
                  <w:r>
                    <w:rPr>
                      <w:rFonts w:hint="default" w:ascii="Times New Roman" w:hAnsi="Times New Roman" w:eastAsia="宋体" w:cs="Times New Roman"/>
                      <w:b/>
                      <w:bCs/>
                      <w:kern w:val="2"/>
                      <w:sz w:val="21"/>
                      <w:szCs w:val="24"/>
                      <w:highlight w:val="none"/>
                      <w:lang w:val="zh-TW" w:eastAsia="zh-TW" w:bidi="ar-SA"/>
                    </w:rPr>
                    <w:t>监测单位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6" w:type="pct"/>
                  <w:vMerge w:val="restart"/>
                  <w:tcBorders>
                    <w:top w:val="single" w:color="auto" w:sz="12" w:space="0"/>
                    <w:left w:val="nil"/>
                  </w:tcBorders>
                  <w:noWrap w:val="0"/>
                  <w:vAlign w:val="center"/>
                </w:tcPr>
                <w:p>
                  <w:pPr>
                    <w:bidi w:val="0"/>
                    <w:jc w:val="center"/>
                    <w:rPr>
                      <w:rFonts w:ascii="Times New Roman" w:hAnsi="Times New Roman" w:eastAsia="宋体" w:cs="Times New Roman"/>
                      <w:kern w:val="2"/>
                      <w:sz w:val="21"/>
                      <w:szCs w:val="24"/>
                      <w:highlight w:val="none"/>
                      <w:lang w:val="zh-TW" w:eastAsia="zh-TW" w:bidi="ar-SA"/>
                    </w:rPr>
                  </w:pPr>
                  <w:r>
                    <w:rPr>
                      <w:rFonts w:ascii="Times New Roman" w:hAnsi="Times New Roman" w:eastAsia="宋体" w:cs="Times New Roman"/>
                      <w:kern w:val="2"/>
                      <w:sz w:val="21"/>
                      <w:szCs w:val="24"/>
                      <w:highlight w:val="none"/>
                      <w:lang w:val="zh-TW" w:eastAsia="zh-TW" w:bidi="ar-SA"/>
                    </w:rPr>
                    <w:t>废水排放口</w:t>
                  </w:r>
                </w:p>
              </w:tc>
              <w:tc>
                <w:tcPr>
                  <w:tcW w:w="1084" w:type="pct"/>
                  <w:tcBorders>
                    <w:top w:val="single" w:color="auto" w:sz="12" w:space="0"/>
                    <w:bottom w:val="single" w:color="auto" w:sz="4" w:space="0"/>
                  </w:tcBorders>
                  <w:noWrap w:val="0"/>
                  <w:vAlign w:val="center"/>
                </w:tcPr>
                <w:p>
                  <w:pPr>
                    <w:pStyle w:val="33"/>
                    <w:bidi w:val="0"/>
                    <w:ind w:firstLine="0" w:firstLineChars="0"/>
                    <w:rPr>
                      <w:rFonts w:hint="default" w:ascii="Times New Roman" w:hAnsi="Times New Roman" w:eastAsia="宋体" w:cs="Times New Roman"/>
                      <w:b w:val="0"/>
                      <w:bCs/>
                      <w:color w:val="auto"/>
                      <w:kern w:val="2"/>
                      <w:sz w:val="21"/>
                      <w:szCs w:val="24"/>
                      <w:lang w:val="zh-TW" w:eastAsia="zh-TW" w:bidi="ar-SA"/>
                    </w:rPr>
                  </w:pPr>
                  <w:r>
                    <w:rPr>
                      <w:rFonts w:hint="default" w:ascii="Times New Roman" w:hAnsi="Times New Roman" w:cs="Times New Roman"/>
                      <w:color w:val="auto"/>
                    </w:rPr>
                    <w:t>pH、</w:t>
                  </w:r>
                  <w:r>
                    <w:rPr>
                      <w:rFonts w:hint="eastAsia" w:cs="Times New Roman"/>
                      <w:color w:val="auto"/>
                      <w:lang w:val="en-US" w:eastAsia="zh-CN"/>
                    </w:rPr>
                    <w:t>流量</w:t>
                  </w:r>
                </w:p>
              </w:tc>
              <w:tc>
                <w:tcPr>
                  <w:tcW w:w="1299" w:type="pct"/>
                  <w:tcBorders>
                    <w:top w:val="single" w:color="auto" w:sz="12" w:space="0"/>
                    <w:bottom w:val="single" w:color="auto" w:sz="4" w:space="0"/>
                  </w:tcBorders>
                  <w:noWrap w:val="0"/>
                  <w:vAlign w:val="center"/>
                </w:tcPr>
                <w:p>
                  <w:pPr>
                    <w:pStyle w:val="33"/>
                    <w:bidi w:val="0"/>
                    <w:rPr>
                      <w:rFonts w:hint="default"/>
                      <w:lang w:val="zh-TW" w:eastAsia="zh-TW"/>
                    </w:rPr>
                  </w:pPr>
                  <w:r>
                    <w:rPr>
                      <w:rFonts w:hint="eastAsia"/>
                      <w:lang w:val="en-US" w:eastAsia="zh-CN"/>
                    </w:rPr>
                    <w:t>自动监测</w:t>
                  </w:r>
                </w:p>
              </w:tc>
              <w:tc>
                <w:tcPr>
                  <w:tcW w:w="1153" w:type="pct"/>
                  <w:vMerge w:val="restart"/>
                  <w:tcBorders>
                    <w:top w:val="single" w:color="auto" w:sz="12" w:space="0"/>
                  </w:tcBorders>
                  <w:noWrap w:val="0"/>
                  <w:vAlign w:val="center"/>
                </w:tcPr>
                <w:p>
                  <w:pPr>
                    <w:pStyle w:val="33"/>
                    <w:bidi w:val="0"/>
                    <w:rPr>
                      <w:lang w:val="zh-TW" w:eastAsia="zh-TW"/>
                    </w:rPr>
                  </w:pPr>
                  <w:r>
                    <w:rPr>
                      <w:rFonts w:hint="eastAsia"/>
                      <w:lang w:val="en-US" w:eastAsia="zh-CN"/>
                    </w:rPr>
                    <w:t>污水排入城镇下水道水质标准》</w:t>
                  </w:r>
                  <w:r>
                    <w:rPr>
                      <w:rFonts w:hint="eastAsia"/>
                    </w:rPr>
                    <w:t>（</w:t>
                  </w:r>
                  <w:r>
                    <w:rPr>
                      <w:rFonts w:hint="eastAsia"/>
                      <w:lang w:val="en-US" w:eastAsia="zh-CN"/>
                    </w:rPr>
                    <w:t>GB/T31962-2015</w:t>
                  </w:r>
                  <w:r>
                    <w:rPr>
                      <w:rFonts w:hint="eastAsia"/>
                    </w:rPr>
                    <w:t>）</w:t>
                  </w:r>
                  <w:r>
                    <w:rPr>
                      <w:rFonts w:hint="eastAsia"/>
                      <w:lang w:val="en-US" w:eastAsia="zh-CN"/>
                    </w:rPr>
                    <w:t>B级标准</w:t>
                  </w:r>
                </w:p>
              </w:tc>
              <w:tc>
                <w:tcPr>
                  <w:tcW w:w="725" w:type="pct"/>
                  <w:vMerge w:val="restart"/>
                  <w:tcBorders>
                    <w:top w:val="single" w:color="auto" w:sz="12" w:space="0"/>
                    <w:right w:val="nil"/>
                  </w:tcBorders>
                  <w:noWrap w:val="0"/>
                  <w:vAlign w:val="center"/>
                </w:tcPr>
                <w:p>
                  <w:pPr>
                    <w:pStyle w:val="33"/>
                    <w:bidi w:val="0"/>
                    <w:rPr>
                      <w:lang w:val="zh-TW" w:eastAsia="zh-TW"/>
                    </w:rPr>
                  </w:pPr>
                  <w:r>
                    <w:rPr>
                      <w:rFonts w:hint="default"/>
                    </w:rPr>
                    <w:t>有资质的监测单位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6" w:type="pct"/>
                  <w:vMerge w:val="continue"/>
                  <w:tcBorders>
                    <w:left w:val="nil"/>
                  </w:tcBorders>
                  <w:noWrap w:val="0"/>
                  <w:vAlign w:val="center"/>
                </w:tcPr>
                <w:p>
                  <w:pPr>
                    <w:bidi w:val="0"/>
                    <w:jc w:val="center"/>
                    <w:rPr>
                      <w:rFonts w:ascii="Times New Roman" w:hAnsi="Times New Roman" w:eastAsia="宋体" w:cs="Times New Roman"/>
                      <w:kern w:val="2"/>
                      <w:sz w:val="21"/>
                      <w:szCs w:val="24"/>
                      <w:highlight w:val="none"/>
                      <w:lang w:val="zh-TW" w:eastAsia="zh-TW" w:bidi="ar-SA"/>
                    </w:rPr>
                  </w:pPr>
                </w:p>
              </w:tc>
              <w:tc>
                <w:tcPr>
                  <w:tcW w:w="1084" w:type="pct"/>
                  <w:tcBorders>
                    <w:top w:val="single" w:color="auto" w:sz="4" w:space="0"/>
                    <w:bottom w:val="single" w:color="auto" w:sz="4" w:space="0"/>
                  </w:tcBorders>
                  <w:noWrap w:val="0"/>
                  <w:vAlign w:val="center"/>
                </w:tcPr>
                <w:p>
                  <w:pPr>
                    <w:pStyle w:val="33"/>
                    <w:bidi w:val="0"/>
                    <w:ind w:firstLine="0" w:firstLineChars="0"/>
                    <w:rPr>
                      <w:rFonts w:hint="default" w:ascii="Times New Roman" w:hAnsi="Times New Roman" w:eastAsia="宋体" w:cs="Times New Roman"/>
                      <w:b w:val="0"/>
                      <w:bCs/>
                      <w:color w:val="auto"/>
                      <w:kern w:val="2"/>
                      <w:sz w:val="21"/>
                      <w:szCs w:val="24"/>
                      <w:lang w:val="zh-TW" w:eastAsia="zh-TW" w:bidi="ar-SA"/>
                    </w:rPr>
                  </w:pPr>
                  <w:r>
                    <w:rPr>
                      <w:rFonts w:hint="default" w:ascii="Times New Roman" w:hAnsi="Times New Roman" w:cs="Times New Roman"/>
                      <w:color w:val="auto"/>
                    </w:rPr>
                    <w:t>COD</w:t>
                  </w:r>
                  <w:r>
                    <w:rPr>
                      <w:rFonts w:hint="default" w:ascii="Times New Roman" w:hAnsi="Times New Roman" w:cs="Times New Roman"/>
                      <w:color w:val="auto"/>
                      <w:vertAlign w:val="subscript"/>
                    </w:rPr>
                    <w:t>Cr</w:t>
                  </w:r>
                  <w:r>
                    <w:rPr>
                      <w:rFonts w:hint="default" w:ascii="Times New Roman" w:hAnsi="Times New Roman" w:cs="Times New Roman"/>
                      <w:color w:val="auto"/>
                    </w:rPr>
                    <w:t>、NH</w:t>
                  </w:r>
                  <w:r>
                    <w:rPr>
                      <w:rFonts w:hint="default" w:ascii="Times New Roman" w:hAnsi="Times New Roman" w:eastAsia="宋体" w:cs="Times New Roman"/>
                      <w:color w:val="auto"/>
                      <w:vertAlign w:val="subscript"/>
                    </w:rPr>
                    <w:t>3</w:t>
                  </w:r>
                  <w:r>
                    <w:rPr>
                      <w:rFonts w:hint="default" w:ascii="Times New Roman" w:hAnsi="Times New Roman" w:cs="Times New Roman"/>
                      <w:color w:val="auto"/>
                    </w:rPr>
                    <w:t>-N</w:t>
                  </w:r>
                </w:p>
              </w:tc>
              <w:tc>
                <w:tcPr>
                  <w:tcW w:w="1299" w:type="pct"/>
                  <w:tcBorders>
                    <w:top w:val="single" w:color="auto" w:sz="4" w:space="0"/>
                    <w:bottom w:val="single" w:color="auto" w:sz="4" w:space="0"/>
                  </w:tcBorders>
                  <w:noWrap w:val="0"/>
                  <w:vAlign w:val="center"/>
                </w:tcPr>
                <w:p>
                  <w:pPr>
                    <w:pStyle w:val="33"/>
                    <w:bidi w:val="0"/>
                    <w:ind w:firstLine="0" w:firstLineChars="0"/>
                    <w:rPr>
                      <w:rFonts w:hint="eastAsia" w:ascii="Times New Roman" w:hAnsi="Times New Roman" w:eastAsia="宋体" w:cs="Times New Roman"/>
                      <w:b w:val="0"/>
                      <w:bCs/>
                      <w:color w:val="auto"/>
                      <w:kern w:val="2"/>
                      <w:sz w:val="21"/>
                      <w:szCs w:val="24"/>
                      <w:lang w:val="zh-TW" w:eastAsia="zh-TW" w:bidi="ar-SA"/>
                    </w:rPr>
                  </w:pPr>
                  <w:r>
                    <w:rPr>
                      <w:rFonts w:hint="eastAsia" w:cs="Times New Roman"/>
                      <w:color w:val="auto"/>
                      <w:lang w:val="en-US" w:eastAsia="zh-CN"/>
                    </w:rPr>
                    <w:t>自动监测（月）</w:t>
                  </w:r>
                </w:p>
              </w:tc>
              <w:tc>
                <w:tcPr>
                  <w:tcW w:w="1153" w:type="pct"/>
                  <w:vMerge w:val="continue"/>
                  <w:noWrap w:val="0"/>
                  <w:vAlign w:val="center"/>
                </w:tcPr>
                <w:p>
                  <w:pPr>
                    <w:bidi w:val="0"/>
                    <w:jc w:val="center"/>
                    <w:rPr>
                      <w:rFonts w:hint="eastAsia" w:ascii="Times New Roman" w:hAnsi="Times New Roman" w:eastAsia="宋体" w:cs="Times New Roman"/>
                      <w:kern w:val="2"/>
                      <w:sz w:val="21"/>
                      <w:szCs w:val="24"/>
                      <w:highlight w:val="none"/>
                      <w:lang w:val="zh-TW" w:eastAsia="zh-TW" w:bidi="ar-SA"/>
                    </w:rPr>
                  </w:pPr>
                </w:p>
              </w:tc>
              <w:tc>
                <w:tcPr>
                  <w:tcW w:w="725" w:type="pct"/>
                  <w:vMerge w:val="continue"/>
                  <w:tcBorders>
                    <w:right w:val="nil"/>
                  </w:tcBorders>
                  <w:noWrap w:val="0"/>
                  <w:vAlign w:val="center"/>
                </w:tcPr>
                <w:p>
                  <w:pPr>
                    <w:bidi w:val="0"/>
                    <w:jc w:val="center"/>
                    <w:rPr>
                      <w:rFonts w:hint="eastAsia" w:ascii="Times New Roman" w:hAnsi="Times New Roman" w:eastAsia="宋体" w:cs="Times New Roman"/>
                      <w:color w:val="auto"/>
                      <w:kern w:val="2"/>
                      <w:sz w:val="21"/>
                      <w:szCs w:val="24"/>
                      <w:highlight w:val="none"/>
                      <w:lang w:val="zh-TW" w:eastAsia="zh-TW"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6" w:type="pct"/>
                  <w:vMerge w:val="continue"/>
                  <w:tcBorders>
                    <w:left w:val="nil"/>
                  </w:tcBorders>
                  <w:noWrap w:val="0"/>
                  <w:vAlign w:val="center"/>
                </w:tcPr>
                <w:p>
                  <w:pPr>
                    <w:bidi w:val="0"/>
                    <w:jc w:val="center"/>
                    <w:rPr>
                      <w:rFonts w:ascii="Times New Roman" w:hAnsi="Times New Roman" w:eastAsia="宋体" w:cs="Times New Roman"/>
                      <w:kern w:val="2"/>
                      <w:sz w:val="21"/>
                      <w:szCs w:val="24"/>
                      <w:highlight w:val="none"/>
                      <w:lang w:val="zh-TW" w:eastAsia="zh-TW" w:bidi="ar-SA"/>
                    </w:rPr>
                  </w:pPr>
                </w:p>
              </w:tc>
              <w:tc>
                <w:tcPr>
                  <w:tcW w:w="1084" w:type="pct"/>
                  <w:tcBorders>
                    <w:top w:val="single" w:color="auto" w:sz="4" w:space="0"/>
                    <w:bottom w:val="single" w:color="auto" w:sz="4" w:space="0"/>
                  </w:tcBorders>
                  <w:noWrap w:val="0"/>
                  <w:vAlign w:val="center"/>
                </w:tcPr>
                <w:p>
                  <w:pPr>
                    <w:pStyle w:val="33"/>
                    <w:bidi w:val="0"/>
                    <w:ind w:firstLine="0" w:firstLineChars="0"/>
                    <w:rPr>
                      <w:rFonts w:hint="default" w:ascii="Times New Roman" w:hAnsi="Times New Roman" w:eastAsia="宋体" w:cs="Times New Roman"/>
                      <w:b w:val="0"/>
                      <w:bCs/>
                      <w:color w:val="auto"/>
                      <w:kern w:val="2"/>
                      <w:sz w:val="21"/>
                      <w:szCs w:val="24"/>
                      <w:lang w:val="zh-TW" w:eastAsia="zh-TW" w:bidi="ar-SA"/>
                    </w:rPr>
                  </w:pPr>
                  <w:r>
                    <w:rPr>
                      <w:rFonts w:hint="default" w:ascii="Times New Roman" w:hAnsi="Times New Roman" w:cs="Times New Roman"/>
                      <w:color w:val="auto"/>
                    </w:rPr>
                    <w:t>SS</w:t>
                  </w:r>
                  <w:r>
                    <w:rPr>
                      <w:rFonts w:hint="default" w:ascii="Times New Roman" w:hAnsi="Times New Roman" w:cs="Times New Roman"/>
                      <w:color w:val="auto"/>
                      <w:lang w:eastAsia="zh-CN"/>
                    </w:rPr>
                    <w:t>、</w:t>
                  </w:r>
                  <w:r>
                    <w:rPr>
                      <w:rFonts w:hint="default" w:ascii="Times New Roman" w:hAnsi="Times New Roman" w:cs="Times New Roman"/>
                      <w:color w:val="auto"/>
                    </w:rPr>
                    <w:t>BOD</w:t>
                  </w:r>
                  <w:r>
                    <w:rPr>
                      <w:rFonts w:hint="default" w:ascii="Times New Roman" w:hAnsi="Times New Roman" w:eastAsia="宋体" w:cs="Times New Roman"/>
                      <w:color w:val="auto"/>
                      <w:vertAlign w:val="subscript"/>
                    </w:rPr>
                    <w:t>5</w:t>
                  </w:r>
                  <w:r>
                    <w:rPr>
                      <w:rFonts w:hint="default" w:ascii="Times New Roman" w:hAnsi="Times New Roman" w:cs="Times New Roman"/>
                      <w:color w:val="auto"/>
                    </w:rPr>
                    <w:t>、</w:t>
                  </w:r>
                </w:p>
              </w:tc>
              <w:tc>
                <w:tcPr>
                  <w:tcW w:w="1299" w:type="pct"/>
                  <w:tcBorders>
                    <w:top w:val="single" w:color="auto" w:sz="4" w:space="0"/>
                    <w:bottom w:val="single" w:color="auto" w:sz="4" w:space="0"/>
                  </w:tcBorders>
                  <w:noWrap w:val="0"/>
                  <w:vAlign w:val="center"/>
                </w:tcPr>
                <w:p>
                  <w:pPr>
                    <w:pStyle w:val="33"/>
                    <w:bidi w:val="0"/>
                    <w:ind w:firstLine="0" w:firstLineChars="0"/>
                    <w:rPr>
                      <w:rFonts w:hint="eastAsia" w:ascii="Times New Roman" w:hAnsi="Times New Roman" w:eastAsia="宋体" w:cs="Times New Roman"/>
                      <w:b w:val="0"/>
                      <w:bCs/>
                      <w:color w:val="auto"/>
                      <w:kern w:val="2"/>
                      <w:sz w:val="21"/>
                      <w:szCs w:val="24"/>
                      <w:lang w:val="zh-TW" w:eastAsia="zh-TW" w:bidi="ar-SA"/>
                    </w:rPr>
                  </w:pPr>
                  <w:r>
                    <w:rPr>
                      <w:rFonts w:hint="eastAsia" w:cs="Times New Roman"/>
                      <w:color w:val="auto"/>
                      <w:lang w:val="en-US" w:eastAsia="zh-CN"/>
                    </w:rPr>
                    <w:t>1次/季度</w:t>
                  </w:r>
                </w:p>
              </w:tc>
              <w:tc>
                <w:tcPr>
                  <w:tcW w:w="1153" w:type="pct"/>
                  <w:vMerge w:val="continue"/>
                  <w:noWrap w:val="0"/>
                  <w:vAlign w:val="center"/>
                </w:tcPr>
                <w:p>
                  <w:pPr>
                    <w:bidi w:val="0"/>
                    <w:jc w:val="center"/>
                    <w:rPr>
                      <w:rFonts w:hint="eastAsia" w:ascii="Times New Roman" w:hAnsi="Times New Roman" w:eastAsia="宋体" w:cs="Times New Roman"/>
                      <w:kern w:val="2"/>
                      <w:sz w:val="21"/>
                      <w:szCs w:val="24"/>
                      <w:highlight w:val="none"/>
                      <w:lang w:val="zh-TW" w:eastAsia="zh-TW" w:bidi="ar-SA"/>
                    </w:rPr>
                  </w:pPr>
                </w:p>
              </w:tc>
              <w:tc>
                <w:tcPr>
                  <w:tcW w:w="725" w:type="pct"/>
                  <w:vMerge w:val="continue"/>
                  <w:tcBorders>
                    <w:right w:val="nil"/>
                  </w:tcBorders>
                  <w:noWrap w:val="0"/>
                  <w:vAlign w:val="center"/>
                </w:tcPr>
                <w:p>
                  <w:pPr>
                    <w:bidi w:val="0"/>
                    <w:jc w:val="center"/>
                    <w:rPr>
                      <w:rFonts w:hint="eastAsia" w:ascii="Times New Roman" w:hAnsi="Times New Roman" w:eastAsia="宋体" w:cs="Times New Roman"/>
                      <w:color w:val="auto"/>
                      <w:kern w:val="2"/>
                      <w:sz w:val="21"/>
                      <w:szCs w:val="24"/>
                      <w:highlight w:val="none"/>
                      <w:lang w:val="zh-TW" w:eastAsia="zh-TW"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6" w:type="pct"/>
                  <w:vMerge w:val="continue"/>
                  <w:tcBorders>
                    <w:left w:val="nil"/>
                    <w:bottom w:val="single" w:color="auto" w:sz="12" w:space="0"/>
                  </w:tcBorders>
                  <w:noWrap w:val="0"/>
                  <w:vAlign w:val="center"/>
                </w:tcPr>
                <w:p>
                  <w:pPr>
                    <w:bidi w:val="0"/>
                    <w:jc w:val="center"/>
                    <w:rPr>
                      <w:rFonts w:ascii="Times New Roman" w:hAnsi="Times New Roman" w:eastAsia="宋体" w:cs="Times New Roman"/>
                      <w:kern w:val="2"/>
                      <w:sz w:val="21"/>
                      <w:szCs w:val="24"/>
                      <w:highlight w:val="none"/>
                      <w:lang w:val="zh-TW" w:eastAsia="zh-TW" w:bidi="ar-SA"/>
                    </w:rPr>
                  </w:pPr>
                </w:p>
              </w:tc>
              <w:tc>
                <w:tcPr>
                  <w:tcW w:w="1084" w:type="pct"/>
                  <w:tcBorders>
                    <w:top w:val="single" w:color="auto" w:sz="4" w:space="0"/>
                    <w:bottom w:val="single" w:color="auto" w:sz="12" w:space="0"/>
                  </w:tcBorders>
                  <w:noWrap w:val="0"/>
                  <w:vAlign w:val="center"/>
                </w:tcPr>
                <w:p>
                  <w:pPr>
                    <w:pStyle w:val="33"/>
                    <w:bidi w:val="0"/>
                    <w:ind w:firstLine="0" w:firstLineChars="0"/>
                    <w:rPr>
                      <w:rFonts w:hint="default" w:ascii="Times New Roman" w:hAnsi="Times New Roman" w:eastAsia="宋体" w:cs="Times New Roman"/>
                      <w:b w:val="0"/>
                      <w:bCs/>
                      <w:color w:val="auto"/>
                      <w:kern w:val="2"/>
                      <w:sz w:val="21"/>
                      <w:szCs w:val="24"/>
                      <w:lang w:val="zh-TW" w:eastAsia="zh-TW" w:bidi="ar-SA"/>
                    </w:rPr>
                  </w:pPr>
                  <w:r>
                    <w:rPr>
                      <w:rFonts w:hint="default" w:ascii="Times New Roman" w:hAnsi="Times New Roman" w:cs="Times New Roman"/>
                      <w:color w:val="auto"/>
                      <w:lang w:val="en-US" w:eastAsia="zh-CN"/>
                    </w:rPr>
                    <w:t>LAS、动植物油</w:t>
                  </w:r>
                </w:p>
              </w:tc>
              <w:tc>
                <w:tcPr>
                  <w:tcW w:w="1299" w:type="pct"/>
                  <w:tcBorders>
                    <w:top w:val="single" w:color="auto" w:sz="4" w:space="0"/>
                    <w:bottom w:val="single" w:color="auto" w:sz="12" w:space="0"/>
                  </w:tcBorders>
                  <w:noWrap w:val="0"/>
                  <w:vAlign w:val="center"/>
                </w:tcPr>
                <w:p>
                  <w:pPr>
                    <w:pStyle w:val="33"/>
                    <w:bidi w:val="0"/>
                    <w:ind w:firstLine="0" w:firstLineChars="0"/>
                    <w:rPr>
                      <w:rFonts w:hint="eastAsia" w:ascii="Times New Roman" w:hAnsi="Times New Roman" w:eastAsia="宋体" w:cs="Times New Roman"/>
                      <w:b w:val="0"/>
                      <w:bCs/>
                      <w:color w:val="auto"/>
                      <w:kern w:val="2"/>
                      <w:sz w:val="21"/>
                      <w:szCs w:val="24"/>
                      <w:lang w:val="zh-TW" w:eastAsia="zh-TW" w:bidi="ar-SA"/>
                    </w:rPr>
                  </w:pPr>
                  <w:r>
                    <w:rPr>
                      <w:rFonts w:hint="eastAsia" w:cs="Times New Roman"/>
                      <w:color w:val="auto"/>
                      <w:lang w:val="en-US" w:eastAsia="zh-CN"/>
                    </w:rPr>
                    <w:t>1次/年</w:t>
                  </w:r>
                </w:p>
              </w:tc>
              <w:tc>
                <w:tcPr>
                  <w:tcW w:w="1153" w:type="pct"/>
                  <w:vMerge w:val="continue"/>
                  <w:tcBorders>
                    <w:bottom w:val="single" w:color="auto" w:sz="12" w:space="0"/>
                  </w:tcBorders>
                  <w:noWrap w:val="0"/>
                  <w:vAlign w:val="center"/>
                </w:tcPr>
                <w:p>
                  <w:pPr>
                    <w:bidi w:val="0"/>
                    <w:jc w:val="center"/>
                    <w:rPr>
                      <w:rFonts w:hint="eastAsia" w:ascii="Times New Roman" w:hAnsi="Times New Roman" w:eastAsia="宋体" w:cs="Times New Roman"/>
                      <w:kern w:val="2"/>
                      <w:sz w:val="21"/>
                      <w:szCs w:val="24"/>
                      <w:highlight w:val="none"/>
                      <w:lang w:val="zh-TW" w:eastAsia="zh-TW" w:bidi="ar-SA"/>
                    </w:rPr>
                  </w:pPr>
                </w:p>
              </w:tc>
              <w:tc>
                <w:tcPr>
                  <w:tcW w:w="725" w:type="pct"/>
                  <w:vMerge w:val="continue"/>
                  <w:tcBorders>
                    <w:bottom w:val="single" w:color="auto" w:sz="12" w:space="0"/>
                    <w:right w:val="nil"/>
                  </w:tcBorders>
                  <w:noWrap w:val="0"/>
                  <w:vAlign w:val="center"/>
                </w:tcPr>
                <w:p>
                  <w:pPr>
                    <w:bidi w:val="0"/>
                    <w:jc w:val="center"/>
                    <w:rPr>
                      <w:rFonts w:hint="eastAsia" w:ascii="Times New Roman" w:hAnsi="Times New Roman" w:eastAsia="宋体" w:cs="Times New Roman"/>
                      <w:color w:val="auto"/>
                      <w:kern w:val="2"/>
                      <w:sz w:val="21"/>
                      <w:szCs w:val="24"/>
                      <w:highlight w:val="none"/>
                      <w:lang w:val="zh-TW" w:eastAsia="zh-TW" w:bidi="ar-SA"/>
                    </w:rPr>
                  </w:pPr>
                </w:p>
              </w:tc>
            </w:tr>
          </w:tbl>
          <w:p>
            <w:pPr>
              <w:pStyle w:val="6"/>
              <w:numPr>
                <w:ilvl w:val="0"/>
                <w:numId w:val="14"/>
              </w:numPr>
              <w:ind w:left="0" w:leftChars="0" w:firstLine="0" w:firstLineChars="0"/>
              <w:jc w:val="both"/>
              <w:outlineLvl w:val="1"/>
            </w:pPr>
            <w:r>
              <w:rPr>
                <w:rFonts w:hint="eastAsia"/>
              </w:rPr>
              <w:t>废气环境影响和保护措施</w:t>
            </w:r>
          </w:p>
          <w:p>
            <w:pPr>
              <w:pStyle w:val="7"/>
              <w:numPr>
                <w:ilvl w:val="1"/>
                <w:numId w:val="14"/>
              </w:numPr>
              <w:jc w:val="both"/>
              <w:outlineLvl w:val="2"/>
            </w:pPr>
            <w:r>
              <w:rPr>
                <w:rFonts w:hint="eastAsia"/>
              </w:rPr>
              <w:t>废气产排情况</w:t>
            </w:r>
          </w:p>
          <w:p>
            <w:pPr>
              <w:pStyle w:val="22"/>
              <w:ind w:firstLine="480"/>
              <w:jc w:val="both"/>
              <w:rPr>
                <w:rFonts w:cs="Times New Roman"/>
                <w:color w:val="000000"/>
                <w:vertAlign w:val="subscript"/>
              </w:rPr>
            </w:pPr>
            <w:r>
              <w:rPr>
                <w:rFonts w:hint="eastAsia"/>
              </w:rPr>
              <w:t>本项目</w:t>
            </w:r>
            <w:r>
              <w:rPr>
                <w:rFonts w:hint="eastAsia"/>
                <w:lang w:val="en-US" w:eastAsia="zh-CN"/>
              </w:rPr>
              <w:t>废气</w:t>
            </w:r>
            <w:r>
              <w:rPr>
                <w:rFonts w:hint="eastAsia"/>
              </w:rPr>
              <w:t>主要来源为</w:t>
            </w:r>
            <w:r>
              <w:rPr>
                <w:rFonts w:cs="Times New Roman"/>
                <w:color w:val="000000"/>
              </w:rPr>
              <w:t>天然气</w:t>
            </w:r>
            <w:r>
              <w:rPr>
                <w:rFonts w:hint="eastAsia" w:cs="Times New Roman"/>
                <w:color w:val="000000"/>
                <w:lang w:val="en-US" w:eastAsia="zh-CN"/>
              </w:rPr>
              <w:t>锅炉产生的</w:t>
            </w:r>
            <w:r>
              <w:rPr>
                <w:rFonts w:cs="Times New Roman"/>
                <w:color w:val="000000"/>
              </w:rPr>
              <w:t>燃烧烟气</w:t>
            </w:r>
            <w:r>
              <w:rPr>
                <w:rFonts w:hint="eastAsia" w:cs="Times New Roman"/>
                <w:color w:val="000000"/>
                <w:lang w:val="en-US" w:eastAsia="zh-CN"/>
              </w:rPr>
              <w:t>及</w:t>
            </w:r>
            <w:r>
              <w:rPr>
                <w:rFonts w:hint="eastAsia" w:cs="Times New Roman"/>
                <w:color w:val="000000"/>
                <w:vertAlign w:val="baseline"/>
                <w:lang w:val="en-US" w:eastAsia="zh-CN"/>
              </w:rPr>
              <w:t>无组织排放的污水处理站恶臭；</w:t>
            </w:r>
          </w:p>
          <w:p>
            <w:pPr>
              <w:pStyle w:val="22"/>
              <w:numPr>
                <w:ilvl w:val="0"/>
                <w:numId w:val="15"/>
              </w:numPr>
              <w:ind w:left="0" w:leftChars="0" w:firstLine="480" w:firstLineChars="200"/>
              <w:jc w:val="both"/>
            </w:pPr>
            <w:r>
              <w:rPr>
                <w:rFonts w:hint="eastAsia"/>
              </w:rPr>
              <w:t>基准烟气量</w:t>
            </w:r>
          </w:p>
          <w:p>
            <w:pPr>
              <w:pStyle w:val="22"/>
              <w:ind w:firstLine="480"/>
              <w:jc w:val="both"/>
            </w:pPr>
            <w:r>
              <w:rPr>
                <w:rFonts w:hint="eastAsia"/>
              </w:rPr>
              <w:t>本项目天然气</w:t>
            </w:r>
            <w:r>
              <w:t>燃料</w:t>
            </w:r>
            <w:r>
              <w:rPr>
                <w:rFonts w:hint="eastAsia"/>
              </w:rPr>
              <w:t>低位</w:t>
            </w:r>
            <w:r>
              <w:t>发热量</w:t>
            </w:r>
            <w:r>
              <w:rPr>
                <w:rFonts w:hint="eastAsia"/>
              </w:rPr>
              <w:t>为</w:t>
            </w:r>
            <w:r>
              <w:rPr>
                <w:rFonts w:hint="eastAsia" w:cs="Times New Roman"/>
                <w:b w:val="0"/>
                <w:bCs w:val="0"/>
                <w:color w:val="auto"/>
                <w:sz w:val="24"/>
                <w:szCs w:val="24"/>
                <w:highlight w:val="none"/>
                <w:vertAlign w:val="baseline"/>
                <w:lang w:val="en-US" w:eastAsia="zh-CN"/>
              </w:rPr>
              <w:t>33.03</w:t>
            </w:r>
            <w:r>
              <w:rPr>
                <w:rFonts w:hint="eastAsia"/>
              </w:rPr>
              <w:t>MJ</w:t>
            </w:r>
            <w:r>
              <w:t>/</w:t>
            </w:r>
            <w:r>
              <w:rPr>
                <w:rFonts w:hint="eastAsia"/>
              </w:rPr>
              <w:t>m</w:t>
            </w:r>
            <w:r>
              <w:rPr>
                <w:rFonts w:hint="eastAsia"/>
                <w:vertAlign w:val="superscript"/>
              </w:rPr>
              <w:t>3</w:t>
            </w:r>
            <w:r>
              <w:rPr>
                <w:rFonts w:hint="eastAsia"/>
              </w:rPr>
              <w:t>，依据</w:t>
            </w:r>
            <w:r>
              <w:t>《</w:t>
            </w:r>
            <w:r>
              <w:rPr>
                <w:rFonts w:hint="eastAsia"/>
              </w:rPr>
              <w:t>排污许可证申请与核发技术规范 锅炉</w:t>
            </w:r>
            <w:r>
              <w:t>》</w:t>
            </w:r>
            <w:r>
              <w:rPr>
                <w:rFonts w:hint="eastAsia"/>
              </w:rPr>
              <w:t>（HJ953-2018）燃气锅炉-天然气 经验公式估算法Vgy（Nm</w:t>
            </w:r>
            <w:r>
              <w:rPr>
                <w:rFonts w:hint="eastAsia"/>
                <w:vertAlign w:val="superscript"/>
              </w:rPr>
              <w:t>3</w:t>
            </w:r>
            <w:r>
              <w:rPr>
                <w:rFonts w:hint="eastAsia"/>
              </w:rPr>
              <w:t>/m</w:t>
            </w:r>
            <w:r>
              <w:rPr>
                <w:rFonts w:hint="eastAsia"/>
                <w:vertAlign w:val="superscript"/>
              </w:rPr>
              <w:t>3</w:t>
            </w:r>
            <w:r>
              <w:rPr>
                <w:rFonts w:hint="eastAsia"/>
              </w:rPr>
              <w:t>）=0.285Qnet+0.343计算基准烟气量=0.285</w:t>
            </w:r>
            <w:r>
              <w:t>×</w:t>
            </w:r>
            <w:r>
              <w:rPr>
                <w:rFonts w:hint="eastAsia" w:cs="Times New Roman"/>
                <w:b w:val="0"/>
                <w:bCs w:val="0"/>
                <w:color w:val="auto"/>
                <w:sz w:val="24"/>
                <w:szCs w:val="24"/>
                <w:highlight w:val="none"/>
                <w:vertAlign w:val="baseline"/>
                <w:lang w:val="en-US" w:eastAsia="zh-CN"/>
              </w:rPr>
              <w:t>33.03</w:t>
            </w:r>
            <w:r>
              <w:rPr>
                <w:rFonts w:hint="eastAsia"/>
              </w:rPr>
              <w:t>+0.343=</w:t>
            </w:r>
            <w:r>
              <w:rPr>
                <w:rFonts w:hint="eastAsia"/>
                <w:lang w:val="en-US" w:eastAsia="zh-CN"/>
              </w:rPr>
              <w:t>9.76</w:t>
            </w:r>
            <w:r>
              <w:rPr>
                <w:rFonts w:hint="eastAsia"/>
              </w:rPr>
              <w:t>Nm</w:t>
            </w:r>
            <w:r>
              <w:rPr>
                <w:rFonts w:hint="eastAsia"/>
                <w:vertAlign w:val="superscript"/>
              </w:rPr>
              <w:t>3</w:t>
            </w:r>
            <w:r>
              <w:rPr>
                <w:rFonts w:hint="eastAsia"/>
              </w:rPr>
              <w:t>/m</w:t>
            </w:r>
            <w:r>
              <w:rPr>
                <w:rFonts w:hint="eastAsia"/>
                <w:vertAlign w:val="superscript"/>
              </w:rPr>
              <w:t>3</w:t>
            </w:r>
            <w:r>
              <w:rPr>
                <w:rFonts w:hint="eastAsia"/>
              </w:rPr>
              <w:t>，</w:t>
            </w:r>
            <w:r>
              <w:t>即燃烧1</w:t>
            </w:r>
            <w:r>
              <w:rPr>
                <w:rFonts w:hint="eastAsia"/>
              </w:rPr>
              <w:t>m</w:t>
            </w:r>
            <w:r>
              <w:rPr>
                <w:rFonts w:hint="eastAsia"/>
                <w:vertAlign w:val="superscript"/>
              </w:rPr>
              <w:t>3</w:t>
            </w:r>
            <w:r>
              <w:rPr>
                <w:rFonts w:hint="eastAsia"/>
              </w:rPr>
              <w:t>天然气燃料</w:t>
            </w:r>
            <w:r>
              <w:t>约产生</w:t>
            </w:r>
            <w:r>
              <w:rPr>
                <w:rFonts w:hint="eastAsia"/>
                <w:lang w:val="en-US" w:eastAsia="zh-CN"/>
              </w:rPr>
              <w:t>9.76</w:t>
            </w:r>
            <w:r>
              <w:t>m</w:t>
            </w:r>
            <w:r>
              <w:rPr>
                <w:vertAlign w:val="superscript"/>
              </w:rPr>
              <w:t>3</w:t>
            </w:r>
            <w:r>
              <w:t>的烟气。</w:t>
            </w:r>
            <w:r>
              <w:rPr>
                <w:rFonts w:hint="eastAsia"/>
              </w:rPr>
              <w:t>项目天然气燃料年耗量为</w:t>
            </w:r>
            <w:r>
              <w:rPr>
                <w:rFonts w:hint="eastAsia"/>
                <w:color w:val="auto"/>
                <w:lang w:val="en-US" w:eastAsia="zh-CN"/>
              </w:rPr>
              <w:t>120万Nm</w:t>
            </w:r>
            <w:r>
              <w:rPr>
                <w:rFonts w:hint="eastAsia"/>
                <w:color w:val="auto"/>
                <w:vertAlign w:val="superscript"/>
                <w:lang w:val="en-US" w:eastAsia="zh-CN"/>
              </w:rPr>
              <w:t>3</w:t>
            </w:r>
            <w:r>
              <w:rPr>
                <w:rFonts w:hint="eastAsia"/>
                <w:color w:val="auto"/>
              </w:rPr>
              <w:t>，</w:t>
            </w:r>
            <w:r>
              <w:rPr>
                <w:rFonts w:hint="eastAsia"/>
              </w:rPr>
              <w:t>则该项目每年产生废气量为</w:t>
            </w:r>
            <w:r>
              <w:rPr>
                <w:rFonts w:hint="eastAsia"/>
                <w:lang w:val="en-US" w:eastAsia="zh-CN"/>
              </w:rPr>
              <w:t>1171.2</w:t>
            </w:r>
            <w:r>
              <w:rPr>
                <w:rFonts w:hint="eastAsia"/>
                <w:color w:val="auto"/>
              </w:rPr>
              <w:t>万Nm</w:t>
            </w:r>
            <w:r>
              <w:rPr>
                <w:rFonts w:hint="eastAsia"/>
                <w:color w:val="auto"/>
                <w:vertAlign w:val="superscript"/>
              </w:rPr>
              <w:t>3</w:t>
            </w:r>
            <w:r>
              <w:rPr>
                <w:rFonts w:hint="eastAsia"/>
                <w:color w:val="auto"/>
              </w:rPr>
              <w:t>/a。</w:t>
            </w:r>
          </w:p>
          <w:p>
            <w:pPr>
              <w:pStyle w:val="22"/>
              <w:keepNext w:val="0"/>
              <w:keepLines w:val="0"/>
              <w:pageBreakBefore w:val="0"/>
              <w:widowControl w:val="0"/>
              <w:kinsoku/>
              <w:wordWrap/>
              <w:overflowPunct/>
              <w:topLinePunct w:val="0"/>
              <w:autoSpaceDE/>
              <w:autoSpaceDN/>
              <w:bidi w:val="0"/>
              <w:adjustRightInd/>
              <w:snapToGrid/>
              <w:ind w:left="0" w:firstLine="480" w:firstLineChars="200"/>
              <w:jc w:val="both"/>
              <w:textAlignment w:val="auto"/>
            </w:pPr>
            <w:r>
              <w:rPr>
                <w:rFonts w:hint="eastAsia"/>
              </w:rPr>
              <w:t>（</w:t>
            </w:r>
            <w:r>
              <w:rPr>
                <w:rFonts w:hint="eastAsia"/>
                <w:lang w:val="en-US" w:eastAsia="zh-CN"/>
              </w:rPr>
              <w:t>2</w:t>
            </w:r>
            <w:r>
              <w:rPr>
                <w:rFonts w:hint="eastAsia"/>
              </w:rPr>
              <w:t>） 颗粒物</w:t>
            </w:r>
          </w:p>
          <w:p>
            <w:pPr>
              <w:pStyle w:val="22"/>
              <w:ind w:firstLine="480"/>
              <w:jc w:val="both"/>
              <w:rPr>
                <w:rFonts w:cs="Times New Roman"/>
                <w:szCs w:val="28"/>
                <w:lang w:bidi="ar"/>
              </w:rPr>
            </w:pPr>
            <w:r>
              <w:rPr>
                <w:rFonts w:hint="eastAsia"/>
              </w:rPr>
              <w:t>根据</w:t>
            </w:r>
            <w:r>
              <w:rPr>
                <w:rFonts w:cs="Times New Roman"/>
                <w:szCs w:val="28"/>
                <w:lang w:bidi="ar"/>
              </w:rPr>
              <w:t>《污染源源强核算技术指南 锅炉》（HJ991-2018）中推荐的“产污系数法”进行核算。</w:t>
            </w:r>
          </w:p>
          <w:p>
            <w:pPr>
              <w:pStyle w:val="22"/>
              <w:ind w:firstLine="480"/>
              <w:jc w:val="center"/>
              <w:rPr>
                <w:rFonts w:cs="Times New Roman"/>
                <w:color w:val="000000"/>
                <w:lang w:bidi="ar"/>
              </w:rPr>
            </w:pPr>
            <w:r>
              <w:rPr>
                <w:rFonts w:cs="Times New Roman"/>
                <w:color w:val="000000"/>
              </w:rPr>
              <w:drawing>
                <wp:inline distT="0" distB="0" distL="114300" distR="114300">
                  <wp:extent cx="2200275" cy="476250"/>
                  <wp:effectExtent l="0" t="0" r="9525" b="635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0"/>
                          <a:stretch>
                            <a:fillRect/>
                          </a:stretch>
                        </pic:blipFill>
                        <pic:spPr>
                          <a:xfrm>
                            <a:off x="0" y="0"/>
                            <a:ext cx="2200275" cy="476250"/>
                          </a:xfrm>
                          <a:prstGeom prst="rect">
                            <a:avLst/>
                          </a:prstGeom>
                          <a:noFill/>
                          <a:ln>
                            <a:noFill/>
                          </a:ln>
                        </pic:spPr>
                      </pic:pic>
                    </a:graphicData>
                  </a:graphic>
                </wp:inline>
              </w:drawing>
            </w:r>
          </w:p>
          <w:p>
            <w:pPr>
              <w:pStyle w:val="22"/>
              <w:ind w:firstLine="480"/>
              <w:jc w:val="both"/>
            </w:pPr>
            <w:r>
              <w:t>式中：Ej——核算时段内第j种污染物排放量，t；</w:t>
            </w:r>
          </w:p>
          <w:p>
            <w:pPr>
              <w:pStyle w:val="22"/>
              <w:ind w:firstLine="1200" w:firstLineChars="500"/>
              <w:jc w:val="both"/>
            </w:pPr>
            <w:r>
              <w:t>R——核算时段内燃料耗量，</w:t>
            </w:r>
            <w:r>
              <w:rPr>
                <w:rFonts w:hint="eastAsia"/>
                <w:color w:val="auto"/>
                <w:lang w:val="en-US" w:eastAsia="zh-CN"/>
              </w:rPr>
              <w:t>120</w:t>
            </w:r>
            <w:r>
              <w:t>万m</w:t>
            </w:r>
            <w:r>
              <w:rPr>
                <w:vertAlign w:val="superscript"/>
              </w:rPr>
              <w:t>3</w:t>
            </w:r>
            <w:r>
              <w:t>；</w:t>
            </w:r>
          </w:p>
          <w:p>
            <w:pPr>
              <w:pStyle w:val="22"/>
              <w:ind w:firstLine="1200" w:firstLineChars="500"/>
              <w:jc w:val="both"/>
            </w:pPr>
            <w:r>
              <w:t>βj——产污系数，产</w:t>
            </w:r>
            <w:r>
              <w:rPr>
                <w:rFonts w:hint="eastAsia"/>
                <w:lang w:eastAsia="zh-CN"/>
              </w:rPr>
              <w:t>污</w:t>
            </w:r>
            <w:r>
              <w:t>系数采用中国环境科学出版社出版的《环境影响评价工程师职业资格登记培训教材 社会区域类》中P123中表4-12燃烧天然气产生污染物的相关数据，每燃烧1万m</w:t>
            </w:r>
            <w:r>
              <w:rPr>
                <w:vertAlign w:val="superscript"/>
              </w:rPr>
              <w:t>3</w:t>
            </w:r>
            <w:r>
              <w:t>天然气颗粒物产生量按1.4kg计</w:t>
            </w:r>
            <w:r>
              <w:rPr>
                <w:rFonts w:hint="eastAsia"/>
              </w:rPr>
              <w:t>；</w:t>
            </w:r>
          </w:p>
          <w:p>
            <w:pPr>
              <w:pStyle w:val="22"/>
              <w:ind w:firstLine="1200" w:firstLineChars="500"/>
              <w:jc w:val="both"/>
            </w:pPr>
            <w:r>
              <w:rPr>
                <w:rFonts w:hint="eastAsia" w:ascii="微软雅黑" w:hAnsi="微软雅黑" w:eastAsia="微软雅黑" w:cs="微软雅黑"/>
              </w:rPr>
              <w:t>η</w:t>
            </w:r>
            <w:r>
              <w:t>——</w:t>
            </w:r>
            <w:r>
              <w:rPr>
                <w:rFonts w:hint="eastAsia"/>
              </w:rPr>
              <w:t>污染物的脱除效率，%；</w:t>
            </w:r>
          </w:p>
          <w:p>
            <w:pPr>
              <w:pStyle w:val="22"/>
              <w:ind w:firstLine="1200" w:firstLineChars="500"/>
              <w:jc w:val="both"/>
              <w:rPr>
                <w:vertAlign w:val="superscript"/>
              </w:rPr>
            </w:pPr>
            <w:r>
              <w:t>Ej</w:t>
            </w:r>
            <w:r>
              <w:rPr>
                <w:rFonts w:hint="eastAsia"/>
              </w:rPr>
              <w:t>=</w:t>
            </w:r>
            <w:r>
              <w:rPr>
                <w:rFonts w:hint="eastAsia"/>
                <w:color w:val="auto"/>
                <w:lang w:val="en-US" w:eastAsia="zh-CN"/>
              </w:rPr>
              <w:t>120</w:t>
            </w:r>
            <w:r>
              <w:t>×</w:t>
            </w:r>
            <w:r>
              <w:rPr>
                <w:rFonts w:hint="eastAsia"/>
              </w:rPr>
              <w:t>1.4</w:t>
            </w:r>
            <w:r>
              <w:t>×</w:t>
            </w:r>
            <w:r>
              <w:rPr>
                <w:rFonts w:hint="eastAsia"/>
              </w:rPr>
              <w:t>（1-0/100）</w:t>
            </w:r>
            <w:r>
              <w:t>×</w:t>
            </w:r>
            <w:r>
              <w:rPr>
                <w:rFonts w:hint="eastAsia"/>
              </w:rPr>
              <w:t>10</w:t>
            </w:r>
            <w:r>
              <w:rPr>
                <w:rFonts w:hint="eastAsia"/>
                <w:vertAlign w:val="superscript"/>
              </w:rPr>
              <w:t>-3</w:t>
            </w:r>
          </w:p>
          <w:p>
            <w:pPr>
              <w:pStyle w:val="22"/>
              <w:ind w:firstLine="480"/>
              <w:jc w:val="both"/>
              <w:rPr>
                <w:color w:val="auto"/>
              </w:rPr>
            </w:pPr>
            <w:r>
              <w:rPr>
                <w:color w:val="auto"/>
              </w:rPr>
              <w:t>经核算，颗粒物产生量为</w:t>
            </w:r>
            <w:r>
              <w:rPr>
                <w:rFonts w:hint="eastAsia"/>
                <w:color w:val="auto"/>
                <w:lang w:val="en-US" w:eastAsia="zh-CN"/>
              </w:rPr>
              <w:t>0.168</w:t>
            </w:r>
            <w:r>
              <w:rPr>
                <w:color w:val="auto"/>
              </w:rPr>
              <w:t>t/a，产生速率为</w:t>
            </w:r>
            <w:r>
              <w:rPr>
                <w:rFonts w:hint="eastAsia"/>
                <w:color w:val="auto"/>
              </w:rPr>
              <w:t>0</w:t>
            </w:r>
            <w:r>
              <w:rPr>
                <w:color w:val="auto"/>
              </w:rPr>
              <w:t>.</w:t>
            </w:r>
            <w:r>
              <w:rPr>
                <w:rFonts w:hint="eastAsia"/>
                <w:color w:val="auto"/>
                <w:lang w:val="en-US" w:eastAsia="zh-CN"/>
              </w:rPr>
              <w:t>07</w:t>
            </w:r>
            <w:r>
              <w:rPr>
                <w:color w:val="auto"/>
              </w:rPr>
              <w:t>kg/h，产生浓度为</w:t>
            </w:r>
            <w:r>
              <w:rPr>
                <w:rFonts w:hint="eastAsia"/>
                <w:color w:val="auto"/>
                <w:lang w:val="en-US" w:eastAsia="zh-CN"/>
              </w:rPr>
              <w:t>14.34</w:t>
            </w:r>
            <w:r>
              <w:rPr>
                <w:color w:val="auto"/>
              </w:rPr>
              <w:t>mg/m</w:t>
            </w:r>
            <w:r>
              <w:rPr>
                <w:color w:val="auto"/>
                <w:vertAlign w:val="superscript"/>
              </w:rPr>
              <w:t>3</w:t>
            </w:r>
            <w:r>
              <w:rPr>
                <w:color w:val="auto"/>
              </w:rPr>
              <w:t>。</w:t>
            </w:r>
          </w:p>
          <w:p>
            <w:pPr>
              <w:pStyle w:val="22"/>
              <w:keepNext w:val="0"/>
              <w:keepLines w:val="0"/>
              <w:pageBreakBefore w:val="0"/>
              <w:widowControl w:val="0"/>
              <w:kinsoku/>
              <w:wordWrap/>
              <w:overflowPunct/>
              <w:topLinePunct w:val="0"/>
              <w:autoSpaceDE/>
              <w:autoSpaceDN/>
              <w:bidi w:val="0"/>
              <w:adjustRightInd/>
              <w:snapToGrid/>
              <w:ind w:left="0" w:firstLine="480" w:firstLineChars="200"/>
              <w:jc w:val="both"/>
              <w:textAlignment w:val="auto"/>
            </w:pPr>
            <w:r>
              <w:rPr>
                <w:rFonts w:hint="eastAsia"/>
              </w:rPr>
              <w:t>（</w:t>
            </w:r>
            <w:r>
              <w:rPr>
                <w:rFonts w:hint="eastAsia"/>
                <w:lang w:val="en-US" w:eastAsia="zh-CN"/>
              </w:rPr>
              <w:t>3</w:t>
            </w:r>
            <w:r>
              <w:rPr>
                <w:rFonts w:hint="eastAsia"/>
              </w:rPr>
              <w:t xml:space="preserve">） </w:t>
            </w:r>
            <w:r>
              <w:t>SO</w:t>
            </w:r>
            <w:r>
              <w:rPr>
                <w:vertAlign w:val="subscript"/>
              </w:rPr>
              <w:t>2</w:t>
            </w:r>
            <w:r>
              <w:t>排放量：</w:t>
            </w:r>
          </w:p>
          <w:p>
            <w:pPr>
              <w:pStyle w:val="22"/>
              <w:ind w:firstLine="480"/>
              <w:jc w:val="both"/>
            </w:pPr>
            <w:r>
              <w:t>采用《污染源源强核算技术指南 锅炉》（HJ991-2018）中推荐的“物料衡算法”进行核算。</w:t>
            </w:r>
          </w:p>
          <w:p>
            <w:pPr>
              <w:pStyle w:val="22"/>
              <w:ind w:firstLine="480"/>
              <w:jc w:val="center"/>
            </w:pPr>
            <w:r>
              <w:drawing>
                <wp:inline distT="0" distB="0" distL="114300" distR="114300">
                  <wp:extent cx="2476500" cy="542925"/>
                  <wp:effectExtent l="0" t="0" r="0" b="317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1"/>
                          <a:stretch>
                            <a:fillRect/>
                          </a:stretch>
                        </pic:blipFill>
                        <pic:spPr>
                          <a:xfrm>
                            <a:off x="0" y="0"/>
                            <a:ext cx="2476500" cy="542925"/>
                          </a:xfrm>
                          <a:prstGeom prst="rect">
                            <a:avLst/>
                          </a:prstGeom>
                          <a:noFill/>
                          <a:ln>
                            <a:noFill/>
                          </a:ln>
                        </pic:spPr>
                      </pic:pic>
                    </a:graphicData>
                  </a:graphic>
                </wp:inline>
              </w:drawing>
            </w:r>
          </w:p>
          <w:p>
            <w:pPr>
              <w:pStyle w:val="22"/>
              <w:ind w:firstLine="480"/>
              <w:jc w:val="both"/>
            </w:pPr>
            <w:r>
              <w:t>式中</w:t>
            </w:r>
            <w:r>
              <w:rPr>
                <w:rFonts w:hint="eastAsia"/>
              </w:rPr>
              <w:t>：</w:t>
            </w:r>
            <w:r>
              <w:t>E</w:t>
            </w:r>
            <w:r>
              <w:rPr>
                <w:rFonts w:hint="eastAsia"/>
              </w:rPr>
              <w:t>so</w:t>
            </w:r>
            <w:r>
              <w:rPr>
                <w:vertAlign w:val="subscript"/>
              </w:rPr>
              <w:t>2</w:t>
            </w:r>
            <w:r>
              <w:t>-核算时段内二氧化硫排放量，t；</w:t>
            </w:r>
          </w:p>
          <w:p>
            <w:pPr>
              <w:pStyle w:val="22"/>
              <w:ind w:firstLine="1200" w:firstLineChars="500"/>
              <w:jc w:val="both"/>
            </w:pPr>
            <w:r>
              <w:t>R-核算时段内锅炉燃料耗量，</w:t>
            </w:r>
            <w:r>
              <w:rPr>
                <w:rFonts w:hint="eastAsia"/>
                <w:color w:val="auto"/>
                <w:lang w:val="en-US" w:eastAsia="zh-CN"/>
              </w:rPr>
              <w:t>120</w:t>
            </w:r>
            <w:r>
              <w:t>万m</w:t>
            </w:r>
            <w:r>
              <w:rPr>
                <w:vertAlign w:val="superscript"/>
              </w:rPr>
              <w:t>3</w:t>
            </w:r>
            <w:r>
              <w:t>；</w:t>
            </w:r>
          </w:p>
          <w:p>
            <w:pPr>
              <w:pStyle w:val="22"/>
              <w:ind w:firstLine="1200" w:firstLineChars="500"/>
              <w:jc w:val="both"/>
            </w:pPr>
            <w:r>
              <w:t>S</w:t>
            </w:r>
            <w:r>
              <w:rPr>
                <w:vertAlign w:val="subscript"/>
              </w:rPr>
              <w:t>t</w:t>
            </w:r>
            <w:r>
              <w:t>-</w:t>
            </w:r>
            <w:r>
              <w:rPr>
                <w:rFonts w:hint="eastAsia"/>
              </w:rPr>
              <w:t>燃</w:t>
            </w:r>
            <w:r>
              <w:rPr>
                <w:rFonts w:hint="eastAsia"/>
                <w:color w:val="auto"/>
              </w:rPr>
              <w:t>料总硫的质量浓度</w:t>
            </w:r>
            <w:r>
              <w:rPr>
                <w:color w:val="auto"/>
              </w:rPr>
              <w:t>，</w:t>
            </w:r>
            <w:r>
              <w:rPr>
                <w:rFonts w:hint="eastAsia"/>
                <w:color w:val="auto"/>
                <w:lang w:val="en-US" w:eastAsia="zh-CN"/>
              </w:rPr>
              <w:t>2.2</w:t>
            </w:r>
            <w:r>
              <w:rPr>
                <w:color w:val="auto"/>
              </w:rPr>
              <w:t>mg/m</w:t>
            </w:r>
            <w:r>
              <w:rPr>
                <w:color w:val="auto"/>
                <w:vertAlign w:val="superscript"/>
              </w:rPr>
              <w:t>3</w:t>
            </w:r>
            <w:r>
              <w:rPr>
                <w:color w:val="auto"/>
              </w:rPr>
              <w:t>；</w:t>
            </w:r>
          </w:p>
          <w:p>
            <w:pPr>
              <w:pStyle w:val="22"/>
              <w:ind w:firstLine="1200" w:firstLineChars="500"/>
              <w:jc w:val="both"/>
            </w:pPr>
            <w:r>
              <w:t>ηs-脱硫效率</w:t>
            </w:r>
            <w:r>
              <w:rPr>
                <w:rFonts w:hint="eastAsia"/>
              </w:rPr>
              <w:t>0</w:t>
            </w:r>
            <w:r>
              <w:t>，%；</w:t>
            </w:r>
          </w:p>
          <w:p>
            <w:pPr>
              <w:pStyle w:val="22"/>
              <w:ind w:firstLine="1200" w:firstLineChars="500"/>
              <w:jc w:val="both"/>
            </w:pPr>
            <w:r>
              <w:t>K-燃料中的硫燃烧后氧化成二氧化硫的份额，量纲一的量。</w:t>
            </w:r>
          </w:p>
          <w:p>
            <w:pPr>
              <w:pStyle w:val="22"/>
              <w:ind w:firstLine="480"/>
              <w:jc w:val="both"/>
              <w:rPr>
                <w:color w:val="FF0000"/>
              </w:rPr>
            </w:pPr>
            <w:r>
              <w:t>根据天然气主要成分表以及《污染源源强核算技术指南 锅炉》（HJ991-20</w:t>
            </w:r>
            <w:r>
              <w:rPr>
                <w:color w:val="auto"/>
              </w:rPr>
              <w:t>18）附录B，则锅炉SO</w:t>
            </w:r>
            <w:r>
              <w:rPr>
                <w:color w:val="auto"/>
                <w:vertAlign w:val="subscript"/>
              </w:rPr>
              <w:t>2</w:t>
            </w:r>
            <w:r>
              <w:rPr>
                <w:color w:val="auto"/>
              </w:rPr>
              <w:t>的产生量为</w:t>
            </w:r>
            <w:r>
              <w:rPr>
                <w:rFonts w:hint="eastAsia"/>
                <w:color w:val="auto"/>
                <w:lang w:val="en-US" w:eastAsia="zh-CN"/>
              </w:rPr>
              <w:t>0.005</w:t>
            </w:r>
            <w:r>
              <w:rPr>
                <w:color w:val="auto"/>
              </w:rPr>
              <w:t>t/a，产生速率为0.</w:t>
            </w:r>
            <w:r>
              <w:rPr>
                <w:rFonts w:hint="eastAsia"/>
                <w:color w:val="auto"/>
              </w:rPr>
              <w:t>0</w:t>
            </w:r>
            <w:r>
              <w:rPr>
                <w:rFonts w:hint="eastAsia"/>
                <w:color w:val="auto"/>
                <w:lang w:val="en-US" w:eastAsia="zh-CN"/>
              </w:rPr>
              <w:t>02</w:t>
            </w:r>
            <w:r>
              <w:rPr>
                <w:color w:val="auto"/>
              </w:rPr>
              <w:t>kg/h，产生浓度为</w:t>
            </w:r>
            <w:r>
              <w:rPr>
                <w:rFonts w:hint="eastAsia"/>
                <w:color w:val="auto"/>
                <w:lang w:val="en-US" w:eastAsia="zh-CN"/>
              </w:rPr>
              <w:t>0.43</w:t>
            </w:r>
            <w:r>
              <w:rPr>
                <w:color w:val="auto"/>
              </w:rPr>
              <w:t>mg/m</w:t>
            </w:r>
            <w:r>
              <w:rPr>
                <w:color w:val="auto"/>
                <w:vertAlign w:val="superscript"/>
              </w:rPr>
              <w:t>3</w:t>
            </w:r>
            <w:r>
              <w:rPr>
                <w:color w:val="auto"/>
              </w:rPr>
              <w:t>。</w:t>
            </w:r>
          </w:p>
          <w:p>
            <w:pPr>
              <w:pStyle w:val="22"/>
              <w:keepNext w:val="0"/>
              <w:keepLines w:val="0"/>
              <w:pageBreakBefore w:val="0"/>
              <w:widowControl w:val="0"/>
              <w:shd w:val="clear"/>
              <w:kinsoku/>
              <w:wordWrap/>
              <w:overflowPunct/>
              <w:topLinePunct w:val="0"/>
              <w:autoSpaceDE/>
              <w:autoSpaceDN/>
              <w:bidi w:val="0"/>
              <w:adjustRightInd/>
              <w:snapToGrid/>
              <w:ind w:left="0" w:firstLine="480" w:firstLineChars="200"/>
              <w:jc w:val="both"/>
              <w:textAlignment w:val="auto"/>
            </w:pPr>
            <w:r>
              <w:rPr>
                <w:rFonts w:hint="eastAsia"/>
              </w:rPr>
              <w:t>（</w:t>
            </w:r>
            <w:r>
              <w:rPr>
                <w:rFonts w:hint="eastAsia"/>
                <w:lang w:val="en-US" w:eastAsia="zh-CN"/>
              </w:rPr>
              <w:t>4</w:t>
            </w:r>
            <w:r>
              <w:rPr>
                <w:rFonts w:hint="eastAsia"/>
              </w:rPr>
              <w:t xml:space="preserve">） </w:t>
            </w:r>
            <w:r>
              <w:t>NOx排放量：</w:t>
            </w:r>
          </w:p>
          <w:p>
            <w:pPr>
              <w:pStyle w:val="22"/>
              <w:ind w:firstLine="480"/>
              <w:jc w:val="both"/>
            </w:pPr>
            <w:r>
              <w:rPr>
                <w:rFonts w:hint="eastAsia"/>
              </w:rPr>
              <w:t>根据</w:t>
            </w:r>
            <w:r>
              <w:rPr>
                <w:rFonts w:cs="Times New Roman"/>
                <w:szCs w:val="28"/>
                <w:lang w:bidi="ar"/>
              </w:rPr>
              <w:t>《污染源源强核算技术指南 锅炉》（HJ991-2018）中推荐的“产污系数法”进行核算。</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cs="Times New Roman"/>
                <w:color w:val="000000"/>
              </w:rPr>
            </w:pPr>
            <w:r>
              <w:rPr>
                <w:rFonts w:hint="default" w:eastAsia="宋体"/>
                <w:color w:val="auto"/>
                <w:position w:val="-24"/>
                <w:sz w:val="24"/>
                <w:szCs w:val="32"/>
                <w:vertAlign w:val="baseline"/>
                <w:lang w:val="en-US" w:eastAsia="zh-CN"/>
              </w:rPr>
              <w:object>
                <v:shape id="_x0000_i1026" o:spt="75" type="#_x0000_t75" style="height:31pt;width:135pt;" o:ole="t" filled="f" o:preferrelative="t" stroked="f" coordsize="21600,21600">
                  <v:path/>
                  <v:fill on="f" focussize="0,0"/>
                  <v:stroke on="f"/>
                  <v:imagedata r:id="rId23" o:title=""/>
                  <o:lock v:ext="edit" aspectratio="t"/>
                  <w10:wrap type="none"/>
                  <w10:anchorlock/>
                </v:shape>
                <o:OLEObject Type="Embed" ProgID="Equation.KSEE3" ShapeID="_x0000_i1026" DrawAspect="Content" ObjectID="_1468075726" r:id="rId22">
                  <o:LockedField>false</o:LockedField>
                </o:OLEObject>
              </w:object>
            </w:r>
          </w:p>
          <w:p>
            <w:pPr>
              <w:pStyle w:val="22"/>
              <w:bidi w:val="0"/>
              <w:jc w:val="both"/>
              <w:rPr>
                <w:rFonts w:hint="eastAsia"/>
                <w:lang w:val="en-US" w:eastAsia="zh-CN"/>
              </w:rPr>
            </w:pPr>
            <w:r>
              <w:t>式中：</w:t>
            </w:r>
            <w:r>
              <w:rPr>
                <w:rFonts w:hint="eastAsia"/>
                <w:lang w:val="en-US" w:eastAsia="zh-CN"/>
              </w:rPr>
              <w:t>式中：Ej--核算时段内第j种污染物排放量，t；</w:t>
            </w:r>
          </w:p>
          <w:p>
            <w:pPr>
              <w:pStyle w:val="22"/>
              <w:bidi w:val="0"/>
              <w:ind w:firstLine="1200" w:firstLineChars="500"/>
              <w:jc w:val="both"/>
              <w:rPr>
                <w:rFonts w:hint="default"/>
                <w:lang w:val="en-US" w:eastAsia="zh-CN"/>
              </w:rPr>
            </w:pPr>
            <w:r>
              <w:rPr>
                <w:rFonts w:hint="eastAsia"/>
                <w:lang w:val="en-US" w:eastAsia="zh-CN"/>
              </w:rPr>
              <w:t>R--核算时段内燃料耗量，t或万m</w:t>
            </w:r>
            <w:r>
              <w:rPr>
                <w:rFonts w:hint="eastAsia"/>
                <w:vertAlign w:val="superscript"/>
                <w:lang w:val="en-US" w:eastAsia="zh-CN"/>
              </w:rPr>
              <w:t>3</w:t>
            </w:r>
            <w:r>
              <w:rPr>
                <w:rFonts w:hint="eastAsia"/>
                <w:lang w:val="en-US" w:eastAsia="zh-CN"/>
              </w:rPr>
              <w:t>，</w:t>
            </w:r>
            <w:r>
              <w:rPr>
                <w:rFonts w:hint="eastAsia"/>
                <w:color w:val="auto"/>
                <w:lang w:val="en-US" w:eastAsia="zh-CN"/>
              </w:rPr>
              <w:t>120</w:t>
            </w:r>
            <w:r>
              <w:t>万m</w:t>
            </w:r>
            <w:r>
              <w:rPr>
                <w:vertAlign w:val="superscript"/>
              </w:rPr>
              <w:t>3</w:t>
            </w:r>
            <w:r>
              <w:rPr>
                <w:rFonts w:hint="eastAsia"/>
                <w:lang w:val="en-US" w:eastAsia="zh-CN"/>
              </w:rPr>
              <w:t>；</w:t>
            </w:r>
          </w:p>
          <w:p>
            <w:pPr>
              <w:pStyle w:val="22"/>
              <w:bidi w:val="0"/>
              <w:ind w:firstLine="1200" w:firstLineChars="500"/>
              <w:jc w:val="both"/>
              <w:rPr>
                <w:rFonts w:hint="eastAsia" w:eastAsia="宋体"/>
                <w:lang w:val="en-US" w:eastAsia="zh-CN"/>
              </w:rPr>
            </w:pPr>
            <w:r>
              <w:rPr>
                <w:rFonts w:hint="default"/>
                <w:lang w:val="en-US" w:eastAsia="zh-CN"/>
              </w:rPr>
              <w:t>β</w:t>
            </w:r>
            <w:r>
              <w:rPr>
                <w:rFonts w:hint="eastAsia"/>
                <w:lang w:val="en-US" w:eastAsia="zh-CN"/>
              </w:rPr>
              <w:t>j--产污系数，kg/t或kg万m</w:t>
            </w:r>
            <w:r>
              <w:rPr>
                <w:rFonts w:hint="eastAsia"/>
                <w:vertAlign w:val="superscript"/>
                <w:lang w:val="en-US" w:eastAsia="zh-CN"/>
              </w:rPr>
              <w:t>3</w:t>
            </w:r>
            <w:r>
              <w:rPr>
                <w:rFonts w:hint="eastAsia"/>
                <w:lang w:val="en-US" w:eastAsia="zh-CN"/>
              </w:rPr>
              <w:t>，产污系数采用</w:t>
            </w:r>
            <w:r>
              <w:rPr>
                <w:rFonts w:hint="default"/>
                <w:lang w:val="en-US" w:eastAsia="zh-CN"/>
              </w:rPr>
              <w:t>生态环境部发布的《排放源统计调查产排污核算方法和系数手册》序号</w:t>
            </w:r>
            <w:r>
              <w:rPr>
                <w:rFonts w:hint="eastAsia"/>
                <w:lang w:val="en-US" w:eastAsia="zh-CN"/>
              </w:rPr>
              <w:t>“4430工业锅炉（热力供应）行业系数手册”中表“4430工业锅炉（热力生产和供应行业）产污系数表-燃气工业锅炉”，原料名称：天然气，氮氧化物的产污系数为6.97千克/万立方米-原料（低氮燃烧-国内领先）</w:t>
            </w:r>
            <w:r>
              <w:rPr>
                <w:rFonts w:hint="eastAsia"/>
                <w:lang w:eastAsia="zh-CN"/>
              </w:rPr>
              <w:t>；</w:t>
            </w:r>
          </w:p>
          <w:p>
            <w:pPr>
              <w:pStyle w:val="22"/>
              <w:bidi w:val="0"/>
              <w:ind w:firstLine="1200" w:firstLineChars="500"/>
              <w:jc w:val="both"/>
            </w:pPr>
            <w:r>
              <w:rPr>
                <w:rFonts w:hint="eastAsia"/>
                <w:lang w:val="en-US" w:eastAsia="zh-CN"/>
              </w:rPr>
              <w:t>η--污染物的脱除效率，%，本次取0。</w:t>
            </w:r>
          </w:p>
          <w:p>
            <w:pPr>
              <w:pStyle w:val="22"/>
              <w:bidi w:val="0"/>
              <w:jc w:val="both"/>
            </w:pPr>
            <w:r>
              <w:t>NOx</w:t>
            </w:r>
            <w:r>
              <w:rPr>
                <w:rFonts w:hint="eastAsia"/>
                <w:lang w:val="en-US" w:eastAsia="zh-CN"/>
              </w:rPr>
              <w:t>产生</w:t>
            </w:r>
            <w:r>
              <w:t>量</w:t>
            </w:r>
            <w:r>
              <w:rPr>
                <w:rFonts w:hint="eastAsia"/>
                <w:lang w:val="en-US" w:eastAsia="zh-CN"/>
              </w:rPr>
              <w:t>0.836</w:t>
            </w:r>
            <w:r>
              <w:t>t/a</w:t>
            </w:r>
            <w:r>
              <w:rPr>
                <w:rFonts w:hint="eastAsia"/>
                <w:lang w:eastAsia="zh-CN"/>
              </w:rPr>
              <w:t>，</w:t>
            </w:r>
            <w:r>
              <w:t>项目</w:t>
            </w:r>
            <w:r>
              <w:rPr>
                <w:rFonts w:hint="eastAsia"/>
                <w:lang w:val="en-US" w:eastAsia="zh-CN"/>
              </w:rPr>
              <w:t>燃气锅炉</w:t>
            </w:r>
            <w:r>
              <w:t>采用低氮燃烧器</w:t>
            </w:r>
            <w:r>
              <w:rPr>
                <w:rFonts w:hint="eastAsia"/>
                <w:lang w:val="en-US" w:eastAsia="zh-CN"/>
              </w:rPr>
              <w:t>+烟气再循环技术</w:t>
            </w:r>
            <w:r>
              <w:t>，</w:t>
            </w:r>
            <w:r>
              <w:rPr>
                <w:rFonts w:hint="eastAsia"/>
                <w:lang w:val="en-US" w:eastAsia="zh-CN"/>
              </w:rPr>
              <w:t>根据《燃气锅炉烟气再循环降氮技术规范》（DB65/T4243-2019）中降氮率不低于50%，本项目降氮率取50%，</w:t>
            </w:r>
            <w:r>
              <w:t>经</w:t>
            </w:r>
            <w:r>
              <w:rPr>
                <w:rFonts w:hint="eastAsia"/>
                <w:lang w:val="en-US" w:eastAsia="zh-CN"/>
              </w:rPr>
              <w:t>烟气再循环技术</w:t>
            </w:r>
            <w:r>
              <w:t>处理后，NOx的排放量为</w:t>
            </w:r>
            <w:r>
              <w:rPr>
                <w:rFonts w:hint="eastAsia"/>
                <w:lang w:val="en-US" w:eastAsia="zh-CN"/>
              </w:rPr>
              <w:t>0.418</w:t>
            </w:r>
            <w:r>
              <w:t>t/a，排放速率为</w:t>
            </w:r>
            <w:r>
              <w:rPr>
                <w:rFonts w:hint="eastAsia"/>
                <w:lang w:val="en-US" w:eastAsia="zh-CN"/>
              </w:rPr>
              <w:t>0.17</w:t>
            </w:r>
            <w:r>
              <w:t>kg/h，排放浓度为</w:t>
            </w:r>
            <w:r>
              <w:rPr>
                <w:rFonts w:hint="eastAsia"/>
                <w:lang w:val="en-US" w:eastAsia="zh-CN"/>
              </w:rPr>
              <w:t>35.69</w:t>
            </w:r>
            <w:r>
              <w:t>mg/m</w:t>
            </w:r>
            <w:r>
              <w:rPr>
                <w:vertAlign w:val="superscript"/>
              </w:rPr>
              <w:t>3</w:t>
            </w:r>
            <w:r>
              <w:t>。</w:t>
            </w:r>
          </w:p>
          <w:p>
            <w:pPr>
              <w:pStyle w:val="22"/>
              <w:ind w:firstLine="480"/>
              <w:jc w:val="both"/>
              <w:rPr>
                <w:rFonts w:hint="eastAsia"/>
              </w:rPr>
            </w:pPr>
            <w:r>
              <w:rPr>
                <w:rFonts w:hint="eastAsia"/>
              </w:rPr>
              <w:t>本项目废气产排情况见下表</w:t>
            </w:r>
            <w:r>
              <w:t>4-</w:t>
            </w:r>
            <w:r>
              <w:rPr>
                <w:rFonts w:hint="eastAsia"/>
                <w:lang w:val="en-US" w:eastAsia="zh-CN"/>
              </w:rPr>
              <w:t>7</w:t>
            </w:r>
            <w:r>
              <w:rPr>
                <w:rFonts w:hint="eastAsia"/>
              </w:rPr>
              <w:t>。</w:t>
            </w:r>
          </w:p>
          <w:p>
            <w:pPr>
              <w:adjustRightInd w:val="0"/>
              <w:snapToGrid w:val="0"/>
              <w:ind w:left="120" w:leftChars="50" w:right="120" w:rightChars="50"/>
              <w:jc w:val="center"/>
              <w:rPr>
                <w:rFonts w:cs="Times New Roman"/>
                <w:bCs/>
                <w:color w:val="000000"/>
                <w:szCs w:val="21"/>
              </w:rPr>
            </w:pPr>
            <w:r>
              <w:rPr>
                <w:rFonts w:hint="eastAsia"/>
              </w:rPr>
              <w:t>表4-</w:t>
            </w:r>
            <w:r>
              <w:rPr>
                <w:rFonts w:hint="eastAsia"/>
                <w:lang w:val="en-US" w:eastAsia="zh-CN"/>
              </w:rPr>
              <w:t>7</w:t>
            </w:r>
            <w:r>
              <w:rPr>
                <w:rFonts w:hint="eastAsia"/>
              </w:rPr>
              <w:t xml:space="preserve">   </w:t>
            </w:r>
            <w:r>
              <w:rPr>
                <w:rFonts w:hint="eastAsia" w:cs="Times New Roman"/>
                <w:bCs/>
                <w:color w:val="000000"/>
                <w:szCs w:val="21"/>
                <w:lang w:val="en-US" w:eastAsia="zh-CN"/>
              </w:rPr>
              <w:t>燃气</w:t>
            </w:r>
            <w:r>
              <w:rPr>
                <w:rFonts w:hint="eastAsia"/>
                <w:lang w:val="en-US" w:eastAsia="zh-CN"/>
              </w:rPr>
              <w:t>锅炉</w:t>
            </w:r>
            <w:r>
              <w:rPr>
                <w:rFonts w:cs="Times New Roman"/>
                <w:bCs/>
                <w:color w:val="000000"/>
                <w:szCs w:val="21"/>
              </w:rPr>
              <w:t>废气排放情况一览表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2"/>
              <w:gridCol w:w="1128"/>
              <w:gridCol w:w="929"/>
              <w:gridCol w:w="2498"/>
              <w:gridCol w:w="1222"/>
              <w:gridCol w:w="10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2" w:type="dxa"/>
                  <w:tcBorders>
                    <w:bottom w:val="single" w:color="auto" w:sz="12" w:space="0"/>
                  </w:tcBorders>
                  <w:vAlign w:val="center"/>
                </w:tcPr>
                <w:p>
                  <w:pPr>
                    <w:pStyle w:val="33"/>
                    <w:rPr>
                      <w:b/>
                      <w:bCs/>
                    </w:rPr>
                  </w:pPr>
                  <w:r>
                    <w:rPr>
                      <w:b/>
                      <w:bCs/>
                    </w:rPr>
                    <w:t>产污环节</w:t>
                  </w:r>
                </w:p>
              </w:tc>
              <w:tc>
                <w:tcPr>
                  <w:tcW w:w="1128" w:type="dxa"/>
                  <w:tcBorders>
                    <w:bottom w:val="single" w:color="auto" w:sz="12" w:space="0"/>
                  </w:tcBorders>
                  <w:vAlign w:val="center"/>
                </w:tcPr>
                <w:p>
                  <w:pPr>
                    <w:pStyle w:val="33"/>
                    <w:rPr>
                      <w:b/>
                      <w:bCs/>
                    </w:rPr>
                  </w:pPr>
                  <w:r>
                    <w:rPr>
                      <w:b/>
                      <w:bCs/>
                    </w:rPr>
                    <w:t>产生浓度（mg/m</w:t>
                  </w:r>
                  <w:r>
                    <w:rPr>
                      <w:b/>
                      <w:bCs/>
                      <w:vertAlign w:val="superscript"/>
                    </w:rPr>
                    <w:t>3</w:t>
                  </w:r>
                  <w:r>
                    <w:rPr>
                      <w:b/>
                      <w:bCs/>
                    </w:rPr>
                    <w:t>）</w:t>
                  </w:r>
                </w:p>
              </w:tc>
              <w:tc>
                <w:tcPr>
                  <w:tcW w:w="929" w:type="dxa"/>
                  <w:tcBorders>
                    <w:bottom w:val="single" w:color="auto" w:sz="12" w:space="0"/>
                  </w:tcBorders>
                  <w:vAlign w:val="center"/>
                </w:tcPr>
                <w:p>
                  <w:pPr>
                    <w:pStyle w:val="33"/>
                    <w:rPr>
                      <w:rFonts w:hint="eastAsia" w:eastAsia="宋体"/>
                      <w:b/>
                      <w:bCs/>
                      <w:lang w:eastAsia="zh-CN"/>
                    </w:rPr>
                  </w:pPr>
                  <w:r>
                    <w:rPr>
                      <w:b/>
                      <w:bCs/>
                    </w:rPr>
                    <w:t>产生量</w:t>
                  </w:r>
                  <w:r>
                    <w:rPr>
                      <w:rFonts w:hint="eastAsia"/>
                      <w:b/>
                      <w:bCs/>
                      <w:lang w:eastAsia="zh-CN"/>
                    </w:rPr>
                    <w:t>（</w:t>
                  </w:r>
                  <w:r>
                    <w:rPr>
                      <w:b/>
                      <w:bCs/>
                    </w:rPr>
                    <w:t>t/a</w:t>
                  </w:r>
                  <w:r>
                    <w:rPr>
                      <w:rFonts w:hint="eastAsia"/>
                      <w:b/>
                      <w:bCs/>
                      <w:lang w:eastAsia="zh-CN"/>
                    </w:rPr>
                    <w:t>）</w:t>
                  </w:r>
                </w:p>
              </w:tc>
              <w:tc>
                <w:tcPr>
                  <w:tcW w:w="2498" w:type="dxa"/>
                  <w:tcBorders>
                    <w:bottom w:val="single" w:color="auto" w:sz="12" w:space="0"/>
                  </w:tcBorders>
                  <w:vAlign w:val="center"/>
                </w:tcPr>
                <w:p>
                  <w:pPr>
                    <w:pStyle w:val="33"/>
                    <w:rPr>
                      <w:b/>
                      <w:bCs/>
                    </w:rPr>
                  </w:pPr>
                  <w:r>
                    <w:rPr>
                      <w:b/>
                      <w:bCs/>
                    </w:rPr>
                    <w:t>处理措施</w:t>
                  </w:r>
                </w:p>
              </w:tc>
              <w:tc>
                <w:tcPr>
                  <w:tcW w:w="1222" w:type="dxa"/>
                  <w:tcBorders>
                    <w:bottom w:val="single" w:color="auto" w:sz="12" w:space="0"/>
                  </w:tcBorders>
                  <w:vAlign w:val="center"/>
                </w:tcPr>
                <w:p>
                  <w:pPr>
                    <w:pStyle w:val="33"/>
                    <w:rPr>
                      <w:b/>
                      <w:bCs/>
                    </w:rPr>
                  </w:pPr>
                  <w:r>
                    <w:rPr>
                      <w:b/>
                      <w:bCs/>
                    </w:rPr>
                    <w:t>排放浓度（mg/m</w:t>
                  </w:r>
                  <w:r>
                    <w:rPr>
                      <w:b/>
                      <w:bCs/>
                      <w:vertAlign w:val="superscript"/>
                    </w:rPr>
                    <w:t>3</w:t>
                  </w:r>
                  <w:r>
                    <w:rPr>
                      <w:b/>
                      <w:bCs/>
                    </w:rPr>
                    <w:t>）</w:t>
                  </w:r>
                </w:p>
              </w:tc>
              <w:tc>
                <w:tcPr>
                  <w:tcW w:w="1067" w:type="dxa"/>
                  <w:tcBorders>
                    <w:bottom w:val="single" w:color="auto" w:sz="12" w:space="0"/>
                  </w:tcBorders>
                  <w:vAlign w:val="center"/>
                </w:tcPr>
                <w:p>
                  <w:pPr>
                    <w:pStyle w:val="33"/>
                    <w:rPr>
                      <w:b/>
                      <w:bCs/>
                    </w:rPr>
                  </w:pPr>
                  <w:r>
                    <w:rPr>
                      <w:b/>
                      <w:bCs/>
                    </w:rPr>
                    <w:t>排放量</w:t>
                  </w:r>
                </w:p>
                <w:p>
                  <w:pPr>
                    <w:pStyle w:val="33"/>
                    <w:rPr>
                      <w:b/>
                      <w:bCs/>
                    </w:rPr>
                  </w:pPr>
                  <w:r>
                    <w:rPr>
                      <w:b/>
                      <w:bCs/>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1022" w:type="dxa"/>
                  <w:tcBorders>
                    <w:top w:val="single" w:color="auto" w:sz="12" w:space="0"/>
                    <w:tl2br w:val="nil"/>
                    <w:tr2bl w:val="nil"/>
                  </w:tcBorders>
                  <w:vAlign w:val="center"/>
                </w:tcPr>
                <w:p>
                  <w:pPr>
                    <w:pStyle w:val="33"/>
                  </w:pPr>
                  <w:r>
                    <w:t>工业废气量</w:t>
                  </w:r>
                </w:p>
              </w:tc>
              <w:tc>
                <w:tcPr>
                  <w:tcW w:w="2057" w:type="dxa"/>
                  <w:gridSpan w:val="2"/>
                  <w:tcBorders>
                    <w:top w:val="single" w:color="auto" w:sz="12" w:space="0"/>
                    <w:tl2br w:val="nil"/>
                    <w:tr2bl w:val="nil"/>
                  </w:tcBorders>
                  <w:vAlign w:val="center"/>
                </w:tcPr>
                <w:p>
                  <w:pPr>
                    <w:pStyle w:val="33"/>
                  </w:pPr>
                  <w:r>
                    <w:rPr>
                      <w:rFonts w:hint="eastAsia"/>
                      <w:lang w:val="en-US" w:eastAsia="zh-CN"/>
                    </w:rPr>
                    <w:t>1171.2万Nm</w:t>
                  </w:r>
                  <w:r>
                    <w:rPr>
                      <w:rFonts w:hint="eastAsia"/>
                      <w:vertAlign w:val="superscript"/>
                      <w:lang w:val="en-US" w:eastAsia="zh-CN"/>
                    </w:rPr>
                    <w:t>3</w:t>
                  </w:r>
                  <w:r>
                    <w:rPr>
                      <w:rFonts w:hint="eastAsia"/>
                      <w:lang w:val="en-US" w:eastAsia="zh-CN"/>
                    </w:rPr>
                    <w:t>/a</w:t>
                  </w:r>
                </w:p>
              </w:tc>
              <w:tc>
                <w:tcPr>
                  <w:tcW w:w="2498" w:type="dxa"/>
                  <w:vMerge w:val="restart"/>
                  <w:tcBorders>
                    <w:top w:val="single" w:color="auto" w:sz="12" w:space="0"/>
                    <w:tl2br w:val="nil"/>
                    <w:tr2bl w:val="nil"/>
                  </w:tcBorders>
                  <w:vAlign w:val="center"/>
                </w:tcPr>
                <w:p>
                  <w:pPr>
                    <w:pStyle w:val="33"/>
                    <w:rPr>
                      <w:rFonts w:hint="eastAsia" w:eastAsia="宋体"/>
                      <w:lang w:eastAsia="zh-CN"/>
                    </w:rPr>
                  </w:pPr>
                  <w:r>
                    <w:t>低氮燃烧器</w:t>
                  </w:r>
                  <w:r>
                    <w:rPr>
                      <w:rFonts w:hint="eastAsia"/>
                      <w:lang w:val="en-US" w:eastAsia="zh-CN"/>
                    </w:rPr>
                    <w:t>+烟气再循环技术</w:t>
                  </w:r>
                  <w:r>
                    <w:t>，废气经处理后，通过1根</w:t>
                  </w:r>
                  <w:r>
                    <w:rPr>
                      <w:rFonts w:hint="eastAsia"/>
                      <w:lang w:val="en-US" w:eastAsia="zh-CN"/>
                    </w:rPr>
                    <w:t>12</w:t>
                  </w:r>
                  <w:r>
                    <w:t>m高排气筒排放</w:t>
                  </w:r>
                </w:p>
              </w:tc>
              <w:tc>
                <w:tcPr>
                  <w:tcW w:w="2289" w:type="dxa"/>
                  <w:gridSpan w:val="2"/>
                  <w:tcBorders>
                    <w:top w:val="single" w:color="auto" w:sz="12" w:space="0"/>
                    <w:tl2br w:val="nil"/>
                    <w:tr2bl w:val="nil"/>
                  </w:tcBorders>
                  <w:vAlign w:val="center"/>
                </w:tcPr>
                <w:p>
                  <w:pPr>
                    <w:pStyle w:val="33"/>
                  </w:pPr>
                  <w:r>
                    <w:rPr>
                      <w:rFonts w:hint="eastAsia"/>
                      <w:lang w:val="en-US" w:eastAsia="zh-CN"/>
                    </w:rPr>
                    <w:t>1171.2万Nm</w:t>
                  </w:r>
                  <w:r>
                    <w:rPr>
                      <w:rFonts w:hint="eastAsia"/>
                      <w:vertAlign w:val="superscript"/>
                      <w:lang w:val="en-US" w:eastAsia="zh-CN"/>
                    </w:rPr>
                    <w:t>3</w:t>
                  </w:r>
                  <w:r>
                    <w:rPr>
                      <w:rFonts w:hint="eastAsia"/>
                      <w:lang w:val="en-US" w:eastAsia="zh-CN"/>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2" w:type="dxa"/>
                  <w:tcBorders>
                    <w:tl2br w:val="nil"/>
                    <w:tr2bl w:val="nil"/>
                  </w:tcBorders>
                  <w:vAlign w:val="center"/>
                </w:tcPr>
                <w:p>
                  <w:pPr>
                    <w:pStyle w:val="33"/>
                  </w:pPr>
                  <w:r>
                    <w:t>颗粒物</w:t>
                  </w:r>
                </w:p>
              </w:tc>
              <w:tc>
                <w:tcPr>
                  <w:tcW w:w="1128" w:type="dxa"/>
                  <w:tcBorders>
                    <w:tl2br w:val="nil"/>
                    <w:tr2bl w:val="nil"/>
                  </w:tcBorders>
                  <w:vAlign w:val="center"/>
                </w:tcPr>
                <w:p>
                  <w:pPr>
                    <w:pStyle w:val="33"/>
                    <w:rPr>
                      <w:rFonts w:hint="default" w:eastAsia="宋体"/>
                      <w:lang w:val="en-US" w:eastAsia="zh-CN"/>
                    </w:rPr>
                  </w:pPr>
                  <w:r>
                    <w:rPr>
                      <w:rFonts w:hint="eastAsia"/>
                      <w:color w:val="auto"/>
                      <w:lang w:val="en-US" w:eastAsia="zh-CN"/>
                    </w:rPr>
                    <w:t>14.34</w:t>
                  </w:r>
                </w:p>
              </w:tc>
              <w:tc>
                <w:tcPr>
                  <w:tcW w:w="929" w:type="dxa"/>
                  <w:tcBorders>
                    <w:tl2br w:val="nil"/>
                    <w:tr2bl w:val="nil"/>
                  </w:tcBorders>
                  <w:vAlign w:val="center"/>
                </w:tcPr>
                <w:p>
                  <w:pPr>
                    <w:pStyle w:val="33"/>
                    <w:rPr>
                      <w:rFonts w:hint="default"/>
                      <w:lang w:val="en-US"/>
                    </w:rPr>
                  </w:pPr>
                  <w:r>
                    <w:rPr>
                      <w:rFonts w:hint="eastAsia"/>
                      <w:color w:val="auto"/>
                      <w:lang w:val="en-US" w:eastAsia="zh-CN"/>
                    </w:rPr>
                    <w:t>0.168</w:t>
                  </w:r>
                </w:p>
              </w:tc>
              <w:tc>
                <w:tcPr>
                  <w:tcW w:w="2498" w:type="dxa"/>
                  <w:vMerge w:val="continue"/>
                  <w:tcBorders>
                    <w:tl2br w:val="nil"/>
                    <w:tr2bl w:val="nil"/>
                  </w:tcBorders>
                  <w:vAlign w:val="center"/>
                </w:tcPr>
                <w:p>
                  <w:pPr>
                    <w:pStyle w:val="33"/>
                  </w:pPr>
                </w:p>
              </w:tc>
              <w:tc>
                <w:tcPr>
                  <w:tcW w:w="1222" w:type="dxa"/>
                  <w:tcBorders>
                    <w:tl2br w:val="nil"/>
                    <w:tr2bl w:val="nil"/>
                  </w:tcBorders>
                  <w:vAlign w:val="center"/>
                </w:tcPr>
                <w:p>
                  <w:pPr>
                    <w:pStyle w:val="33"/>
                    <w:rPr>
                      <w:rFonts w:hint="default" w:ascii="Times New Roman" w:hAnsi="Times New Roman" w:eastAsia="宋体" w:cs="Times New Roman"/>
                      <w:kern w:val="2"/>
                      <w:sz w:val="21"/>
                      <w:szCs w:val="24"/>
                      <w:lang w:val="en-US" w:eastAsia="zh-CN" w:bidi="ar-SA"/>
                    </w:rPr>
                  </w:pPr>
                  <w:r>
                    <w:rPr>
                      <w:rFonts w:hint="eastAsia"/>
                      <w:color w:val="auto"/>
                      <w:lang w:val="en-US" w:eastAsia="zh-CN"/>
                    </w:rPr>
                    <w:t>14.34</w:t>
                  </w:r>
                </w:p>
              </w:tc>
              <w:tc>
                <w:tcPr>
                  <w:tcW w:w="1067" w:type="dxa"/>
                  <w:tcBorders>
                    <w:tl2br w:val="nil"/>
                    <w:tr2bl w:val="nil"/>
                  </w:tcBorders>
                  <w:vAlign w:val="center"/>
                </w:tcPr>
                <w:p>
                  <w:pPr>
                    <w:pStyle w:val="33"/>
                    <w:rPr>
                      <w:rFonts w:ascii="Times New Roman" w:hAnsi="Times New Roman" w:eastAsia="宋体" w:cs="Times New Roman"/>
                      <w:kern w:val="2"/>
                      <w:sz w:val="21"/>
                      <w:szCs w:val="24"/>
                      <w:lang w:val="zh-TW" w:eastAsia="zh-TW" w:bidi="ar-SA"/>
                    </w:rPr>
                  </w:pPr>
                  <w:r>
                    <w:rPr>
                      <w:rFonts w:hint="eastAsia"/>
                      <w:color w:val="auto"/>
                      <w:lang w:val="en-US" w:eastAsia="zh-CN"/>
                    </w:rPr>
                    <w:t>0.168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022" w:type="dxa"/>
                  <w:tcBorders>
                    <w:tl2br w:val="nil"/>
                    <w:tr2bl w:val="nil"/>
                  </w:tcBorders>
                  <w:vAlign w:val="center"/>
                </w:tcPr>
                <w:p>
                  <w:pPr>
                    <w:pStyle w:val="33"/>
                  </w:pPr>
                  <w:r>
                    <w:t>SO</w:t>
                  </w:r>
                  <w:r>
                    <w:rPr>
                      <w:vertAlign w:val="subscript"/>
                    </w:rPr>
                    <w:t>2</w:t>
                  </w:r>
                </w:p>
              </w:tc>
              <w:tc>
                <w:tcPr>
                  <w:tcW w:w="1128" w:type="dxa"/>
                  <w:tcBorders>
                    <w:tl2br w:val="nil"/>
                    <w:tr2bl w:val="nil"/>
                  </w:tcBorders>
                  <w:vAlign w:val="center"/>
                </w:tcPr>
                <w:p>
                  <w:pPr>
                    <w:pStyle w:val="33"/>
                    <w:rPr>
                      <w:rFonts w:hint="default" w:eastAsia="宋体"/>
                      <w:lang w:val="en-US" w:eastAsia="zh-CN"/>
                    </w:rPr>
                  </w:pPr>
                  <w:r>
                    <w:rPr>
                      <w:rFonts w:hint="eastAsia"/>
                      <w:color w:val="auto"/>
                      <w:lang w:val="en-US" w:eastAsia="zh-CN"/>
                    </w:rPr>
                    <w:t>0.43</w:t>
                  </w:r>
                </w:p>
              </w:tc>
              <w:tc>
                <w:tcPr>
                  <w:tcW w:w="929" w:type="dxa"/>
                  <w:tcBorders>
                    <w:tl2br w:val="nil"/>
                    <w:tr2bl w:val="nil"/>
                  </w:tcBorders>
                  <w:vAlign w:val="center"/>
                </w:tcPr>
                <w:p>
                  <w:pPr>
                    <w:pStyle w:val="33"/>
                  </w:pPr>
                  <w:r>
                    <w:rPr>
                      <w:rFonts w:hint="eastAsia"/>
                      <w:color w:val="auto"/>
                      <w:lang w:val="en-US" w:eastAsia="zh-CN"/>
                    </w:rPr>
                    <w:t>0.005</w:t>
                  </w:r>
                </w:p>
              </w:tc>
              <w:tc>
                <w:tcPr>
                  <w:tcW w:w="2498" w:type="dxa"/>
                  <w:vMerge w:val="continue"/>
                  <w:tcBorders>
                    <w:tl2br w:val="nil"/>
                    <w:tr2bl w:val="nil"/>
                  </w:tcBorders>
                  <w:vAlign w:val="center"/>
                </w:tcPr>
                <w:p>
                  <w:pPr>
                    <w:pStyle w:val="33"/>
                  </w:pPr>
                </w:p>
              </w:tc>
              <w:tc>
                <w:tcPr>
                  <w:tcW w:w="1222" w:type="dxa"/>
                  <w:tcBorders>
                    <w:tl2br w:val="nil"/>
                    <w:tr2bl w:val="nil"/>
                  </w:tcBorders>
                  <w:vAlign w:val="center"/>
                </w:tcPr>
                <w:p>
                  <w:pPr>
                    <w:pStyle w:val="33"/>
                    <w:rPr>
                      <w:rFonts w:hint="default" w:ascii="Times New Roman" w:hAnsi="Times New Roman" w:eastAsia="宋体" w:cs="Times New Roman"/>
                      <w:kern w:val="2"/>
                      <w:sz w:val="21"/>
                      <w:szCs w:val="24"/>
                      <w:lang w:val="en-US" w:eastAsia="zh-CN" w:bidi="ar-SA"/>
                    </w:rPr>
                  </w:pPr>
                  <w:r>
                    <w:rPr>
                      <w:rFonts w:hint="eastAsia"/>
                      <w:color w:val="auto"/>
                      <w:lang w:val="en-US" w:eastAsia="zh-CN"/>
                    </w:rPr>
                    <w:t>0.43</w:t>
                  </w:r>
                </w:p>
              </w:tc>
              <w:tc>
                <w:tcPr>
                  <w:tcW w:w="1067" w:type="dxa"/>
                  <w:tcBorders>
                    <w:tl2br w:val="nil"/>
                    <w:tr2bl w:val="nil"/>
                  </w:tcBorders>
                  <w:vAlign w:val="center"/>
                </w:tcPr>
                <w:p>
                  <w:pPr>
                    <w:pStyle w:val="33"/>
                    <w:rPr>
                      <w:rFonts w:hint="default" w:ascii="Times New Roman" w:hAnsi="Times New Roman" w:eastAsia="宋体" w:cs="Times New Roman"/>
                      <w:kern w:val="2"/>
                      <w:sz w:val="21"/>
                      <w:szCs w:val="24"/>
                      <w:lang w:val="en-US" w:eastAsia="zh-TW" w:bidi="ar-SA"/>
                    </w:rPr>
                  </w:pPr>
                  <w:r>
                    <w:rPr>
                      <w:rFonts w:hint="eastAsia"/>
                      <w:color w:val="auto"/>
                      <w:lang w:val="en-US" w:eastAsia="zh-CN"/>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2" w:type="dxa"/>
                  <w:tcBorders>
                    <w:tl2br w:val="nil"/>
                    <w:tr2bl w:val="nil"/>
                  </w:tcBorders>
                  <w:vAlign w:val="center"/>
                </w:tcPr>
                <w:p>
                  <w:pPr>
                    <w:pStyle w:val="33"/>
                  </w:pPr>
                  <w:r>
                    <w:t>NOx</w:t>
                  </w:r>
                </w:p>
              </w:tc>
              <w:tc>
                <w:tcPr>
                  <w:tcW w:w="1128" w:type="dxa"/>
                  <w:tcBorders>
                    <w:tl2br w:val="nil"/>
                    <w:tr2bl w:val="nil"/>
                  </w:tcBorders>
                  <w:vAlign w:val="center"/>
                </w:tcPr>
                <w:p>
                  <w:pPr>
                    <w:pStyle w:val="33"/>
                    <w:rPr>
                      <w:rFonts w:hint="default" w:eastAsia="宋体"/>
                      <w:lang w:val="en-US" w:eastAsia="zh-CN"/>
                    </w:rPr>
                  </w:pPr>
                  <w:r>
                    <w:rPr>
                      <w:rFonts w:hint="eastAsia"/>
                      <w:lang w:val="en-US" w:eastAsia="zh-CN"/>
                    </w:rPr>
                    <w:t>71.38</w:t>
                  </w:r>
                </w:p>
              </w:tc>
              <w:tc>
                <w:tcPr>
                  <w:tcW w:w="929" w:type="dxa"/>
                  <w:tcBorders>
                    <w:tl2br w:val="nil"/>
                    <w:tr2bl w:val="nil"/>
                  </w:tcBorders>
                  <w:vAlign w:val="center"/>
                </w:tcPr>
                <w:p>
                  <w:pPr>
                    <w:pStyle w:val="33"/>
                    <w:rPr>
                      <w:rFonts w:hint="default"/>
                      <w:lang w:val="en-US" w:eastAsia="zh-CN"/>
                    </w:rPr>
                  </w:pPr>
                  <w:r>
                    <w:rPr>
                      <w:rFonts w:hint="eastAsia"/>
                      <w:lang w:val="en-US" w:eastAsia="zh-CN"/>
                    </w:rPr>
                    <w:t>0.836</w:t>
                  </w:r>
                </w:p>
              </w:tc>
              <w:tc>
                <w:tcPr>
                  <w:tcW w:w="2498" w:type="dxa"/>
                  <w:vMerge w:val="continue"/>
                  <w:tcBorders>
                    <w:tl2br w:val="nil"/>
                    <w:tr2bl w:val="nil"/>
                  </w:tcBorders>
                  <w:vAlign w:val="center"/>
                </w:tcPr>
                <w:p>
                  <w:pPr>
                    <w:pStyle w:val="33"/>
                  </w:pPr>
                </w:p>
              </w:tc>
              <w:tc>
                <w:tcPr>
                  <w:tcW w:w="1222" w:type="dxa"/>
                  <w:tcBorders>
                    <w:tl2br w:val="nil"/>
                    <w:tr2bl w:val="nil"/>
                  </w:tcBorders>
                  <w:vAlign w:val="center"/>
                </w:tcPr>
                <w:p>
                  <w:pPr>
                    <w:pStyle w:val="33"/>
                    <w:rPr>
                      <w:rFonts w:hint="default"/>
                      <w:lang w:val="en-US"/>
                    </w:rPr>
                  </w:pPr>
                  <w:r>
                    <w:rPr>
                      <w:rFonts w:hint="eastAsia"/>
                      <w:lang w:val="en-US" w:eastAsia="zh-CN"/>
                    </w:rPr>
                    <w:t>35.69</w:t>
                  </w:r>
                </w:p>
              </w:tc>
              <w:tc>
                <w:tcPr>
                  <w:tcW w:w="1067" w:type="dxa"/>
                  <w:tcBorders>
                    <w:tl2br w:val="nil"/>
                    <w:tr2bl w:val="nil"/>
                  </w:tcBorders>
                  <w:vAlign w:val="center"/>
                </w:tcPr>
                <w:p>
                  <w:pPr>
                    <w:pStyle w:val="33"/>
                    <w:rPr>
                      <w:rFonts w:hint="default"/>
                      <w:lang w:val="en-US"/>
                    </w:rPr>
                  </w:pPr>
                  <w:r>
                    <w:rPr>
                      <w:rFonts w:hint="eastAsia"/>
                      <w:lang w:val="en-US" w:eastAsia="zh-CN"/>
                    </w:rPr>
                    <w:t>0.418</w:t>
                  </w:r>
                </w:p>
              </w:tc>
            </w:tr>
          </w:tbl>
          <w:p>
            <w:pPr>
              <w:pStyle w:val="22"/>
              <w:bidi w:val="0"/>
              <w:jc w:val="both"/>
              <w:rPr>
                <w:rFonts w:hint="default"/>
                <w:lang w:val="en-US" w:eastAsia="zh-CN"/>
              </w:rPr>
            </w:pPr>
            <w:r>
              <w:rPr>
                <w:rFonts w:hint="eastAsia"/>
                <w:lang w:val="en-US" w:eastAsia="zh-CN"/>
              </w:rPr>
              <w:t>（5）污水处理站恶臭</w:t>
            </w:r>
          </w:p>
          <w:p>
            <w:pPr>
              <w:pStyle w:val="22"/>
              <w:bidi w:val="0"/>
              <w:jc w:val="both"/>
            </w:pPr>
            <w:r>
              <w:rPr>
                <w:rFonts w:hint="eastAsia"/>
                <w:lang w:val="en-US" w:eastAsia="zh-CN"/>
              </w:rPr>
              <w:t>项目在生产区不会产生异味，但污泥池会产生轻微的异味，污水处理设施接纳项目洗涤废水，其中富含蛋白质等有机物质，极易腐败，其产生源主要为底泥中含硫有机物在厌氧发酵过程中转化产生的氨、硫化氢、臭气浓度等恶臭污染物所致。项目污水主要以洗涤废水为主，有机污染物含量较低，故本项目污水站运行过程中产生的异味不明显。项目污泥产生量较少，且经压滤后及时清运，减少在项目区停留时间，本次环评建议建设单位对污水处理站加盖密闭，定期检修时减少敞露时间，并加强污水处理站周边绿化，通过以上方式，异味经大气自然扩散稀释后，对周围环境影响较小，因此</w:t>
            </w:r>
            <w:r>
              <w:rPr>
                <w:rFonts w:hint="eastAsia"/>
                <w:highlight w:val="none"/>
                <w:lang w:val="en-US" w:eastAsia="zh-CN"/>
              </w:rPr>
              <w:t>本项目定性分析</w:t>
            </w:r>
            <w:r>
              <w:rPr>
                <w:rFonts w:hint="default"/>
                <w:highlight w:val="none"/>
                <w:lang w:val="en-US" w:eastAsia="zh-CN"/>
              </w:rPr>
              <w:t>。</w:t>
            </w:r>
          </w:p>
          <w:p>
            <w:pPr>
              <w:pStyle w:val="22"/>
              <w:bidi w:val="0"/>
              <w:jc w:val="both"/>
              <w:rPr>
                <w:rFonts w:hint="eastAsia"/>
                <w:lang w:val="en-US" w:eastAsia="zh-CN"/>
              </w:rPr>
            </w:pPr>
            <w:r>
              <w:rPr>
                <w:rFonts w:hint="eastAsia"/>
                <w:highlight w:val="none"/>
                <w:lang w:val="en-US" w:eastAsia="zh-CN"/>
              </w:rPr>
              <w:t>项目</w:t>
            </w:r>
            <w:r>
              <w:rPr>
                <w:rFonts w:hint="eastAsia"/>
                <w:highlight w:val="none"/>
              </w:rPr>
              <w:t>污水处理站</w:t>
            </w:r>
            <w:r>
              <w:rPr>
                <w:rFonts w:hint="eastAsia"/>
                <w:highlight w:val="none"/>
                <w:lang w:val="en-US" w:eastAsia="zh-CN"/>
              </w:rPr>
              <w:t>废气（</w:t>
            </w:r>
            <w:r>
              <w:rPr>
                <w:rFonts w:hint="default" w:ascii="Times New Roman" w:hAnsi="Times New Roman" w:cs="Times New Roman"/>
                <w:color w:val="auto"/>
                <w:spacing w:val="0"/>
                <w:w w:val="100"/>
                <w:position w:val="0"/>
                <w:sz w:val="24"/>
              </w:rPr>
              <w:t>氨、硫化氢及</w:t>
            </w:r>
            <w:r>
              <w:rPr>
                <w:rFonts w:hint="eastAsia" w:ascii="Times New Roman" w:hAnsi="Times New Roman" w:cs="Times New Roman"/>
                <w:color w:val="auto"/>
                <w:spacing w:val="0"/>
                <w:w w:val="100"/>
                <w:position w:val="0"/>
                <w:sz w:val="24"/>
                <w:lang w:val="en-US" w:eastAsia="zh-CN"/>
              </w:rPr>
              <w:t>臭气浓度）</w:t>
            </w:r>
            <w:r>
              <w:rPr>
                <w:rFonts w:hint="eastAsia"/>
                <w:highlight w:val="none"/>
                <w:lang w:val="en-US" w:eastAsia="zh-CN"/>
              </w:rPr>
              <w:t>无组织排放浓度满足</w:t>
            </w:r>
            <w:r>
              <w:rPr>
                <w:rFonts w:hint="eastAsia"/>
              </w:rPr>
              <w:t>《恶臭污染物排放标准》</w:t>
            </w:r>
            <w:r>
              <w:rPr>
                <w:rFonts w:hint="eastAsia"/>
                <w:lang w:eastAsia="zh-CN"/>
              </w:rPr>
              <w:t>（</w:t>
            </w:r>
            <w:r>
              <w:rPr>
                <w:rFonts w:hint="eastAsia"/>
              </w:rPr>
              <w:t>GB14554-93</w:t>
            </w:r>
            <w:r>
              <w:rPr>
                <w:rFonts w:hint="eastAsia"/>
                <w:lang w:eastAsia="zh-CN"/>
              </w:rPr>
              <w:t>）</w:t>
            </w:r>
            <w:r>
              <w:rPr>
                <w:rFonts w:hint="eastAsia"/>
              </w:rPr>
              <w:t>表</w:t>
            </w:r>
            <w:r>
              <w:rPr>
                <w:rFonts w:hint="eastAsia"/>
                <w:lang w:val="en-US" w:eastAsia="zh-CN"/>
              </w:rPr>
              <w:t>1中二级新建项目排放限值；</w:t>
            </w:r>
          </w:p>
          <w:p>
            <w:pPr>
              <w:pStyle w:val="7"/>
              <w:numPr>
                <w:ilvl w:val="1"/>
                <w:numId w:val="14"/>
              </w:numPr>
              <w:jc w:val="both"/>
              <w:outlineLvl w:val="2"/>
              <w:rPr>
                <w:rFonts w:hint="eastAsia"/>
                <w:lang w:val="en-US" w:eastAsia="zh-CN"/>
              </w:rPr>
            </w:pPr>
            <w:r>
              <w:rPr>
                <w:rFonts w:hint="eastAsia"/>
              </w:rPr>
              <w:t>废气治理设施的可行性分析</w:t>
            </w:r>
          </w:p>
          <w:p>
            <w:pPr>
              <w:pStyle w:val="22"/>
              <w:ind w:firstLine="480"/>
              <w:jc w:val="both"/>
              <w:rPr>
                <w:rFonts w:hint="default"/>
                <w:lang w:val="en-US" w:eastAsia="zh-CN"/>
              </w:rPr>
            </w:pPr>
            <w:r>
              <w:rPr>
                <w:rFonts w:hint="eastAsia"/>
                <w:lang w:val="en-US" w:eastAsia="zh-CN"/>
              </w:rPr>
              <w:t>（1）锅炉废气</w:t>
            </w:r>
            <w:r>
              <w:rPr>
                <w:rFonts w:hint="eastAsia"/>
              </w:rPr>
              <w:t>治理设施</w:t>
            </w:r>
          </w:p>
          <w:p>
            <w:pPr>
              <w:pStyle w:val="22"/>
              <w:ind w:firstLine="480"/>
              <w:jc w:val="both"/>
            </w:pPr>
            <w:r>
              <w:rPr>
                <w:rFonts w:hint="eastAsia"/>
                <w:lang w:val="en-US" w:eastAsia="zh-CN"/>
              </w:rPr>
              <w:t>根据《</w:t>
            </w:r>
            <w:r>
              <w:rPr>
                <w:rFonts w:hint="eastAsia"/>
                <w:lang w:val="en-US" w:eastAsia="zh-CN"/>
              </w:rPr>
              <w:fldChar w:fldCharType="begin"/>
            </w:r>
            <w:r>
              <w:rPr>
                <w:rFonts w:hint="eastAsia"/>
                <w:lang w:val="en-US" w:eastAsia="zh-CN"/>
              </w:rPr>
              <w:instrText xml:space="preserve"> HYPERLINK "https://www.eiacloud.com/hpyzs/lawsRegulations/searchDetail?modelName=%E6%8E%92%E6%B1%A1%E5%90%8D%E5%BD%95&amp;id=413a5d79a23c418eb2b5db026697b684" \t "https://www.eiacloud.com/hpyzs/category/_blank" </w:instrText>
            </w:r>
            <w:r>
              <w:rPr>
                <w:rFonts w:hint="eastAsia"/>
                <w:lang w:val="en-US" w:eastAsia="zh-CN"/>
              </w:rPr>
              <w:fldChar w:fldCharType="separate"/>
            </w:r>
            <w:r>
              <w:rPr>
                <w:rFonts w:hint="eastAsia"/>
                <w:lang w:val="en-US" w:eastAsia="zh-CN"/>
              </w:rPr>
              <w:t>排污许可证申请与核发技术规范 锅炉》（HJ953-2018</w:t>
            </w:r>
            <w:r>
              <w:rPr>
                <w:rFonts w:hint="eastAsia"/>
                <w:lang w:val="en-US" w:eastAsia="zh-CN"/>
              </w:rPr>
              <w:fldChar w:fldCharType="end"/>
            </w:r>
            <w:r>
              <w:rPr>
                <w:rFonts w:hint="eastAsia"/>
                <w:lang w:val="en-US" w:eastAsia="zh-CN"/>
              </w:rPr>
              <w:t>）中推荐的污染防治设施，</w:t>
            </w:r>
            <w:r>
              <w:t>本项目</w:t>
            </w:r>
            <w:r>
              <w:rPr>
                <w:rFonts w:hint="eastAsia"/>
                <w:lang w:val="en-US" w:eastAsia="zh-CN"/>
              </w:rPr>
              <w:t>燃气锅炉</w:t>
            </w:r>
            <w:r>
              <w:t>采用</w:t>
            </w:r>
            <w:r>
              <w:rPr>
                <w:rFonts w:hint="default" w:ascii="Times New Roman" w:hAnsi="Times New Roman" w:cs="Times New Roman"/>
                <w:color w:val="auto"/>
                <w:kern w:val="0"/>
                <w:sz w:val="24"/>
                <w:szCs w:val="24"/>
                <w:vertAlign w:val="baseline"/>
                <w:lang w:val="en-US" w:eastAsia="zh-CN" w:bidi="ar"/>
              </w:rPr>
              <w:t>低氮燃烧+烟气再循环</w:t>
            </w:r>
            <w:r>
              <w:t>，</w:t>
            </w:r>
            <w:r>
              <w:rPr>
                <w:rFonts w:hint="eastAsia"/>
                <w:lang w:val="en-US" w:eastAsia="zh-CN"/>
              </w:rPr>
              <w:t>属于《</w:t>
            </w:r>
            <w:r>
              <w:rPr>
                <w:rFonts w:hint="eastAsia"/>
                <w:lang w:val="en-US" w:eastAsia="zh-CN"/>
              </w:rPr>
              <w:fldChar w:fldCharType="begin"/>
            </w:r>
            <w:r>
              <w:rPr>
                <w:rFonts w:hint="eastAsia"/>
                <w:lang w:val="en-US" w:eastAsia="zh-CN"/>
              </w:rPr>
              <w:instrText xml:space="preserve"> HYPERLINK "https://www.eiacloud.com/hpyzs/lawsRegulations/searchDetail?modelName=%E6%8E%92%E6%B1%A1%E5%90%8D%E5%BD%95&amp;id=413a5d79a23c418eb2b5db026697b684" \t "https://www.eiacloud.com/hpyzs/category/_blank" </w:instrText>
            </w:r>
            <w:r>
              <w:rPr>
                <w:rFonts w:hint="eastAsia"/>
                <w:lang w:val="en-US" w:eastAsia="zh-CN"/>
              </w:rPr>
              <w:fldChar w:fldCharType="separate"/>
            </w:r>
            <w:r>
              <w:rPr>
                <w:rFonts w:hint="eastAsia"/>
                <w:lang w:val="en-US" w:eastAsia="zh-CN"/>
              </w:rPr>
              <w:t>排污许可证申请与核发技术规范 锅炉》（HJ953-2018</w:t>
            </w:r>
            <w:r>
              <w:rPr>
                <w:rFonts w:hint="eastAsia"/>
                <w:lang w:val="en-US" w:eastAsia="zh-CN"/>
              </w:rPr>
              <w:fldChar w:fldCharType="end"/>
            </w:r>
            <w:r>
              <w:rPr>
                <w:rFonts w:hint="eastAsia"/>
                <w:lang w:val="en-US" w:eastAsia="zh-CN"/>
              </w:rPr>
              <w:t>）中推荐的可行技术，</w:t>
            </w:r>
            <w:r>
              <w:t>可有效减少NOx的排放，烟气经上述处理措施处理后，通过1根</w:t>
            </w:r>
            <w:r>
              <w:rPr>
                <w:rFonts w:hint="eastAsia"/>
                <w:lang w:val="en-US" w:eastAsia="zh-CN"/>
              </w:rPr>
              <w:t>8</w:t>
            </w:r>
            <w:r>
              <w:t>m高排气筒排放，燃气</w:t>
            </w:r>
            <w:r>
              <w:rPr>
                <w:rFonts w:hint="eastAsia"/>
                <w:lang w:val="en-US" w:eastAsia="zh-CN"/>
              </w:rPr>
              <w:t>锅炉</w:t>
            </w:r>
            <w:r>
              <w:t>排放的颗粒物、SO</w:t>
            </w:r>
            <w:r>
              <w:rPr>
                <w:vertAlign w:val="subscript"/>
              </w:rPr>
              <w:t>2</w:t>
            </w:r>
            <w:r>
              <w:t>满足《锅炉大气污染物排放标准》（GB13271-2014）表3中燃气锅炉大气污染物特别排放限值（颗粒物≤20mg/m</w:t>
            </w:r>
            <w:r>
              <w:rPr>
                <w:vertAlign w:val="superscript"/>
              </w:rPr>
              <w:t>3</w:t>
            </w:r>
            <w:r>
              <w:t>、SO</w:t>
            </w:r>
            <w:r>
              <w:rPr>
                <w:vertAlign w:val="subscript"/>
              </w:rPr>
              <w:t>2</w:t>
            </w:r>
            <w:r>
              <w:t>≤50mg/m</w:t>
            </w:r>
            <w:r>
              <w:rPr>
                <w:vertAlign w:val="superscript"/>
              </w:rPr>
              <w:t>3</w:t>
            </w:r>
            <w:r>
              <w:t>）、NOx满足《关于开展自治区</w:t>
            </w:r>
            <w:r>
              <w:rPr>
                <w:rFonts w:hint="eastAsia"/>
              </w:rPr>
              <w:t>2022年度夏秋季大气污染防治“冬病夏治”工作的通知》（新环大气函〔2022〕483号）</w:t>
            </w:r>
            <w:r>
              <w:t>氮氧化物排放浓度</w:t>
            </w:r>
            <w:r>
              <w:rPr>
                <w:rFonts w:hint="eastAsia"/>
              </w:rPr>
              <w:t>5</w:t>
            </w:r>
            <w:r>
              <w:t>0mg/m</w:t>
            </w:r>
            <w:r>
              <w:rPr>
                <w:vertAlign w:val="superscript"/>
              </w:rPr>
              <w:t>3</w:t>
            </w:r>
            <w:r>
              <w:t>”的要求。</w:t>
            </w:r>
            <w:r>
              <w:rPr>
                <w:rFonts w:hint="eastAsia"/>
                <w:color w:val="auto"/>
                <w:szCs w:val="21"/>
                <w:lang w:val="en-US" w:eastAsia="zh-CN"/>
              </w:rPr>
              <w:t>烟囱高度符合</w:t>
            </w:r>
            <w:r>
              <w:rPr>
                <w:rFonts w:ascii="Times New Roman" w:hAnsi="Times New Roman"/>
                <w:color w:val="auto"/>
                <w:szCs w:val="21"/>
              </w:rPr>
              <w:t>《锅炉大气污染物排放标准》（GB13271-2014）规定</w:t>
            </w:r>
            <w:r>
              <w:rPr>
                <w:rFonts w:hint="eastAsia" w:ascii="Times New Roman" w:hAnsi="Times New Roman"/>
                <w:color w:val="auto"/>
                <w:szCs w:val="21"/>
                <w:lang w:val="en-US" w:eastAsia="zh-CN"/>
              </w:rPr>
              <w:t>设置</w:t>
            </w:r>
            <w:r>
              <w:rPr>
                <w:rFonts w:ascii="Times New Roman" w:hAnsi="Times New Roman"/>
                <w:color w:val="auto"/>
                <w:szCs w:val="21"/>
              </w:rPr>
              <w:t>的高度。</w:t>
            </w:r>
          </w:p>
          <w:p>
            <w:pPr>
              <w:pStyle w:val="22"/>
              <w:ind w:firstLine="480"/>
              <w:jc w:val="both"/>
            </w:pPr>
            <w:r>
              <w:t>因此，项目运营期</w:t>
            </w:r>
            <w:r>
              <w:rPr>
                <w:rFonts w:hint="eastAsia"/>
                <w:lang w:val="en-US" w:eastAsia="zh-CN"/>
              </w:rPr>
              <w:t>燃气锅炉的废气处理设施是可行的</w:t>
            </w:r>
            <w:r>
              <w:t>。</w:t>
            </w:r>
          </w:p>
          <w:p>
            <w:pPr>
              <w:pStyle w:val="22"/>
              <w:bidi w:val="0"/>
              <w:jc w:val="both"/>
              <w:rPr>
                <w:rFonts w:hint="eastAsia"/>
                <w:lang w:val="en-US" w:eastAsia="zh-CN"/>
              </w:rPr>
            </w:pPr>
            <w:r>
              <w:rPr>
                <w:rFonts w:hint="eastAsia"/>
                <w:lang w:eastAsia="zh-CN"/>
              </w:rPr>
              <w:t>（</w:t>
            </w:r>
            <w:r>
              <w:rPr>
                <w:rFonts w:hint="eastAsia"/>
                <w:lang w:val="en-US" w:eastAsia="zh-CN"/>
              </w:rPr>
              <w:t>2）</w:t>
            </w:r>
            <w:r>
              <w:rPr>
                <w:rFonts w:hint="default"/>
                <w:lang w:val="en-US" w:eastAsia="zh-CN"/>
              </w:rPr>
              <w:t>污水处理站</w:t>
            </w:r>
            <w:r>
              <w:rPr>
                <w:rFonts w:hint="eastAsia"/>
                <w:lang w:val="en-US" w:eastAsia="zh-CN"/>
              </w:rPr>
              <w:t>废气</w:t>
            </w:r>
            <w:r>
              <w:rPr>
                <w:rFonts w:hint="eastAsia"/>
              </w:rPr>
              <w:t>治理设施</w:t>
            </w:r>
          </w:p>
          <w:p>
            <w:pPr>
              <w:pStyle w:val="22"/>
              <w:bidi w:val="0"/>
              <w:jc w:val="both"/>
              <w:rPr>
                <w:rFonts w:hint="default"/>
                <w:lang w:val="en-US" w:eastAsia="zh-CN"/>
              </w:rPr>
            </w:pPr>
            <w:r>
              <w:rPr>
                <w:rFonts w:hint="eastAsia"/>
                <w:lang w:val="en-US" w:eastAsia="zh-CN"/>
              </w:rPr>
              <w:t>本项目</w:t>
            </w:r>
            <w:r>
              <w:rPr>
                <w:rFonts w:hint="default"/>
                <w:lang w:val="en-US" w:eastAsia="zh-CN"/>
              </w:rPr>
              <w:t>污水处理站</w:t>
            </w:r>
            <w:r>
              <w:rPr>
                <w:rFonts w:hint="eastAsia"/>
                <w:lang w:val="en-US" w:eastAsia="zh-CN"/>
              </w:rPr>
              <w:t>产生的无组织恶臭及臭气浓度</w:t>
            </w:r>
            <w:r>
              <w:rPr>
                <w:rFonts w:hint="default"/>
                <w:lang w:val="en-US" w:eastAsia="zh-CN"/>
              </w:rPr>
              <w:t>采取加盖板密闭措施，</w:t>
            </w:r>
            <w:r>
              <w:rPr>
                <w:rFonts w:hint="eastAsia"/>
              </w:rPr>
              <w:t>加之厂区周边种植有绿化带，项目污水处理站产生的恶臭对周边大气环境产生影响较小。</w:t>
            </w:r>
            <w:r>
              <w:t>本项目采取的废气治理措施能满足</w:t>
            </w:r>
            <w:r>
              <w:rPr>
                <w:rFonts w:ascii="Times New Roman" w:hAnsi="Times New Roman" w:eastAsia="宋体" w:cs="Times New Roman"/>
                <w:kern w:val="0"/>
                <w:sz w:val="24"/>
                <w:szCs w:val="20"/>
                <w:highlight w:val="none"/>
                <w:lang w:val="en-US" w:eastAsia="zh-CN" w:bidi="ar-SA"/>
              </w:rPr>
              <w:t>《排污单位自行监测技术指南</w:t>
            </w:r>
            <w:r>
              <w:rPr>
                <w:rFonts w:hint="eastAsia" w:ascii="Times New Roman" w:hAnsi="Times New Roman" w:eastAsia="宋体" w:cs="Times New Roman"/>
                <w:kern w:val="0"/>
                <w:sz w:val="24"/>
                <w:szCs w:val="20"/>
                <w:highlight w:val="none"/>
                <w:lang w:val="en-US" w:eastAsia="zh-CN" w:bidi="ar-SA"/>
              </w:rPr>
              <w:t xml:space="preserve"> </w:t>
            </w:r>
            <w:r>
              <w:rPr>
                <w:rFonts w:ascii="Times New Roman" w:hAnsi="Times New Roman" w:eastAsia="宋体" w:cs="Times New Roman"/>
                <w:kern w:val="0"/>
                <w:sz w:val="24"/>
                <w:szCs w:val="20"/>
                <w:highlight w:val="none"/>
                <w:lang w:val="en-US" w:eastAsia="zh-CN" w:bidi="ar-SA"/>
              </w:rPr>
              <w:t>总则》（HJ 819-2017）</w:t>
            </w:r>
            <w:r>
              <w:rPr>
                <w:rFonts w:hint="eastAsia" w:ascii="Times New Roman" w:hAnsi="Times New Roman" w:eastAsia="宋体" w:cs="Times New Roman"/>
                <w:kern w:val="0"/>
                <w:sz w:val="24"/>
                <w:szCs w:val="20"/>
                <w:highlight w:val="none"/>
                <w:lang w:val="en-US" w:eastAsia="zh-CN" w:bidi="ar-SA"/>
              </w:rPr>
              <w:t>和《排污许可证申请与核发技术规范 水处理通用工序》（HJ1120-2020）</w:t>
            </w:r>
            <w:r>
              <w:t>中的相关控制要求，处理措施可行。</w:t>
            </w:r>
          </w:p>
          <w:p>
            <w:pPr>
              <w:pStyle w:val="7"/>
              <w:jc w:val="both"/>
              <w:outlineLvl w:val="2"/>
            </w:pPr>
            <w:r>
              <w:rPr>
                <w:rFonts w:hint="eastAsia"/>
              </w:rPr>
              <w:t xml:space="preserve">2.3 </w:t>
            </w:r>
            <w:r>
              <w:t>非正常工况</w:t>
            </w:r>
          </w:p>
          <w:p>
            <w:pPr>
              <w:pStyle w:val="22"/>
              <w:ind w:firstLine="480"/>
              <w:jc w:val="both"/>
            </w:pPr>
            <w:r>
              <w:t>项目非正常工况为</w:t>
            </w:r>
            <w:r>
              <w:rPr>
                <w:rFonts w:hint="eastAsia"/>
                <w:lang w:val="en-US" w:eastAsia="zh-CN"/>
              </w:rPr>
              <w:t>燃气锅炉环保设施</w:t>
            </w:r>
            <w:r>
              <w:t>等</w:t>
            </w:r>
            <w:r>
              <w:rPr>
                <w:rFonts w:hint="eastAsia"/>
                <w:lang w:val="en-US" w:eastAsia="zh-CN"/>
              </w:rPr>
              <w:t>故障</w:t>
            </w:r>
            <w:r>
              <w:t>，导致NOx排放浓度出现超标，当发现设备故障后，对</w:t>
            </w:r>
            <w:r>
              <w:rPr>
                <w:rFonts w:hint="eastAsia"/>
                <w:lang w:val="en-US" w:eastAsia="zh-CN"/>
              </w:rPr>
              <w:t>2t/h</w:t>
            </w:r>
            <w:r>
              <w:t>的</w:t>
            </w:r>
            <w:r>
              <w:rPr>
                <w:rFonts w:hint="eastAsia"/>
                <w:lang w:val="en-US" w:eastAsia="zh-CN"/>
              </w:rPr>
              <w:t>燃气锅炉</w:t>
            </w:r>
            <w:r>
              <w:t>废气处理设施</w:t>
            </w:r>
            <w:r>
              <w:rPr>
                <w:rFonts w:hint="eastAsia"/>
              </w:rPr>
              <w:t>及时停机</w:t>
            </w:r>
            <w:r>
              <w:t>进行检修，不会对周围环境造成较大影响。</w:t>
            </w:r>
          </w:p>
          <w:p>
            <w:pPr>
              <w:pStyle w:val="32"/>
              <w:rPr>
                <w:rFonts w:cs="Times New Roman"/>
                <w:bCs/>
              </w:rPr>
            </w:pPr>
            <w:r>
              <w:rPr>
                <w:rFonts w:cs="Times New Roman"/>
                <w:bCs/>
              </w:rPr>
              <w:t>表</w:t>
            </w:r>
            <w:r>
              <w:rPr>
                <w:rFonts w:hint="eastAsia" w:cs="Times New Roman"/>
                <w:bCs/>
              </w:rPr>
              <w:t>4-</w:t>
            </w:r>
            <w:r>
              <w:rPr>
                <w:rFonts w:hint="eastAsia" w:cs="Times New Roman"/>
                <w:bCs/>
                <w:lang w:val="en-US" w:eastAsia="zh-CN"/>
              </w:rPr>
              <w:t>8</w:t>
            </w:r>
            <w:r>
              <w:rPr>
                <w:rFonts w:cs="Times New Roman"/>
                <w:bCs/>
              </w:rPr>
              <w:t xml:space="preserve">    非正常工况废气污染物产生及排放情况</w:t>
            </w:r>
          </w:p>
          <w:tbl>
            <w:tblPr>
              <w:tblStyle w:val="26"/>
              <w:tblW w:w="4989"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71"/>
              <w:gridCol w:w="946"/>
              <w:gridCol w:w="973"/>
              <w:gridCol w:w="1149"/>
              <w:gridCol w:w="779"/>
              <w:gridCol w:w="1312"/>
              <w:gridCol w:w="13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73" w:type="pct"/>
                  <w:tcBorders>
                    <w:bottom w:val="single" w:color="auto" w:sz="12" w:space="0"/>
                  </w:tcBorders>
                  <w:vAlign w:val="center"/>
                </w:tcPr>
                <w:p>
                  <w:pPr>
                    <w:pStyle w:val="33"/>
                    <w:rPr>
                      <w:b/>
                      <w:bCs/>
                      <w:lang w:eastAsia="zh-CN"/>
                    </w:rPr>
                  </w:pPr>
                  <w:r>
                    <w:rPr>
                      <w:b/>
                      <w:bCs/>
                      <w:lang w:eastAsia="zh-CN"/>
                    </w:rPr>
                    <w:t>排放源</w:t>
                  </w:r>
                </w:p>
              </w:tc>
              <w:tc>
                <w:tcPr>
                  <w:tcW w:w="602" w:type="pct"/>
                  <w:tcBorders>
                    <w:bottom w:val="single" w:color="auto" w:sz="12" w:space="0"/>
                  </w:tcBorders>
                  <w:vAlign w:val="center"/>
                </w:tcPr>
                <w:p>
                  <w:pPr>
                    <w:pStyle w:val="33"/>
                    <w:rPr>
                      <w:b/>
                      <w:bCs/>
                    </w:rPr>
                  </w:pPr>
                  <w:r>
                    <w:rPr>
                      <w:b/>
                      <w:bCs/>
                    </w:rPr>
                    <w:t>污染物</w:t>
                  </w:r>
                </w:p>
              </w:tc>
              <w:tc>
                <w:tcPr>
                  <w:tcW w:w="619" w:type="pct"/>
                  <w:tcBorders>
                    <w:bottom w:val="single" w:color="auto" w:sz="12" w:space="0"/>
                  </w:tcBorders>
                  <w:vAlign w:val="center"/>
                </w:tcPr>
                <w:p>
                  <w:pPr>
                    <w:pStyle w:val="33"/>
                    <w:rPr>
                      <w:b/>
                      <w:bCs/>
                      <w:color w:val="auto"/>
                    </w:rPr>
                  </w:pPr>
                  <w:r>
                    <w:rPr>
                      <w:b/>
                      <w:bCs/>
                      <w:color w:val="auto"/>
                    </w:rPr>
                    <w:t>排放量</w:t>
                  </w:r>
                  <w:r>
                    <w:rPr>
                      <w:b/>
                      <w:bCs/>
                      <w:color w:val="auto"/>
                      <w:lang w:val="en-US" w:eastAsia="zh-CN"/>
                    </w:rPr>
                    <w:t>kg/h</w:t>
                  </w:r>
                </w:p>
              </w:tc>
              <w:tc>
                <w:tcPr>
                  <w:tcW w:w="731" w:type="pct"/>
                  <w:tcBorders>
                    <w:bottom w:val="single" w:color="auto" w:sz="12" w:space="0"/>
                  </w:tcBorders>
                  <w:vAlign w:val="center"/>
                </w:tcPr>
                <w:p>
                  <w:pPr>
                    <w:pStyle w:val="33"/>
                    <w:rPr>
                      <w:b/>
                      <w:bCs/>
                      <w:color w:val="auto"/>
                      <w:lang w:eastAsia="zh-CN"/>
                    </w:rPr>
                  </w:pPr>
                  <w:r>
                    <w:rPr>
                      <w:b/>
                      <w:bCs/>
                      <w:color w:val="auto"/>
                    </w:rPr>
                    <w:t>排放浓度mg/</w:t>
                  </w:r>
                  <w:r>
                    <w:rPr>
                      <w:rFonts w:hint="eastAsia"/>
                      <w:b/>
                      <w:bCs/>
                      <w:color w:val="auto"/>
                      <w:lang w:eastAsia="zh-CN"/>
                    </w:rPr>
                    <w:t>m³</w:t>
                  </w:r>
                </w:p>
              </w:tc>
              <w:tc>
                <w:tcPr>
                  <w:tcW w:w="496" w:type="pct"/>
                  <w:tcBorders>
                    <w:bottom w:val="single" w:color="auto" w:sz="12" w:space="0"/>
                  </w:tcBorders>
                  <w:vAlign w:val="center"/>
                </w:tcPr>
                <w:p>
                  <w:pPr>
                    <w:pStyle w:val="33"/>
                    <w:rPr>
                      <w:b/>
                      <w:bCs/>
                      <w:lang w:eastAsia="zh-CN"/>
                    </w:rPr>
                  </w:pPr>
                  <w:r>
                    <w:rPr>
                      <w:b/>
                      <w:bCs/>
                      <w:lang w:eastAsia="zh-CN"/>
                    </w:rPr>
                    <w:t>持续时间</w:t>
                  </w:r>
                </w:p>
              </w:tc>
              <w:tc>
                <w:tcPr>
                  <w:tcW w:w="835" w:type="pct"/>
                  <w:tcBorders>
                    <w:bottom w:val="single" w:color="auto" w:sz="12" w:space="0"/>
                  </w:tcBorders>
                  <w:vAlign w:val="center"/>
                </w:tcPr>
                <w:p>
                  <w:pPr>
                    <w:pStyle w:val="33"/>
                    <w:rPr>
                      <w:b/>
                      <w:bCs/>
                      <w:lang w:eastAsia="zh-CN"/>
                    </w:rPr>
                  </w:pPr>
                  <w:r>
                    <w:rPr>
                      <w:b/>
                      <w:bCs/>
                      <w:lang w:eastAsia="zh-CN"/>
                    </w:rPr>
                    <w:t>非正常工况</w:t>
                  </w:r>
                </w:p>
              </w:tc>
              <w:tc>
                <w:tcPr>
                  <w:tcW w:w="841" w:type="pct"/>
                  <w:tcBorders>
                    <w:bottom w:val="single" w:color="auto" w:sz="12" w:space="0"/>
                  </w:tcBorders>
                  <w:vAlign w:val="center"/>
                </w:tcPr>
                <w:p>
                  <w:pPr>
                    <w:pStyle w:val="33"/>
                    <w:rPr>
                      <w:b/>
                      <w:bCs/>
                      <w:lang w:val="en-US" w:eastAsia="zh-CN"/>
                    </w:rPr>
                  </w:pPr>
                  <w:r>
                    <w:rPr>
                      <w:b/>
                      <w:bCs/>
                      <w:lang w:val="en-US" w:eastAsia="zh-CN"/>
                    </w:rPr>
                    <w:t>应对措施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873" w:type="pct"/>
                  <w:vMerge w:val="restart"/>
                  <w:tcBorders>
                    <w:top w:val="single" w:color="auto" w:sz="12" w:space="0"/>
                    <w:tl2br w:val="nil"/>
                    <w:tr2bl w:val="nil"/>
                  </w:tcBorders>
                  <w:vAlign w:val="center"/>
                </w:tcPr>
                <w:p>
                  <w:pPr>
                    <w:pStyle w:val="33"/>
                    <w:rPr>
                      <w:rFonts w:hint="default"/>
                      <w:lang w:val="en-US" w:eastAsia="zh-CN"/>
                    </w:rPr>
                  </w:pPr>
                  <w:r>
                    <w:rPr>
                      <w:rFonts w:hint="eastAsia"/>
                      <w:lang w:val="en-US" w:eastAsia="zh-CN"/>
                    </w:rPr>
                    <w:t>燃气锅炉</w:t>
                  </w:r>
                </w:p>
              </w:tc>
              <w:tc>
                <w:tcPr>
                  <w:tcW w:w="602" w:type="pct"/>
                  <w:tcBorders>
                    <w:top w:val="single" w:color="auto" w:sz="12" w:space="0"/>
                    <w:tl2br w:val="nil"/>
                    <w:tr2bl w:val="nil"/>
                  </w:tcBorders>
                  <w:vAlign w:val="center"/>
                </w:tcPr>
                <w:p>
                  <w:pPr>
                    <w:pStyle w:val="33"/>
                    <w:rPr>
                      <w:lang w:val="en-US" w:eastAsia="zh-CN"/>
                    </w:rPr>
                  </w:pPr>
                  <w:r>
                    <w:rPr>
                      <w:lang w:eastAsia="zh-CN"/>
                    </w:rPr>
                    <w:t>颗粒物</w:t>
                  </w:r>
                </w:p>
              </w:tc>
              <w:tc>
                <w:tcPr>
                  <w:tcW w:w="619" w:type="pct"/>
                  <w:tcBorders>
                    <w:top w:val="single" w:color="auto" w:sz="12" w:space="0"/>
                    <w:tl2br w:val="nil"/>
                    <w:tr2bl w:val="nil"/>
                  </w:tcBorders>
                  <w:vAlign w:val="center"/>
                </w:tcPr>
                <w:p>
                  <w:pPr>
                    <w:pStyle w:val="33"/>
                    <w:rPr>
                      <w:rFonts w:hint="default"/>
                      <w:lang w:val="en-US" w:eastAsia="zh-CN"/>
                    </w:rPr>
                  </w:pPr>
                  <w:r>
                    <w:rPr>
                      <w:rFonts w:hint="eastAsia"/>
                      <w:color w:val="auto"/>
                    </w:rPr>
                    <w:t>0</w:t>
                  </w:r>
                  <w:r>
                    <w:rPr>
                      <w:color w:val="auto"/>
                    </w:rPr>
                    <w:t>.</w:t>
                  </w:r>
                  <w:r>
                    <w:rPr>
                      <w:rFonts w:hint="eastAsia"/>
                      <w:color w:val="auto"/>
                      <w:lang w:val="en-US" w:eastAsia="zh-CN"/>
                    </w:rPr>
                    <w:t>07</w:t>
                  </w:r>
                </w:p>
              </w:tc>
              <w:tc>
                <w:tcPr>
                  <w:tcW w:w="731" w:type="pct"/>
                  <w:tcBorders>
                    <w:top w:val="single" w:color="auto" w:sz="12" w:space="0"/>
                    <w:tl2br w:val="nil"/>
                    <w:tr2bl w:val="nil"/>
                  </w:tcBorders>
                  <w:vAlign w:val="center"/>
                </w:tcPr>
                <w:p>
                  <w:pPr>
                    <w:pStyle w:val="33"/>
                    <w:rPr>
                      <w:rFonts w:hint="default" w:ascii="Times New Roman" w:hAnsi="Times New Roman" w:eastAsia="宋体" w:cs="Times New Roman"/>
                      <w:kern w:val="2"/>
                      <w:sz w:val="21"/>
                      <w:szCs w:val="24"/>
                      <w:lang w:val="en-US" w:eastAsia="zh-CN" w:bidi="ar-SA"/>
                    </w:rPr>
                  </w:pPr>
                  <w:r>
                    <w:rPr>
                      <w:rFonts w:hint="eastAsia"/>
                      <w:color w:val="auto"/>
                      <w:lang w:val="en-US" w:eastAsia="zh-CN"/>
                    </w:rPr>
                    <w:t>14.34</w:t>
                  </w:r>
                </w:p>
              </w:tc>
              <w:tc>
                <w:tcPr>
                  <w:tcW w:w="496" w:type="pct"/>
                  <w:vMerge w:val="restart"/>
                  <w:tcBorders>
                    <w:top w:val="single" w:color="auto" w:sz="12" w:space="0"/>
                    <w:tl2br w:val="nil"/>
                    <w:tr2bl w:val="nil"/>
                  </w:tcBorders>
                  <w:vAlign w:val="center"/>
                </w:tcPr>
                <w:p>
                  <w:pPr>
                    <w:pStyle w:val="33"/>
                    <w:rPr>
                      <w:lang w:val="en-US" w:eastAsia="zh-CN"/>
                    </w:rPr>
                  </w:pPr>
                  <w:r>
                    <w:rPr>
                      <w:lang w:val="en-US" w:eastAsia="zh-CN"/>
                    </w:rPr>
                    <w:t>1h</w:t>
                  </w:r>
                </w:p>
              </w:tc>
              <w:tc>
                <w:tcPr>
                  <w:tcW w:w="835" w:type="pct"/>
                  <w:vMerge w:val="restart"/>
                  <w:tcBorders>
                    <w:top w:val="single" w:color="auto" w:sz="12" w:space="0"/>
                    <w:tl2br w:val="nil"/>
                    <w:tr2bl w:val="nil"/>
                  </w:tcBorders>
                  <w:vAlign w:val="center"/>
                </w:tcPr>
                <w:p>
                  <w:pPr>
                    <w:pStyle w:val="33"/>
                    <w:rPr>
                      <w:rFonts w:hint="default"/>
                      <w:lang w:val="en-US" w:eastAsia="zh-CN"/>
                    </w:rPr>
                  </w:pPr>
                  <w:r>
                    <w:rPr>
                      <w:rFonts w:hint="default"/>
                      <w:lang w:val="en-US" w:eastAsia="zh-CN"/>
                    </w:rPr>
                    <w:t>低氮燃烧+烟气再循环</w:t>
                  </w:r>
                  <w:r>
                    <w:rPr>
                      <w:rFonts w:hint="eastAsia"/>
                      <w:lang w:val="en-US" w:eastAsia="zh-CN"/>
                    </w:rPr>
                    <w:t>故障</w:t>
                  </w:r>
                </w:p>
              </w:tc>
              <w:tc>
                <w:tcPr>
                  <w:tcW w:w="841" w:type="pct"/>
                  <w:vMerge w:val="restart"/>
                  <w:tcBorders>
                    <w:top w:val="single" w:color="auto" w:sz="12" w:space="0"/>
                    <w:tl2br w:val="nil"/>
                    <w:tr2bl w:val="nil"/>
                  </w:tcBorders>
                  <w:vAlign w:val="center"/>
                </w:tcPr>
                <w:p>
                  <w:pPr>
                    <w:pStyle w:val="33"/>
                    <w:rPr>
                      <w:lang w:val="en-US" w:eastAsia="zh-CN"/>
                    </w:rPr>
                  </w:pPr>
                  <w:r>
                    <w:rPr>
                      <w:lang w:val="en-US" w:eastAsia="zh-CN"/>
                    </w:rPr>
                    <w:t>日常维护、及时检修、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73" w:type="pct"/>
                  <w:vMerge w:val="continue"/>
                  <w:tcBorders>
                    <w:tl2br w:val="nil"/>
                    <w:tr2bl w:val="nil"/>
                  </w:tcBorders>
                  <w:vAlign w:val="center"/>
                </w:tcPr>
                <w:p>
                  <w:pPr>
                    <w:pStyle w:val="33"/>
                    <w:rPr>
                      <w:color w:val="FF0000"/>
                      <w:lang w:eastAsia="zh-CN"/>
                    </w:rPr>
                  </w:pPr>
                </w:p>
              </w:tc>
              <w:tc>
                <w:tcPr>
                  <w:tcW w:w="602" w:type="pct"/>
                  <w:tcBorders>
                    <w:tl2br w:val="nil"/>
                    <w:tr2bl w:val="nil"/>
                  </w:tcBorders>
                  <w:vAlign w:val="center"/>
                </w:tcPr>
                <w:p>
                  <w:pPr>
                    <w:pStyle w:val="33"/>
                    <w:rPr>
                      <w:lang w:val="en-US" w:eastAsia="zh-CN"/>
                    </w:rPr>
                  </w:pPr>
                  <w:r>
                    <w:rPr>
                      <w:lang w:val="en-US" w:eastAsia="zh-CN"/>
                    </w:rPr>
                    <w:t>SO</w:t>
                  </w:r>
                  <w:r>
                    <w:rPr>
                      <w:vertAlign w:val="subscript"/>
                      <w:lang w:val="en-US" w:eastAsia="zh-CN"/>
                    </w:rPr>
                    <w:t>2</w:t>
                  </w:r>
                </w:p>
              </w:tc>
              <w:tc>
                <w:tcPr>
                  <w:tcW w:w="619" w:type="pct"/>
                  <w:tcBorders>
                    <w:tl2br w:val="nil"/>
                    <w:tr2bl w:val="nil"/>
                  </w:tcBorders>
                  <w:vAlign w:val="center"/>
                </w:tcPr>
                <w:p>
                  <w:pPr>
                    <w:pStyle w:val="33"/>
                    <w:rPr>
                      <w:rFonts w:hint="default"/>
                      <w:lang w:val="en-US" w:eastAsia="zh-CN"/>
                    </w:rPr>
                  </w:pPr>
                  <w:r>
                    <w:rPr>
                      <w:color w:val="auto"/>
                    </w:rPr>
                    <w:t>0.</w:t>
                  </w:r>
                  <w:r>
                    <w:rPr>
                      <w:rFonts w:hint="eastAsia"/>
                      <w:color w:val="auto"/>
                    </w:rPr>
                    <w:t>0</w:t>
                  </w:r>
                  <w:r>
                    <w:rPr>
                      <w:rFonts w:hint="eastAsia"/>
                      <w:color w:val="auto"/>
                      <w:lang w:val="en-US" w:eastAsia="zh-CN"/>
                    </w:rPr>
                    <w:t>02</w:t>
                  </w:r>
                </w:p>
              </w:tc>
              <w:tc>
                <w:tcPr>
                  <w:tcW w:w="731" w:type="pct"/>
                  <w:tcBorders>
                    <w:tl2br w:val="nil"/>
                    <w:tr2bl w:val="nil"/>
                  </w:tcBorders>
                  <w:vAlign w:val="center"/>
                </w:tcPr>
                <w:p>
                  <w:pPr>
                    <w:pStyle w:val="33"/>
                    <w:rPr>
                      <w:rFonts w:hint="default" w:ascii="Times New Roman" w:hAnsi="Times New Roman" w:eastAsia="宋体" w:cs="Times New Roman"/>
                      <w:kern w:val="2"/>
                      <w:sz w:val="21"/>
                      <w:szCs w:val="24"/>
                      <w:lang w:val="en-US" w:eastAsia="zh-CN" w:bidi="ar-SA"/>
                    </w:rPr>
                  </w:pPr>
                  <w:r>
                    <w:rPr>
                      <w:rFonts w:hint="eastAsia"/>
                      <w:color w:val="auto"/>
                      <w:lang w:val="en-US" w:eastAsia="zh-CN"/>
                    </w:rPr>
                    <w:t>0.43</w:t>
                  </w:r>
                </w:p>
              </w:tc>
              <w:tc>
                <w:tcPr>
                  <w:tcW w:w="496" w:type="pct"/>
                  <w:vMerge w:val="continue"/>
                  <w:tcBorders>
                    <w:tl2br w:val="nil"/>
                    <w:tr2bl w:val="nil"/>
                  </w:tcBorders>
                  <w:vAlign w:val="center"/>
                </w:tcPr>
                <w:p>
                  <w:pPr>
                    <w:pStyle w:val="33"/>
                    <w:rPr>
                      <w:color w:val="FF0000"/>
                      <w:lang w:val="en-US" w:eastAsia="zh-CN"/>
                    </w:rPr>
                  </w:pPr>
                </w:p>
              </w:tc>
              <w:tc>
                <w:tcPr>
                  <w:tcW w:w="835" w:type="pct"/>
                  <w:vMerge w:val="continue"/>
                  <w:tcBorders>
                    <w:tl2br w:val="nil"/>
                    <w:tr2bl w:val="nil"/>
                  </w:tcBorders>
                  <w:vAlign w:val="center"/>
                </w:tcPr>
                <w:p>
                  <w:pPr>
                    <w:pStyle w:val="33"/>
                    <w:rPr>
                      <w:lang w:val="en-US" w:eastAsia="zh-CN"/>
                    </w:rPr>
                  </w:pPr>
                </w:p>
              </w:tc>
              <w:tc>
                <w:tcPr>
                  <w:tcW w:w="841" w:type="pct"/>
                  <w:vMerge w:val="continue"/>
                  <w:tcBorders>
                    <w:tl2br w:val="nil"/>
                    <w:tr2bl w:val="nil"/>
                  </w:tcBorders>
                  <w:vAlign w:val="center"/>
                </w:tcPr>
                <w:p>
                  <w:pPr>
                    <w:ind w:left="-120" w:leftChars="-50" w:right="-120" w:rightChars="-50"/>
                    <w:jc w:val="center"/>
                    <w:rPr>
                      <w:rFonts w:eastAsia="Calibri"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73" w:type="pct"/>
                  <w:vMerge w:val="continue"/>
                  <w:tcBorders>
                    <w:tl2br w:val="nil"/>
                    <w:tr2bl w:val="nil"/>
                  </w:tcBorders>
                  <w:vAlign w:val="center"/>
                </w:tcPr>
                <w:p>
                  <w:pPr>
                    <w:pStyle w:val="33"/>
                    <w:rPr>
                      <w:color w:val="FF0000"/>
                      <w:lang w:eastAsia="zh-CN"/>
                    </w:rPr>
                  </w:pPr>
                </w:p>
              </w:tc>
              <w:tc>
                <w:tcPr>
                  <w:tcW w:w="602" w:type="pct"/>
                  <w:tcBorders>
                    <w:tl2br w:val="nil"/>
                    <w:tr2bl w:val="nil"/>
                  </w:tcBorders>
                  <w:vAlign w:val="center"/>
                </w:tcPr>
                <w:p>
                  <w:pPr>
                    <w:pStyle w:val="33"/>
                    <w:rPr>
                      <w:lang w:val="en-US" w:eastAsia="zh-CN"/>
                    </w:rPr>
                  </w:pPr>
                  <w:r>
                    <w:rPr>
                      <w:lang w:val="en-US" w:eastAsia="zh-CN"/>
                    </w:rPr>
                    <w:t>NOx</w:t>
                  </w:r>
                </w:p>
              </w:tc>
              <w:tc>
                <w:tcPr>
                  <w:tcW w:w="619" w:type="pct"/>
                  <w:tcBorders>
                    <w:tl2br w:val="nil"/>
                    <w:tr2bl w:val="nil"/>
                  </w:tcBorders>
                  <w:vAlign w:val="center"/>
                </w:tcPr>
                <w:p>
                  <w:pPr>
                    <w:pStyle w:val="33"/>
                    <w:rPr>
                      <w:rFonts w:hint="default"/>
                      <w:highlight w:val="none"/>
                      <w:lang w:val="en-US" w:eastAsia="zh-CN"/>
                    </w:rPr>
                  </w:pPr>
                  <w:r>
                    <w:rPr>
                      <w:rFonts w:hint="eastAsia"/>
                      <w:highlight w:val="none"/>
                      <w:lang w:val="en-US" w:eastAsia="zh-CN"/>
                    </w:rPr>
                    <w:t>0.348</w:t>
                  </w:r>
                </w:p>
              </w:tc>
              <w:tc>
                <w:tcPr>
                  <w:tcW w:w="731" w:type="pct"/>
                  <w:tcBorders>
                    <w:tl2br w:val="nil"/>
                    <w:tr2bl w:val="nil"/>
                  </w:tcBorders>
                  <w:vAlign w:val="center"/>
                </w:tcPr>
                <w:p>
                  <w:pPr>
                    <w:pStyle w:val="33"/>
                    <w:rPr>
                      <w:rFonts w:hint="default"/>
                      <w:highlight w:val="none"/>
                      <w:lang w:val="en-US" w:eastAsia="zh-CN"/>
                    </w:rPr>
                  </w:pPr>
                  <w:r>
                    <w:rPr>
                      <w:rFonts w:hint="eastAsia"/>
                      <w:highlight w:val="none"/>
                      <w:lang w:val="en-US" w:eastAsia="zh-CN"/>
                    </w:rPr>
                    <w:t>2.97</w:t>
                  </w:r>
                </w:p>
              </w:tc>
              <w:tc>
                <w:tcPr>
                  <w:tcW w:w="496" w:type="pct"/>
                  <w:vMerge w:val="continue"/>
                  <w:tcBorders>
                    <w:tl2br w:val="nil"/>
                    <w:tr2bl w:val="nil"/>
                  </w:tcBorders>
                  <w:vAlign w:val="center"/>
                </w:tcPr>
                <w:p>
                  <w:pPr>
                    <w:pStyle w:val="33"/>
                    <w:rPr>
                      <w:color w:val="FF0000"/>
                      <w:lang w:val="en-US" w:eastAsia="zh-CN"/>
                    </w:rPr>
                  </w:pPr>
                </w:p>
              </w:tc>
              <w:tc>
                <w:tcPr>
                  <w:tcW w:w="835" w:type="pct"/>
                  <w:vMerge w:val="continue"/>
                  <w:tcBorders>
                    <w:tl2br w:val="nil"/>
                    <w:tr2bl w:val="nil"/>
                  </w:tcBorders>
                  <w:vAlign w:val="center"/>
                </w:tcPr>
                <w:p>
                  <w:pPr>
                    <w:pStyle w:val="33"/>
                    <w:rPr>
                      <w:lang w:val="en-US" w:eastAsia="zh-CN"/>
                    </w:rPr>
                  </w:pPr>
                </w:p>
              </w:tc>
              <w:tc>
                <w:tcPr>
                  <w:tcW w:w="841" w:type="pct"/>
                  <w:vMerge w:val="continue"/>
                  <w:tcBorders>
                    <w:tl2br w:val="nil"/>
                    <w:tr2bl w:val="nil"/>
                  </w:tcBorders>
                  <w:vAlign w:val="center"/>
                </w:tcPr>
                <w:p>
                  <w:pPr>
                    <w:ind w:left="-120" w:leftChars="-50" w:right="-120" w:rightChars="-50"/>
                    <w:jc w:val="center"/>
                    <w:rPr>
                      <w:rFonts w:eastAsia="Calibri" w:cs="Times New Roman"/>
                      <w:sz w:val="21"/>
                      <w:szCs w:val="21"/>
                    </w:rPr>
                  </w:pPr>
                </w:p>
              </w:tc>
            </w:tr>
          </w:tbl>
          <w:p>
            <w:pPr>
              <w:pStyle w:val="22"/>
              <w:ind w:firstLine="480"/>
              <w:jc w:val="both"/>
            </w:pPr>
            <w:r>
              <w:t>因此，项目除需采取先进和成熟工艺技术和设备外，应加强管理，严格操作规范，提高工人素质，确保污染防治措施正常运行，防患于未然，一旦发生非正常排放，应立即检修，将非正常排放概率降到最小。</w:t>
            </w:r>
          </w:p>
          <w:p>
            <w:pPr>
              <w:pStyle w:val="7"/>
              <w:jc w:val="both"/>
              <w:outlineLvl w:val="2"/>
            </w:pPr>
            <w:r>
              <w:rPr>
                <w:rFonts w:hint="eastAsia"/>
              </w:rPr>
              <w:t>2.4 排放口设置情况</w:t>
            </w:r>
          </w:p>
          <w:p>
            <w:pPr>
              <w:pStyle w:val="22"/>
              <w:ind w:firstLine="480"/>
              <w:jc w:val="both"/>
              <w:rPr>
                <w:rFonts w:hint="eastAsia"/>
              </w:rPr>
            </w:pPr>
            <w:r>
              <w:rPr>
                <w:rFonts w:hint="eastAsia"/>
              </w:rPr>
              <w:t>本项目废气设置</w:t>
            </w:r>
            <w:r>
              <w:rPr>
                <w:rFonts w:hint="eastAsia"/>
                <w:lang w:val="en-US" w:eastAsia="zh-CN"/>
              </w:rPr>
              <w:t>1</w:t>
            </w:r>
            <w:r>
              <w:rPr>
                <w:rFonts w:hint="eastAsia"/>
              </w:rPr>
              <w:t>个排放口，项目废气主要为颗粒物、SO</w:t>
            </w:r>
            <w:r>
              <w:rPr>
                <w:rFonts w:hint="eastAsia"/>
                <w:vertAlign w:val="subscript"/>
              </w:rPr>
              <w:t>2</w:t>
            </w:r>
            <w:r>
              <w:rPr>
                <w:rFonts w:hint="eastAsia"/>
              </w:rPr>
              <w:t>和NOx；废气经低氮燃烧</w:t>
            </w:r>
            <w:r>
              <w:rPr>
                <w:rFonts w:hint="eastAsia"/>
                <w:lang w:val="en-US" w:eastAsia="zh-CN"/>
              </w:rPr>
              <w:t>工艺+</w:t>
            </w:r>
            <w:r>
              <w:rPr>
                <w:rFonts w:hint="default"/>
                <w:lang w:val="en-US" w:eastAsia="zh-CN"/>
              </w:rPr>
              <w:t>烟气再循环</w:t>
            </w:r>
            <w:r>
              <w:rPr>
                <w:rFonts w:hint="eastAsia"/>
                <w:lang w:val="en-US" w:eastAsia="zh-CN"/>
              </w:rPr>
              <w:t>+1根8</w:t>
            </w:r>
            <w:r>
              <w:rPr>
                <w:rFonts w:hint="eastAsia" w:ascii="Times New Roman" w:hAnsi="Times New Roman"/>
                <w:color w:val="auto"/>
                <w:szCs w:val="21"/>
                <w:lang w:val="en-US" w:eastAsia="zh-CN"/>
              </w:rPr>
              <w:t>米</w:t>
            </w:r>
            <w:r>
              <w:rPr>
                <w:rFonts w:hint="eastAsia"/>
              </w:rPr>
              <w:t>排气筒；本项目废气治理设施情况见表4</w:t>
            </w:r>
            <w:r>
              <w:rPr>
                <w:rFonts w:hint="eastAsia"/>
                <w:lang w:val="en-US" w:eastAsia="zh-CN"/>
              </w:rPr>
              <w:t>-9</w:t>
            </w:r>
            <w:r>
              <w:rPr>
                <w:rFonts w:hint="eastAsia"/>
              </w:rPr>
              <w:t>。</w:t>
            </w:r>
          </w:p>
          <w:p>
            <w:pPr>
              <w:pStyle w:val="22"/>
              <w:ind w:firstLine="480"/>
              <w:jc w:val="both"/>
              <w:rPr>
                <w:rFonts w:hint="eastAsia"/>
              </w:rPr>
            </w:pPr>
          </w:p>
          <w:p>
            <w:pPr>
              <w:pStyle w:val="22"/>
              <w:ind w:firstLine="480"/>
              <w:jc w:val="both"/>
              <w:rPr>
                <w:rFonts w:hint="eastAsia"/>
              </w:rPr>
            </w:pPr>
          </w:p>
          <w:p>
            <w:pPr>
              <w:pStyle w:val="22"/>
              <w:ind w:firstLine="480"/>
              <w:jc w:val="both"/>
              <w:rPr>
                <w:rFonts w:hint="eastAsia"/>
              </w:rPr>
            </w:pPr>
          </w:p>
          <w:p>
            <w:pPr>
              <w:pStyle w:val="22"/>
              <w:ind w:firstLine="480"/>
              <w:jc w:val="both"/>
              <w:rPr>
                <w:rFonts w:hint="eastAsia"/>
              </w:rPr>
            </w:pPr>
          </w:p>
          <w:p>
            <w:pPr>
              <w:pStyle w:val="22"/>
              <w:ind w:firstLine="480"/>
              <w:jc w:val="both"/>
              <w:rPr>
                <w:rFonts w:hint="eastAsia"/>
              </w:rPr>
            </w:pPr>
          </w:p>
          <w:p>
            <w:pPr>
              <w:pStyle w:val="32"/>
              <w:rPr>
                <w:rFonts w:hint="eastAsia"/>
                <w:color w:val="auto"/>
              </w:rPr>
            </w:pPr>
            <w:r>
              <w:rPr>
                <w:rFonts w:hint="eastAsia"/>
                <w:color w:val="auto"/>
              </w:rPr>
              <w:t>表4-</w:t>
            </w:r>
            <w:r>
              <w:rPr>
                <w:rFonts w:hint="eastAsia"/>
                <w:color w:val="auto"/>
                <w:lang w:val="en-US" w:eastAsia="zh-CN"/>
              </w:rPr>
              <w:t>9</w:t>
            </w:r>
            <w:r>
              <w:rPr>
                <w:rFonts w:hint="eastAsia"/>
                <w:color w:val="auto"/>
              </w:rPr>
              <w:t xml:space="preserve">    废气类别、污染物及污染治理设施一览表</w:t>
            </w:r>
          </w:p>
          <w:tbl>
            <w:tblPr>
              <w:tblStyle w:val="2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2"/>
              <w:gridCol w:w="643"/>
              <w:gridCol w:w="692"/>
              <w:gridCol w:w="693"/>
              <w:gridCol w:w="729"/>
              <w:gridCol w:w="821"/>
              <w:gridCol w:w="779"/>
              <w:gridCol w:w="664"/>
              <w:gridCol w:w="683"/>
              <w:gridCol w:w="354"/>
              <w:gridCol w:w="513"/>
              <w:gridCol w:w="7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44" w:type="pct"/>
                  <w:vMerge w:val="restart"/>
                  <w:noWrap w:val="0"/>
                  <w:vAlign w:val="center"/>
                </w:tcPr>
                <w:p>
                  <w:pPr>
                    <w:pStyle w:val="33"/>
                    <w:bidi w:val="0"/>
                    <w:rPr>
                      <w:rFonts w:hint="default"/>
                      <w:b/>
                      <w:bCs/>
                      <w:lang w:eastAsia="zh-CN"/>
                    </w:rPr>
                  </w:pPr>
                  <w:r>
                    <w:rPr>
                      <w:rFonts w:hint="default"/>
                      <w:b/>
                      <w:bCs/>
                      <w:lang w:val="en-US" w:eastAsia="zh-CN"/>
                    </w:rPr>
                    <w:t>编号</w:t>
                  </w:r>
                </w:p>
              </w:tc>
              <w:tc>
                <w:tcPr>
                  <w:tcW w:w="848" w:type="pct"/>
                  <w:gridSpan w:val="2"/>
                  <w:noWrap w:val="0"/>
                  <w:vAlign w:val="center"/>
                </w:tcPr>
                <w:p>
                  <w:pPr>
                    <w:pStyle w:val="33"/>
                    <w:bidi w:val="0"/>
                    <w:rPr>
                      <w:rFonts w:hint="default"/>
                      <w:b/>
                      <w:bCs/>
                    </w:rPr>
                  </w:pPr>
                  <w:r>
                    <w:rPr>
                      <w:rFonts w:hint="default"/>
                      <w:b/>
                      <w:bCs/>
                    </w:rPr>
                    <w:t>排气筒底部中心坐标</w:t>
                  </w:r>
                </w:p>
              </w:tc>
              <w:tc>
                <w:tcPr>
                  <w:tcW w:w="440" w:type="pct"/>
                  <w:vMerge w:val="restart"/>
                  <w:noWrap w:val="0"/>
                  <w:vAlign w:val="center"/>
                </w:tcPr>
                <w:p>
                  <w:pPr>
                    <w:pStyle w:val="33"/>
                    <w:bidi w:val="0"/>
                    <w:rPr>
                      <w:rFonts w:hint="default"/>
                      <w:b/>
                      <w:bCs/>
                      <w:lang w:val="en-US" w:eastAsia="zh-CN"/>
                    </w:rPr>
                  </w:pPr>
                  <w:r>
                    <w:rPr>
                      <w:rFonts w:hint="default"/>
                      <w:b/>
                      <w:bCs/>
                    </w:rPr>
                    <w:t>排气筒底部海拔高度</w:t>
                  </w:r>
                  <w:r>
                    <w:rPr>
                      <w:rFonts w:hint="eastAsia"/>
                      <w:b/>
                      <w:bCs/>
                      <w:lang w:eastAsia="zh-CN"/>
                    </w:rPr>
                    <w:t>（</w:t>
                  </w:r>
                  <w:r>
                    <w:rPr>
                      <w:rFonts w:hint="default"/>
                      <w:b/>
                      <w:bCs/>
                    </w:rPr>
                    <w:t>m</w:t>
                  </w:r>
                  <w:r>
                    <w:rPr>
                      <w:rFonts w:hint="eastAsia"/>
                      <w:b/>
                      <w:bCs/>
                      <w:lang w:val="en-US" w:eastAsia="zh-CN"/>
                    </w:rPr>
                    <w:t>）</w:t>
                  </w:r>
                </w:p>
              </w:tc>
              <w:tc>
                <w:tcPr>
                  <w:tcW w:w="1901" w:type="pct"/>
                  <w:gridSpan w:val="4"/>
                  <w:noWrap w:val="0"/>
                  <w:vAlign w:val="center"/>
                </w:tcPr>
                <w:p>
                  <w:pPr>
                    <w:pStyle w:val="33"/>
                    <w:bidi w:val="0"/>
                    <w:rPr>
                      <w:rFonts w:hint="default"/>
                      <w:b/>
                      <w:bCs/>
                    </w:rPr>
                  </w:pPr>
                  <w:r>
                    <w:rPr>
                      <w:rFonts w:hint="default"/>
                      <w:b/>
                      <w:bCs/>
                    </w:rPr>
                    <w:t>排气筒参数</w:t>
                  </w:r>
                </w:p>
              </w:tc>
              <w:tc>
                <w:tcPr>
                  <w:tcW w:w="658" w:type="pct"/>
                  <w:gridSpan w:val="2"/>
                  <w:noWrap w:val="0"/>
                  <w:vAlign w:val="center"/>
                </w:tcPr>
                <w:p>
                  <w:pPr>
                    <w:pStyle w:val="33"/>
                    <w:bidi w:val="0"/>
                    <w:rPr>
                      <w:rFonts w:hint="default"/>
                      <w:b/>
                      <w:bCs/>
                    </w:rPr>
                  </w:pPr>
                  <w:r>
                    <w:rPr>
                      <w:rFonts w:hint="default"/>
                      <w:b/>
                      <w:bCs/>
                    </w:rPr>
                    <w:t>运行参数</w:t>
                  </w:r>
                </w:p>
              </w:tc>
              <w:tc>
                <w:tcPr>
                  <w:tcW w:w="806" w:type="pct"/>
                  <w:gridSpan w:val="2"/>
                  <w:noWrap w:val="0"/>
                  <w:vAlign w:val="center"/>
                </w:tcPr>
                <w:p>
                  <w:pPr>
                    <w:pStyle w:val="33"/>
                    <w:bidi w:val="0"/>
                    <w:rPr>
                      <w:rFonts w:hint="default"/>
                      <w:b/>
                      <w:bCs/>
                    </w:rPr>
                  </w:pPr>
                  <w:r>
                    <w:rPr>
                      <w:rFonts w:hint="default"/>
                      <w:b/>
                      <w:bCs/>
                    </w:rPr>
                    <w:t>污染源参数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44" w:type="pct"/>
                  <w:vMerge w:val="continue"/>
                  <w:tcBorders>
                    <w:bottom w:val="single" w:color="auto" w:sz="12" w:space="0"/>
                  </w:tcBorders>
                  <w:noWrap w:val="0"/>
                  <w:vAlign w:val="center"/>
                </w:tcPr>
                <w:p>
                  <w:pPr>
                    <w:pStyle w:val="33"/>
                    <w:bidi w:val="0"/>
                    <w:rPr>
                      <w:rFonts w:hint="default"/>
                      <w:b/>
                      <w:bCs/>
                    </w:rPr>
                  </w:pPr>
                </w:p>
              </w:tc>
              <w:tc>
                <w:tcPr>
                  <w:tcW w:w="408" w:type="pct"/>
                  <w:tcBorders>
                    <w:bottom w:val="single" w:color="auto" w:sz="12" w:space="0"/>
                  </w:tcBorders>
                  <w:noWrap w:val="0"/>
                  <w:vAlign w:val="center"/>
                </w:tcPr>
                <w:p>
                  <w:pPr>
                    <w:pStyle w:val="33"/>
                    <w:bidi w:val="0"/>
                    <w:rPr>
                      <w:rFonts w:hint="default"/>
                      <w:b/>
                      <w:bCs/>
                    </w:rPr>
                  </w:pPr>
                  <w:r>
                    <w:rPr>
                      <w:rFonts w:hint="default"/>
                      <w:b/>
                      <w:bCs/>
                    </w:rPr>
                    <w:t>经度</w:t>
                  </w:r>
                </w:p>
              </w:tc>
              <w:tc>
                <w:tcPr>
                  <w:tcW w:w="439" w:type="pct"/>
                  <w:tcBorders>
                    <w:bottom w:val="single" w:color="auto" w:sz="12" w:space="0"/>
                  </w:tcBorders>
                  <w:noWrap w:val="0"/>
                  <w:vAlign w:val="center"/>
                </w:tcPr>
                <w:p>
                  <w:pPr>
                    <w:pStyle w:val="33"/>
                    <w:bidi w:val="0"/>
                    <w:rPr>
                      <w:rFonts w:hint="default"/>
                      <w:b/>
                      <w:bCs/>
                    </w:rPr>
                  </w:pPr>
                  <w:r>
                    <w:rPr>
                      <w:rFonts w:hint="default"/>
                      <w:b/>
                      <w:bCs/>
                    </w:rPr>
                    <w:t>纬度</w:t>
                  </w:r>
                </w:p>
              </w:tc>
              <w:tc>
                <w:tcPr>
                  <w:tcW w:w="440" w:type="pct"/>
                  <w:vMerge w:val="continue"/>
                  <w:tcBorders>
                    <w:bottom w:val="single" w:color="auto" w:sz="12" w:space="0"/>
                  </w:tcBorders>
                  <w:noWrap w:val="0"/>
                  <w:vAlign w:val="center"/>
                </w:tcPr>
                <w:p>
                  <w:pPr>
                    <w:pStyle w:val="33"/>
                    <w:bidi w:val="0"/>
                    <w:rPr>
                      <w:rFonts w:hint="default"/>
                      <w:b/>
                      <w:bCs/>
                    </w:rPr>
                  </w:pPr>
                </w:p>
              </w:tc>
              <w:tc>
                <w:tcPr>
                  <w:tcW w:w="463" w:type="pct"/>
                  <w:tcBorders>
                    <w:bottom w:val="single" w:color="auto" w:sz="12" w:space="0"/>
                  </w:tcBorders>
                  <w:noWrap w:val="0"/>
                  <w:vAlign w:val="center"/>
                </w:tcPr>
                <w:p>
                  <w:pPr>
                    <w:pStyle w:val="33"/>
                    <w:bidi w:val="0"/>
                    <w:rPr>
                      <w:rFonts w:hint="default"/>
                      <w:b/>
                      <w:bCs/>
                    </w:rPr>
                  </w:pPr>
                  <w:r>
                    <w:rPr>
                      <w:rFonts w:hint="default"/>
                      <w:b/>
                      <w:bCs/>
                    </w:rPr>
                    <w:t>排气筒高度</w:t>
                  </w:r>
                  <w:r>
                    <w:rPr>
                      <w:rFonts w:hint="eastAsia"/>
                      <w:b/>
                      <w:bCs/>
                      <w:lang w:val="en-US" w:eastAsia="zh-CN"/>
                    </w:rPr>
                    <w:t>（</w:t>
                  </w:r>
                  <w:r>
                    <w:rPr>
                      <w:rFonts w:hint="default"/>
                      <w:b/>
                      <w:bCs/>
                    </w:rPr>
                    <w:t>m</w:t>
                  </w:r>
                  <w:r>
                    <w:rPr>
                      <w:rFonts w:hint="eastAsia"/>
                      <w:b/>
                      <w:bCs/>
                      <w:lang w:val="en-US" w:eastAsia="zh-CN"/>
                    </w:rPr>
                    <w:t>）</w:t>
                  </w:r>
                </w:p>
              </w:tc>
              <w:tc>
                <w:tcPr>
                  <w:tcW w:w="521" w:type="pct"/>
                  <w:tcBorders>
                    <w:bottom w:val="single" w:color="auto" w:sz="12" w:space="0"/>
                  </w:tcBorders>
                  <w:noWrap w:val="0"/>
                  <w:vAlign w:val="center"/>
                </w:tcPr>
                <w:p>
                  <w:pPr>
                    <w:pStyle w:val="33"/>
                    <w:bidi w:val="0"/>
                    <w:rPr>
                      <w:rFonts w:hint="default"/>
                      <w:b/>
                      <w:bCs/>
                    </w:rPr>
                  </w:pPr>
                  <w:r>
                    <w:rPr>
                      <w:rFonts w:hint="default"/>
                      <w:b/>
                      <w:bCs/>
                    </w:rPr>
                    <w:t>排气筒出口内径</w:t>
                  </w:r>
                  <w:r>
                    <w:rPr>
                      <w:rFonts w:hint="eastAsia"/>
                      <w:b/>
                      <w:bCs/>
                      <w:lang w:val="en-US" w:eastAsia="zh-CN"/>
                    </w:rPr>
                    <w:t>（</w:t>
                  </w:r>
                  <w:r>
                    <w:rPr>
                      <w:rFonts w:hint="default"/>
                      <w:b/>
                      <w:bCs/>
                    </w:rPr>
                    <w:t>m</w:t>
                  </w:r>
                  <w:r>
                    <w:rPr>
                      <w:rFonts w:hint="eastAsia"/>
                      <w:b/>
                      <w:bCs/>
                      <w:lang w:val="en-US" w:eastAsia="zh-CN"/>
                    </w:rPr>
                    <w:t>）</w:t>
                  </w:r>
                </w:p>
              </w:tc>
              <w:tc>
                <w:tcPr>
                  <w:tcW w:w="494" w:type="pct"/>
                  <w:tcBorders>
                    <w:bottom w:val="single" w:color="auto" w:sz="12" w:space="0"/>
                  </w:tcBorders>
                  <w:noWrap w:val="0"/>
                  <w:vAlign w:val="center"/>
                </w:tcPr>
                <w:p>
                  <w:pPr>
                    <w:pStyle w:val="33"/>
                    <w:bidi w:val="0"/>
                    <w:rPr>
                      <w:rFonts w:hint="default"/>
                      <w:b/>
                      <w:bCs/>
                    </w:rPr>
                  </w:pPr>
                  <w:r>
                    <w:rPr>
                      <w:rFonts w:hint="default"/>
                      <w:b/>
                      <w:bCs/>
                    </w:rPr>
                    <w:t>烟气流速</w:t>
                  </w:r>
                  <w:r>
                    <w:rPr>
                      <w:rFonts w:hint="eastAsia"/>
                      <w:b/>
                      <w:bCs/>
                      <w:lang w:val="en-US" w:eastAsia="zh-CN"/>
                    </w:rPr>
                    <w:t>（</w:t>
                  </w:r>
                  <w:r>
                    <w:rPr>
                      <w:rFonts w:hint="default"/>
                      <w:b/>
                      <w:bCs/>
                    </w:rPr>
                    <w:t>m/s</w:t>
                  </w:r>
                  <w:r>
                    <w:rPr>
                      <w:rFonts w:hint="eastAsia"/>
                      <w:b/>
                      <w:bCs/>
                      <w:lang w:val="en-US" w:eastAsia="zh-CN"/>
                    </w:rPr>
                    <w:t>）</w:t>
                  </w:r>
                </w:p>
              </w:tc>
              <w:tc>
                <w:tcPr>
                  <w:tcW w:w="421" w:type="pct"/>
                  <w:tcBorders>
                    <w:bottom w:val="single" w:color="auto" w:sz="12" w:space="0"/>
                  </w:tcBorders>
                  <w:noWrap w:val="0"/>
                  <w:vAlign w:val="center"/>
                </w:tcPr>
                <w:p>
                  <w:pPr>
                    <w:pStyle w:val="33"/>
                    <w:bidi w:val="0"/>
                    <w:rPr>
                      <w:rFonts w:hint="default"/>
                      <w:b/>
                      <w:bCs/>
                    </w:rPr>
                  </w:pPr>
                  <w:r>
                    <w:rPr>
                      <w:rFonts w:hint="default"/>
                      <w:b/>
                      <w:bCs/>
                    </w:rPr>
                    <w:t>烟气温度</w:t>
                  </w:r>
                  <w:r>
                    <w:rPr>
                      <w:rFonts w:hint="eastAsia"/>
                      <w:b/>
                      <w:bCs/>
                      <w:lang w:val="en-US" w:eastAsia="zh-CN"/>
                    </w:rPr>
                    <w:t>（</w:t>
                  </w:r>
                  <w:r>
                    <w:rPr>
                      <w:rFonts w:hint="default"/>
                      <w:b/>
                      <w:bCs/>
                    </w:rPr>
                    <w:t>℃</w:t>
                  </w:r>
                  <w:r>
                    <w:rPr>
                      <w:rFonts w:hint="eastAsia"/>
                      <w:b/>
                      <w:bCs/>
                      <w:lang w:val="en-US" w:eastAsia="zh-CN"/>
                    </w:rPr>
                    <w:t>）</w:t>
                  </w:r>
                </w:p>
              </w:tc>
              <w:tc>
                <w:tcPr>
                  <w:tcW w:w="433" w:type="pct"/>
                  <w:tcBorders>
                    <w:bottom w:val="single" w:color="auto" w:sz="12" w:space="0"/>
                  </w:tcBorders>
                  <w:noWrap w:val="0"/>
                  <w:vAlign w:val="center"/>
                </w:tcPr>
                <w:p>
                  <w:pPr>
                    <w:pStyle w:val="33"/>
                    <w:bidi w:val="0"/>
                    <w:rPr>
                      <w:rFonts w:hint="default"/>
                      <w:b/>
                      <w:bCs/>
                    </w:rPr>
                  </w:pPr>
                  <w:r>
                    <w:rPr>
                      <w:rFonts w:hint="default"/>
                      <w:b/>
                      <w:bCs/>
                    </w:rPr>
                    <w:t>年排放小时数</w:t>
                  </w:r>
                  <w:r>
                    <w:rPr>
                      <w:rFonts w:hint="eastAsia"/>
                      <w:b/>
                      <w:bCs/>
                      <w:lang w:val="en-US" w:eastAsia="zh-CN"/>
                    </w:rPr>
                    <w:t>（</w:t>
                  </w:r>
                  <w:r>
                    <w:rPr>
                      <w:rFonts w:hint="default"/>
                      <w:b/>
                      <w:bCs/>
                    </w:rPr>
                    <w:t>h</w:t>
                  </w:r>
                  <w:r>
                    <w:rPr>
                      <w:rFonts w:hint="eastAsia"/>
                      <w:b/>
                      <w:bCs/>
                      <w:lang w:val="en-US" w:eastAsia="zh-CN"/>
                    </w:rPr>
                    <w:t>）</w:t>
                  </w:r>
                </w:p>
              </w:tc>
              <w:tc>
                <w:tcPr>
                  <w:tcW w:w="224" w:type="pct"/>
                  <w:tcBorders>
                    <w:bottom w:val="single" w:color="auto" w:sz="12" w:space="0"/>
                  </w:tcBorders>
                  <w:noWrap w:val="0"/>
                  <w:vAlign w:val="center"/>
                </w:tcPr>
                <w:p>
                  <w:pPr>
                    <w:pStyle w:val="33"/>
                    <w:bidi w:val="0"/>
                    <w:rPr>
                      <w:rFonts w:hint="default"/>
                      <w:b/>
                      <w:bCs/>
                    </w:rPr>
                  </w:pPr>
                  <w:r>
                    <w:rPr>
                      <w:rFonts w:hint="default"/>
                      <w:b/>
                      <w:bCs/>
                    </w:rPr>
                    <w:t>排放工况</w:t>
                  </w:r>
                </w:p>
              </w:tc>
              <w:tc>
                <w:tcPr>
                  <w:tcW w:w="325" w:type="pct"/>
                  <w:tcBorders>
                    <w:bottom w:val="single" w:color="auto" w:sz="12" w:space="0"/>
                  </w:tcBorders>
                  <w:noWrap w:val="0"/>
                  <w:vAlign w:val="center"/>
                </w:tcPr>
                <w:p>
                  <w:pPr>
                    <w:pStyle w:val="33"/>
                    <w:bidi w:val="0"/>
                    <w:rPr>
                      <w:rFonts w:hint="default"/>
                      <w:b/>
                      <w:bCs/>
                    </w:rPr>
                  </w:pPr>
                  <w:r>
                    <w:rPr>
                      <w:rFonts w:hint="default"/>
                      <w:b/>
                      <w:bCs/>
                    </w:rPr>
                    <w:t>污染源名称</w:t>
                  </w:r>
                </w:p>
              </w:tc>
              <w:tc>
                <w:tcPr>
                  <w:tcW w:w="480" w:type="pct"/>
                  <w:tcBorders>
                    <w:bottom w:val="single" w:color="auto" w:sz="12" w:space="0"/>
                  </w:tcBorders>
                  <w:noWrap w:val="0"/>
                  <w:vAlign w:val="center"/>
                </w:tcPr>
                <w:p>
                  <w:pPr>
                    <w:pStyle w:val="33"/>
                    <w:bidi w:val="0"/>
                    <w:rPr>
                      <w:rFonts w:hint="default"/>
                      <w:b/>
                      <w:bCs/>
                    </w:rPr>
                  </w:pPr>
                  <w:r>
                    <w:rPr>
                      <w:rFonts w:hint="default"/>
                      <w:b/>
                      <w:bCs/>
                    </w:rPr>
                    <w:t>污染物排放速率</w:t>
                  </w:r>
                  <w:r>
                    <w:rPr>
                      <w:rFonts w:hint="eastAsia"/>
                      <w:b/>
                      <w:bCs/>
                      <w:lang w:val="en-US" w:eastAsia="zh-CN"/>
                    </w:rPr>
                    <w:t>（</w:t>
                  </w:r>
                  <w:r>
                    <w:rPr>
                      <w:rFonts w:hint="default"/>
                      <w:b/>
                      <w:bCs/>
                      <w:lang w:val="en-US" w:eastAsia="zh-CN"/>
                    </w:rPr>
                    <w:t>k</w:t>
                  </w:r>
                  <w:r>
                    <w:rPr>
                      <w:rFonts w:hint="default"/>
                      <w:b/>
                      <w:bCs/>
                    </w:rPr>
                    <w:t>g/h</w:t>
                  </w:r>
                  <w:r>
                    <w:rPr>
                      <w:rFonts w:hint="eastAsia"/>
                      <w:b/>
                      <w:bCs/>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44" w:type="pct"/>
                  <w:vMerge w:val="restart"/>
                  <w:tcBorders>
                    <w:top w:val="single" w:color="auto" w:sz="12" w:space="0"/>
                    <w:tl2br w:val="nil"/>
                    <w:tr2bl w:val="nil"/>
                  </w:tcBorders>
                  <w:noWrap w:val="0"/>
                  <w:vAlign w:val="center"/>
                </w:tcPr>
                <w:p>
                  <w:pPr>
                    <w:pStyle w:val="33"/>
                    <w:bidi w:val="0"/>
                    <w:rPr>
                      <w:rFonts w:hint="default"/>
                      <w:lang w:val="en-US" w:eastAsia="zh-CN"/>
                    </w:rPr>
                  </w:pPr>
                  <w:r>
                    <w:rPr>
                      <w:rFonts w:hint="eastAsia"/>
                      <w:lang w:val="en-US" w:eastAsia="zh-CN"/>
                    </w:rPr>
                    <w:t>DA001</w:t>
                  </w:r>
                </w:p>
              </w:tc>
              <w:tc>
                <w:tcPr>
                  <w:tcW w:w="408" w:type="pct"/>
                  <w:vMerge w:val="restart"/>
                  <w:tcBorders>
                    <w:top w:val="single" w:color="auto" w:sz="12" w:space="0"/>
                    <w:tl2br w:val="nil"/>
                    <w:tr2bl w:val="nil"/>
                  </w:tcBorders>
                  <w:noWrap w:val="0"/>
                  <w:vAlign w:val="center"/>
                </w:tcPr>
                <w:p>
                  <w:pPr>
                    <w:pStyle w:val="33"/>
                    <w:bidi w:val="0"/>
                    <w:rPr>
                      <w:rFonts w:hint="default"/>
                      <w:lang w:val="en-US" w:eastAsia="zh-CN"/>
                    </w:rPr>
                  </w:pPr>
                  <w:r>
                    <w:rPr>
                      <w:rFonts w:hint="default"/>
                    </w:rPr>
                    <w:t>89.23717655</w:t>
                  </w:r>
                </w:p>
              </w:tc>
              <w:tc>
                <w:tcPr>
                  <w:tcW w:w="439" w:type="pct"/>
                  <w:vMerge w:val="restart"/>
                  <w:tcBorders>
                    <w:top w:val="single" w:color="auto" w:sz="12" w:space="0"/>
                    <w:tl2br w:val="nil"/>
                    <w:tr2bl w:val="nil"/>
                  </w:tcBorders>
                  <w:noWrap w:val="0"/>
                  <w:vAlign w:val="center"/>
                </w:tcPr>
                <w:p>
                  <w:pPr>
                    <w:pStyle w:val="33"/>
                    <w:bidi w:val="0"/>
                    <w:rPr>
                      <w:rFonts w:hint="default"/>
                      <w:lang w:val="en-US" w:eastAsia="zh-CN"/>
                    </w:rPr>
                  </w:pPr>
                  <w:r>
                    <w:rPr>
                      <w:rFonts w:hint="default"/>
                    </w:rPr>
                    <w:t>43.98851966</w:t>
                  </w:r>
                </w:p>
              </w:tc>
              <w:tc>
                <w:tcPr>
                  <w:tcW w:w="440" w:type="pct"/>
                  <w:vMerge w:val="restart"/>
                  <w:tcBorders>
                    <w:top w:val="single" w:color="auto" w:sz="12" w:space="0"/>
                    <w:tl2br w:val="nil"/>
                    <w:tr2bl w:val="nil"/>
                  </w:tcBorders>
                  <w:noWrap w:val="0"/>
                  <w:vAlign w:val="center"/>
                </w:tcPr>
                <w:p>
                  <w:pPr>
                    <w:pStyle w:val="33"/>
                    <w:bidi w:val="0"/>
                    <w:rPr>
                      <w:rFonts w:hint="default"/>
                      <w:lang w:val="en-US" w:eastAsia="zh-CN"/>
                    </w:rPr>
                  </w:pPr>
                  <w:r>
                    <w:rPr>
                      <w:rFonts w:hint="eastAsia"/>
                      <w:lang w:val="en-US" w:eastAsia="zh-CN"/>
                    </w:rPr>
                    <w:t>739</w:t>
                  </w:r>
                </w:p>
              </w:tc>
              <w:tc>
                <w:tcPr>
                  <w:tcW w:w="463" w:type="pct"/>
                  <w:vMerge w:val="restart"/>
                  <w:tcBorders>
                    <w:top w:val="single" w:color="auto" w:sz="12" w:space="0"/>
                    <w:tl2br w:val="nil"/>
                    <w:tr2bl w:val="nil"/>
                  </w:tcBorders>
                  <w:noWrap w:val="0"/>
                  <w:vAlign w:val="center"/>
                </w:tcPr>
                <w:p>
                  <w:pPr>
                    <w:pStyle w:val="33"/>
                    <w:bidi w:val="0"/>
                    <w:rPr>
                      <w:rFonts w:hint="default"/>
                      <w:lang w:val="en-US" w:eastAsia="zh-CN"/>
                    </w:rPr>
                  </w:pPr>
                  <w:r>
                    <w:rPr>
                      <w:rFonts w:hint="eastAsia"/>
                      <w:lang w:val="en-US" w:eastAsia="zh-CN"/>
                    </w:rPr>
                    <w:t>8</w:t>
                  </w:r>
                </w:p>
              </w:tc>
              <w:tc>
                <w:tcPr>
                  <w:tcW w:w="521" w:type="pct"/>
                  <w:vMerge w:val="restart"/>
                  <w:tcBorders>
                    <w:top w:val="single" w:color="auto" w:sz="12" w:space="0"/>
                    <w:tl2br w:val="nil"/>
                    <w:tr2bl w:val="nil"/>
                  </w:tcBorders>
                  <w:noWrap w:val="0"/>
                  <w:vAlign w:val="center"/>
                </w:tcPr>
                <w:p>
                  <w:pPr>
                    <w:pStyle w:val="33"/>
                    <w:bidi w:val="0"/>
                    <w:rPr>
                      <w:rFonts w:hint="default"/>
                      <w:lang w:eastAsia="zh-CN"/>
                    </w:rPr>
                  </w:pPr>
                  <w:r>
                    <w:rPr>
                      <w:rFonts w:hint="default"/>
                    </w:rPr>
                    <w:t>0.</w:t>
                  </w:r>
                  <w:r>
                    <w:rPr>
                      <w:rFonts w:hint="eastAsia"/>
                      <w:lang w:val="en-US" w:eastAsia="zh-CN"/>
                    </w:rPr>
                    <w:t>4</w:t>
                  </w:r>
                </w:p>
              </w:tc>
              <w:tc>
                <w:tcPr>
                  <w:tcW w:w="494" w:type="pct"/>
                  <w:vMerge w:val="restart"/>
                  <w:tcBorders>
                    <w:top w:val="single" w:color="auto" w:sz="12" w:space="0"/>
                    <w:tl2br w:val="nil"/>
                    <w:tr2bl w:val="nil"/>
                  </w:tcBorders>
                  <w:noWrap w:val="0"/>
                  <w:vAlign w:val="center"/>
                </w:tcPr>
                <w:p>
                  <w:pPr>
                    <w:pStyle w:val="33"/>
                    <w:bidi w:val="0"/>
                    <w:rPr>
                      <w:rFonts w:hint="default"/>
                    </w:rPr>
                  </w:pPr>
                  <w:r>
                    <w:rPr>
                      <w:rFonts w:hint="default"/>
                    </w:rPr>
                    <w:t>1</w:t>
                  </w:r>
                  <w:r>
                    <w:rPr>
                      <w:rFonts w:hint="eastAsia"/>
                      <w:lang w:val="en-US" w:eastAsia="zh-CN"/>
                    </w:rPr>
                    <w:t>5</w:t>
                  </w:r>
                </w:p>
              </w:tc>
              <w:tc>
                <w:tcPr>
                  <w:tcW w:w="421" w:type="pct"/>
                  <w:vMerge w:val="restart"/>
                  <w:tcBorders>
                    <w:top w:val="single" w:color="auto" w:sz="12" w:space="0"/>
                    <w:tl2br w:val="nil"/>
                    <w:tr2bl w:val="nil"/>
                  </w:tcBorders>
                  <w:noWrap w:val="0"/>
                  <w:vAlign w:val="center"/>
                </w:tcPr>
                <w:p>
                  <w:pPr>
                    <w:pStyle w:val="33"/>
                    <w:bidi w:val="0"/>
                    <w:rPr>
                      <w:rFonts w:hint="default"/>
                      <w:lang w:val="en-US" w:eastAsia="zh-CN"/>
                    </w:rPr>
                  </w:pPr>
                  <w:r>
                    <w:rPr>
                      <w:rFonts w:hint="eastAsia"/>
                      <w:lang w:val="en-US" w:eastAsia="zh-CN"/>
                    </w:rPr>
                    <w:t>40</w:t>
                  </w:r>
                </w:p>
              </w:tc>
              <w:tc>
                <w:tcPr>
                  <w:tcW w:w="433" w:type="pct"/>
                  <w:vMerge w:val="restart"/>
                  <w:tcBorders>
                    <w:top w:val="single" w:color="auto" w:sz="12" w:space="0"/>
                    <w:tl2br w:val="nil"/>
                    <w:tr2bl w:val="nil"/>
                  </w:tcBorders>
                  <w:noWrap w:val="0"/>
                  <w:vAlign w:val="center"/>
                </w:tcPr>
                <w:p>
                  <w:pPr>
                    <w:pStyle w:val="33"/>
                    <w:bidi w:val="0"/>
                    <w:rPr>
                      <w:rFonts w:hint="default"/>
                      <w:lang w:val="en-US" w:eastAsia="zh-CN"/>
                    </w:rPr>
                  </w:pPr>
                  <w:r>
                    <w:rPr>
                      <w:rFonts w:hint="eastAsia"/>
                      <w:lang w:val="en-US" w:eastAsia="zh-CN"/>
                    </w:rPr>
                    <w:t>2400</w:t>
                  </w:r>
                </w:p>
              </w:tc>
              <w:tc>
                <w:tcPr>
                  <w:tcW w:w="224" w:type="pct"/>
                  <w:vMerge w:val="restart"/>
                  <w:tcBorders>
                    <w:top w:val="single" w:color="auto" w:sz="12" w:space="0"/>
                    <w:tl2br w:val="nil"/>
                    <w:tr2bl w:val="nil"/>
                  </w:tcBorders>
                  <w:noWrap w:val="0"/>
                  <w:vAlign w:val="center"/>
                </w:tcPr>
                <w:p>
                  <w:pPr>
                    <w:pStyle w:val="33"/>
                    <w:bidi w:val="0"/>
                    <w:rPr>
                      <w:rFonts w:hint="default"/>
                    </w:rPr>
                  </w:pPr>
                  <w:r>
                    <w:rPr>
                      <w:rFonts w:hint="default"/>
                    </w:rPr>
                    <w:t>正常</w:t>
                  </w:r>
                </w:p>
              </w:tc>
              <w:tc>
                <w:tcPr>
                  <w:tcW w:w="325" w:type="pct"/>
                  <w:tcBorders>
                    <w:top w:val="single" w:color="auto" w:sz="12" w:space="0"/>
                    <w:tl2br w:val="nil"/>
                    <w:tr2bl w:val="nil"/>
                  </w:tcBorders>
                  <w:noWrap w:val="0"/>
                  <w:vAlign w:val="center"/>
                </w:tcPr>
                <w:p>
                  <w:pPr>
                    <w:pStyle w:val="33"/>
                    <w:bidi w:val="0"/>
                    <w:rPr>
                      <w:rFonts w:hint="default"/>
                      <w:lang w:val="en-US" w:eastAsia="zh-CN"/>
                    </w:rPr>
                  </w:pPr>
                  <w:r>
                    <w:rPr>
                      <w:rFonts w:hint="default"/>
                      <w:lang w:val="en-US" w:eastAsia="zh-CN"/>
                    </w:rPr>
                    <w:t>颗粒物</w:t>
                  </w:r>
                </w:p>
              </w:tc>
              <w:tc>
                <w:tcPr>
                  <w:tcW w:w="480" w:type="pct"/>
                  <w:tcBorders>
                    <w:top w:val="single" w:color="auto" w:sz="12" w:space="0"/>
                    <w:tl2br w:val="nil"/>
                    <w:tr2bl w:val="nil"/>
                  </w:tcBorders>
                  <w:noWrap w:val="0"/>
                  <w:vAlign w:val="center"/>
                </w:tcPr>
                <w:p>
                  <w:pPr>
                    <w:pStyle w:val="33"/>
                    <w:rPr>
                      <w:rFonts w:hint="default"/>
                      <w:lang w:val="en-US" w:eastAsia="zh-CN"/>
                    </w:rPr>
                  </w:pPr>
                  <w:r>
                    <w:rPr>
                      <w:rFonts w:hint="eastAsia"/>
                      <w:color w:val="auto"/>
                    </w:rPr>
                    <w:t>0</w:t>
                  </w:r>
                  <w:r>
                    <w:rPr>
                      <w:color w:val="auto"/>
                    </w:rPr>
                    <w:t>.</w:t>
                  </w:r>
                  <w:r>
                    <w:rPr>
                      <w:rFonts w:hint="eastAsia"/>
                      <w:color w:val="auto"/>
                      <w:lang w:val="en-US" w:eastAsia="zh-CN"/>
                    </w:rPr>
                    <w:t>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44" w:type="pct"/>
                  <w:vMerge w:val="continue"/>
                  <w:tcBorders>
                    <w:tl2br w:val="nil"/>
                    <w:tr2bl w:val="nil"/>
                  </w:tcBorders>
                  <w:noWrap w:val="0"/>
                  <w:vAlign w:val="center"/>
                </w:tcPr>
                <w:p>
                  <w:pPr>
                    <w:pStyle w:val="33"/>
                    <w:bidi w:val="0"/>
                    <w:rPr>
                      <w:rFonts w:hint="default"/>
                    </w:rPr>
                  </w:pPr>
                </w:p>
              </w:tc>
              <w:tc>
                <w:tcPr>
                  <w:tcW w:w="408" w:type="pct"/>
                  <w:vMerge w:val="continue"/>
                  <w:tcBorders>
                    <w:tl2br w:val="nil"/>
                    <w:tr2bl w:val="nil"/>
                  </w:tcBorders>
                  <w:noWrap w:val="0"/>
                  <w:vAlign w:val="center"/>
                </w:tcPr>
                <w:p>
                  <w:pPr>
                    <w:pStyle w:val="33"/>
                    <w:bidi w:val="0"/>
                    <w:rPr>
                      <w:rFonts w:hint="default"/>
                    </w:rPr>
                  </w:pPr>
                </w:p>
              </w:tc>
              <w:tc>
                <w:tcPr>
                  <w:tcW w:w="439" w:type="pct"/>
                  <w:vMerge w:val="continue"/>
                  <w:tcBorders>
                    <w:tl2br w:val="nil"/>
                    <w:tr2bl w:val="nil"/>
                  </w:tcBorders>
                  <w:noWrap w:val="0"/>
                  <w:vAlign w:val="center"/>
                </w:tcPr>
                <w:p>
                  <w:pPr>
                    <w:pStyle w:val="33"/>
                    <w:bidi w:val="0"/>
                    <w:rPr>
                      <w:rFonts w:hint="default"/>
                    </w:rPr>
                  </w:pPr>
                </w:p>
              </w:tc>
              <w:tc>
                <w:tcPr>
                  <w:tcW w:w="440" w:type="pct"/>
                  <w:vMerge w:val="continue"/>
                  <w:tcBorders>
                    <w:tl2br w:val="nil"/>
                    <w:tr2bl w:val="nil"/>
                  </w:tcBorders>
                  <w:noWrap w:val="0"/>
                  <w:vAlign w:val="center"/>
                </w:tcPr>
                <w:p>
                  <w:pPr>
                    <w:pStyle w:val="33"/>
                    <w:bidi w:val="0"/>
                    <w:rPr>
                      <w:rFonts w:hint="default"/>
                    </w:rPr>
                  </w:pPr>
                </w:p>
              </w:tc>
              <w:tc>
                <w:tcPr>
                  <w:tcW w:w="463" w:type="pct"/>
                  <w:vMerge w:val="continue"/>
                  <w:tcBorders>
                    <w:tl2br w:val="nil"/>
                    <w:tr2bl w:val="nil"/>
                  </w:tcBorders>
                  <w:noWrap w:val="0"/>
                  <w:vAlign w:val="center"/>
                </w:tcPr>
                <w:p>
                  <w:pPr>
                    <w:pStyle w:val="33"/>
                    <w:bidi w:val="0"/>
                    <w:rPr>
                      <w:rFonts w:hint="default"/>
                    </w:rPr>
                  </w:pPr>
                </w:p>
              </w:tc>
              <w:tc>
                <w:tcPr>
                  <w:tcW w:w="521" w:type="pct"/>
                  <w:vMerge w:val="continue"/>
                  <w:tcBorders>
                    <w:tl2br w:val="nil"/>
                    <w:tr2bl w:val="nil"/>
                  </w:tcBorders>
                  <w:noWrap w:val="0"/>
                  <w:vAlign w:val="center"/>
                </w:tcPr>
                <w:p>
                  <w:pPr>
                    <w:pStyle w:val="33"/>
                    <w:bidi w:val="0"/>
                    <w:rPr>
                      <w:rFonts w:hint="default"/>
                    </w:rPr>
                  </w:pPr>
                </w:p>
              </w:tc>
              <w:tc>
                <w:tcPr>
                  <w:tcW w:w="494" w:type="pct"/>
                  <w:vMerge w:val="continue"/>
                  <w:tcBorders>
                    <w:tl2br w:val="nil"/>
                    <w:tr2bl w:val="nil"/>
                  </w:tcBorders>
                  <w:noWrap w:val="0"/>
                  <w:vAlign w:val="center"/>
                </w:tcPr>
                <w:p>
                  <w:pPr>
                    <w:pStyle w:val="33"/>
                    <w:bidi w:val="0"/>
                    <w:rPr>
                      <w:rFonts w:hint="default"/>
                    </w:rPr>
                  </w:pPr>
                </w:p>
              </w:tc>
              <w:tc>
                <w:tcPr>
                  <w:tcW w:w="421" w:type="pct"/>
                  <w:vMerge w:val="continue"/>
                  <w:tcBorders>
                    <w:tl2br w:val="nil"/>
                    <w:tr2bl w:val="nil"/>
                  </w:tcBorders>
                  <w:noWrap w:val="0"/>
                  <w:vAlign w:val="center"/>
                </w:tcPr>
                <w:p>
                  <w:pPr>
                    <w:pStyle w:val="33"/>
                    <w:bidi w:val="0"/>
                    <w:rPr>
                      <w:rFonts w:hint="default"/>
                    </w:rPr>
                  </w:pPr>
                </w:p>
              </w:tc>
              <w:tc>
                <w:tcPr>
                  <w:tcW w:w="433" w:type="pct"/>
                  <w:vMerge w:val="continue"/>
                  <w:tcBorders>
                    <w:tl2br w:val="nil"/>
                    <w:tr2bl w:val="nil"/>
                  </w:tcBorders>
                  <w:noWrap w:val="0"/>
                  <w:vAlign w:val="center"/>
                </w:tcPr>
                <w:p>
                  <w:pPr>
                    <w:pStyle w:val="33"/>
                    <w:bidi w:val="0"/>
                    <w:rPr>
                      <w:rFonts w:hint="default"/>
                    </w:rPr>
                  </w:pPr>
                </w:p>
              </w:tc>
              <w:tc>
                <w:tcPr>
                  <w:tcW w:w="224" w:type="pct"/>
                  <w:vMerge w:val="continue"/>
                  <w:tcBorders>
                    <w:tl2br w:val="nil"/>
                    <w:tr2bl w:val="nil"/>
                  </w:tcBorders>
                  <w:noWrap w:val="0"/>
                  <w:vAlign w:val="center"/>
                </w:tcPr>
                <w:p>
                  <w:pPr>
                    <w:pStyle w:val="33"/>
                    <w:bidi w:val="0"/>
                    <w:rPr>
                      <w:rFonts w:hint="default"/>
                    </w:rPr>
                  </w:pPr>
                </w:p>
              </w:tc>
              <w:tc>
                <w:tcPr>
                  <w:tcW w:w="325" w:type="pct"/>
                  <w:tcBorders>
                    <w:tl2br w:val="nil"/>
                    <w:tr2bl w:val="nil"/>
                  </w:tcBorders>
                  <w:noWrap w:val="0"/>
                  <w:vAlign w:val="center"/>
                </w:tcPr>
                <w:p>
                  <w:pPr>
                    <w:pStyle w:val="33"/>
                    <w:bidi w:val="0"/>
                    <w:rPr>
                      <w:rFonts w:hint="default"/>
                      <w:lang w:val="en-US" w:eastAsia="zh-CN"/>
                    </w:rPr>
                  </w:pPr>
                  <w:r>
                    <w:rPr>
                      <w:rFonts w:hint="eastAsia"/>
                      <w:lang w:val="en-US" w:eastAsia="zh-CN"/>
                    </w:rPr>
                    <w:t>SO</w:t>
                  </w:r>
                  <w:r>
                    <w:rPr>
                      <w:rFonts w:hint="eastAsia"/>
                      <w:vertAlign w:val="subscript"/>
                      <w:lang w:val="en-US" w:eastAsia="zh-CN"/>
                    </w:rPr>
                    <w:t>2</w:t>
                  </w:r>
                </w:p>
              </w:tc>
              <w:tc>
                <w:tcPr>
                  <w:tcW w:w="480" w:type="pct"/>
                  <w:tcBorders>
                    <w:tl2br w:val="nil"/>
                    <w:tr2bl w:val="nil"/>
                  </w:tcBorders>
                  <w:noWrap w:val="0"/>
                  <w:vAlign w:val="center"/>
                </w:tcPr>
                <w:p>
                  <w:pPr>
                    <w:pStyle w:val="33"/>
                    <w:rPr>
                      <w:rFonts w:hint="default"/>
                      <w:lang w:val="en-US" w:eastAsia="zh-CN"/>
                    </w:rPr>
                  </w:pPr>
                  <w:r>
                    <w:rPr>
                      <w:color w:val="auto"/>
                    </w:rPr>
                    <w:t>0.</w:t>
                  </w:r>
                  <w:r>
                    <w:rPr>
                      <w:rFonts w:hint="eastAsia"/>
                      <w:color w:val="auto"/>
                    </w:rPr>
                    <w:t>0</w:t>
                  </w:r>
                  <w:r>
                    <w:rPr>
                      <w:rFonts w:hint="eastAsia"/>
                      <w:color w:val="auto"/>
                      <w:lang w:val="en-US" w:eastAsia="zh-CN"/>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44" w:type="pct"/>
                  <w:vMerge w:val="continue"/>
                  <w:tcBorders>
                    <w:tl2br w:val="nil"/>
                    <w:tr2bl w:val="nil"/>
                  </w:tcBorders>
                  <w:noWrap w:val="0"/>
                  <w:vAlign w:val="center"/>
                </w:tcPr>
                <w:p>
                  <w:pPr>
                    <w:pStyle w:val="33"/>
                    <w:bidi w:val="0"/>
                    <w:rPr>
                      <w:rFonts w:hint="default"/>
                    </w:rPr>
                  </w:pPr>
                </w:p>
              </w:tc>
              <w:tc>
                <w:tcPr>
                  <w:tcW w:w="408" w:type="pct"/>
                  <w:vMerge w:val="continue"/>
                  <w:tcBorders>
                    <w:tl2br w:val="nil"/>
                    <w:tr2bl w:val="nil"/>
                  </w:tcBorders>
                  <w:noWrap w:val="0"/>
                  <w:vAlign w:val="center"/>
                </w:tcPr>
                <w:p>
                  <w:pPr>
                    <w:pStyle w:val="33"/>
                    <w:bidi w:val="0"/>
                    <w:rPr>
                      <w:rFonts w:hint="default"/>
                    </w:rPr>
                  </w:pPr>
                </w:p>
              </w:tc>
              <w:tc>
                <w:tcPr>
                  <w:tcW w:w="439" w:type="pct"/>
                  <w:vMerge w:val="continue"/>
                  <w:tcBorders>
                    <w:tl2br w:val="nil"/>
                    <w:tr2bl w:val="nil"/>
                  </w:tcBorders>
                  <w:noWrap w:val="0"/>
                  <w:vAlign w:val="center"/>
                </w:tcPr>
                <w:p>
                  <w:pPr>
                    <w:pStyle w:val="33"/>
                    <w:bidi w:val="0"/>
                    <w:rPr>
                      <w:rFonts w:hint="default"/>
                    </w:rPr>
                  </w:pPr>
                </w:p>
              </w:tc>
              <w:tc>
                <w:tcPr>
                  <w:tcW w:w="440" w:type="pct"/>
                  <w:vMerge w:val="continue"/>
                  <w:tcBorders>
                    <w:tl2br w:val="nil"/>
                    <w:tr2bl w:val="nil"/>
                  </w:tcBorders>
                  <w:noWrap w:val="0"/>
                  <w:vAlign w:val="center"/>
                </w:tcPr>
                <w:p>
                  <w:pPr>
                    <w:pStyle w:val="33"/>
                    <w:bidi w:val="0"/>
                    <w:rPr>
                      <w:rFonts w:hint="default"/>
                    </w:rPr>
                  </w:pPr>
                </w:p>
              </w:tc>
              <w:tc>
                <w:tcPr>
                  <w:tcW w:w="463" w:type="pct"/>
                  <w:vMerge w:val="continue"/>
                  <w:tcBorders>
                    <w:tl2br w:val="nil"/>
                    <w:tr2bl w:val="nil"/>
                  </w:tcBorders>
                  <w:noWrap w:val="0"/>
                  <w:vAlign w:val="center"/>
                </w:tcPr>
                <w:p>
                  <w:pPr>
                    <w:pStyle w:val="33"/>
                    <w:bidi w:val="0"/>
                    <w:rPr>
                      <w:rFonts w:hint="default"/>
                    </w:rPr>
                  </w:pPr>
                </w:p>
              </w:tc>
              <w:tc>
                <w:tcPr>
                  <w:tcW w:w="521" w:type="pct"/>
                  <w:vMerge w:val="continue"/>
                  <w:tcBorders>
                    <w:tl2br w:val="nil"/>
                    <w:tr2bl w:val="nil"/>
                  </w:tcBorders>
                  <w:noWrap w:val="0"/>
                  <w:vAlign w:val="center"/>
                </w:tcPr>
                <w:p>
                  <w:pPr>
                    <w:pStyle w:val="33"/>
                    <w:bidi w:val="0"/>
                    <w:rPr>
                      <w:rFonts w:hint="default"/>
                    </w:rPr>
                  </w:pPr>
                </w:p>
              </w:tc>
              <w:tc>
                <w:tcPr>
                  <w:tcW w:w="494" w:type="pct"/>
                  <w:vMerge w:val="continue"/>
                  <w:tcBorders>
                    <w:tl2br w:val="nil"/>
                    <w:tr2bl w:val="nil"/>
                  </w:tcBorders>
                  <w:noWrap w:val="0"/>
                  <w:vAlign w:val="center"/>
                </w:tcPr>
                <w:p>
                  <w:pPr>
                    <w:pStyle w:val="33"/>
                    <w:bidi w:val="0"/>
                    <w:rPr>
                      <w:rFonts w:hint="default"/>
                    </w:rPr>
                  </w:pPr>
                </w:p>
              </w:tc>
              <w:tc>
                <w:tcPr>
                  <w:tcW w:w="421" w:type="pct"/>
                  <w:vMerge w:val="continue"/>
                  <w:tcBorders>
                    <w:tl2br w:val="nil"/>
                    <w:tr2bl w:val="nil"/>
                  </w:tcBorders>
                  <w:noWrap w:val="0"/>
                  <w:vAlign w:val="center"/>
                </w:tcPr>
                <w:p>
                  <w:pPr>
                    <w:pStyle w:val="33"/>
                    <w:bidi w:val="0"/>
                    <w:rPr>
                      <w:rFonts w:hint="default"/>
                    </w:rPr>
                  </w:pPr>
                </w:p>
              </w:tc>
              <w:tc>
                <w:tcPr>
                  <w:tcW w:w="433" w:type="pct"/>
                  <w:vMerge w:val="continue"/>
                  <w:tcBorders>
                    <w:tl2br w:val="nil"/>
                    <w:tr2bl w:val="nil"/>
                  </w:tcBorders>
                  <w:noWrap w:val="0"/>
                  <w:vAlign w:val="center"/>
                </w:tcPr>
                <w:p>
                  <w:pPr>
                    <w:pStyle w:val="33"/>
                    <w:bidi w:val="0"/>
                    <w:rPr>
                      <w:rFonts w:hint="default"/>
                    </w:rPr>
                  </w:pPr>
                </w:p>
              </w:tc>
              <w:tc>
                <w:tcPr>
                  <w:tcW w:w="224" w:type="pct"/>
                  <w:vMerge w:val="continue"/>
                  <w:tcBorders>
                    <w:tl2br w:val="nil"/>
                    <w:tr2bl w:val="nil"/>
                  </w:tcBorders>
                  <w:noWrap w:val="0"/>
                  <w:vAlign w:val="center"/>
                </w:tcPr>
                <w:p>
                  <w:pPr>
                    <w:pStyle w:val="33"/>
                    <w:bidi w:val="0"/>
                    <w:rPr>
                      <w:rFonts w:hint="default"/>
                    </w:rPr>
                  </w:pPr>
                </w:p>
              </w:tc>
              <w:tc>
                <w:tcPr>
                  <w:tcW w:w="325" w:type="pct"/>
                  <w:tcBorders>
                    <w:tl2br w:val="nil"/>
                    <w:tr2bl w:val="nil"/>
                  </w:tcBorders>
                  <w:noWrap w:val="0"/>
                  <w:vAlign w:val="center"/>
                </w:tcPr>
                <w:p>
                  <w:pPr>
                    <w:pStyle w:val="33"/>
                    <w:bidi w:val="0"/>
                    <w:rPr>
                      <w:rFonts w:hint="default"/>
                      <w:lang w:val="en-US" w:eastAsia="zh-CN"/>
                    </w:rPr>
                  </w:pPr>
                  <w:r>
                    <w:rPr>
                      <w:rFonts w:hint="default"/>
                      <w:lang w:val="en-US" w:eastAsia="zh-CN"/>
                    </w:rPr>
                    <w:t>NO</w:t>
                  </w:r>
                  <w:r>
                    <w:rPr>
                      <w:rFonts w:hint="default"/>
                      <w:vertAlign w:val="subscript"/>
                      <w:lang w:val="en-US" w:eastAsia="zh-CN"/>
                    </w:rPr>
                    <w:t>X</w:t>
                  </w:r>
                </w:p>
              </w:tc>
              <w:tc>
                <w:tcPr>
                  <w:tcW w:w="480" w:type="pct"/>
                  <w:tcBorders>
                    <w:tl2br w:val="nil"/>
                    <w:tr2bl w:val="nil"/>
                  </w:tcBorders>
                  <w:noWrap w:val="0"/>
                  <w:vAlign w:val="center"/>
                </w:tcPr>
                <w:p>
                  <w:pPr>
                    <w:pStyle w:val="33"/>
                    <w:rPr>
                      <w:rFonts w:hint="default"/>
                      <w:lang w:val="en-US" w:eastAsia="zh-CN"/>
                    </w:rPr>
                  </w:pPr>
                  <w:r>
                    <w:rPr>
                      <w:rFonts w:hint="eastAsia"/>
                      <w:highlight w:val="none"/>
                      <w:lang w:val="en-US" w:eastAsia="zh-CN"/>
                    </w:rPr>
                    <w:t>0.17</w:t>
                  </w:r>
                </w:p>
              </w:tc>
            </w:tr>
          </w:tbl>
          <w:p>
            <w:pPr>
              <w:pStyle w:val="7"/>
              <w:jc w:val="both"/>
              <w:outlineLvl w:val="2"/>
            </w:pPr>
            <w:r>
              <w:rPr>
                <w:rFonts w:hint="eastAsia"/>
              </w:rPr>
              <w:t>2.5 监测计划</w:t>
            </w:r>
          </w:p>
          <w:p>
            <w:pPr>
              <w:pStyle w:val="22"/>
              <w:ind w:firstLine="480"/>
              <w:jc w:val="both"/>
              <w:rPr>
                <w:szCs w:val="32"/>
              </w:rPr>
            </w:pPr>
            <w:r>
              <w:t>根据《排污单位自行监测技术指南</w:t>
            </w:r>
            <w:r>
              <w:rPr>
                <w:rFonts w:hint="eastAsia"/>
              </w:rPr>
              <w:t xml:space="preserve"> </w:t>
            </w:r>
            <w:r>
              <w:t>总则》（HJ 819-2017）</w:t>
            </w:r>
            <w:r>
              <w:rPr>
                <w:rFonts w:hint="eastAsia"/>
              </w:rPr>
              <w:t>及《</w:t>
            </w:r>
            <w:r>
              <w:rPr>
                <w:rFonts w:cs="Times New Roman"/>
                <w:color w:val="000000"/>
              </w:rPr>
              <w:t>排污单位自行监测技术指南 火力发电及锅炉》</w:t>
            </w:r>
            <w:r>
              <w:rPr>
                <w:rFonts w:hint="eastAsia" w:cs="Times New Roman"/>
                <w:color w:val="000000"/>
              </w:rPr>
              <w:t>（</w:t>
            </w:r>
            <w:r>
              <w:rPr>
                <w:rFonts w:cs="Times New Roman"/>
                <w:color w:val="000000"/>
              </w:rPr>
              <w:t>HJ 820-2017</w:t>
            </w:r>
            <w:r>
              <w:rPr>
                <w:rFonts w:hint="eastAsia" w:cs="Times New Roman"/>
                <w:color w:val="000000"/>
              </w:rPr>
              <w:t>）</w:t>
            </w:r>
            <w:r>
              <w:t>相关规定，排污单位应按照最新的监测方案开展监测活动，</w:t>
            </w:r>
            <w:r>
              <w:rPr>
                <w:rFonts w:hint="eastAsia"/>
              </w:rPr>
              <w:t>建设单位可委托有资质的环境监测机构进行监测。同时，企业应建立健全污染源监控和环境监测技术档案，并接受当地环境保护主管部门的业务指导、监督和检查。具体监测项目及内容如下：</w:t>
            </w:r>
          </w:p>
          <w:p>
            <w:pPr>
              <w:pStyle w:val="32"/>
            </w:pPr>
            <w:r>
              <w:t>表</w:t>
            </w:r>
            <w:r>
              <w:rPr>
                <w:rFonts w:hint="eastAsia"/>
              </w:rPr>
              <w:t>4-</w:t>
            </w:r>
            <w:r>
              <w:rPr>
                <w:rFonts w:hint="eastAsia"/>
                <w:lang w:val="en-US" w:eastAsia="zh-CN"/>
              </w:rPr>
              <w:t>10</w:t>
            </w:r>
            <w:r>
              <w:t xml:space="preserve">   </w:t>
            </w:r>
            <w:r>
              <w:rPr>
                <w:rFonts w:hint="eastAsia"/>
              </w:rPr>
              <w:t xml:space="preserve">  废气</w:t>
            </w:r>
            <w:r>
              <w:t>监测内容及计划</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080"/>
              <w:gridCol w:w="1963"/>
              <w:gridCol w:w="1138"/>
              <w:gridCol w:w="29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 w:type="pct"/>
                  <w:tcBorders>
                    <w:bottom w:val="single" w:color="auto" w:sz="12" w:space="0"/>
                  </w:tcBorders>
                  <w:vAlign w:val="center"/>
                </w:tcPr>
                <w:p>
                  <w:pPr>
                    <w:pStyle w:val="33"/>
                    <w:rPr>
                      <w:b/>
                      <w:bCs/>
                    </w:rPr>
                  </w:pPr>
                  <w:r>
                    <w:rPr>
                      <w:b/>
                      <w:bCs/>
                    </w:rPr>
                    <w:t>因素</w:t>
                  </w:r>
                </w:p>
              </w:tc>
              <w:tc>
                <w:tcPr>
                  <w:tcW w:w="686" w:type="pct"/>
                  <w:tcBorders>
                    <w:bottom w:val="single" w:color="auto" w:sz="12" w:space="0"/>
                  </w:tcBorders>
                  <w:vAlign w:val="center"/>
                </w:tcPr>
                <w:p>
                  <w:pPr>
                    <w:pStyle w:val="33"/>
                    <w:rPr>
                      <w:b/>
                      <w:bCs/>
                    </w:rPr>
                  </w:pPr>
                  <w:r>
                    <w:rPr>
                      <w:b/>
                      <w:bCs/>
                    </w:rPr>
                    <w:t>监测位置</w:t>
                  </w:r>
                </w:p>
              </w:tc>
              <w:tc>
                <w:tcPr>
                  <w:tcW w:w="1247" w:type="pct"/>
                  <w:tcBorders>
                    <w:bottom w:val="single" w:color="auto" w:sz="12" w:space="0"/>
                  </w:tcBorders>
                  <w:vAlign w:val="center"/>
                </w:tcPr>
                <w:p>
                  <w:pPr>
                    <w:pStyle w:val="33"/>
                    <w:rPr>
                      <w:b/>
                      <w:bCs/>
                    </w:rPr>
                  </w:pPr>
                  <w:r>
                    <w:rPr>
                      <w:b/>
                      <w:bCs/>
                    </w:rPr>
                    <w:t>监测指标</w:t>
                  </w:r>
                </w:p>
              </w:tc>
              <w:tc>
                <w:tcPr>
                  <w:tcW w:w="723" w:type="pct"/>
                  <w:tcBorders>
                    <w:bottom w:val="single" w:color="auto" w:sz="12" w:space="0"/>
                  </w:tcBorders>
                  <w:vAlign w:val="center"/>
                </w:tcPr>
                <w:p>
                  <w:pPr>
                    <w:pStyle w:val="33"/>
                    <w:rPr>
                      <w:b/>
                      <w:bCs/>
                    </w:rPr>
                  </w:pPr>
                  <w:r>
                    <w:rPr>
                      <w:b/>
                      <w:bCs/>
                    </w:rPr>
                    <w:t>监测频次</w:t>
                  </w:r>
                </w:p>
              </w:tc>
              <w:tc>
                <w:tcPr>
                  <w:tcW w:w="1889" w:type="pct"/>
                  <w:tcBorders>
                    <w:bottom w:val="single" w:color="auto" w:sz="12" w:space="0"/>
                  </w:tcBorders>
                  <w:vAlign w:val="center"/>
                </w:tcPr>
                <w:p>
                  <w:pPr>
                    <w:pStyle w:val="33"/>
                    <w:rPr>
                      <w:b/>
                      <w:bCs/>
                    </w:rPr>
                  </w:pPr>
                  <w:r>
                    <w:rPr>
                      <w:b/>
                      <w:bCs/>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 w:type="pct"/>
                  <w:vMerge w:val="restart"/>
                  <w:tcBorders>
                    <w:top w:val="single" w:color="auto" w:sz="12" w:space="0"/>
                    <w:tl2br w:val="nil"/>
                    <w:tr2bl w:val="nil"/>
                  </w:tcBorders>
                  <w:vAlign w:val="center"/>
                </w:tcPr>
                <w:p>
                  <w:pPr>
                    <w:pStyle w:val="33"/>
                  </w:pPr>
                  <w:r>
                    <w:t>废气</w:t>
                  </w:r>
                </w:p>
              </w:tc>
              <w:tc>
                <w:tcPr>
                  <w:tcW w:w="686" w:type="pct"/>
                  <w:vMerge w:val="restart"/>
                  <w:tcBorders>
                    <w:top w:val="single" w:color="auto" w:sz="12" w:space="0"/>
                    <w:tl2br w:val="nil"/>
                    <w:tr2bl w:val="nil"/>
                  </w:tcBorders>
                  <w:vAlign w:val="center"/>
                </w:tcPr>
                <w:p>
                  <w:pPr>
                    <w:pStyle w:val="33"/>
                  </w:pPr>
                  <w:r>
                    <w:rPr>
                      <w:rFonts w:hint="eastAsia"/>
                      <w:lang w:val="en-US" w:eastAsia="zh-CN"/>
                    </w:rPr>
                    <w:t>锅炉</w:t>
                  </w:r>
                  <w:r>
                    <w:t>排气筒</w:t>
                  </w:r>
                </w:p>
              </w:tc>
              <w:tc>
                <w:tcPr>
                  <w:tcW w:w="1247" w:type="pct"/>
                  <w:tcBorders>
                    <w:top w:val="single" w:color="auto" w:sz="12" w:space="0"/>
                    <w:tl2br w:val="nil"/>
                    <w:tr2bl w:val="nil"/>
                  </w:tcBorders>
                  <w:vAlign w:val="center"/>
                </w:tcPr>
                <w:p>
                  <w:pPr>
                    <w:pStyle w:val="33"/>
                  </w:pPr>
                  <w:r>
                    <w:t>氮氧化物</w:t>
                  </w:r>
                </w:p>
              </w:tc>
              <w:tc>
                <w:tcPr>
                  <w:tcW w:w="723" w:type="pct"/>
                  <w:tcBorders>
                    <w:top w:val="single" w:color="auto" w:sz="12" w:space="0"/>
                    <w:tl2br w:val="nil"/>
                    <w:tr2bl w:val="nil"/>
                  </w:tcBorders>
                  <w:vAlign w:val="center"/>
                </w:tcPr>
                <w:p>
                  <w:pPr>
                    <w:pStyle w:val="33"/>
                  </w:pPr>
                  <w:r>
                    <w:rPr>
                      <w:rFonts w:hint="default" w:ascii="Times New Roman" w:hAnsi="Times New Roman" w:cs="Times New Roman"/>
                      <w:b w:val="0"/>
                      <w:bCs w:val="0"/>
                      <w:color w:val="auto"/>
                      <w:sz w:val="21"/>
                      <w:szCs w:val="21"/>
                    </w:rPr>
                    <w:t>1次/</w:t>
                  </w:r>
                  <w:r>
                    <w:rPr>
                      <w:rFonts w:hint="eastAsia" w:cs="Times New Roman"/>
                      <w:b w:val="0"/>
                      <w:bCs w:val="0"/>
                      <w:color w:val="auto"/>
                      <w:sz w:val="21"/>
                      <w:szCs w:val="21"/>
                      <w:lang w:val="en-US" w:eastAsia="zh-CN"/>
                    </w:rPr>
                    <w:t>月</w:t>
                  </w:r>
                </w:p>
              </w:tc>
              <w:tc>
                <w:tcPr>
                  <w:tcW w:w="1889" w:type="pct"/>
                  <w:tcBorders>
                    <w:top w:val="single" w:color="auto" w:sz="12" w:space="0"/>
                    <w:tl2br w:val="nil"/>
                    <w:tr2bl w:val="nil"/>
                  </w:tcBorders>
                  <w:vAlign w:val="center"/>
                </w:tcPr>
                <w:p>
                  <w:pPr>
                    <w:pStyle w:val="33"/>
                    <w:rPr>
                      <w:lang w:val="en-US" w:eastAsia="zh-CN"/>
                    </w:rPr>
                  </w:pPr>
                  <w:r>
                    <w:rPr>
                      <w:lang w:val="en-US" w:eastAsia="zh-CN"/>
                    </w:rPr>
                    <w:t>《关于开展自治区</w:t>
                  </w:r>
                  <w:r>
                    <w:rPr>
                      <w:rFonts w:hint="eastAsia"/>
                      <w:lang w:val="en-US" w:eastAsia="zh-CN"/>
                    </w:rPr>
                    <w:t>2022年度夏秋季大气污染防治“冬病夏治”工作的通知》（新环大气函〔2022〕483号）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 w:type="pct"/>
                  <w:vMerge w:val="continue"/>
                  <w:tcBorders>
                    <w:tl2br w:val="nil"/>
                    <w:tr2bl w:val="nil"/>
                  </w:tcBorders>
                  <w:vAlign w:val="center"/>
                </w:tcPr>
                <w:p>
                  <w:pPr>
                    <w:pStyle w:val="33"/>
                  </w:pPr>
                </w:p>
              </w:tc>
              <w:tc>
                <w:tcPr>
                  <w:tcW w:w="686" w:type="pct"/>
                  <w:vMerge w:val="continue"/>
                  <w:tcBorders>
                    <w:tl2br w:val="nil"/>
                    <w:tr2bl w:val="nil"/>
                  </w:tcBorders>
                  <w:vAlign w:val="center"/>
                </w:tcPr>
                <w:p>
                  <w:pPr>
                    <w:pStyle w:val="33"/>
                  </w:pPr>
                </w:p>
              </w:tc>
              <w:tc>
                <w:tcPr>
                  <w:tcW w:w="1247" w:type="pct"/>
                  <w:tcBorders>
                    <w:tl2br w:val="nil"/>
                    <w:tr2bl w:val="nil"/>
                  </w:tcBorders>
                  <w:vAlign w:val="center"/>
                </w:tcPr>
                <w:p>
                  <w:pPr>
                    <w:pStyle w:val="33"/>
                    <w:rPr>
                      <w:lang w:val="en-US" w:eastAsia="zh-CN"/>
                    </w:rPr>
                  </w:pPr>
                  <w:r>
                    <w:t>颗粒物</w:t>
                  </w:r>
                </w:p>
              </w:tc>
              <w:tc>
                <w:tcPr>
                  <w:tcW w:w="723" w:type="pct"/>
                  <w:tcBorders>
                    <w:tl2br w:val="nil"/>
                    <w:tr2bl w:val="nil"/>
                  </w:tcBorders>
                  <w:vAlign w:val="center"/>
                </w:tcPr>
                <w:p>
                  <w:pPr>
                    <w:pStyle w:val="33"/>
                  </w:pPr>
                  <w:r>
                    <w:rPr>
                      <w:rFonts w:hint="default" w:ascii="Times New Roman" w:hAnsi="Times New Roman" w:cs="Times New Roman"/>
                      <w:b w:val="0"/>
                      <w:bCs w:val="0"/>
                      <w:color w:val="auto"/>
                      <w:sz w:val="21"/>
                      <w:szCs w:val="21"/>
                    </w:rPr>
                    <w:t>1次/</w:t>
                  </w:r>
                  <w:r>
                    <w:rPr>
                      <w:rFonts w:hint="default" w:ascii="Times New Roman" w:hAnsi="Times New Roman" w:cs="Times New Roman"/>
                      <w:b w:val="0"/>
                      <w:bCs w:val="0"/>
                      <w:color w:val="auto"/>
                      <w:sz w:val="21"/>
                      <w:szCs w:val="21"/>
                      <w:lang w:val="en-US" w:eastAsia="zh-CN"/>
                    </w:rPr>
                    <w:t>年</w:t>
                  </w:r>
                </w:p>
              </w:tc>
              <w:tc>
                <w:tcPr>
                  <w:tcW w:w="1889" w:type="pct"/>
                  <w:vMerge w:val="restart"/>
                  <w:tcBorders>
                    <w:tl2br w:val="nil"/>
                    <w:tr2bl w:val="nil"/>
                  </w:tcBorders>
                  <w:vAlign w:val="center"/>
                </w:tcPr>
                <w:p>
                  <w:pPr>
                    <w:pStyle w:val="33"/>
                  </w:pPr>
                  <w:r>
                    <w:t>《锅炉大气污染物排放标准》（GB13271-2014）表3中燃气锅炉大气污染物特别排放限值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 w:type="pct"/>
                  <w:vMerge w:val="continue"/>
                  <w:tcBorders>
                    <w:tl2br w:val="nil"/>
                    <w:tr2bl w:val="nil"/>
                  </w:tcBorders>
                  <w:vAlign w:val="center"/>
                </w:tcPr>
                <w:p>
                  <w:pPr>
                    <w:pStyle w:val="33"/>
                  </w:pPr>
                </w:p>
              </w:tc>
              <w:tc>
                <w:tcPr>
                  <w:tcW w:w="686" w:type="pct"/>
                  <w:vMerge w:val="continue"/>
                  <w:tcBorders>
                    <w:tl2br w:val="nil"/>
                    <w:tr2bl w:val="nil"/>
                  </w:tcBorders>
                  <w:vAlign w:val="center"/>
                </w:tcPr>
                <w:p>
                  <w:pPr>
                    <w:pStyle w:val="33"/>
                  </w:pPr>
                </w:p>
              </w:tc>
              <w:tc>
                <w:tcPr>
                  <w:tcW w:w="1247" w:type="pct"/>
                  <w:tcBorders>
                    <w:tl2br w:val="nil"/>
                    <w:tr2bl w:val="nil"/>
                  </w:tcBorders>
                  <w:vAlign w:val="center"/>
                </w:tcPr>
                <w:p>
                  <w:pPr>
                    <w:pStyle w:val="33"/>
                  </w:pPr>
                  <w:r>
                    <w:t>二氧化硫</w:t>
                  </w:r>
                </w:p>
              </w:tc>
              <w:tc>
                <w:tcPr>
                  <w:tcW w:w="723" w:type="pct"/>
                  <w:tcBorders>
                    <w:tl2br w:val="nil"/>
                    <w:tr2bl w:val="nil"/>
                  </w:tcBorders>
                  <w:vAlign w:val="center"/>
                </w:tcPr>
                <w:p>
                  <w:pPr>
                    <w:pStyle w:val="33"/>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1次/</w:t>
                  </w:r>
                  <w:r>
                    <w:rPr>
                      <w:rFonts w:hint="default" w:ascii="Times New Roman" w:hAnsi="Times New Roman" w:cs="Times New Roman"/>
                      <w:b w:val="0"/>
                      <w:bCs w:val="0"/>
                      <w:color w:val="auto"/>
                      <w:sz w:val="21"/>
                      <w:szCs w:val="21"/>
                      <w:lang w:val="en-US" w:eastAsia="zh-CN"/>
                    </w:rPr>
                    <w:t>年</w:t>
                  </w:r>
                </w:p>
              </w:tc>
              <w:tc>
                <w:tcPr>
                  <w:tcW w:w="1889" w:type="pct"/>
                  <w:vMerge w:val="continue"/>
                  <w:tcBorders>
                    <w:tl2br w:val="nil"/>
                    <w:tr2bl w:val="nil"/>
                  </w:tcBorders>
                  <w:vAlign w:val="center"/>
                </w:tcPr>
                <w:p>
                  <w:pPr>
                    <w:pStyle w:val="33"/>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 w:type="pct"/>
                  <w:vMerge w:val="continue"/>
                  <w:tcBorders>
                    <w:tl2br w:val="nil"/>
                    <w:tr2bl w:val="nil"/>
                  </w:tcBorders>
                  <w:vAlign w:val="center"/>
                </w:tcPr>
                <w:p>
                  <w:pPr>
                    <w:pStyle w:val="33"/>
                  </w:pPr>
                </w:p>
              </w:tc>
              <w:tc>
                <w:tcPr>
                  <w:tcW w:w="686" w:type="pct"/>
                  <w:vMerge w:val="continue"/>
                  <w:tcBorders>
                    <w:tl2br w:val="nil"/>
                    <w:tr2bl w:val="nil"/>
                  </w:tcBorders>
                  <w:vAlign w:val="center"/>
                </w:tcPr>
                <w:p>
                  <w:pPr>
                    <w:pStyle w:val="33"/>
                  </w:pPr>
                </w:p>
              </w:tc>
              <w:tc>
                <w:tcPr>
                  <w:tcW w:w="1247" w:type="pct"/>
                  <w:tcBorders>
                    <w:tl2br w:val="nil"/>
                    <w:tr2bl w:val="nil"/>
                  </w:tcBorders>
                  <w:vAlign w:val="center"/>
                </w:tcPr>
                <w:p>
                  <w:pPr>
                    <w:pStyle w:val="33"/>
                  </w:pPr>
                  <w:r>
                    <w:rPr>
                      <w:rFonts w:hint="default" w:ascii="Times New Roman" w:hAnsi="Times New Roman" w:cs="Times New Roman"/>
                      <w:b w:val="0"/>
                      <w:bCs w:val="0"/>
                      <w:color w:val="auto"/>
                      <w:sz w:val="21"/>
                      <w:szCs w:val="21"/>
                      <w:lang w:val="en-US" w:eastAsia="zh-CN"/>
                    </w:rPr>
                    <w:t>烟气黑度（林格曼）</w:t>
                  </w:r>
                </w:p>
              </w:tc>
              <w:tc>
                <w:tcPr>
                  <w:tcW w:w="723" w:type="pct"/>
                  <w:tcBorders>
                    <w:tl2br w:val="nil"/>
                    <w:tr2bl w:val="nil"/>
                  </w:tcBorders>
                  <w:vAlign w:val="center"/>
                </w:tcPr>
                <w:p>
                  <w:pPr>
                    <w:pStyle w:val="33"/>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1次/</w:t>
                  </w:r>
                  <w:r>
                    <w:rPr>
                      <w:rFonts w:hint="default" w:ascii="Times New Roman" w:hAnsi="Times New Roman" w:cs="Times New Roman"/>
                      <w:b w:val="0"/>
                      <w:bCs w:val="0"/>
                      <w:color w:val="auto"/>
                      <w:sz w:val="21"/>
                      <w:szCs w:val="21"/>
                      <w:lang w:val="en-US" w:eastAsia="zh-CN"/>
                    </w:rPr>
                    <w:t>年</w:t>
                  </w:r>
                </w:p>
              </w:tc>
              <w:tc>
                <w:tcPr>
                  <w:tcW w:w="1889" w:type="pct"/>
                  <w:vMerge w:val="continue"/>
                  <w:tcBorders>
                    <w:tl2br w:val="nil"/>
                    <w:tr2bl w:val="nil"/>
                  </w:tcBorders>
                  <w:vAlign w:val="center"/>
                </w:tcPr>
                <w:p>
                  <w:pPr>
                    <w:pStyle w:val="33"/>
                  </w:pPr>
                </w:p>
              </w:tc>
            </w:tr>
          </w:tbl>
          <w:p>
            <w:pPr>
              <w:pStyle w:val="6"/>
              <w:numPr>
                <w:ilvl w:val="0"/>
                <w:numId w:val="14"/>
              </w:numPr>
              <w:jc w:val="both"/>
              <w:outlineLvl w:val="1"/>
              <w:rPr>
                <w:color w:val="auto"/>
              </w:rPr>
            </w:pPr>
            <w:r>
              <w:rPr>
                <w:rFonts w:hint="eastAsia"/>
                <w:color w:val="auto"/>
              </w:rPr>
              <w:t>噪声影响分析及减缓措施</w:t>
            </w:r>
          </w:p>
          <w:p>
            <w:pPr>
              <w:pStyle w:val="7"/>
              <w:jc w:val="both"/>
              <w:outlineLvl w:val="2"/>
              <w:rPr>
                <w:color w:val="auto"/>
              </w:rPr>
            </w:pPr>
            <w:r>
              <w:rPr>
                <w:rFonts w:hint="eastAsia"/>
                <w:color w:val="auto"/>
              </w:rPr>
              <w:t xml:space="preserve">3.1 </w:t>
            </w:r>
            <w:r>
              <w:rPr>
                <w:rFonts w:cs="Times New Roman"/>
                <w:bCs/>
                <w:color w:val="auto"/>
              </w:rPr>
              <w:t>噪声源</w:t>
            </w:r>
          </w:p>
          <w:p>
            <w:pPr>
              <w:pStyle w:val="22"/>
              <w:ind w:firstLine="480"/>
              <w:jc w:val="both"/>
              <w:rPr>
                <w:rFonts w:hint="default"/>
                <w:color w:val="auto"/>
              </w:rPr>
            </w:pPr>
            <w:r>
              <w:t>本项目噪声主要为</w:t>
            </w:r>
            <w:r>
              <w:rPr>
                <w:rFonts w:hint="eastAsia" w:ascii="Times New Roman" w:hAnsi="Times New Roman" w:cs="Times New Roman"/>
                <w:color w:val="auto"/>
                <w:lang w:val="en-US" w:eastAsia="zh-CN"/>
              </w:rPr>
              <w:t>燃烧器</w:t>
            </w:r>
            <w:r>
              <w:rPr>
                <w:rFonts w:hint="default" w:ascii="Times New Roman" w:hAnsi="Times New Roman" w:cs="Times New Roman"/>
                <w:color w:val="auto"/>
                <w:lang w:val="en-US" w:eastAsia="zh-CN"/>
              </w:rPr>
              <w:t>、风机</w:t>
            </w:r>
            <w:r>
              <w:t>等设备产生的噪声，设备均安装在</w:t>
            </w:r>
            <w:r>
              <w:rPr>
                <w:rFonts w:hint="eastAsia"/>
              </w:rPr>
              <w:t>厂房</w:t>
            </w:r>
            <w:r>
              <w:t>内，设备底座设置消声、减振基础垫等降噪措施。</w:t>
            </w:r>
          </w:p>
          <w:p>
            <w:pPr>
              <w:pStyle w:val="22"/>
              <w:bidi w:val="0"/>
              <w:jc w:val="both"/>
              <w:rPr>
                <w:rFonts w:hint="default"/>
                <w:color w:val="auto"/>
              </w:rPr>
            </w:pPr>
            <w:r>
              <w:rPr>
                <w:rFonts w:hint="default"/>
                <w:color w:val="auto"/>
              </w:rPr>
              <w:t>项目各设备噪声及治理措施见表</w:t>
            </w:r>
            <w:r>
              <w:rPr>
                <w:rFonts w:hint="eastAsia"/>
                <w:color w:val="auto"/>
                <w:lang w:val="en-US" w:eastAsia="zh-CN"/>
              </w:rPr>
              <w:t>4-11</w:t>
            </w:r>
            <w:r>
              <w:rPr>
                <w:rFonts w:hint="default"/>
                <w:color w:val="auto"/>
              </w:rPr>
              <w:t>。</w:t>
            </w:r>
          </w:p>
          <w:p>
            <w:pPr>
              <w:pStyle w:val="32"/>
              <w:bidi w:val="0"/>
              <w:rPr>
                <w:rFonts w:hint="default"/>
                <w:color w:val="auto"/>
              </w:rPr>
            </w:pPr>
            <w:r>
              <w:rPr>
                <w:rFonts w:hint="default"/>
                <w:color w:val="auto"/>
              </w:rPr>
              <w:t>表</w:t>
            </w:r>
            <w:r>
              <w:rPr>
                <w:rFonts w:hint="eastAsia"/>
                <w:color w:val="auto"/>
                <w:lang w:val="en-US" w:eastAsia="zh-CN"/>
              </w:rPr>
              <w:t xml:space="preserve">4-11 </w:t>
            </w:r>
            <w:r>
              <w:rPr>
                <w:rFonts w:hint="default"/>
                <w:color w:val="auto"/>
              </w:rPr>
              <w:t xml:space="preserve">  本项目噪声源强一览表</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9"/>
              <w:gridCol w:w="906"/>
              <w:gridCol w:w="972"/>
              <w:gridCol w:w="765"/>
              <w:gridCol w:w="606"/>
              <w:gridCol w:w="428"/>
              <w:gridCol w:w="428"/>
              <w:gridCol w:w="670"/>
              <w:gridCol w:w="1168"/>
              <w:gridCol w:w="10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6" w:type="pct"/>
                  <w:vMerge w:val="restart"/>
                  <w:tcBorders>
                    <w:tl2br w:val="nil"/>
                    <w:tr2bl w:val="nil"/>
                  </w:tcBorders>
                  <w:noWrap w:val="0"/>
                  <w:vAlign w:val="center"/>
                </w:tcPr>
                <w:p>
                  <w:pPr>
                    <w:pStyle w:val="33"/>
                    <w:bidi w:val="0"/>
                    <w:rPr>
                      <w:rFonts w:hint="default" w:eastAsia="宋体"/>
                      <w:b/>
                      <w:bCs/>
                      <w:color w:val="auto"/>
                      <w:lang w:val="en-US" w:eastAsia="zh-CN"/>
                    </w:rPr>
                  </w:pPr>
                  <w:r>
                    <w:rPr>
                      <w:rFonts w:hint="eastAsia"/>
                      <w:b/>
                      <w:bCs/>
                      <w:color w:val="auto"/>
                      <w:lang w:val="en-US" w:eastAsia="zh-CN"/>
                    </w:rPr>
                    <w:t>建筑物名称</w:t>
                  </w:r>
                </w:p>
              </w:tc>
              <w:tc>
                <w:tcPr>
                  <w:tcW w:w="576" w:type="pct"/>
                  <w:vMerge w:val="restart"/>
                  <w:tcBorders>
                    <w:tl2br w:val="nil"/>
                    <w:tr2bl w:val="nil"/>
                  </w:tcBorders>
                  <w:noWrap w:val="0"/>
                  <w:vAlign w:val="center"/>
                </w:tcPr>
                <w:p>
                  <w:pPr>
                    <w:pStyle w:val="33"/>
                    <w:bidi w:val="0"/>
                    <w:rPr>
                      <w:rFonts w:hint="default"/>
                      <w:b/>
                      <w:bCs/>
                      <w:color w:val="auto"/>
                    </w:rPr>
                  </w:pPr>
                  <w:r>
                    <w:rPr>
                      <w:rFonts w:hint="eastAsia"/>
                      <w:b/>
                      <w:bCs/>
                      <w:color w:val="auto"/>
                      <w:lang w:val="en-US" w:eastAsia="zh-CN"/>
                    </w:rPr>
                    <w:t>声源</w:t>
                  </w:r>
                  <w:r>
                    <w:rPr>
                      <w:rFonts w:hint="default"/>
                      <w:b/>
                      <w:bCs/>
                      <w:color w:val="auto"/>
                    </w:rPr>
                    <w:t>名称</w:t>
                  </w:r>
                </w:p>
              </w:tc>
              <w:tc>
                <w:tcPr>
                  <w:tcW w:w="618" w:type="pct"/>
                  <w:vMerge w:val="restart"/>
                  <w:tcBorders>
                    <w:tl2br w:val="nil"/>
                    <w:tr2bl w:val="nil"/>
                  </w:tcBorders>
                  <w:noWrap w:val="0"/>
                  <w:vAlign w:val="center"/>
                </w:tcPr>
                <w:p>
                  <w:pPr>
                    <w:pStyle w:val="33"/>
                    <w:bidi w:val="0"/>
                    <w:rPr>
                      <w:rFonts w:hint="default"/>
                      <w:b/>
                      <w:bCs/>
                      <w:color w:val="auto"/>
                    </w:rPr>
                  </w:pPr>
                  <w:r>
                    <w:rPr>
                      <w:rFonts w:hint="default"/>
                      <w:b/>
                      <w:bCs/>
                      <w:color w:val="auto"/>
                    </w:rPr>
                    <w:t>源强dB（A）</w:t>
                  </w:r>
                </w:p>
              </w:tc>
              <w:tc>
                <w:tcPr>
                  <w:tcW w:w="486" w:type="pct"/>
                  <w:vMerge w:val="restart"/>
                  <w:tcBorders>
                    <w:tl2br w:val="nil"/>
                    <w:tr2bl w:val="nil"/>
                  </w:tcBorders>
                  <w:noWrap w:val="0"/>
                  <w:vAlign w:val="center"/>
                </w:tcPr>
                <w:p>
                  <w:pPr>
                    <w:pStyle w:val="33"/>
                    <w:bidi w:val="0"/>
                    <w:rPr>
                      <w:rFonts w:hint="default"/>
                      <w:b/>
                      <w:bCs/>
                      <w:color w:val="auto"/>
                    </w:rPr>
                  </w:pPr>
                  <w:r>
                    <w:rPr>
                      <w:rFonts w:hint="default"/>
                      <w:b/>
                      <w:bCs/>
                      <w:color w:val="auto"/>
                    </w:rPr>
                    <w:t>数量</w:t>
                  </w:r>
                </w:p>
              </w:tc>
              <w:tc>
                <w:tcPr>
                  <w:tcW w:w="1355" w:type="pct"/>
                  <w:gridSpan w:val="4"/>
                  <w:tcBorders>
                    <w:bottom w:val="single" w:color="000000" w:sz="12" w:space="0"/>
                    <w:tl2br w:val="nil"/>
                    <w:tr2bl w:val="nil"/>
                  </w:tcBorders>
                  <w:noWrap w:val="0"/>
                  <w:vAlign w:val="center"/>
                </w:tcPr>
                <w:p>
                  <w:pPr>
                    <w:pStyle w:val="33"/>
                    <w:bidi w:val="0"/>
                    <w:rPr>
                      <w:rFonts w:hint="default" w:eastAsia="宋体"/>
                      <w:b/>
                      <w:bCs/>
                      <w:color w:val="auto"/>
                      <w:lang w:val="en-US" w:eastAsia="zh-CN"/>
                    </w:rPr>
                  </w:pPr>
                  <w:r>
                    <w:rPr>
                      <w:rFonts w:hint="eastAsia"/>
                      <w:b/>
                      <w:bCs/>
                      <w:color w:val="auto"/>
                      <w:lang w:val="en-US" w:eastAsia="zh-CN"/>
                    </w:rPr>
                    <w:t>距离室内边界距离/m</w:t>
                  </w:r>
                </w:p>
              </w:tc>
              <w:tc>
                <w:tcPr>
                  <w:tcW w:w="742" w:type="pct"/>
                  <w:vMerge w:val="restart"/>
                  <w:tcBorders>
                    <w:tl2br w:val="nil"/>
                    <w:tr2bl w:val="nil"/>
                  </w:tcBorders>
                  <w:noWrap w:val="0"/>
                  <w:vAlign w:val="center"/>
                </w:tcPr>
                <w:p>
                  <w:pPr>
                    <w:pStyle w:val="33"/>
                    <w:bidi w:val="0"/>
                    <w:rPr>
                      <w:rFonts w:hint="default"/>
                      <w:b/>
                      <w:bCs/>
                      <w:color w:val="auto"/>
                    </w:rPr>
                  </w:pPr>
                  <w:r>
                    <w:rPr>
                      <w:rFonts w:hint="eastAsia"/>
                      <w:b/>
                      <w:bCs/>
                      <w:color w:val="auto"/>
                      <w:lang w:val="en-US" w:eastAsia="zh-CN"/>
                    </w:rPr>
                    <w:t>声源控制</w:t>
                  </w:r>
                  <w:r>
                    <w:rPr>
                      <w:rFonts w:hint="default"/>
                      <w:b/>
                      <w:bCs/>
                      <w:color w:val="auto"/>
                    </w:rPr>
                    <w:t>措施</w:t>
                  </w:r>
                </w:p>
              </w:tc>
              <w:tc>
                <w:tcPr>
                  <w:tcW w:w="674" w:type="pct"/>
                  <w:vMerge w:val="restart"/>
                  <w:tcBorders>
                    <w:tl2br w:val="nil"/>
                    <w:tr2bl w:val="nil"/>
                  </w:tcBorders>
                  <w:noWrap w:val="0"/>
                  <w:vAlign w:val="center"/>
                </w:tcPr>
                <w:p>
                  <w:pPr>
                    <w:pStyle w:val="33"/>
                    <w:bidi w:val="0"/>
                    <w:rPr>
                      <w:rFonts w:hint="default" w:eastAsia="宋体"/>
                      <w:b/>
                      <w:bCs/>
                      <w:color w:val="auto"/>
                      <w:lang w:val="en-US" w:eastAsia="zh-CN"/>
                    </w:rPr>
                  </w:pPr>
                  <w:r>
                    <w:rPr>
                      <w:rFonts w:hint="eastAsia"/>
                      <w:b/>
                      <w:bCs/>
                      <w:color w:val="auto"/>
                      <w:highlight w:val="none"/>
                      <w:lang w:val="en-US" w:eastAsia="zh-CN"/>
                    </w:rPr>
                    <w:t>运行时段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6" w:type="pct"/>
                  <w:vMerge w:val="continue"/>
                  <w:tcBorders>
                    <w:bottom w:val="single" w:color="000000" w:sz="12" w:space="0"/>
                    <w:tl2br w:val="nil"/>
                    <w:tr2bl w:val="nil"/>
                  </w:tcBorders>
                  <w:noWrap w:val="0"/>
                  <w:vAlign w:val="center"/>
                </w:tcPr>
                <w:p>
                  <w:pPr>
                    <w:pStyle w:val="33"/>
                    <w:bidi w:val="0"/>
                    <w:rPr>
                      <w:rFonts w:hint="eastAsia"/>
                      <w:b/>
                      <w:bCs/>
                      <w:color w:val="auto"/>
                      <w:lang w:val="en-US" w:eastAsia="zh-CN"/>
                    </w:rPr>
                  </w:pPr>
                </w:p>
              </w:tc>
              <w:tc>
                <w:tcPr>
                  <w:tcW w:w="576" w:type="pct"/>
                  <w:vMerge w:val="continue"/>
                  <w:tcBorders>
                    <w:bottom w:val="single" w:color="000000" w:sz="12" w:space="0"/>
                    <w:tl2br w:val="nil"/>
                    <w:tr2bl w:val="nil"/>
                  </w:tcBorders>
                  <w:noWrap w:val="0"/>
                  <w:vAlign w:val="center"/>
                </w:tcPr>
                <w:p>
                  <w:pPr>
                    <w:pStyle w:val="33"/>
                    <w:bidi w:val="0"/>
                    <w:rPr>
                      <w:rFonts w:hint="eastAsia"/>
                      <w:b/>
                      <w:bCs/>
                      <w:color w:val="auto"/>
                      <w:lang w:val="en-US" w:eastAsia="zh-CN"/>
                    </w:rPr>
                  </w:pPr>
                </w:p>
              </w:tc>
              <w:tc>
                <w:tcPr>
                  <w:tcW w:w="618" w:type="pct"/>
                  <w:vMerge w:val="continue"/>
                  <w:tcBorders>
                    <w:bottom w:val="single" w:color="000000" w:sz="12" w:space="0"/>
                    <w:tl2br w:val="nil"/>
                    <w:tr2bl w:val="nil"/>
                  </w:tcBorders>
                  <w:noWrap w:val="0"/>
                  <w:vAlign w:val="center"/>
                </w:tcPr>
                <w:p>
                  <w:pPr>
                    <w:pStyle w:val="33"/>
                    <w:bidi w:val="0"/>
                    <w:rPr>
                      <w:rFonts w:hint="default"/>
                      <w:b/>
                      <w:bCs/>
                      <w:color w:val="auto"/>
                    </w:rPr>
                  </w:pPr>
                </w:p>
              </w:tc>
              <w:tc>
                <w:tcPr>
                  <w:tcW w:w="486" w:type="pct"/>
                  <w:vMerge w:val="continue"/>
                  <w:tcBorders>
                    <w:bottom w:val="single" w:color="000000" w:sz="12" w:space="0"/>
                    <w:tl2br w:val="nil"/>
                    <w:tr2bl w:val="nil"/>
                  </w:tcBorders>
                  <w:noWrap w:val="0"/>
                  <w:vAlign w:val="center"/>
                </w:tcPr>
                <w:p>
                  <w:pPr>
                    <w:pStyle w:val="33"/>
                    <w:bidi w:val="0"/>
                    <w:rPr>
                      <w:rFonts w:hint="default"/>
                      <w:b/>
                      <w:bCs/>
                      <w:color w:val="auto"/>
                    </w:rPr>
                  </w:pPr>
                </w:p>
              </w:tc>
              <w:tc>
                <w:tcPr>
                  <w:tcW w:w="385" w:type="pct"/>
                  <w:tcBorders>
                    <w:bottom w:val="single" w:color="000000" w:sz="12" w:space="0"/>
                    <w:tl2br w:val="nil"/>
                    <w:tr2bl w:val="nil"/>
                  </w:tcBorders>
                  <w:noWrap w:val="0"/>
                  <w:vAlign w:val="center"/>
                </w:tcPr>
                <w:p>
                  <w:pPr>
                    <w:pStyle w:val="33"/>
                    <w:bidi w:val="0"/>
                    <w:rPr>
                      <w:rFonts w:hint="default"/>
                      <w:b/>
                      <w:bCs/>
                      <w:color w:val="auto"/>
                      <w:lang w:val="en-US" w:eastAsia="zh-CN"/>
                    </w:rPr>
                  </w:pPr>
                  <w:r>
                    <w:rPr>
                      <w:rFonts w:hint="eastAsia"/>
                      <w:b/>
                      <w:bCs/>
                      <w:color w:val="auto"/>
                      <w:lang w:val="en-US" w:eastAsia="zh-CN"/>
                    </w:rPr>
                    <w:t>东</w:t>
                  </w:r>
                </w:p>
              </w:tc>
              <w:tc>
                <w:tcPr>
                  <w:tcW w:w="272" w:type="pct"/>
                  <w:tcBorders>
                    <w:bottom w:val="single" w:color="000000" w:sz="12" w:space="0"/>
                    <w:tl2br w:val="nil"/>
                    <w:tr2bl w:val="nil"/>
                  </w:tcBorders>
                  <w:noWrap w:val="0"/>
                  <w:vAlign w:val="center"/>
                </w:tcPr>
                <w:p>
                  <w:pPr>
                    <w:pStyle w:val="33"/>
                    <w:bidi w:val="0"/>
                    <w:rPr>
                      <w:rFonts w:hint="default"/>
                      <w:b/>
                      <w:bCs/>
                      <w:color w:val="auto"/>
                      <w:lang w:val="en-US" w:eastAsia="zh-CN"/>
                    </w:rPr>
                  </w:pPr>
                  <w:r>
                    <w:rPr>
                      <w:rFonts w:hint="eastAsia"/>
                      <w:b/>
                      <w:bCs/>
                      <w:color w:val="auto"/>
                      <w:lang w:val="en-US" w:eastAsia="zh-CN"/>
                    </w:rPr>
                    <w:t>南</w:t>
                  </w:r>
                </w:p>
              </w:tc>
              <w:tc>
                <w:tcPr>
                  <w:tcW w:w="272" w:type="pct"/>
                  <w:tcBorders>
                    <w:bottom w:val="single" w:color="000000" w:sz="12" w:space="0"/>
                    <w:tl2br w:val="nil"/>
                    <w:tr2bl w:val="nil"/>
                  </w:tcBorders>
                  <w:noWrap w:val="0"/>
                  <w:vAlign w:val="center"/>
                </w:tcPr>
                <w:p>
                  <w:pPr>
                    <w:pStyle w:val="33"/>
                    <w:bidi w:val="0"/>
                    <w:rPr>
                      <w:rFonts w:hint="default"/>
                      <w:b/>
                      <w:bCs/>
                      <w:color w:val="auto"/>
                      <w:lang w:val="en-US" w:eastAsia="zh-CN"/>
                    </w:rPr>
                  </w:pPr>
                  <w:r>
                    <w:rPr>
                      <w:rFonts w:hint="eastAsia"/>
                      <w:b/>
                      <w:bCs/>
                      <w:color w:val="auto"/>
                      <w:lang w:val="en-US" w:eastAsia="zh-CN"/>
                    </w:rPr>
                    <w:t>西</w:t>
                  </w:r>
                </w:p>
              </w:tc>
              <w:tc>
                <w:tcPr>
                  <w:tcW w:w="425" w:type="pct"/>
                  <w:tcBorders>
                    <w:bottom w:val="single" w:color="000000" w:sz="12" w:space="0"/>
                    <w:tl2br w:val="nil"/>
                    <w:tr2bl w:val="nil"/>
                  </w:tcBorders>
                  <w:noWrap w:val="0"/>
                  <w:vAlign w:val="center"/>
                </w:tcPr>
                <w:p>
                  <w:pPr>
                    <w:pStyle w:val="33"/>
                    <w:bidi w:val="0"/>
                    <w:rPr>
                      <w:rFonts w:hint="default"/>
                      <w:b/>
                      <w:bCs/>
                      <w:color w:val="auto"/>
                      <w:lang w:val="en-US" w:eastAsia="zh-CN"/>
                    </w:rPr>
                  </w:pPr>
                  <w:r>
                    <w:rPr>
                      <w:rFonts w:hint="eastAsia"/>
                      <w:b/>
                      <w:bCs/>
                      <w:color w:val="auto"/>
                      <w:lang w:val="en-US" w:eastAsia="zh-CN"/>
                    </w:rPr>
                    <w:t>北</w:t>
                  </w:r>
                </w:p>
              </w:tc>
              <w:tc>
                <w:tcPr>
                  <w:tcW w:w="742" w:type="pct"/>
                  <w:vMerge w:val="continue"/>
                  <w:tcBorders>
                    <w:bottom w:val="single" w:color="000000" w:sz="12" w:space="0"/>
                    <w:tl2br w:val="nil"/>
                    <w:tr2bl w:val="nil"/>
                  </w:tcBorders>
                  <w:noWrap w:val="0"/>
                  <w:vAlign w:val="center"/>
                </w:tcPr>
                <w:p>
                  <w:pPr>
                    <w:pStyle w:val="33"/>
                    <w:bidi w:val="0"/>
                    <w:rPr>
                      <w:rFonts w:hint="eastAsia"/>
                      <w:b/>
                      <w:bCs/>
                      <w:color w:val="auto"/>
                      <w:lang w:val="en-US" w:eastAsia="zh-CN"/>
                    </w:rPr>
                  </w:pPr>
                </w:p>
              </w:tc>
              <w:tc>
                <w:tcPr>
                  <w:tcW w:w="674" w:type="pct"/>
                  <w:vMerge w:val="continue"/>
                  <w:tcBorders>
                    <w:bottom w:val="single" w:color="000000" w:sz="12" w:space="0"/>
                    <w:tl2br w:val="nil"/>
                    <w:tr2bl w:val="nil"/>
                  </w:tcBorders>
                  <w:noWrap w:val="0"/>
                  <w:vAlign w:val="center"/>
                </w:tcPr>
                <w:p>
                  <w:pPr>
                    <w:pStyle w:val="33"/>
                    <w:bidi w:val="0"/>
                    <w:rPr>
                      <w:rFonts w:hint="eastAsia"/>
                      <w:b/>
                      <w:bCs/>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546" w:type="pct"/>
                  <w:vMerge w:val="restart"/>
                  <w:tcBorders>
                    <w:top w:val="single" w:color="000000" w:sz="12" w:space="0"/>
                    <w:tl2br w:val="nil"/>
                    <w:tr2bl w:val="nil"/>
                  </w:tcBorders>
                  <w:noWrap w:val="0"/>
                  <w:vAlign w:val="center"/>
                </w:tcPr>
                <w:p>
                  <w:pPr>
                    <w:pStyle w:val="33"/>
                    <w:bidi w:val="0"/>
                    <w:rPr>
                      <w:rFonts w:hint="default"/>
                      <w:color w:val="auto"/>
                      <w:lang w:val="en-US" w:eastAsia="zh-CN"/>
                    </w:rPr>
                  </w:pPr>
                  <w:r>
                    <w:rPr>
                      <w:rFonts w:hint="eastAsia"/>
                      <w:color w:val="auto"/>
                      <w:lang w:val="en-US" w:eastAsia="zh-CN"/>
                    </w:rPr>
                    <w:t>厂房</w:t>
                  </w:r>
                </w:p>
              </w:tc>
              <w:tc>
                <w:tcPr>
                  <w:tcW w:w="576" w:type="pct"/>
                  <w:tcBorders>
                    <w:top w:val="single" w:color="000000" w:sz="12" w:space="0"/>
                    <w:tl2br w:val="nil"/>
                    <w:tr2bl w:val="nil"/>
                  </w:tcBorders>
                  <w:noWrap w:val="0"/>
                  <w:vAlign w:val="center"/>
                </w:tcPr>
                <w:p>
                  <w:pPr>
                    <w:pStyle w:val="33"/>
                    <w:bidi w:val="0"/>
                    <w:rPr>
                      <w:rFonts w:hint="default" w:eastAsia="宋体"/>
                      <w:color w:val="auto"/>
                      <w:lang w:val="en-US" w:eastAsia="zh-CN"/>
                    </w:rPr>
                  </w:pPr>
                  <w:r>
                    <w:rPr>
                      <w:rFonts w:hint="eastAsia" w:ascii="Times New Roman" w:hAnsi="Times New Roman" w:cs="Times New Roman"/>
                      <w:color w:val="auto"/>
                      <w:lang w:val="en-US" w:eastAsia="zh-CN"/>
                    </w:rPr>
                    <w:t>燃烧器</w:t>
                  </w:r>
                </w:p>
              </w:tc>
              <w:tc>
                <w:tcPr>
                  <w:tcW w:w="618" w:type="pct"/>
                  <w:tcBorders>
                    <w:top w:val="single" w:color="000000" w:sz="12" w:space="0"/>
                    <w:tl2br w:val="nil"/>
                    <w:tr2bl w:val="nil"/>
                  </w:tcBorders>
                  <w:noWrap w:val="0"/>
                  <w:vAlign w:val="center"/>
                </w:tcPr>
                <w:p>
                  <w:pPr>
                    <w:pStyle w:val="33"/>
                    <w:bidi w:val="0"/>
                    <w:rPr>
                      <w:rFonts w:hint="default"/>
                      <w:color w:val="auto"/>
                    </w:rPr>
                  </w:pPr>
                  <w:r>
                    <w:rPr>
                      <w:rFonts w:hint="default"/>
                      <w:color w:val="auto"/>
                      <w:highlight w:val="none"/>
                    </w:rPr>
                    <w:t>7</w:t>
                  </w:r>
                  <w:r>
                    <w:rPr>
                      <w:rFonts w:hint="eastAsia"/>
                      <w:color w:val="auto"/>
                      <w:highlight w:val="none"/>
                      <w:lang w:val="en-US" w:eastAsia="zh-CN"/>
                    </w:rPr>
                    <w:t>0</w:t>
                  </w:r>
                  <w:r>
                    <w:rPr>
                      <w:rFonts w:hint="default"/>
                      <w:color w:val="auto"/>
                      <w:highlight w:val="none"/>
                    </w:rPr>
                    <w:t>~</w:t>
                  </w:r>
                  <w:r>
                    <w:rPr>
                      <w:rFonts w:hint="default"/>
                      <w:color w:val="auto"/>
                      <w:highlight w:val="none"/>
                      <w:lang w:val="en-US" w:eastAsia="zh-CN"/>
                    </w:rPr>
                    <w:t>90</w:t>
                  </w:r>
                </w:p>
              </w:tc>
              <w:tc>
                <w:tcPr>
                  <w:tcW w:w="486" w:type="pct"/>
                  <w:tcBorders>
                    <w:top w:val="single" w:color="000000" w:sz="12" w:space="0"/>
                    <w:tl2br w:val="nil"/>
                    <w:tr2bl w:val="nil"/>
                  </w:tcBorders>
                  <w:noWrap w:val="0"/>
                  <w:vAlign w:val="center"/>
                </w:tcPr>
                <w:p>
                  <w:pPr>
                    <w:pStyle w:val="33"/>
                    <w:bidi w:val="0"/>
                    <w:rPr>
                      <w:rFonts w:hint="default"/>
                      <w:color w:val="auto"/>
                    </w:rPr>
                  </w:pPr>
                  <w:r>
                    <w:rPr>
                      <w:rFonts w:hint="eastAsia"/>
                      <w:color w:val="auto"/>
                      <w:lang w:val="en-US" w:eastAsia="zh-CN"/>
                    </w:rPr>
                    <w:t>1</w:t>
                  </w:r>
                  <w:r>
                    <w:rPr>
                      <w:rFonts w:hint="default"/>
                      <w:color w:val="auto"/>
                    </w:rPr>
                    <w:t>台</w:t>
                  </w:r>
                </w:p>
              </w:tc>
              <w:tc>
                <w:tcPr>
                  <w:tcW w:w="385" w:type="pct"/>
                  <w:tcBorders>
                    <w:top w:val="single" w:color="000000" w:sz="12" w:space="0"/>
                    <w:tl2br w:val="nil"/>
                    <w:tr2bl w:val="nil"/>
                  </w:tcBorders>
                  <w:noWrap w:val="0"/>
                  <w:vAlign w:val="center"/>
                </w:tcPr>
                <w:p>
                  <w:pPr>
                    <w:pStyle w:val="33"/>
                    <w:bidi w:val="0"/>
                    <w:rPr>
                      <w:rFonts w:hint="default"/>
                      <w:color w:val="auto"/>
                      <w:lang w:val="en-US" w:eastAsia="zh-CN"/>
                    </w:rPr>
                  </w:pPr>
                  <w:r>
                    <w:rPr>
                      <w:rFonts w:hint="eastAsia"/>
                      <w:color w:val="auto"/>
                      <w:lang w:val="en-US" w:eastAsia="zh-CN"/>
                    </w:rPr>
                    <w:t>40</w:t>
                  </w:r>
                </w:p>
              </w:tc>
              <w:tc>
                <w:tcPr>
                  <w:tcW w:w="272" w:type="pct"/>
                  <w:tcBorders>
                    <w:top w:val="single" w:color="000000" w:sz="12" w:space="0"/>
                    <w:tl2br w:val="nil"/>
                    <w:tr2bl w:val="nil"/>
                  </w:tcBorders>
                  <w:noWrap w:val="0"/>
                  <w:vAlign w:val="center"/>
                </w:tcPr>
                <w:p>
                  <w:pPr>
                    <w:pStyle w:val="33"/>
                    <w:bidi w:val="0"/>
                    <w:rPr>
                      <w:rFonts w:hint="default"/>
                      <w:color w:val="auto"/>
                      <w:lang w:val="en-US" w:eastAsia="zh-CN"/>
                    </w:rPr>
                  </w:pPr>
                  <w:r>
                    <w:rPr>
                      <w:rFonts w:hint="eastAsia"/>
                      <w:color w:val="auto"/>
                      <w:lang w:val="en-US" w:eastAsia="zh-CN"/>
                    </w:rPr>
                    <w:t>25</w:t>
                  </w:r>
                </w:p>
              </w:tc>
              <w:tc>
                <w:tcPr>
                  <w:tcW w:w="272" w:type="pct"/>
                  <w:tcBorders>
                    <w:top w:val="single" w:color="000000" w:sz="12" w:space="0"/>
                    <w:tl2br w:val="nil"/>
                    <w:tr2bl w:val="nil"/>
                  </w:tcBorders>
                  <w:noWrap w:val="0"/>
                  <w:vAlign w:val="center"/>
                </w:tcPr>
                <w:p>
                  <w:pPr>
                    <w:pStyle w:val="33"/>
                    <w:bidi w:val="0"/>
                    <w:rPr>
                      <w:rFonts w:hint="default"/>
                      <w:color w:val="auto"/>
                      <w:lang w:val="en-US" w:eastAsia="zh-CN"/>
                    </w:rPr>
                  </w:pPr>
                  <w:r>
                    <w:rPr>
                      <w:rFonts w:hint="eastAsia"/>
                      <w:color w:val="auto"/>
                      <w:lang w:val="en-US" w:eastAsia="zh-CN"/>
                    </w:rPr>
                    <w:t>20</w:t>
                  </w:r>
                </w:p>
              </w:tc>
              <w:tc>
                <w:tcPr>
                  <w:tcW w:w="425" w:type="pct"/>
                  <w:tcBorders>
                    <w:top w:val="single" w:color="000000" w:sz="12" w:space="0"/>
                    <w:tl2br w:val="nil"/>
                    <w:tr2bl w:val="nil"/>
                  </w:tcBorders>
                  <w:noWrap w:val="0"/>
                  <w:vAlign w:val="center"/>
                </w:tcPr>
                <w:p>
                  <w:pPr>
                    <w:pStyle w:val="33"/>
                    <w:bidi w:val="0"/>
                    <w:rPr>
                      <w:rFonts w:hint="default"/>
                      <w:color w:val="auto"/>
                      <w:lang w:val="en-US" w:eastAsia="zh-CN"/>
                    </w:rPr>
                  </w:pPr>
                  <w:r>
                    <w:rPr>
                      <w:rFonts w:hint="eastAsia"/>
                      <w:color w:val="auto"/>
                      <w:lang w:val="en-US" w:eastAsia="zh-CN"/>
                    </w:rPr>
                    <w:t>26</w:t>
                  </w:r>
                </w:p>
              </w:tc>
              <w:tc>
                <w:tcPr>
                  <w:tcW w:w="742" w:type="pct"/>
                  <w:vMerge w:val="restart"/>
                  <w:tcBorders>
                    <w:top w:val="single" w:color="000000" w:sz="12" w:space="0"/>
                    <w:tl2br w:val="nil"/>
                    <w:tr2bl w:val="nil"/>
                  </w:tcBorders>
                  <w:noWrap w:val="0"/>
                  <w:vAlign w:val="center"/>
                </w:tcPr>
                <w:p>
                  <w:pPr>
                    <w:pStyle w:val="33"/>
                    <w:bidi w:val="0"/>
                    <w:rPr>
                      <w:rFonts w:hint="default" w:eastAsia="宋体"/>
                      <w:color w:val="auto"/>
                      <w:lang w:val="en-US" w:eastAsia="zh-CN"/>
                    </w:rPr>
                  </w:pPr>
                  <w:r>
                    <w:rPr>
                      <w:rFonts w:hint="default"/>
                      <w:color w:val="auto"/>
                    </w:rPr>
                    <w:t>减振基座，厂房</w:t>
                  </w:r>
                  <w:r>
                    <w:rPr>
                      <w:rFonts w:hint="eastAsia"/>
                      <w:color w:val="auto"/>
                      <w:lang w:val="en-US" w:eastAsia="zh-CN"/>
                    </w:rPr>
                    <w:t>隔声</w:t>
                  </w:r>
                </w:p>
              </w:tc>
              <w:tc>
                <w:tcPr>
                  <w:tcW w:w="674" w:type="pct"/>
                  <w:vMerge w:val="restart"/>
                  <w:tcBorders>
                    <w:top w:val="single" w:color="000000" w:sz="12" w:space="0"/>
                    <w:tl2br w:val="nil"/>
                    <w:tr2bl w:val="nil"/>
                  </w:tcBorders>
                  <w:noWrap w:val="0"/>
                  <w:vAlign w:val="center"/>
                </w:tcPr>
                <w:p>
                  <w:pPr>
                    <w:pStyle w:val="33"/>
                    <w:bidi w:val="0"/>
                    <w:rPr>
                      <w:rFonts w:hint="default" w:eastAsia="宋体"/>
                      <w:color w:val="auto"/>
                      <w:lang w:val="en-US" w:eastAsia="zh-CN"/>
                    </w:rPr>
                  </w:pPr>
                  <w:r>
                    <w:rPr>
                      <w:rFonts w:hint="eastAsia"/>
                      <w:color w:val="auto"/>
                      <w:highlight w:val="none"/>
                      <w:lang w:val="en-US" w:eastAsia="zh-CN"/>
                    </w:rPr>
                    <w:t>10：00-20：00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546" w:type="pct"/>
                  <w:vMerge w:val="continue"/>
                  <w:tcBorders>
                    <w:tl2br w:val="nil"/>
                    <w:tr2bl w:val="nil"/>
                  </w:tcBorders>
                  <w:noWrap w:val="0"/>
                  <w:vAlign w:val="center"/>
                </w:tcPr>
                <w:p>
                  <w:pPr>
                    <w:pStyle w:val="33"/>
                    <w:bidi w:val="0"/>
                    <w:rPr>
                      <w:rFonts w:hint="eastAsia"/>
                      <w:color w:val="auto"/>
                      <w:lang w:val="en-US" w:eastAsia="zh-CN"/>
                    </w:rPr>
                  </w:pPr>
                </w:p>
              </w:tc>
              <w:tc>
                <w:tcPr>
                  <w:tcW w:w="576" w:type="pct"/>
                  <w:tcBorders>
                    <w:tl2br w:val="nil"/>
                    <w:tr2bl w:val="nil"/>
                  </w:tcBorders>
                  <w:noWrap w:val="0"/>
                  <w:vAlign w:val="center"/>
                </w:tcPr>
                <w:p>
                  <w:pPr>
                    <w:pStyle w:val="33"/>
                    <w:bidi w:val="0"/>
                    <w:rPr>
                      <w:rFonts w:hint="default"/>
                      <w:color w:val="auto"/>
                      <w:lang w:val="en-US" w:eastAsia="zh-CN"/>
                    </w:rPr>
                  </w:pPr>
                  <w:r>
                    <w:rPr>
                      <w:rFonts w:hint="default" w:ascii="Times New Roman" w:hAnsi="Times New Roman" w:cs="Times New Roman"/>
                      <w:color w:val="auto"/>
                      <w:lang w:val="en-US" w:eastAsia="zh-CN"/>
                    </w:rPr>
                    <w:t>风机</w:t>
                  </w:r>
                </w:p>
              </w:tc>
              <w:tc>
                <w:tcPr>
                  <w:tcW w:w="618" w:type="pct"/>
                  <w:tcBorders>
                    <w:tl2br w:val="nil"/>
                    <w:tr2bl w:val="nil"/>
                  </w:tcBorders>
                  <w:noWrap w:val="0"/>
                  <w:vAlign w:val="center"/>
                </w:tcPr>
                <w:p>
                  <w:pPr>
                    <w:pStyle w:val="33"/>
                    <w:bidi w:val="0"/>
                    <w:rPr>
                      <w:rFonts w:hint="default"/>
                      <w:color w:val="auto"/>
                      <w:highlight w:val="none"/>
                      <w:lang w:val="en-US"/>
                    </w:rPr>
                  </w:pPr>
                  <w:r>
                    <w:rPr>
                      <w:rFonts w:hint="default"/>
                      <w:color w:val="auto"/>
                      <w:highlight w:val="none"/>
                    </w:rPr>
                    <w:t>7</w:t>
                  </w:r>
                  <w:r>
                    <w:rPr>
                      <w:rFonts w:hint="eastAsia"/>
                      <w:color w:val="auto"/>
                      <w:highlight w:val="none"/>
                      <w:lang w:val="en-US" w:eastAsia="zh-CN"/>
                    </w:rPr>
                    <w:t>0</w:t>
                  </w:r>
                  <w:r>
                    <w:rPr>
                      <w:rFonts w:hint="default"/>
                      <w:color w:val="auto"/>
                      <w:highlight w:val="none"/>
                    </w:rPr>
                    <w:t>~</w:t>
                  </w:r>
                  <w:r>
                    <w:rPr>
                      <w:rFonts w:hint="eastAsia"/>
                      <w:color w:val="auto"/>
                      <w:highlight w:val="none"/>
                      <w:lang w:val="en-US" w:eastAsia="zh-CN"/>
                    </w:rPr>
                    <w:t>80</w:t>
                  </w:r>
                </w:p>
              </w:tc>
              <w:tc>
                <w:tcPr>
                  <w:tcW w:w="486"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1台</w:t>
                  </w:r>
                </w:p>
              </w:tc>
              <w:tc>
                <w:tcPr>
                  <w:tcW w:w="385"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39</w:t>
                  </w:r>
                </w:p>
              </w:tc>
              <w:tc>
                <w:tcPr>
                  <w:tcW w:w="272"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23</w:t>
                  </w:r>
                </w:p>
              </w:tc>
              <w:tc>
                <w:tcPr>
                  <w:tcW w:w="272"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18</w:t>
                  </w:r>
                </w:p>
              </w:tc>
              <w:tc>
                <w:tcPr>
                  <w:tcW w:w="425"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28</w:t>
                  </w:r>
                </w:p>
              </w:tc>
              <w:tc>
                <w:tcPr>
                  <w:tcW w:w="742" w:type="pct"/>
                  <w:vMerge w:val="continue"/>
                  <w:tcBorders>
                    <w:tl2br w:val="nil"/>
                    <w:tr2bl w:val="nil"/>
                  </w:tcBorders>
                  <w:noWrap w:val="0"/>
                  <w:vAlign w:val="center"/>
                </w:tcPr>
                <w:p>
                  <w:pPr>
                    <w:pStyle w:val="33"/>
                    <w:bidi w:val="0"/>
                    <w:rPr>
                      <w:rFonts w:hint="default"/>
                      <w:color w:val="auto"/>
                    </w:rPr>
                  </w:pPr>
                </w:p>
              </w:tc>
              <w:tc>
                <w:tcPr>
                  <w:tcW w:w="674" w:type="pct"/>
                  <w:vMerge w:val="continue"/>
                  <w:tcBorders>
                    <w:tl2br w:val="nil"/>
                    <w:tr2bl w:val="nil"/>
                  </w:tcBorders>
                  <w:noWrap w:val="0"/>
                  <w:vAlign w:val="center"/>
                </w:tcPr>
                <w:p>
                  <w:pPr>
                    <w:pStyle w:val="33"/>
                    <w:bidi w:val="0"/>
                    <w:rPr>
                      <w:rFonts w:hint="default" w:eastAsia="宋体"/>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546" w:type="pct"/>
                  <w:vMerge w:val="continue"/>
                  <w:tcBorders>
                    <w:tl2br w:val="nil"/>
                    <w:tr2bl w:val="nil"/>
                  </w:tcBorders>
                  <w:noWrap w:val="0"/>
                  <w:vAlign w:val="center"/>
                </w:tcPr>
                <w:p>
                  <w:pPr>
                    <w:pStyle w:val="33"/>
                    <w:bidi w:val="0"/>
                    <w:rPr>
                      <w:rFonts w:hint="eastAsia"/>
                      <w:color w:val="auto"/>
                      <w:lang w:val="en-US" w:eastAsia="zh-CN"/>
                    </w:rPr>
                  </w:pPr>
                </w:p>
              </w:tc>
              <w:tc>
                <w:tcPr>
                  <w:tcW w:w="576" w:type="pct"/>
                  <w:tcBorders>
                    <w:tl2br w:val="nil"/>
                    <w:tr2bl w:val="nil"/>
                  </w:tcBorders>
                  <w:noWrap w:val="0"/>
                  <w:vAlign w:val="center"/>
                </w:tcPr>
                <w:p>
                  <w:pPr>
                    <w:pStyle w:val="33"/>
                    <w:bidi w:val="0"/>
                    <w:rPr>
                      <w:rFonts w:hint="eastAsia"/>
                      <w:lang w:val="en-US" w:eastAsia="zh-CN"/>
                    </w:rPr>
                  </w:pPr>
                  <w:r>
                    <w:rPr>
                      <w:rFonts w:hint="eastAsia" w:cs="Times New Roman"/>
                      <w:color w:val="auto"/>
                      <w:lang w:val="en-US" w:eastAsia="zh-CN"/>
                    </w:rPr>
                    <w:t>洗脱机</w:t>
                  </w:r>
                </w:p>
              </w:tc>
              <w:tc>
                <w:tcPr>
                  <w:tcW w:w="618" w:type="pct"/>
                  <w:tcBorders>
                    <w:tl2br w:val="nil"/>
                    <w:tr2bl w:val="nil"/>
                  </w:tcBorders>
                  <w:noWrap w:val="0"/>
                  <w:vAlign w:val="center"/>
                </w:tcPr>
                <w:p>
                  <w:pPr>
                    <w:pStyle w:val="33"/>
                    <w:bidi w:val="0"/>
                    <w:rPr>
                      <w:rFonts w:hint="default" w:ascii="Times New Roman" w:hAnsi="Times New Roman" w:eastAsia="宋体" w:cs="Times New Roman"/>
                      <w:color w:val="auto"/>
                      <w:kern w:val="2"/>
                      <w:sz w:val="21"/>
                      <w:szCs w:val="24"/>
                      <w:lang w:val="zh-TW" w:eastAsia="zh-TW" w:bidi="ar-SA"/>
                    </w:rPr>
                  </w:pPr>
                  <w:r>
                    <w:rPr>
                      <w:rFonts w:hint="default"/>
                      <w:color w:val="auto"/>
                      <w:highlight w:val="none"/>
                    </w:rPr>
                    <w:t>7</w:t>
                  </w:r>
                  <w:r>
                    <w:rPr>
                      <w:rFonts w:hint="eastAsia"/>
                      <w:color w:val="auto"/>
                      <w:highlight w:val="none"/>
                      <w:lang w:val="en-US" w:eastAsia="zh-CN"/>
                    </w:rPr>
                    <w:t>0</w:t>
                  </w:r>
                  <w:r>
                    <w:rPr>
                      <w:rFonts w:hint="default"/>
                      <w:color w:val="auto"/>
                      <w:highlight w:val="none"/>
                    </w:rPr>
                    <w:t>~</w:t>
                  </w:r>
                  <w:r>
                    <w:rPr>
                      <w:rFonts w:hint="default"/>
                      <w:color w:val="auto"/>
                      <w:highlight w:val="none"/>
                      <w:lang w:val="en-US" w:eastAsia="zh-CN"/>
                    </w:rPr>
                    <w:t>90</w:t>
                  </w:r>
                </w:p>
              </w:tc>
              <w:tc>
                <w:tcPr>
                  <w:tcW w:w="486" w:type="pct"/>
                  <w:tcBorders>
                    <w:tl2br w:val="nil"/>
                    <w:tr2bl w:val="nil"/>
                  </w:tcBorders>
                  <w:noWrap w:val="0"/>
                  <w:vAlign w:val="center"/>
                </w:tcPr>
                <w:p>
                  <w:pPr>
                    <w:pStyle w:val="33"/>
                    <w:bidi w:val="0"/>
                    <w:rPr>
                      <w:rFonts w:hint="eastAsia"/>
                      <w:color w:val="auto"/>
                      <w:lang w:val="en-US" w:eastAsia="zh-CN"/>
                    </w:rPr>
                  </w:pPr>
                  <w:r>
                    <w:rPr>
                      <w:rFonts w:hint="eastAsia"/>
                      <w:color w:val="auto"/>
                      <w:lang w:val="en-US" w:eastAsia="zh-CN"/>
                    </w:rPr>
                    <w:t>7台</w:t>
                  </w:r>
                </w:p>
              </w:tc>
              <w:tc>
                <w:tcPr>
                  <w:tcW w:w="385"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48</w:t>
                  </w:r>
                </w:p>
              </w:tc>
              <w:tc>
                <w:tcPr>
                  <w:tcW w:w="272"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22</w:t>
                  </w:r>
                </w:p>
              </w:tc>
              <w:tc>
                <w:tcPr>
                  <w:tcW w:w="272"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18</w:t>
                  </w:r>
                </w:p>
              </w:tc>
              <w:tc>
                <w:tcPr>
                  <w:tcW w:w="425"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26</w:t>
                  </w:r>
                </w:p>
              </w:tc>
              <w:tc>
                <w:tcPr>
                  <w:tcW w:w="742" w:type="pct"/>
                  <w:vMerge w:val="continue"/>
                  <w:tcBorders>
                    <w:tl2br w:val="nil"/>
                    <w:tr2bl w:val="nil"/>
                  </w:tcBorders>
                  <w:noWrap w:val="0"/>
                  <w:vAlign w:val="center"/>
                </w:tcPr>
                <w:p>
                  <w:pPr>
                    <w:pStyle w:val="33"/>
                    <w:bidi w:val="0"/>
                    <w:rPr>
                      <w:rFonts w:hint="default"/>
                      <w:color w:val="auto"/>
                    </w:rPr>
                  </w:pPr>
                </w:p>
              </w:tc>
              <w:tc>
                <w:tcPr>
                  <w:tcW w:w="674" w:type="pct"/>
                  <w:vMerge w:val="continue"/>
                  <w:tcBorders>
                    <w:tl2br w:val="nil"/>
                    <w:tr2bl w:val="nil"/>
                  </w:tcBorders>
                  <w:noWrap w:val="0"/>
                  <w:vAlign w:val="center"/>
                </w:tcPr>
                <w:p>
                  <w:pPr>
                    <w:pStyle w:val="33"/>
                    <w:bidi w:val="0"/>
                    <w:rPr>
                      <w:rFonts w:hint="default" w:eastAsia="宋体"/>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546" w:type="pct"/>
                  <w:vMerge w:val="continue"/>
                  <w:tcBorders>
                    <w:tl2br w:val="nil"/>
                    <w:tr2bl w:val="nil"/>
                  </w:tcBorders>
                  <w:noWrap w:val="0"/>
                  <w:vAlign w:val="center"/>
                </w:tcPr>
                <w:p>
                  <w:pPr>
                    <w:pStyle w:val="33"/>
                    <w:bidi w:val="0"/>
                    <w:rPr>
                      <w:rFonts w:hint="eastAsia"/>
                      <w:color w:val="auto"/>
                      <w:lang w:val="en-US" w:eastAsia="zh-CN"/>
                    </w:rPr>
                  </w:pPr>
                </w:p>
              </w:tc>
              <w:tc>
                <w:tcPr>
                  <w:tcW w:w="576" w:type="pct"/>
                  <w:tcBorders>
                    <w:tl2br w:val="nil"/>
                    <w:tr2bl w:val="nil"/>
                  </w:tcBorders>
                  <w:noWrap w:val="0"/>
                  <w:vAlign w:val="center"/>
                </w:tcPr>
                <w:p>
                  <w:pPr>
                    <w:pStyle w:val="33"/>
                    <w:bidi w:val="0"/>
                    <w:rPr>
                      <w:rFonts w:hint="eastAsia"/>
                      <w:lang w:val="en-US" w:eastAsia="zh-CN"/>
                    </w:rPr>
                  </w:pPr>
                  <w:r>
                    <w:rPr>
                      <w:rFonts w:hint="eastAsia" w:cs="Times New Roman"/>
                      <w:color w:val="auto"/>
                      <w:lang w:val="en-US" w:eastAsia="zh-CN"/>
                    </w:rPr>
                    <w:t>烘干机</w:t>
                  </w:r>
                </w:p>
              </w:tc>
              <w:tc>
                <w:tcPr>
                  <w:tcW w:w="618" w:type="pct"/>
                  <w:tcBorders>
                    <w:tl2br w:val="nil"/>
                    <w:tr2bl w:val="nil"/>
                  </w:tcBorders>
                  <w:noWrap w:val="0"/>
                  <w:vAlign w:val="center"/>
                </w:tcPr>
                <w:p>
                  <w:pPr>
                    <w:pStyle w:val="33"/>
                    <w:bidi w:val="0"/>
                    <w:rPr>
                      <w:rFonts w:hint="default" w:ascii="Times New Roman" w:hAnsi="Times New Roman" w:eastAsia="宋体" w:cs="Times New Roman"/>
                      <w:color w:val="auto"/>
                      <w:kern w:val="2"/>
                      <w:sz w:val="21"/>
                      <w:szCs w:val="24"/>
                      <w:highlight w:val="none"/>
                      <w:lang w:val="en-US" w:eastAsia="zh-TW" w:bidi="ar-SA"/>
                    </w:rPr>
                  </w:pPr>
                  <w:r>
                    <w:rPr>
                      <w:rFonts w:hint="default"/>
                      <w:color w:val="auto"/>
                      <w:highlight w:val="none"/>
                    </w:rPr>
                    <w:t>7</w:t>
                  </w:r>
                  <w:r>
                    <w:rPr>
                      <w:rFonts w:hint="eastAsia"/>
                      <w:color w:val="auto"/>
                      <w:highlight w:val="none"/>
                      <w:lang w:val="en-US" w:eastAsia="zh-CN"/>
                    </w:rPr>
                    <w:t>0</w:t>
                  </w:r>
                  <w:r>
                    <w:rPr>
                      <w:rFonts w:hint="default"/>
                      <w:color w:val="auto"/>
                      <w:highlight w:val="none"/>
                    </w:rPr>
                    <w:t>~</w:t>
                  </w:r>
                  <w:r>
                    <w:rPr>
                      <w:rFonts w:hint="eastAsia"/>
                      <w:color w:val="auto"/>
                      <w:highlight w:val="none"/>
                      <w:lang w:val="en-US" w:eastAsia="zh-CN"/>
                    </w:rPr>
                    <w:t>80</w:t>
                  </w:r>
                </w:p>
              </w:tc>
              <w:tc>
                <w:tcPr>
                  <w:tcW w:w="486" w:type="pct"/>
                  <w:tcBorders>
                    <w:tl2br w:val="nil"/>
                    <w:tr2bl w:val="nil"/>
                  </w:tcBorders>
                  <w:noWrap w:val="0"/>
                  <w:vAlign w:val="center"/>
                </w:tcPr>
                <w:p>
                  <w:pPr>
                    <w:pStyle w:val="33"/>
                    <w:bidi w:val="0"/>
                    <w:rPr>
                      <w:rFonts w:hint="eastAsia"/>
                      <w:color w:val="auto"/>
                      <w:lang w:val="en-US" w:eastAsia="zh-CN"/>
                    </w:rPr>
                  </w:pPr>
                  <w:r>
                    <w:rPr>
                      <w:rFonts w:hint="eastAsia"/>
                      <w:color w:val="auto"/>
                      <w:lang w:val="en-US" w:eastAsia="zh-CN"/>
                    </w:rPr>
                    <w:t>3台</w:t>
                  </w:r>
                </w:p>
              </w:tc>
              <w:tc>
                <w:tcPr>
                  <w:tcW w:w="385"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39</w:t>
                  </w:r>
                </w:p>
              </w:tc>
              <w:tc>
                <w:tcPr>
                  <w:tcW w:w="272"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25</w:t>
                  </w:r>
                </w:p>
              </w:tc>
              <w:tc>
                <w:tcPr>
                  <w:tcW w:w="272"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17</w:t>
                  </w:r>
                </w:p>
              </w:tc>
              <w:tc>
                <w:tcPr>
                  <w:tcW w:w="425"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27</w:t>
                  </w:r>
                </w:p>
              </w:tc>
              <w:tc>
                <w:tcPr>
                  <w:tcW w:w="742" w:type="pct"/>
                  <w:vMerge w:val="continue"/>
                  <w:tcBorders>
                    <w:tl2br w:val="nil"/>
                    <w:tr2bl w:val="nil"/>
                  </w:tcBorders>
                  <w:noWrap w:val="0"/>
                  <w:vAlign w:val="center"/>
                </w:tcPr>
                <w:p>
                  <w:pPr>
                    <w:pStyle w:val="33"/>
                    <w:bidi w:val="0"/>
                    <w:rPr>
                      <w:rFonts w:hint="default"/>
                      <w:color w:val="auto"/>
                    </w:rPr>
                  </w:pPr>
                </w:p>
              </w:tc>
              <w:tc>
                <w:tcPr>
                  <w:tcW w:w="674" w:type="pct"/>
                  <w:vMerge w:val="continue"/>
                  <w:tcBorders>
                    <w:tl2br w:val="nil"/>
                    <w:tr2bl w:val="nil"/>
                  </w:tcBorders>
                  <w:noWrap w:val="0"/>
                  <w:vAlign w:val="center"/>
                </w:tcPr>
                <w:p>
                  <w:pPr>
                    <w:pStyle w:val="33"/>
                    <w:bidi w:val="0"/>
                    <w:rPr>
                      <w:rFonts w:hint="default" w:eastAsia="宋体"/>
                      <w:color w:val="auto"/>
                      <w:lang w:val="en-US" w:eastAsia="zh-CN"/>
                    </w:rPr>
                  </w:pPr>
                </w:p>
              </w:tc>
            </w:tr>
          </w:tbl>
          <w:p>
            <w:pPr>
              <w:pStyle w:val="7"/>
              <w:bidi w:val="0"/>
              <w:jc w:val="both"/>
              <w:rPr>
                <w:color w:val="auto"/>
              </w:rPr>
            </w:pPr>
            <w:r>
              <w:rPr>
                <w:color w:val="auto"/>
                <w:sz w:val="24"/>
                <w:szCs w:val="24"/>
                <w:highlight w:val="none"/>
              </w:rPr>
              <w:t>3.</w:t>
            </w:r>
            <w:r>
              <w:rPr>
                <w:rFonts w:hint="eastAsia"/>
                <w:color w:val="auto"/>
                <w:sz w:val="24"/>
                <w:szCs w:val="24"/>
                <w:highlight w:val="none"/>
                <w:lang w:val="en-US" w:eastAsia="zh-CN"/>
              </w:rPr>
              <w:t xml:space="preserve">2 </w:t>
            </w:r>
            <w:r>
              <w:rPr>
                <w:color w:val="auto"/>
              </w:rPr>
              <w:t>预测方法</w:t>
            </w:r>
          </w:p>
          <w:p>
            <w:pPr>
              <w:pStyle w:val="22"/>
              <w:bidi w:val="0"/>
              <w:jc w:val="both"/>
              <w:rPr>
                <w:color w:val="auto"/>
              </w:rPr>
            </w:pPr>
            <w:r>
              <w:rPr>
                <w:color w:val="auto"/>
              </w:rPr>
              <w:t>噪声源布置较为集中，其对厂界外的声环境影响采取《环境影响评价技术导则 声环境》（HJ2.4-20</w:t>
            </w:r>
            <w:r>
              <w:rPr>
                <w:rFonts w:hint="eastAsia"/>
                <w:color w:val="auto"/>
              </w:rPr>
              <w:t>21</w:t>
            </w:r>
            <w:r>
              <w:rPr>
                <w:color w:val="auto"/>
              </w:rPr>
              <w:t>）中的噪声预测模式。</w:t>
            </w:r>
          </w:p>
          <w:p>
            <w:pPr>
              <w:pStyle w:val="22"/>
              <w:bidi w:val="0"/>
              <w:jc w:val="both"/>
              <w:rPr>
                <w:color w:val="auto"/>
              </w:rPr>
            </w:pPr>
            <w:r>
              <w:rPr>
                <w:color w:val="auto"/>
              </w:rPr>
              <w:t>由于在声波传播的过程中，通过距离衰减、空气吸收衰减到达厂界外，故实际衰减量要低于其预测衰减量，即实际噪声值将略低于其预测值。</w:t>
            </w:r>
          </w:p>
          <w:p>
            <w:pPr>
              <w:pStyle w:val="7"/>
              <w:bidi w:val="0"/>
              <w:jc w:val="both"/>
              <w:rPr>
                <w:color w:val="auto"/>
              </w:rPr>
            </w:pPr>
            <w:r>
              <w:rPr>
                <w:color w:val="auto"/>
              </w:rPr>
              <w:t>3.</w:t>
            </w:r>
            <w:r>
              <w:rPr>
                <w:rFonts w:hint="eastAsia"/>
                <w:color w:val="auto"/>
              </w:rPr>
              <w:t xml:space="preserve">3 </w:t>
            </w:r>
            <w:r>
              <w:rPr>
                <w:color w:val="auto"/>
              </w:rPr>
              <w:t>噪声影响预测模式</w:t>
            </w:r>
          </w:p>
          <w:p>
            <w:pPr>
              <w:pStyle w:val="22"/>
              <w:bidi w:val="0"/>
              <w:jc w:val="both"/>
              <w:rPr>
                <w:color w:val="auto"/>
              </w:rPr>
            </w:pPr>
            <w:r>
              <w:rPr>
                <w:color w:val="auto"/>
              </w:rPr>
              <w:t>点声源随传播距离增加引起其衰减值预测模式计算：</w:t>
            </w:r>
          </w:p>
          <w:p>
            <w:pPr>
              <w:pStyle w:val="12"/>
              <w:keepNext w:val="0"/>
              <w:keepLines w:val="0"/>
              <w:pageBreakBefore w:val="0"/>
              <w:widowControl/>
              <w:kinsoku/>
              <w:wordWrap/>
              <w:overflowPunct/>
              <w:topLinePunct w:val="0"/>
              <w:autoSpaceDE/>
              <w:autoSpaceDN/>
              <w:bidi w:val="0"/>
              <w:adjustRightInd/>
              <w:snapToGrid/>
              <w:ind w:firstLine="0" w:firstLineChars="0"/>
              <w:jc w:val="center"/>
              <w:textAlignment w:val="auto"/>
              <w:rPr>
                <w:color w:val="auto"/>
              </w:rPr>
            </w:pPr>
            <w:r>
              <w:rPr>
                <w:color w:val="auto"/>
              </w:rPr>
              <w:drawing>
                <wp:inline distT="0" distB="0" distL="114300" distR="114300">
                  <wp:extent cx="2165350" cy="571500"/>
                  <wp:effectExtent l="0" t="0" r="6350" b="0"/>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24"/>
                          <a:stretch>
                            <a:fillRect/>
                          </a:stretch>
                        </pic:blipFill>
                        <pic:spPr>
                          <a:xfrm>
                            <a:off x="0" y="0"/>
                            <a:ext cx="2165350" cy="571500"/>
                          </a:xfrm>
                          <a:prstGeom prst="rect">
                            <a:avLst/>
                          </a:prstGeom>
                          <a:noFill/>
                          <a:ln>
                            <a:noFill/>
                          </a:ln>
                        </pic:spPr>
                      </pic:pic>
                    </a:graphicData>
                  </a:graphic>
                </wp:inline>
              </w:drawing>
            </w:r>
          </w:p>
          <w:p>
            <w:pPr>
              <w:pStyle w:val="22"/>
              <w:bidi w:val="0"/>
              <w:jc w:val="both"/>
              <w:rPr>
                <w:color w:val="auto"/>
              </w:rPr>
            </w:pPr>
            <w:r>
              <w:rPr>
                <w:color w:val="auto"/>
              </w:rPr>
              <w:t>式中：</w:t>
            </w:r>
            <w:r>
              <w:rPr>
                <w:rFonts w:hint="default"/>
                <w:color w:val="auto"/>
                <w:lang w:val="en-US" w:eastAsia="zh-CN"/>
              </w:rPr>
              <w:t>L</w:t>
            </w:r>
            <w:r>
              <w:rPr>
                <w:rFonts w:hint="default"/>
                <w:color w:val="auto"/>
                <w:vertAlign w:val="subscript"/>
                <w:lang w:val="en-US" w:eastAsia="zh-CN"/>
              </w:rPr>
              <w:t>eqg</w:t>
            </w:r>
            <w:r>
              <w:rPr>
                <w:rFonts w:hint="default"/>
                <w:color w:val="auto"/>
                <w:lang w:val="en-US" w:eastAsia="zh-CN"/>
              </w:rPr>
              <w:t>——</w:t>
            </w:r>
            <w:r>
              <w:rPr>
                <w:rFonts w:hint="eastAsia"/>
                <w:color w:val="auto"/>
                <w:lang w:val="en-US" w:eastAsia="zh-CN"/>
              </w:rPr>
              <w:t>噪声贡献值，</w:t>
            </w:r>
            <w:r>
              <w:rPr>
                <w:rFonts w:hint="default"/>
                <w:color w:val="auto"/>
                <w:lang w:val="en-US" w:eastAsia="zh-CN"/>
              </w:rPr>
              <w:t>dB</w:t>
            </w:r>
            <w:r>
              <w:rPr>
                <w:rFonts w:hint="eastAsia"/>
                <w:color w:val="auto"/>
                <w:lang w:val="en-US" w:eastAsia="zh-CN"/>
              </w:rPr>
              <w:t>；</w:t>
            </w:r>
          </w:p>
          <w:p>
            <w:pPr>
              <w:pStyle w:val="22"/>
              <w:bidi w:val="0"/>
              <w:ind w:firstLine="1200" w:firstLineChars="500"/>
              <w:jc w:val="both"/>
              <w:rPr>
                <w:color w:val="auto"/>
              </w:rPr>
            </w:pPr>
            <w:r>
              <w:rPr>
                <w:rFonts w:hint="default"/>
                <w:color w:val="auto"/>
                <w:lang w:val="en-US" w:eastAsia="zh-CN"/>
              </w:rPr>
              <w:t>T——</w:t>
            </w:r>
            <w:r>
              <w:rPr>
                <w:rFonts w:hint="eastAsia"/>
                <w:color w:val="auto"/>
                <w:lang w:val="en-US" w:eastAsia="zh-CN"/>
              </w:rPr>
              <w:t>预测计算的时间段，</w:t>
            </w:r>
            <w:r>
              <w:rPr>
                <w:rFonts w:hint="default"/>
                <w:color w:val="auto"/>
                <w:lang w:val="en-US" w:eastAsia="zh-CN"/>
              </w:rPr>
              <w:t>s</w:t>
            </w:r>
            <w:r>
              <w:rPr>
                <w:rFonts w:hint="eastAsia"/>
                <w:color w:val="auto"/>
                <w:lang w:val="en-US" w:eastAsia="zh-CN"/>
              </w:rPr>
              <w:t>；</w:t>
            </w:r>
          </w:p>
          <w:p>
            <w:pPr>
              <w:pStyle w:val="22"/>
              <w:bidi w:val="0"/>
              <w:ind w:firstLine="1200" w:firstLineChars="500"/>
              <w:jc w:val="both"/>
              <w:rPr>
                <w:color w:val="auto"/>
              </w:rPr>
            </w:pPr>
            <w:r>
              <w:rPr>
                <w:rFonts w:hint="default"/>
                <w:color w:val="auto"/>
                <w:lang w:val="en-US" w:eastAsia="zh-CN"/>
              </w:rPr>
              <w:t>t</w:t>
            </w:r>
            <w:r>
              <w:rPr>
                <w:rFonts w:hint="default"/>
                <w:color w:val="auto"/>
                <w:vertAlign w:val="subscript"/>
                <w:lang w:val="en-US" w:eastAsia="zh-CN"/>
              </w:rPr>
              <w:t>i</w:t>
            </w:r>
            <w:r>
              <w:rPr>
                <w:rFonts w:hint="default"/>
                <w:color w:val="auto"/>
                <w:lang w:val="en-US" w:eastAsia="zh-CN"/>
              </w:rPr>
              <w:t>——i</w:t>
            </w:r>
            <w:r>
              <w:rPr>
                <w:rFonts w:hint="eastAsia"/>
                <w:color w:val="auto"/>
                <w:lang w:val="en-US" w:eastAsia="zh-CN"/>
              </w:rPr>
              <w:t>声源在</w:t>
            </w:r>
            <w:r>
              <w:rPr>
                <w:rFonts w:hint="default"/>
                <w:color w:val="auto"/>
                <w:lang w:val="en-US" w:eastAsia="zh-CN"/>
              </w:rPr>
              <w:t>T</w:t>
            </w:r>
            <w:r>
              <w:rPr>
                <w:rFonts w:hint="eastAsia"/>
                <w:color w:val="auto"/>
                <w:lang w:val="en-US" w:eastAsia="zh-CN"/>
              </w:rPr>
              <w:t>时段内的运行时间，</w:t>
            </w:r>
            <w:r>
              <w:rPr>
                <w:rFonts w:hint="default"/>
                <w:color w:val="auto"/>
                <w:lang w:val="en-US" w:eastAsia="zh-CN"/>
              </w:rPr>
              <w:t>s</w:t>
            </w:r>
            <w:r>
              <w:rPr>
                <w:rFonts w:hint="eastAsia"/>
                <w:color w:val="auto"/>
                <w:lang w:val="en-US" w:eastAsia="zh-CN"/>
              </w:rPr>
              <w:t>；</w:t>
            </w:r>
          </w:p>
          <w:p>
            <w:pPr>
              <w:pStyle w:val="22"/>
              <w:bidi w:val="0"/>
              <w:ind w:firstLine="1200" w:firstLineChars="500"/>
              <w:jc w:val="both"/>
              <w:rPr>
                <w:color w:val="auto"/>
              </w:rPr>
            </w:pPr>
            <w:r>
              <w:rPr>
                <w:rFonts w:hint="default"/>
                <w:color w:val="auto"/>
                <w:lang w:val="en-US" w:eastAsia="zh-CN"/>
              </w:rPr>
              <w:t>L</w:t>
            </w:r>
            <w:r>
              <w:rPr>
                <w:rFonts w:hint="default"/>
                <w:color w:val="auto"/>
                <w:vertAlign w:val="subscript"/>
                <w:lang w:val="en-US" w:eastAsia="zh-CN"/>
              </w:rPr>
              <w:t>Ai</w:t>
            </w:r>
            <w:r>
              <w:rPr>
                <w:rFonts w:hint="default"/>
                <w:color w:val="auto"/>
                <w:lang w:val="en-US" w:eastAsia="zh-CN"/>
              </w:rPr>
              <w:t>——i</w:t>
            </w:r>
            <w:r>
              <w:rPr>
                <w:rFonts w:hint="eastAsia"/>
                <w:color w:val="auto"/>
                <w:lang w:val="en-US" w:eastAsia="zh-CN"/>
              </w:rPr>
              <w:t>声源在预测点产生的等效连续</w:t>
            </w:r>
            <w:r>
              <w:rPr>
                <w:rFonts w:hint="default"/>
                <w:color w:val="auto"/>
                <w:lang w:val="en-US" w:eastAsia="zh-CN"/>
              </w:rPr>
              <w:t>A</w:t>
            </w:r>
            <w:r>
              <w:rPr>
                <w:rFonts w:hint="eastAsia"/>
                <w:color w:val="auto"/>
                <w:lang w:val="en-US" w:eastAsia="zh-CN"/>
              </w:rPr>
              <w:t>声级，</w:t>
            </w:r>
            <w:r>
              <w:rPr>
                <w:rFonts w:hint="default"/>
                <w:color w:val="auto"/>
                <w:lang w:val="en-US" w:eastAsia="zh-CN"/>
              </w:rPr>
              <w:t>dB</w:t>
            </w:r>
            <w:r>
              <w:rPr>
                <w:rFonts w:hint="eastAsia"/>
                <w:color w:val="auto"/>
                <w:lang w:val="en-US" w:eastAsia="zh-CN"/>
              </w:rPr>
              <w:t>。</w:t>
            </w:r>
          </w:p>
          <w:p>
            <w:pPr>
              <w:pStyle w:val="22"/>
              <w:bidi w:val="0"/>
              <w:jc w:val="both"/>
              <w:rPr>
                <w:color w:val="auto"/>
              </w:rPr>
            </w:pPr>
            <w:r>
              <w:rPr>
                <w:color w:val="auto"/>
              </w:rPr>
              <w:t>项目各设备噪声源同时运行时对厂界噪声贡献值见表</w:t>
            </w:r>
            <w:r>
              <w:rPr>
                <w:rFonts w:hint="eastAsia"/>
                <w:color w:val="auto"/>
              </w:rPr>
              <w:t>4-</w:t>
            </w:r>
            <w:r>
              <w:rPr>
                <w:rFonts w:hint="eastAsia"/>
                <w:color w:val="auto"/>
                <w:lang w:val="en-US" w:eastAsia="zh-CN"/>
              </w:rPr>
              <w:t>12</w:t>
            </w:r>
            <w:r>
              <w:rPr>
                <w:color w:val="auto"/>
              </w:rPr>
              <w:t>。</w:t>
            </w:r>
          </w:p>
          <w:p>
            <w:pPr>
              <w:pStyle w:val="32"/>
              <w:bidi w:val="0"/>
              <w:rPr>
                <w:color w:val="auto"/>
              </w:rPr>
            </w:pPr>
            <w:r>
              <w:rPr>
                <w:color w:val="auto"/>
              </w:rPr>
              <w:t>表</w:t>
            </w:r>
            <w:r>
              <w:rPr>
                <w:rFonts w:hint="eastAsia"/>
                <w:color w:val="auto"/>
              </w:rPr>
              <w:t>4-</w:t>
            </w:r>
            <w:r>
              <w:rPr>
                <w:rFonts w:hint="eastAsia"/>
                <w:color w:val="auto"/>
                <w:lang w:val="en-US" w:eastAsia="zh-CN"/>
              </w:rPr>
              <w:t>12</w:t>
            </w:r>
            <w:r>
              <w:rPr>
                <w:color w:val="auto"/>
              </w:rPr>
              <w:t xml:space="preserve">   距离衰减对各预测点的影响值表    单位：dB(A)</w:t>
            </w:r>
          </w:p>
          <w:tbl>
            <w:tblPr>
              <w:tblStyle w:val="26"/>
              <w:tblW w:w="4998" w:type="pct"/>
              <w:jc w:val="center"/>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801"/>
              <w:gridCol w:w="803"/>
              <w:gridCol w:w="801"/>
              <w:gridCol w:w="803"/>
              <w:gridCol w:w="801"/>
              <w:gridCol w:w="803"/>
              <w:gridCol w:w="801"/>
              <w:gridCol w:w="803"/>
            </w:tblGrid>
            <w:tr>
              <w:tblPrEx>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2" w:hRule="atLeast"/>
                <w:tblHeader/>
                <w:jc w:val="center"/>
              </w:trPr>
              <w:tc>
                <w:tcPr>
                  <w:tcW w:w="921" w:type="pct"/>
                  <w:vMerge w:val="restart"/>
                  <w:noWrap w:val="0"/>
                  <w:vAlign w:val="center"/>
                </w:tcPr>
                <w:p>
                  <w:pPr>
                    <w:pStyle w:val="33"/>
                    <w:bidi w:val="0"/>
                    <w:rPr>
                      <w:rFonts w:hint="default"/>
                      <w:b/>
                      <w:bCs/>
                      <w:color w:val="auto"/>
                      <w:lang w:val="en-US" w:eastAsia="zh-CN"/>
                    </w:rPr>
                  </w:pPr>
                  <w:r>
                    <w:rPr>
                      <w:rFonts w:hint="eastAsia"/>
                      <w:b/>
                      <w:bCs/>
                      <w:color w:val="auto"/>
                      <w:lang w:val="en-US" w:eastAsia="zh-CN"/>
                    </w:rPr>
                    <w:t>厂界噪声</w:t>
                  </w:r>
                </w:p>
              </w:tc>
              <w:tc>
                <w:tcPr>
                  <w:tcW w:w="1019" w:type="pct"/>
                  <w:gridSpan w:val="2"/>
                  <w:noWrap w:val="0"/>
                  <w:vAlign w:val="center"/>
                </w:tcPr>
                <w:p>
                  <w:pPr>
                    <w:pStyle w:val="33"/>
                    <w:bidi w:val="0"/>
                    <w:rPr>
                      <w:rFonts w:hint="default"/>
                      <w:b/>
                      <w:bCs/>
                      <w:color w:val="auto"/>
                      <w:lang w:val="en-US" w:eastAsia="zh-CN"/>
                    </w:rPr>
                  </w:pPr>
                  <w:r>
                    <w:rPr>
                      <w:rFonts w:hint="eastAsia"/>
                      <w:b/>
                      <w:bCs/>
                      <w:color w:val="auto"/>
                      <w:lang w:val="en-US" w:eastAsia="zh-CN"/>
                    </w:rPr>
                    <w:t>东厂界</w:t>
                  </w:r>
                </w:p>
              </w:tc>
              <w:tc>
                <w:tcPr>
                  <w:tcW w:w="1019" w:type="pct"/>
                  <w:gridSpan w:val="2"/>
                  <w:noWrap w:val="0"/>
                  <w:vAlign w:val="center"/>
                </w:tcPr>
                <w:p>
                  <w:pPr>
                    <w:pStyle w:val="33"/>
                    <w:bidi w:val="0"/>
                    <w:rPr>
                      <w:b/>
                      <w:bCs/>
                      <w:color w:val="auto"/>
                    </w:rPr>
                  </w:pPr>
                  <w:r>
                    <w:rPr>
                      <w:rFonts w:hint="eastAsia"/>
                      <w:b/>
                      <w:bCs/>
                      <w:color w:val="auto"/>
                      <w:lang w:val="en-US" w:eastAsia="zh-CN"/>
                    </w:rPr>
                    <w:t>西厂界</w:t>
                  </w:r>
                </w:p>
              </w:tc>
              <w:tc>
                <w:tcPr>
                  <w:tcW w:w="1019" w:type="pct"/>
                  <w:gridSpan w:val="2"/>
                  <w:noWrap w:val="0"/>
                  <w:vAlign w:val="center"/>
                </w:tcPr>
                <w:p>
                  <w:pPr>
                    <w:pStyle w:val="33"/>
                    <w:bidi w:val="0"/>
                    <w:rPr>
                      <w:b/>
                      <w:bCs/>
                      <w:color w:val="auto"/>
                    </w:rPr>
                  </w:pPr>
                  <w:r>
                    <w:rPr>
                      <w:rFonts w:hint="eastAsia"/>
                      <w:b/>
                      <w:bCs/>
                      <w:color w:val="auto"/>
                      <w:lang w:val="en-US" w:eastAsia="zh-CN"/>
                    </w:rPr>
                    <w:t>南厂界</w:t>
                  </w:r>
                </w:p>
              </w:tc>
              <w:tc>
                <w:tcPr>
                  <w:tcW w:w="1019" w:type="pct"/>
                  <w:gridSpan w:val="2"/>
                  <w:noWrap w:val="0"/>
                  <w:vAlign w:val="center"/>
                </w:tcPr>
                <w:p>
                  <w:pPr>
                    <w:pStyle w:val="33"/>
                    <w:bidi w:val="0"/>
                    <w:rPr>
                      <w:b/>
                      <w:bCs/>
                      <w:color w:val="auto"/>
                    </w:rPr>
                  </w:pPr>
                  <w:r>
                    <w:rPr>
                      <w:rFonts w:hint="eastAsia"/>
                      <w:b/>
                      <w:bCs/>
                      <w:color w:val="auto"/>
                      <w:lang w:val="en-US" w:eastAsia="zh-CN"/>
                    </w:rPr>
                    <w:t>北厂界</w:t>
                  </w:r>
                </w:p>
              </w:tc>
            </w:tr>
            <w:tr>
              <w:tblPrEx>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6" w:hRule="atLeast"/>
                <w:jc w:val="center"/>
              </w:trPr>
              <w:tc>
                <w:tcPr>
                  <w:tcW w:w="921" w:type="pct"/>
                  <w:vMerge w:val="continue"/>
                  <w:tcBorders>
                    <w:bottom w:val="single" w:color="auto" w:sz="12" w:space="0"/>
                  </w:tcBorders>
                  <w:noWrap w:val="0"/>
                  <w:vAlign w:val="center"/>
                </w:tcPr>
                <w:p>
                  <w:pPr>
                    <w:pStyle w:val="33"/>
                    <w:bidi w:val="0"/>
                    <w:rPr>
                      <w:rFonts w:hint="default"/>
                      <w:b/>
                      <w:bCs/>
                      <w:color w:val="auto"/>
                      <w:lang w:val="en-US"/>
                    </w:rPr>
                  </w:pPr>
                </w:p>
              </w:tc>
              <w:tc>
                <w:tcPr>
                  <w:tcW w:w="509" w:type="pct"/>
                  <w:tcBorders>
                    <w:bottom w:val="single" w:color="auto" w:sz="12" w:space="0"/>
                  </w:tcBorders>
                  <w:noWrap w:val="0"/>
                  <w:vAlign w:val="center"/>
                </w:tcPr>
                <w:p>
                  <w:pPr>
                    <w:pStyle w:val="33"/>
                    <w:bidi w:val="0"/>
                    <w:rPr>
                      <w:rFonts w:hint="default"/>
                      <w:b/>
                      <w:bCs/>
                      <w:color w:val="auto"/>
                      <w:lang w:val="en-US" w:eastAsia="zh-CN"/>
                    </w:rPr>
                  </w:pPr>
                  <w:r>
                    <w:rPr>
                      <w:rFonts w:hint="eastAsia"/>
                      <w:b/>
                      <w:bCs/>
                      <w:color w:val="auto"/>
                      <w:lang w:val="en-US" w:eastAsia="zh-CN"/>
                    </w:rPr>
                    <w:t>昼</w:t>
                  </w:r>
                </w:p>
              </w:tc>
              <w:tc>
                <w:tcPr>
                  <w:tcW w:w="510" w:type="pct"/>
                  <w:tcBorders>
                    <w:bottom w:val="single" w:color="auto" w:sz="12" w:space="0"/>
                  </w:tcBorders>
                  <w:noWrap w:val="0"/>
                  <w:vAlign w:val="center"/>
                </w:tcPr>
                <w:p>
                  <w:pPr>
                    <w:pStyle w:val="33"/>
                    <w:bidi w:val="0"/>
                    <w:rPr>
                      <w:rFonts w:hint="default"/>
                      <w:b/>
                      <w:bCs/>
                      <w:color w:val="auto"/>
                      <w:lang w:val="en-US" w:eastAsia="zh-CN"/>
                    </w:rPr>
                  </w:pPr>
                  <w:r>
                    <w:rPr>
                      <w:rFonts w:hint="eastAsia"/>
                      <w:b/>
                      <w:bCs/>
                      <w:color w:val="auto"/>
                      <w:lang w:val="en-US" w:eastAsia="zh-CN"/>
                    </w:rPr>
                    <w:t>夜</w:t>
                  </w:r>
                </w:p>
              </w:tc>
              <w:tc>
                <w:tcPr>
                  <w:tcW w:w="509" w:type="pct"/>
                  <w:tcBorders>
                    <w:bottom w:val="single" w:color="auto" w:sz="12" w:space="0"/>
                  </w:tcBorders>
                  <w:noWrap w:val="0"/>
                  <w:vAlign w:val="center"/>
                </w:tcPr>
                <w:p>
                  <w:pPr>
                    <w:pStyle w:val="33"/>
                    <w:bidi w:val="0"/>
                    <w:rPr>
                      <w:rFonts w:hint="default"/>
                      <w:b/>
                      <w:bCs/>
                      <w:color w:val="auto"/>
                      <w:lang w:val="en-US" w:eastAsia="zh-CN"/>
                    </w:rPr>
                  </w:pPr>
                  <w:r>
                    <w:rPr>
                      <w:rFonts w:hint="eastAsia"/>
                      <w:b/>
                      <w:bCs/>
                      <w:color w:val="auto"/>
                      <w:lang w:val="en-US" w:eastAsia="zh-CN"/>
                    </w:rPr>
                    <w:t>昼</w:t>
                  </w:r>
                </w:p>
              </w:tc>
              <w:tc>
                <w:tcPr>
                  <w:tcW w:w="510" w:type="pct"/>
                  <w:tcBorders>
                    <w:bottom w:val="single" w:color="auto" w:sz="12" w:space="0"/>
                  </w:tcBorders>
                  <w:noWrap w:val="0"/>
                  <w:vAlign w:val="center"/>
                </w:tcPr>
                <w:p>
                  <w:pPr>
                    <w:pStyle w:val="33"/>
                    <w:bidi w:val="0"/>
                    <w:rPr>
                      <w:rFonts w:hint="default"/>
                      <w:b/>
                      <w:bCs/>
                      <w:color w:val="auto"/>
                      <w:lang w:val="en-US" w:eastAsia="zh-CN"/>
                    </w:rPr>
                  </w:pPr>
                  <w:r>
                    <w:rPr>
                      <w:rFonts w:hint="eastAsia"/>
                      <w:b/>
                      <w:bCs/>
                      <w:color w:val="auto"/>
                      <w:lang w:val="en-US" w:eastAsia="zh-CN"/>
                    </w:rPr>
                    <w:t>夜</w:t>
                  </w:r>
                </w:p>
              </w:tc>
              <w:tc>
                <w:tcPr>
                  <w:tcW w:w="509" w:type="pct"/>
                  <w:tcBorders>
                    <w:bottom w:val="single" w:color="auto" w:sz="12" w:space="0"/>
                  </w:tcBorders>
                  <w:noWrap w:val="0"/>
                  <w:vAlign w:val="center"/>
                </w:tcPr>
                <w:p>
                  <w:pPr>
                    <w:pStyle w:val="33"/>
                    <w:bidi w:val="0"/>
                    <w:rPr>
                      <w:rFonts w:hint="default"/>
                      <w:b/>
                      <w:bCs/>
                      <w:color w:val="auto"/>
                      <w:lang w:val="en-US" w:eastAsia="zh-CN"/>
                    </w:rPr>
                  </w:pPr>
                  <w:r>
                    <w:rPr>
                      <w:rFonts w:hint="eastAsia"/>
                      <w:b/>
                      <w:bCs/>
                      <w:color w:val="auto"/>
                      <w:lang w:val="en-US" w:eastAsia="zh-CN"/>
                    </w:rPr>
                    <w:t>昼</w:t>
                  </w:r>
                </w:p>
              </w:tc>
              <w:tc>
                <w:tcPr>
                  <w:tcW w:w="510" w:type="pct"/>
                  <w:tcBorders>
                    <w:bottom w:val="single" w:color="auto" w:sz="12" w:space="0"/>
                  </w:tcBorders>
                  <w:noWrap w:val="0"/>
                  <w:vAlign w:val="center"/>
                </w:tcPr>
                <w:p>
                  <w:pPr>
                    <w:pStyle w:val="33"/>
                    <w:bidi w:val="0"/>
                    <w:rPr>
                      <w:rFonts w:hint="default"/>
                      <w:b/>
                      <w:bCs/>
                      <w:color w:val="auto"/>
                      <w:lang w:val="en-US" w:eastAsia="zh-CN"/>
                    </w:rPr>
                  </w:pPr>
                  <w:r>
                    <w:rPr>
                      <w:rFonts w:hint="eastAsia"/>
                      <w:b/>
                      <w:bCs/>
                      <w:color w:val="auto"/>
                      <w:lang w:val="en-US" w:eastAsia="zh-CN"/>
                    </w:rPr>
                    <w:t>夜</w:t>
                  </w:r>
                </w:p>
              </w:tc>
              <w:tc>
                <w:tcPr>
                  <w:tcW w:w="509" w:type="pct"/>
                  <w:tcBorders>
                    <w:bottom w:val="single" w:color="auto" w:sz="12" w:space="0"/>
                  </w:tcBorders>
                  <w:noWrap w:val="0"/>
                  <w:vAlign w:val="center"/>
                </w:tcPr>
                <w:p>
                  <w:pPr>
                    <w:pStyle w:val="33"/>
                    <w:bidi w:val="0"/>
                    <w:rPr>
                      <w:rFonts w:hint="default"/>
                      <w:b/>
                      <w:bCs/>
                      <w:color w:val="auto"/>
                      <w:lang w:val="en-US" w:eastAsia="zh-CN"/>
                    </w:rPr>
                  </w:pPr>
                  <w:r>
                    <w:rPr>
                      <w:rFonts w:hint="eastAsia"/>
                      <w:b/>
                      <w:bCs/>
                      <w:color w:val="auto"/>
                      <w:lang w:val="en-US" w:eastAsia="zh-CN"/>
                    </w:rPr>
                    <w:t>昼</w:t>
                  </w:r>
                </w:p>
              </w:tc>
              <w:tc>
                <w:tcPr>
                  <w:tcW w:w="510" w:type="pct"/>
                  <w:tcBorders>
                    <w:bottom w:val="single" w:color="auto" w:sz="12" w:space="0"/>
                  </w:tcBorders>
                  <w:noWrap w:val="0"/>
                  <w:vAlign w:val="center"/>
                </w:tcPr>
                <w:p>
                  <w:pPr>
                    <w:pStyle w:val="33"/>
                    <w:bidi w:val="0"/>
                    <w:rPr>
                      <w:rFonts w:hint="eastAsia"/>
                      <w:b/>
                      <w:bCs/>
                      <w:color w:val="auto"/>
                      <w:lang w:val="en-US" w:eastAsia="zh-CN"/>
                    </w:rPr>
                  </w:pPr>
                  <w:r>
                    <w:rPr>
                      <w:rFonts w:hint="eastAsia"/>
                      <w:b/>
                      <w:bCs/>
                      <w:color w:val="auto"/>
                      <w:lang w:val="en-US" w:eastAsia="zh-CN"/>
                    </w:rPr>
                    <w:t>夜</w:t>
                  </w:r>
                </w:p>
              </w:tc>
            </w:tr>
            <w:tr>
              <w:tblPrEx>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6" w:hRule="atLeast"/>
                <w:jc w:val="center"/>
              </w:trPr>
              <w:tc>
                <w:tcPr>
                  <w:tcW w:w="921" w:type="pct"/>
                  <w:tcBorders>
                    <w:top w:val="single" w:color="auto" w:sz="12" w:space="0"/>
                    <w:tl2br w:val="nil"/>
                    <w:tr2bl w:val="nil"/>
                  </w:tcBorders>
                  <w:noWrap w:val="0"/>
                  <w:vAlign w:val="center"/>
                </w:tcPr>
                <w:p>
                  <w:pPr>
                    <w:pStyle w:val="33"/>
                    <w:bidi w:val="0"/>
                    <w:rPr>
                      <w:rFonts w:hint="default"/>
                      <w:color w:val="auto"/>
                      <w:lang w:val="en-US" w:eastAsia="zh-CN"/>
                    </w:rPr>
                  </w:pPr>
                  <w:r>
                    <w:rPr>
                      <w:rFonts w:hint="eastAsia"/>
                      <w:color w:val="auto"/>
                      <w:lang w:val="en-US" w:eastAsia="zh-CN"/>
                    </w:rPr>
                    <w:t>贡献值</w:t>
                  </w:r>
                </w:p>
              </w:tc>
              <w:tc>
                <w:tcPr>
                  <w:tcW w:w="509" w:type="pct"/>
                  <w:tcBorders>
                    <w:top w:val="single" w:color="auto" w:sz="12" w:space="0"/>
                    <w:tl2br w:val="nil"/>
                    <w:tr2bl w:val="nil"/>
                  </w:tcBorders>
                  <w:noWrap w:val="0"/>
                  <w:vAlign w:val="bottom"/>
                </w:tcPr>
                <w:p>
                  <w:pPr>
                    <w:pStyle w:val="33"/>
                    <w:bidi w:val="0"/>
                    <w:rPr>
                      <w:rFonts w:hint="default"/>
                      <w:color w:val="auto"/>
                      <w:lang w:val="en-US" w:eastAsia="zh-CN"/>
                    </w:rPr>
                  </w:pPr>
                  <w:r>
                    <w:rPr>
                      <w:rFonts w:hint="eastAsia"/>
                      <w:color w:val="auto"/>
                      <w:lang w:val="en-US" w:eastAsia="zh-CN"/>
                    </w:rPr>
                    <w:t>42.7</w:t>
                  </w:r>
                </w:p>
              </w:tc>
              <w:tc>
                <w:tcPr>
                  <w:tcW w:w="510" w:type="pct"/>
                  <w:tcBorders>
                    <w:top w:val="single" w:color="auto" w:sz="12" w:space="0"/>
                    <w:tl2br w:val="nil"/>
                    <w:tr2bl w:val="nil"/>
                  </w:tcBorders>
                  <w:noWrap w:val="0"/>
                  <w:vAlign w:val="bottom"/>
                </w:tcPr>
                <w:p>
                  <w:pPr>
                    <w:pStyle w:val="33"/>
                    <w:bidi w:val="0"/>
                    <w:rPr>
                      <w:rFonts w:hint="default"/>
                      <w:color w:val="auto"/>
                      <w:lang w:val="en-US" w:eastAsia="zh-CN"/>
                    </w:rPr>
                  </w:pPr>
                  <w:r>
                    <w:rPr>
                      <w:rFonts w:hint="eastAsia"/>
                      <w:color w:val="auto"/>
                      <w:lang w:val="en-US" w:eastAsia="zh-CN"/>
                    </w:rPr>
                    <w:t>34.2</w:t>
                  </w:r>
                </w:p>
              </w:tc>
              <w:tc>
                <w:tcPr>
                  <w:tcW w:w="509" w:type="pct"/>
                  <w:tcBorders>
                    <w:top w:val="single" w:color="auto" w:sz="12" w:space="0"/>
                    <w:tl2br w:val="nil"/>
                    <w:tr2bl w:val="nil"/>
                  </w:tcBorders>
                  <w:noWrap w:val="0"/>
                  <w:vAlign w:val="bottom"/>
                </w:tcPr>
                <w:p>
                  <w:pPr>
                    <w:pStyle w:val="33"/>
                    <w:bidi w:val="0"/>
                    <w:rPr>
                      <w:rFonts w:hint="default"/>
                      <w:color w:val="auto"/>
                      <w:lang w:val="en-US" w:eastAsia="zh-CN"/>
                    </w:rPr>
                  </w:pPr>
                  <w:r>
                    <w:rPr>
                      <w:rFonts w:hint="eastAsia"/>
                      <w:color w:val="auto"/>
                      <w:lang w:val="en-US" w:eastAsia="zh-CN"/>
                    </w:rPr>
                    <w:t>40.4</w:t>
                  </w:r>
                </w:p>
              </w:tc>
              <w:tc>
                <w:tcPr>
                  <w:tcW w:w="510" w:type="pct"/>
                  <w:tcBorders>
                    <w:top w:val="single" w:color="auto" w:sz="12" w:space="0"/>
                    <w:tl2br w:val="nil"/>
                    <w:tr2bl w:val="nil"/>
                  </w:tcBorders>
                  <w:noWrap w:val="0"/>
                  <w:vAlign w:val="bottom"/>
                </w:tcPr>
                <w:p>
                  <w:pPr>
                    <w:pStyle w:val="33"/>
                    <w:bidi w:val="0"/>
                    <w:rPr>
                      <w:rFonts w:hint="default"/>
                      <w:color w:val="auto"/>
                      <w:lang w:val="en-US" w:eastAsia="zh-CN"/>
                    </w:rPr>
                  </w:pPr>
                  <w:r>
                    <w:rPr>
                      <w:rFonts w:hint="eastAsia"/>
                      <w:color w:val="auto"/>
                      <w:lang w:val="en-US" w:eastAsia="zh-CN"/>
                    </w:rPr>
                    <w:t>34.8</w:t>
                  </w:r>
                </w:p>
              </w:tc>
              <w:tc>
                <w:tcPr>
                  <w:tcW w:w="509" w:type="pct"/>
                  <w:tcBorders>
                    <w:top w:val="single" w:color="auto" w:sz="12" w:space="0"/>
                    <w:tl2br w:val="nil"/>
                    <w:tr2bl w:val="nil"/>
                  </w:tcBorders>
                  <w:noWrap w:val="0"/>
                  <w:vAlign w:val="bottom"/>
                </w:tcPr>
                <w:p>
                  <w:pPr>
                    <w:pStyle w:val="33"/>
                    <w:bidi w:val="0"/>
                    <w:rPr>
                      <w:rFonts w:hint="default"/>
                      <w:color w:val="auto"/>
                      <w:lang w:val="en-US" w:eastAsia="zh-CN"/>
                    </w:rPr>
                  </w:pPr>
                  <w:r>
                    <w:rPr>
                      <w:rFonts w:hint="eastAsia"/>
                      <w:color w:val="auto"/>
                      <w:lang w:val="en-US" w:eastAsia="zh-CN"/>
                    </w:rPr>
                    <w:t>52.</w:t>
                  </w:r>
                </w:p>
              </w:tc>
              <w:tc>
                <w:tcPr>
                  <w:tcW w:w="510" w:type="pct"/>
                  <w:tcBorders>
                    <w:top w:val="single" w:color="auto" w:sz="12" w:space="0"/>
                    <w:tl2br w:val="nil"/>
                    <w:tr2bl w:val="nil"/>
                  </w:tcBorders>
                  <w:noWrap w:val="0"/>
                  <w:vAlign w:val="bottom"/>
                </w:tcPr>
                <w:p>
                  <w:pPr>
                    <w:pStyle w:val="33"/>
                    <w:bidi w:val="0"/>
                    <w:rPr>
                      <w:rFonts w:hint="default"/>
                      <w:color w:val="auto"/>
                      <w:lang w:val="en-US" w:eastAsia="zh-CN"/>
                    </w:rPr>
                  </w:pPr>
                  <w:r>
                    <w:rPr>
                      <w:rFonts w:hint="eastAsia"/>
                      <w:color w:val="auto"/>
                      <w:lang w:val="en-US" w:eastAsia="zh-CN"/>
                    </w:rPr>
                    <w:t>39.1</w:t>
                  </w:r>
                </w:p>
              </w:tc>
              <w:tc>
                <w:tcPr>
                  <w:tcW w:w="509" w:type="pct"/>
                  <w:tcBorders>
                    <w:top w:val="single" w:color="auto" w:sz="12" w:space="0"/>
                    <w:tl2br w:val="nil"/>
                    <w:tr2bl w:val="nil"/>
                  </w:tcBorders>
                  <w:noWrap w:val="0"/>
                  <w:vAlign w:val="bottom"/>
                </w:tcPr>
                <w:p>
                  <w:pPr>
                    <w:pStyle w:val="33"/>
                    <w:bidi w:val="0"/>
                    <w:rPr>
                      <w:rFonts w:hint="default"/>
                      <w:color w:val="auto"/>
                      <w:lang w:val="en-US" w:eastAsia="zh-CN"/>
                    </w:rPr>
                  </w:pPr>
                  <w:r>
                    <w:rPr>
                      <w:rFonts w:hint="eastAsia"/>
                      <w:color w:val="auto"/>
                      <w:lang w:val="en-US" w:eastAsia="zh-CN"/>
                    </w:rPr>
                    <w:t>43.1</w:t>
                  </w:r>
                </w:p>
              </w:tc>
              <w:tc>
                <w:tcPr>
                  <w:tcW w:w="510" w:type="pct"/>
                  <w:tcBorders>
                    <w:top w:val="single" w:color="auto" w:sz="12" w:space="0"/>
                    <w:tl2br w:val="nil"/>
                    <w:tr2bl w:val="nil"/>
                  </w:tcBorders>
                  <w:noWrap w:val="0"/>
                  <w:vAlign w:val="bottom"/>
                </w:tcPr>
                <w:p>
                  <w:pPr>
                    <w:pStyle w:val="33"/>
                    <w:bidi w:val="0"/>
                    <w:rPr>
                      <w:rFonts w:hint="default"/>
                      <w:color w:val="auto"/>
                      <w:lang w:val="en-US" w:eastAsia="zh-CN"/>
                    </w:rPr>
                  </w:pPr>
                  <w:r>
                    <w:rPr>
                      <w:rFonts w:hint="eastAsia"/>
                      <w:color w:val="auto"/>
                      <w:lang w:val="en-US" w:eastAsia="zh-CN"/>
                    </w:rPr>
                    <w:t>37.5</w:t>
                  </w:r>
                </w:p>
              </w:tc>
            </w:tr>
            <w:tr>
              <w:tblPrEx>
                <w:tblBorders>
                  <w:top w:val="single" w:color="auto"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6" w:hRule="atLeast"/>
                <w:jc w:val="center"/>
              </w:trPr>
              <w:tc>
                <w:tcPr>
                  <w:tcW w:w="921" w:type="pct"/>
                  <w:tcBorders>
                    <w:tl2br w:val="nil"/>
                    <w:tr2bl w:val="nil"/>
                  </w:tcBorders>
                  <w:noWrap w:val="0"/>
                  <w:vAlign w:val="center"/>
                </w:tcPr>
                <w:p>
                  <w:pPr>
                    <w:pStyle w:val="33"/>
                    <w:bidi w:val="0"/>
                    <w:rPr>
                      <w:rFonts w:hint="default"/>
                      <w:color w:val="auto"/>
                      <w:lang w:val="en-US" w:eastAsia="zh-CN"/>
                    </w:rPr>
                  </w:pPr>
                  <w:r>
                    <w:rPr>
                      <w:rFonts w:hint="eastAsia"/>
                      <w:color w:val="auto"/>
                      <w:lang w:val="en-US" w:eastAsia="zh-CN"/>
                    </w:rPr>
                    <w:t>标准值</w:t>
                  </w:r>
                </w:p>
              </w:tc>
              <w:tc>
                <w:tcPr>
                  <w:tcW w:w="509" w:type="pct"/>
                  <w:tcBorders>
                    <w:tl2br w:val="nil"/>
                    <w:tr2bl w:val="nil"/>
                  </w:tcBorders>
                  <w:noWrap w:val="0"/>
                  <w:vAlign w:val="center"/>
                </w:tcPr>
                <w:p>
                  <w:pPr>
                    <w:pStyle w:val="33"/>
                    <w:bidi w:val="0"/>
                    <w:rPr>
                      <w:rFonts w:hint="default" w:eastAsia="宋体"/>
                      <w:color w:val="auto"/>
                      <w:lang w:val="en-US" w:eastAsia="zh-CN"/>
                    </w:rPr>
                  </w:pPr>
                  <w:r>
                    <w:rPr>
                      <w:rFonts w:hint="eastAsia"/>
                      <w:color w:val="auto"/>
                      <w:lang w:val="en-US" w:eastAsia="zh-CN"/>
                    </w:rPr>
                    <w:t>60</w:t>
                  </w:r>
                </w:p>
              </w:tc>
              <w:tc>
                <w:tcPr>
                  <w:tcW w:w="510" w:type="pct"/>
                  <w:tcBorders>
                    <w:tl2br w:val="nil"/>
                    <w:tr2bl w:val="nil"/>
                  </w:tcBorders>
                  <w:noWrap w:val="0"/>
                  <w:vAlign w:val="center"/>
                </w:tcPr>
                <w:p>
                  <w:pPr>
                    <w:pStyle w:val="33"/>
                    <w:bidi w:val="0"/>
                    <w:rPr>
                      <w:rFonts w:hint="default" w:eastAsia="宋体"/>
                      <w:color w:val="auto"/>
                      <w:lang w:val="en-US" w:eastAsia="zh-CN"/>
                    </w:rPr>
                  </w:pPr>
                  <w:r>
                    <w:rPr>
                      <w:rFonts w:hint="eastAsia"/>
                      <w:color w:val="auto"/>
                      <w:lang w:val="en-US" w:eastAsia="zh-CN"/>
                    </w:rPr>
                    <w:t>50</w:t>
                  </w:r>
                </w:p>
              </w:tc>
              <w:tc>
                <w:tcPr>
                  <w:tcW w:w="509" w:type="pct"/>
                  <w:tcBorders>
                    <w:tl2br w:val="nil"/>
                    <w:tr2bl w:val="nil"/>
                  </w:tcBorders>
                  <w:noWrap w:val="0"/>
                  <w:vAlign w:val="center"/>
                </w:tcPr>
                <w:p>
                  <w:pPr>
                    <w:pStyle w:val="33"/>
                    <w:bidi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60</w:t>
                  </w:r>
                </w:p>
              </w:tc>
              <w:tc>
                <w:tcPr>
                  <w:tcW w:w="510" w:type="pct"/>
                  <w:tcBorders>
                    <w:tl2br w:val="nil"/>
                    <w:tr2bl w:val="nil"/>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50</w:t>
                  </w:r>
                </w:p>
              </w:tc>
              <w:tc>
                <w:tcPr>
                  <w:tcW w:w="509" w:type="pct"/>
                  <w:tcBorders>
                    <w:tl2br w:val="nil"/>
                    <w:tr2bl w:val="nil"/>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60</w:t>
                  </w:r>
                </w:p>
              </w:tc>
              <w:tc>
                <w:tcPr>
                  <w:tcW w:w="510" w:type="pct"/>
                  <w:tcBorders>
                    <w:tl2br w:val="nil"/>
                    <w:tr2bl w:val="nil"/>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50</w:t>
                  </w:r>
                </w:p>
              </w:tc>
              <w:tc>
                <w:tcPr>
                  <w:tcW w:w="509" w:type="pct"/>
                  <w:tcBorders>
                    <w:tl2br w:val="nil"/>
                    <w:tr2bl w:val="nil"/>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60</w:t>
                  </w:r>
                </w:p>
              </w:tc>
              <w:tc>
                <w:tcPr>
                  <w:tcW w:w="510" w:type="pct"/>
                  <w:tcBorders>
                    <w:tl2br w:val="nil"/>
                    <w:tr2bl w:val="nil"/>
                  </w:tcBorders>
                  <w:noWrap w:val="0"/>
                  <w:vAlign w:val="center"/>
                </w:tcPr>
                <w:p>
                  <w:pPr>
                    <w:pStyle w:val="33"/>
                    <w:bidi w:val="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50</w:t>
                  </w:r>
                </w:p>
              </w:tc>
            </w:tr>
          </w:tbl>
          <w:p>
            <w:pPr>
              <w:pStyle w:val="22"/>
              <w:ind w:firstLine="480"/>
              <w:jc w:val="both"/>
              <w:rPr>
                <w:rFonts w:hint="default"/>
                <w:lang w:val="en-US"/>
              </w:rPr>
            </w:pPr>
            <w:r>
              <w:rPr>
                <w:color w:val="auto"/>
              </w:rPr>
              <w:t>由上表可知，建设项目投入运营后，各厂界噪声</w:t>
            </w:r>
            <w:r>
              <w:rPr>
                <w:rFonts w:hint="eastAsia"/>
                <w:color w:val="auto"/>
                <w:lang w:val="en-US" w:eastAsia="zh-CN"/>
              </w:rPr>
              <w:t>贡献</w:t>
            </w:r>
            <w:r>
              <w:rPr>
                <w:color w:val="auto"/>
              </w:rPr>
              <w:t>值可以达到《工业企业厂界环境噪声排放标准</w:t>
            </w:r>
            <w:r>
              <w:rPr>
                <w:rFonts w:hint="eastAsia"/>
                <w:color w:val="auto"/>
                <w:lang w:val="en-US" w:eastAsia="zh-CN"/>
              </w:rPr>
              <w:t xml:space="preserve"> </w:t>
            </w:r>
            <w:r>
              <w:rPr>
                <w:color w:val="auto"/>
              </w:rPr>
              <w:t>》（GB12348-2008）</w:t>
            </w:r>
            <w:r>
              <w:rPr>
                <w:rFonts w:hint="eastAsia"/>
                <w:color w:val="auto"/>
                <w:lang w:val="en-US" w:eastAsia="zh-CN"/>
              </w:rPr>
              <w:t>2</w:t>
            </w:r>
            <w:r>
              <w:rPr>
                <w:color w:val="auto"/>
              </w:rPr>
              <w:t>类区标准限值，对周围声环境影响不大</w:t>
            </w:r>
            <w:r>
              <w:rPr>
                <w:rFonts w:hint="eastAsia"/>
                <w:color w:val="auto"/>
              </w:rPr>
              <w:t>。</w:t>
            </w:r>
          </w:p>
          <w:p>
            <w:pPr>
              <w:pStyle w:val="7"/>
              <w:jc w:val="both"/>
              <w:outlineLvl w:val="2"/>
            </w:pPr>
            <w:r>
              <w:rPr>
                <w:rFonts w:hint="eastAsia"/>
              </w:rPr>
              <w:t>3.4 减缓措施</w:t>
            </w:r>
          </w:p>
          <w:p>
            <w:pPr>
              <w:pStyle w:val="22"/>
              <w:bidi w:val="0"/>
              <w:jc w:val="both"/>
              <w:rPr>
                <w:rFonts w:hint="default"/>
              </w:rPr>
            </w:pPr>
            <w:r>
              <w:rPr>
                <w:rFonts w:hint="default"/>
                <w:lang w:val="en-US" w:eastAsia="zh-CN"/>
              </w:rPr>
              <w:t>（1）锅炉房墙体加设吸声、隔声材料。</w:t>
            </w:r>
          </w:p>
          <w:p>
            <w:pPr>
              <w:pStyle w:val="22"/>
              <w:bidi w:val="0"/>
              <w:jc w:val="both"/>
              <w:rPr>
                <w:rFonts w:hint="default"/>
              </w:rPr>
            </w:pPr>
            <w:r>
              <w:rPr>
                <w:rFonts w:hint="default"/>
              </w:rPr>
              <w:t>（</w:t>
            </w:r>
            <w:r>
              <w:rPr>
                <w:rFonts w:hint="eastAsia"/>
                <w:lang w:val="en-US" w:eastAsia="zh-CN"/>
              </w:rPr>
              <w:t>2</w:t>
            </w:r>
            <w:r>
              <w:rPr>
                <w:rFonts w:hint="default"/>
              </w:rPr>
              <w:t>）在设备选型时优先选择高效、低噪声设备，做好设备的安装调试，同时加强运营期间对各种机械的维修保养，保持其良好的运行效果；</w:t>
            </w:r>
          </w:p>
          <w:p>
            <w:pPr>
              <w:pStyle w:val="22"/>
              <w:bidi w:val="0"/>
              <w:jc w:val="both"/>
              <w:rPr>
                <w:rFonts w:hint="default"/>
                <w:lang w:val="en-US" w:eastAsia="zh-CN"/>
              </w:rPr>
            </w:pPr>
            <w:r>
              <w:rPr>
                <w:rFonts w:hint="default"/>
                <w:lang w:val="en-US" w:eastAsia="zh-CN"/>
              </w:rPr>
              <w:t>（</w:t>
            </w:r>
            <w:r>
              <w:rPr>
                <w:rFonts w:hint="eastAsia"/>
                <w:lang w:val="en-US" w:eastAsia="zh-CN"/>
              </w:rPr>
              <w:t>3</w:t>
            </w:r>
            <w:r>
              <w:rPr>
                <w:rFonts w:hint="default"/>
                <w:lang w:val="en-US" w:eastAsia="zh-CN"/>
              </w:rPr>
              <w:t>）对高噪声设备，安装过程中加装隔声垫，采用隔声、减震等措施；</w:t>
            </w:r>
          </w:p>
          <w:p>
            <w:pPr>
              <w:pStyle w:val="22"/>
              <w:bidi w:val="0"/>
              <w:jc w:val="both"/>
            </w:pPr>
            <w:r>
              <w:rPr>
                <w:rFonts w:hint="default"/>
                <w:lang w:eastAsia="zh-CN"/>
              </w:rPr>
              <w:t>（</w:t>
            </w:r>
            <w:r>
              <w:rPr>
                <w:rFonts w:hint="eastAsia"/>
                <w:lang w:val="en-US" w:eastAsia="zh-CN"/>
              </w:rPr>
              <w:t>4</w:t>
            </w:r>
            <w:r>
              <w:rPr>
                <w:rFonts w:hint="default"/>
                <w:lang w:eastAsia="zh-CN"/>
              </w:rPr>
              <w:t>）</w:t>
            </w:r>
            <w:r>
              <w:rPr>
                <w:rFonts w:hint="default"/>
              </w:rPr>
              <w:t>项目通过加强设备保养、维护，减少因设备工况而产生的噪声污染。</w:t>
            </w:r>
          </w:p>
          <w:p>
            <w:pPr>
              <w:pStyle w:val="7"/>
              <w:jc w:val="both"/>
              <w:outlineLvl w:val="2"/>
            </w:pPr>
            <w:r>
              <w:rPr>
                <w:rFonts w:hint="eastAsia"/>
              </w:rPr>
              <w:t>3.5 监测计划</w:t>
            </w:r>
          </w:p>
          <w:p>
            <w:pPr>
              <w:pStyle w:val="22"/>
              <w:ind w:firstLine="480"/>
              <w:jc w:val="both"/>
            </w:pPr>
            <w:r>
              <w:t>运营期监测计划：对照</w:t>
            </w:r>
            <w:r>
              <w:rPr>
                <w:rFonts w:hint="default" w:ascii="Times New Roman" w:hAnsi="Times New Roman" w:cs="Times New Roman"/>
                <w:b w:val="0"/>
                <w:bCs/>
                <w:color w:val="auto"/>
                <w:lang w:val="en-US" w:eastAsia="zh-CN"/>
              </w:rPr>
              <w:t>《排污许可证与核发技术规范 锅炉》（HJ953-2018）与《排污单位自行监测技术指南 火力发电及锅炉》（HJ 820-2017）</w:t>
            </w:r>
            <w:r>
              <w:rPr>
                <w:rFonts w:hint="eastAsia" w:ascii="Times New Roman" w:hAnsi="Times New Roman" w:cs="Times New Roman"/>
                <w:b w:val="0"/>
                <w:bCs/>
                <w:color w:val="auto"/>
                <w:lang w:val="en-US" w:eastAsia="zh-CN"/>
              </w:rPr>
              <w:t>，</w:t>
            </w:r>
            <w:r>
              <w:t>制定出本项目营运期噪声监测计划见表</w:t>
            </w:r>
            <w:r>
              <w:rPr>
                <w:rFonts w:hint="eastAsia"/>
              </w:rPr>
              <w:t>4-</w:t>
            </w:r>
            <w:r>
              <w:rPr>
                <w:rFonts w:hint="eastAsia"/>
                <w:lang w:val="en-US" w:eastAsia="zh-CN"/>
              </w:rPr>
              <w:t>13</w:t>
            </w:r>
            <w:r>
              <w:t>。</w:t>
            </w:r>
          </w:p>
          <w:p>
            <w:pPr>
              <w:pStyle w:val="32"/>
            </w:pPr>
            <w:r>
              <w:t>表</w:t>
            </w:r>
            <w:r>
              <w:rPr>
                <w:rFonts w:hint="eastAsia"/>
              </w:rPr>
              <w:t>4-</w:t>
            </w:r>
            <w:r>
              <w:rPr>
                <w:rFonts w:hint="eastAsia"/>
                <w:lang w:val="en-US" w:eastAsia="zh-CN"/>
              </w:rPr>
              <w:t>13</w:t>
            </w:r>
            <w:r>
              <w:rPr>
                <w:rFonts w:hint="eastAsia"/>
              </w:rPr>
              <w:t xml:space="preserve">  </w:t>
            </w:r>
            <w:r>
              <w:t xml:space="preserve">  本项目运营期噪声环境监测计划一览表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412"/>
              <w:gridCol w:w="1116"/>
              <w:gridCol w:w="1132"/>
              <w:gridCol w:w="34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tcBorders>
                    <w:bottom w:val="single" w:color="000000" w:sz="12" w:space="0"/>
                    <w:tl2br w:val="nil"/>
                    <w:tr2bl w:val="nil"/>
                  </w:tcBorders>
                  <w:vAlign w:val="center"/>
                </w:tcPr>
                <w:p>
                  <w:pPr>
                    <w:pStyle w:val="33"/>
                    <w:rPr>
                      <w:b/>
                      <w:bCs/>
                    </w:rPr>
                  </w:pPr>
                  <w:r>
                    <w:rPr>
                      <w:b/>
                      <w:bCs/>
                    </w:rPr>
                    <w:t>因素</w:t>
                  </w:r>
                </w:p>
              </w:tc>
              <w:tc>
                <w:tcPr>
                  <w:tcW w:w="897" w:type="pct"/>
                  <w:tcBorders>
                    <w:bottom w:val="single" w:color="000000" w:sz="12" w:space="0"/>
                    <w:tl2br w:val="nil"/>
                    <w:tr2bl w:val="nil"/>
                  </w:tcBorders>
                  <w:vAlign w:val="center"/>
                </w:tcPr>
                <w:p>
                  <w:pPr>
                    <w:pStyle w:val="33"/>
                    <w:rPr>
                      <w:b/>
                      <w:bCs/>
                    </w:rPr>
                  </w:pPr>
                  <w:r>
                    <w:rPr>
                      <w:b/>
                      <w:bCs/>
                    </w:rPr>
                    <w:t>监测位置</w:t>
                  </w:r>
                </w:p>
              </w:tc>
              <w:tc>
                <w:tcPr>
                  <w:tcW w:w="709" w:type="pct"/>
                  <w:tcBorders>
                    <w:bottom w:val="single" w:color="000000" w:sz="12" w:space="0"/>
                    <w:tl2br w:val="nil"/>
                    <w:tr2bl w:val="nil"/>
                  </w:tcBorders>
                  <w:vAlign w:val="center"/>
                </w:tcPr>
                <w:p>
                  <w:pPr>
                    <w:pStyle w:val="33"/>
                    <w:rPr>
                      <w:b/>
                      <w:bCs/>
                    </w:rPr>
                  </w:pPr>
                  <w:r>
                    <w:rPr>
                      <w:b/>
                      <w:bCs/>
                    </w:rPr>
                    <w:t>监测指标</w:t>
                  </w:r>
                </w:p>
              </w:tc>
              <w:tc>
                <w:tcPr>
                  <w:tcW w:w="719" w:type="pct"/>
                  <w:tcBorders>
                    <w:bottom w:val="single" w:color="000000" w:sz="12" w:space="0"/>
                    <w:tl2br w:val="nil"/>
                    <w:tr2bl w:val="nil"/>
                  </w:tcBorders>
                  <w:vAlign w:val="center"/>
                </w:tcPr>
                <w:p>
                  <w:pPr>
                    <w:pStyle w:val="33"/>
                    <w:rPr>
                      <w:b/>
                      <w:bCs/>
                    </w:rPr>
                  </w:pPr>
                  <w:r>
                    <w:rPr>
                      <w:b/>
                      <w:bCs/>
                    </w:rPr>
                    <w:t>监测频次</w:t>
                  </w:r>
                </w:p>
              </w:tc>
              <w:tc>
                <w:tcPr>
                  <w:tcW w:w="2217" w:type="pct"/>
                  <w:tcBorders>
                    <w:bottom w:val="single" w:color="000000" w:sz="12" w:space="0"/>
                    <w:tl2br w:val="nil"/>
                    <w:tr2bl w:val="nil"/>
                  </w:tcBorders>
                  <w:vAlign w:val="center"/>
                </w:tcPr>
                <w:p>
                  <w:pPr>
                    <w:pStyle w:val="33"/>
                    <w:rPr>
                      <w:b/>
                      <w:bCs/>
                    </w:rPr>
                  </w:pPr>
                  <w:r>
                    <w:rPr>
                      <w:b/>
                      <w:bCs/>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tcBorders>
                    <w:top w:val="single" w:color="000000" w:sz="12" w:space="0"/>
                    <w:tl2br w:val="nil"/>
                    <w:tr2bl w:val="nil"/>
                  </w:tcBorders>
                  <w:vAlign w:val="center"/>
                </w:tcPr>
                <w:p>
                  <w:pPr>
                    <w:pStyle w:val="33"/>
                  </w:pPr>
                  <w:r>
                    <w:t>噪声</w:t>
                  </w:r>
                </w:p>
              </w:tc>
              <w:tc>
                <w:tcPr>
                  <w:tcW w:w="897" w:type="pct"/>
                  <w:tcBorders>
                    <w:top w:val="single" w:color="000000" w:sz="12" w:space="0"/>
                    <w:tl2br w:val="nil"/>
                    <w:tr2bl w:val="nil"/>
                  </w:tcBorders>
                  <w:vAlign w:val="center"/>
                </w:tcPr>
                <w:p>
                  <w:pPr>
                    <w:pStyle w:val="33"/>
                  </w:pPr>
                  <w:r>
                    <w:t>厂界四周围墙外1m处</w:t>
                  </w:r>
                </w:p>
              </w:tc>
              <w:tc>
                <w:tcPr>
                  <w:tcW w:w="709" w:type="pct"/>
                  <w:tcBorders>
                    <w:top w:val="single" w:color="000000" w:sz="12" w:space="0"/>
                    <w:tl2br w:val="nil"/>
                    <w:tr2bl w:val="nil"/>
                  </w:tcBorders>
                  <w:vAlign w:val="center"/>
                </w:tcPr>
                <w:p>
                  <w:pPr>
                    <w:pStyle w:val="33"/>
                  </w:pPr>
                  <w:r>
                    <w:t>LAeq</w:t>
                  </w:r>
                </w:p>
              </w:tc>
              <w:tc>
                <w:tcPr>
                  <w:tcW w:w="719" w:type="pct"/>
                  <w:tcBorders>
                    <w:top w:val="single" w:color="000000" w:sz="12" w:space="0"/>
                    <w:tl2br w:val="nil"/>
                    <w:tr2bl w:val="nil"/>
                  </w:tcBorders>
                  <w:vAlign w:val="center"/>
                </w:tcPr>
                <w:p>
                  <w:pPr>
                    <w:pStyle w:val="33"/>
                  </w:pPr>
                  <w:r>
                    <w:t>1次/季度</w:t>
                  </w:r>
                </w:p>
                <w:p>
                  <w:pPr>
                    <w:pStyle w:val="33"/>
                  </w:pPr>
                  <w:r>
                    <w:t>昼夜监测</w:t>
                  </w:r>
                </w:p>
              </w:tc>
              <w:tc>
                <w:tcPr>
                  <w:tcW w:w="2217" w:type="pct"/>
                  <w:tcBorders>
                    <w:top w:val="single" w:color="000000" w:sz="12" w:space="0"/>
                    <w:tl2br w:val="nil"/>
                    <w:tr2bl w:val="nil"/>
                  </w:tcBorders>
                  <w:vAlign w:val="center"/>
                </w:tcPr>
                <w:p>
                  <w:pPr>
                    <w:pStyle w:val="33"/>
                  </w:pPr>
                  <w:r>
                    <w:rPr>
                      <w:color w:val="auto"/>
                    </w:rPr>
                    <w:t>《工业企业厂界环境噪声排放标准》（GB12348-2008）中</w:t>
                  </w:r>
                  <w:r>
                    <w:rPr>
                      <w:rFonts w:hint="eastAsia"/>
                      <w:color w:val="auto"/>
                      <w:lang w:val="en-US" w:eastAsia="zh-CN"/>
                    </w:rPr>
                    <w:t>2</w:t>
                  </w:r>
                  <w:r>
                    <w:rPr>
                      <w:color w:val="auto"/>
                    </w:rPr>
                    <w:t>类标准</w:t>
                  </w:r>
                </w:p>
              </w:tc>
            </w:tr>
          </w:tbl>
          <w:p>
            <w:pPr>
              <w:pStyle w:val="6"/>
              <w:numPr>
                <w:ilvl w:val="0"/>
                <w:numId w:val="14"/>
              </w:numPr>
              <w:jc w:val="both"/>
              <w:outlineLvl w:val="1"/>
            </w:pPr>
            <w:r>
              <w:t>固体废物影响分析</w:t>
            </w:r>
          </w:p>
          <w:p>
            <w:pPr>
              <w:pStyle w:val="22"/>
              <w:ind w:firstLine="480"/>
              <w:jc w:val="both"/>
            </w:pPr>
            <w:r>
              <w:t>固体废物主要</w:t>
            </w:r>
            <w:r>
              <w:rPr>
                <w:rFonts w:hint="eastAsia" w:cs="Times New Roman"/>
                <w:color w:val="000000"/>
              </w:rPr>
              <w:t>生产固废</w:t>
            </w:r>
            <w:r>
              <w:rPr>
                <w:rFonts w:hint="default" w:ascii="Times New Roman" w:hAnsi="Times New Roman" w:cs="Times New Roman"/>
                <w:color w:val="000000"/>
                <w:sz w:val="24"/>
              </w:rPr>
              <w:t>软水制备装置定期更换的废离子交换树脂</w:t>
            </w:r>
            <w:r>
              <w:rPr>
                <w:rFonts w:hint="eastAsia" w:cs="Times New Roman"/>
                <w:color w:val="000000"/>
                <w:sz w:val="24"/>
                <w:lang w:val="en-US" w:eastAsia="zh-CN"/>
              </w:rPr>
              <w:t>和废包装物、污泥</w:t>
            </w:r>
            <w:r>
              <w:t>。</w:t>
            </w:r>
          </w:p>
          <w:p>
            <w:pPr>
              <w:pStyle w:val="22"/>
              <w:numPr>
                <w:ilvl w:val="0"/>
                <w:numId w:val="16"/>
              </w:numPr>
              <w:ind w:firstLine="480"/>
              <w:jc w:val="both"/>
              <w:rPr>
                <w:rFonts w:hint="eastAsia" w:ascii="宋体" w:hAnsi="宋体" w:eastAsia="宋体" w:cs="宋体"/>
                <w:color w:val="auto"/>
                <w:kern w:val="0"/>
                <w:sz w:val="24"/>
                <w:szCs w:val="24"/>
                <w:lang w:val="en-US" w:eastAsia="zh-CN" w:bidi="ar"/>
              </w:rPr>
            </w:pPr>
            <w:r>
              <w:rPr>
                <w:rFonts w:hint="default" w:ascii="Times New Roman" w:hAnsi="Times New Roman" w:cs="Times New Roman"/>
                <w:color w:val="000000"/>
                <w:sz w:val="24"/>
              </w:rPr>
              <w:t>废离子交换树脂</w:t>
            </w:r>
          </w:p>
          <w:p>
            <w:pPr>
              <w:pStyle w:val="22"/>
              <w:bidi w:val="0"/>
              <w:jc w:val="both"/>
              <w:rPr>
                <w:rFonts w:hint="default"/>
                <w:lang w:val="en-US" w:eastAsia="zh-CN"/>
              </w:rPr>
            </w:pPr>
            <w:r>
              <w:rPr>
                <w:rFonts w:hint="default"/>
                <w:lang w:val="en-US" w:eastAsia="zh-CN"/>
              </w:rPr>
              <w:t>项目建成后</w:t>
            </w:r>
            <w:r>
              <w:rPr>
                <w:rFonts w:hint="eastAsia"/>
                <w:lang w:val="en-US" w:eastAsia="zh-CN"/>
              </w:rPr>
              <w:t>锅炉</w:t>
            </w:r>
            <w:r>
              <w:rPr>
                <w:rFonts w:hint="default"/>
                <w:lang w:val="en-US" w:eastAsia="zh-CN"/>
              </w:rPr>
              <w:t>软化水制备过程中产生的离子交换树脂</w:t>
            </w:r>
            <w:r>
              <w:rPr>
                <w:rFonts w:hint="eastAsia"/>
                <w:lang w:val="en-US" w:eastAsia="zh-CN"/>
              </w:rPr>
              <w:t>，</w:t>
            </w:r>
            <w:r>
              <w:rPr>
                <w:rFonts w:hint="default"/>
              </w:rPr>
              <w:t>按树脂的平均使用寿命2年计算，废树脂的平均产生量约0.</w:t>
            </w:r>
            <w:r>
              <w:rPr>
                <w:rFonts w:hint="eastAsia"/>
                <w:lang w:val="en-US" w:eastAsia="zh-CN"/>
              </w:rPr>
              <w:t>2</w:t>
            </w:r>
            <w:r>
              <w:rPr>
                <w:rFonts w:hint="default"/>
              </w:rPr>
              <w:t>t/a</w:t>
            </w:r>
            <w:r>
              <w:rPr>
                <w:rFonts w:hint="default"/>
                <w:lang w:eastAsia="zh-CN"/>
              </w:rPr>
              <w:t>，</w:t>
            </w:r>
            <w:r>
              <w:rPr>
                <w:rFonts w:hint="default"/>
                <w:lang w:val="en-US" w:eastAsia="zh-CN"/>
              </w:rPr>
              <w:t>为一般工业固废，由厂家回收处置。</w:t>
            </w:r>
          </w:p>
          <w:p>
            <w:pPr>
              <w:pStyle w:val="22"/>
              <w:numPr>
                <w:ilvl w:val="0"/>
                <w:numId w:val="16"/>
              </w:numPr>
              <w:bidi w:val="0"/>
              <w:ind w:left="0" w:leftChars="0" w:firstLine="480" w:firstLineChars="200"/>
              <w:jc w:val="both"/>
              <w:rPr>
                <w:rFonts w:hint="eastAsia"/>
                <w:lang w:val="en-US" w:eastAsia="zh-CN"/>
              </w:rPr>
            </w:pPr>
            <w:r>
              <w:rPr>
                <w:rFonts w:hint="eastAsia"/>
                <w:lang w:val="en-US" w:eastAsia="zh-CN"/>
              </w:rPr>
              <w:t>废包装物</w:t>
            </w:r>
          </w:p>
          <w:p>
            <w:pPr>
              <w:pStyle w:val="22"/>
              <w:bidi w:val="0"/>
              <w:jc w:val="both"/>
              <w:rPr>
                <w:rFonts w:hint="eastAsia"/>
                <w:lang w:val="en-US" w:eastAsia="zh-CN"/>
              </w:rPr>
            </w:pPr>
            <w:r>
              <w:rPr>
                <w:rFonts w:hint="eastAsia"/>
                <w:lang w:val="en-US" w:eastAsia="zh-CN"/>
              </w:rPr>
              <w:t>在运营过程中会有原辅材料废包装袋产生，包括洗液、乳化剂、添加剂、柔软剂等废包装、废瓶。废包装产生量为1.2</w:t>
            </w:r>
            <w:r>
              <w:rPr>
                <w:rFonts w:hint="default"/>
                <w:lang w:val="en-US" w:eastAsia="zh-CN"/>
              </w:rPr>
              <w:t>t/a</w:t>
            </w:r>
            <w:r>
              <w:rPr>
                <w:rFonts w:hint="eastAsia"/>
                <w:lang w:val="en-US" w:eastAsia="zh-CN"/>
              </w:rPr>
              <w:t>，废包装袋统一收集后外售废品回收站。</w:t>
            </w:r>
          </w:p>
          <w:p>
            <w:pPr>
              <w:pStyle w:val="22"/>
              <w:numPr>
                <w:ilvl w:val="0"/>
                <w:numId w:val="16"/>
              </w:numPr>
              <w:bidi w:val="0"/>
              <w:ind w:left="0" w:leftChars="0" w:firstLine="480" w:firstLineChars="200"/>
              <w:jc w:val="both"/>
              <w:rPr>
                <w:rFonts w:hint="eastAsia"/>
                <w:lang w:val="en-US" w:eastAsia="zh-CN"/>
              </w:rPr>
            </w:pPr>
            <w:r>
              <w:rPr>
                <w:rFonts w:hint="eastAsia"/>
                <w:lang w:val="en-US" w:eastAsia="zh-CN"/>
              </w:rPr>
              <w:t>污泥</w:t>
            </w:r>
          </w:p>
          <w:p>
            <w:pPr>
              <w:pStyle w:val="22"/>
              <w:bidi w:val="0"/>
              <w:jc w:val="both"/>
              <w:rPr>
                <w:rFonts w:hint="default"/>
                <w:lang w:val="en-US" w:eastAsia="zh-CN"/>
              </w:rPr>
            </w:pPr>
            <w:r>
              <w:rPr>
                <w:rFonts w:hint="default"/>
                <w:lang w:val="en-US" w:eastAsia="zh-CN"/>
              </w:rPr>
              <w:t>本项目污水处理站在使用过程中将会产生一定量的污泥，其产生量约为1.5t/a。</w:t>
            </w:r>
            <w:r>
              <w:rPr>
                <w:rFonts w:hint="eastAsia"/>
                <w:lang w:val="en-US" w:eastAsia="zh-CN"/>
              </w:rPr>
              <w:t>定期清掏，</w:t>
            </w:r>
            <w:r>
              <w:rPr>
                <w:rFonts w:hint="default"/>
                <w:lang w:val="en-US" w:eastAsia="zh-CN"/>
              </w:rPr>
              <w:t>委托环卫部门</w:t>
            </w:r>
            <w:r>
              <w:rPr>
                <w:rFonts w:hint="eastAsia"/>
                <w:lang w:val="en-US" w:eastAsia="zh-CN"/>
              </w:rPr>
              <w:t>清运。</w:t>
            </w:r>
          </w:p>
          <w:p>
            <w:pPr>
              <w:pStyle w:val="22"/>
              <w:ind w:firstLine="480"/>
              <w:jc w:val="both"/>
              <w:rPr>
                <w:rFonts w:hint="eastAsia"/>
              </w:rPr>
            </w:pPr>
            <w:r>
              <w:rPr>
                <w:rFonts w:hint="eastAsia"/>
              </w:rPr>
              <w:t>本项目固体废物产生及处置情况见下表4-</w:t>
            </w:r>
            <w:r>
              <w:rPr>
                <w:rFonts w:hint="eastAsia"/>
                <w:lang w:val="en-US" w:eastAsia="zh-CN"/>
              </w:rPr>
              <w:t>14</w:t>
            </w:r>
            <w:r>
              <w:rPr>
                <w:rFonts w:hint="eastAsia"/>
              </w:rPr>
              <w:t>。</w:t>
            </w:r>
          </w:p>
          <w:p>
            <w:pPr>
              <w:pStyle w:val="32"/>
            </w:pPr>
            <w:r>
              <w:rPr>
                <w:rFonts w:hint="eastAsia"/>
              </w:rPr>
              <w:t>表4</w:t>
            </w:r>
            <w:r>
              <w:rPr>
                <w:rFonts w:hint="eastAsia"/>
                <w:lang w:val="en-US" w:eastAsia="zh-CN"/>
              </w:rPr>
              <w:t>-14</w:t>
            </w:r>
            <w:r>
              <w:rPr>
                <w:rFonts w:hint="eastAsia"/>
              </w:rPr>
              <w:t xml:space="preserve">      </w:t>
            </w:r>
            <w:r>
              <w:t>本项目固体废物产生及处置情况一览</w:t>
            </w:r>
            <w:r>
              <w:rPr>
                <w:rFonts w:hint="eastAsia"/>
              </w:rPr>
              <w:t>表</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493"/>
              <w:gridCol w:w="1539"/>
              <w:gridCol w:w="1075"/>
              <w:gridCol w:w="1037"/>
              <w:gridCol w:w="1116"/>
              <w:gridCol w:w="1061"/>
              <w:gridCol w:w="15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13" w:type="pct"/>
                  <w:tcBorders>
                    <w:bottom w:val="single" w:color="auto" w:sz="12" w:space="0"/>
                  </w:tcBorders>
                  <w:shd w:val="clear" w:color="auto" w:fill="FFFFFF"/>
                  <w:vAlign w:val="center"/>
                </w:tcPr>
                <w:p>
                  <w:pPr>
                    <w:pStyle w:val="33"/>
                    <w:bidi w:val="0"/>
                    <w:spacing w:line="240" w:lineRule="auto"/>
                    <w:rPr>
                      <w:b/>
                      <w:bCs/>
                    </w:rPr>
                  </w:pPr>
                  <w:r>
                    <w:rPr>
                      <w:b/>
                      <w:bCs/>
                    </w:rPr>
                    <w:t>序号</w:t>
                  </w:r>
                </w:p>
              </w:tc>
              <w:tc>
                <w:tcPr>
                  <w:tcW w:w="978" w:type="pct"/>
                  <w:tcBorders>
                    <w:bottom w:val="single" w:color="auto" w:sz="12" w:space="0"/>
                  </w:tcBorders>
                  <w:shd w:val="clear" w:color="auto" w:fill="FFFFFF"/>
                  <w:vAlign w:val="center"/>
                </w:tcPr>
                <w:p>
                  <w:pPr>
                    <w:pStyle w:val="33"/>
                    <w:bidi w:val="0"/>
                    <w:spacing w:line="240" w:lineRule="auto"/>
                    <w:rPr>
                      <w:b/>
                      <w:bCs/>
                      <w:lang w:val="en-US" w:eastAsia="zh-CN"/>
                    </w:rPr>
                  </w:pPr>
                  <w:r>
                    <w:rPr>
                      <w:b/>
                      <w:bCs/>
                    </w:rPr>
                    <w:t>污染物</w:t>
                  </w:r>
                  <w:r>
                    <w:rPr>
                      <w:b/>
                      <w:bCs/>
                      <w:lang w:val="en-US" w:eastAsia="zh-CN"/>
                    </w:rPr>
                    <w:t>名称</w:t>
                  </w:r>
                </w:p>
              </w:tc>
              <w:tc>
                <w:tcPr>
                  <w:tcW w:w="683" w:type="pct"/>
                  <w:tcBorders>
                    <w:bottom w:val="single" w:color="auto" w:sz="12" w:space="0"/>
                  </w:tcBorders>
                  <w:shd w:val="clear" w:color="auto" w:fill="FFFFFF"/>
                  <w:vAlign w:val="center"/>
                </w:tcPr>
                <w:p>
                  <w:pPr>
                    <w:pStyle w:val="33"/>
                    <w:bidi w:val="0"/>
                    <w:spacing w:line="240" w:lineRule="auto"/>
                    <w:rPr>
                      <w:b/>
                      <w:bCs/>
                      <w:lang w:val="en-US" w:eastAsia="zh-CN"/>
                    </w:rPr>
                  </w:pPr>
                  <w:r>
                    <w:rPr>
                      <w:rFonts w:hint="eastAsia"/>
                      <w:b/>
                      <w:bCs/>
                      <w:lang w:val="en-US" w:eastAsia="zh-CN"/>
                    </w:rPr>
                    <w:t>固废代码</w:t>
                  </w:r>
                </w:p>
              </w:tc>
              <w:tc>
                <w:tcPr>
                  <w:tcW w:w="659" w:type="pct"/>
                  <w:tcBorders>
                    <w:bottom w:val="single" w:color="auto" w:sz="12" w:space="0"/>
                  </w:tcBorders>
                  <w:shd w:val="clear" w:color="auto" w:fill="FFFFFF"/>
                  <w:vAlign w:val="center"/>
                </w:tcPr>
                <w:p>
                  <w:pPr>
                    <w:pStyle w:val="33"/>
                    <w:bidi w:val="0"/>
                    <w:spacing w:line="240" w:lineRule="auto"/>
                    <w:rPr>
                      <w:b/>
                      <w:bCs/>
                    </w:rPr>
                  </w:pPr>
                  <w:r>
                    <w:rPr>
                      <w:b/>
                      <w:bCs/>
                    </w:rPr>
                    <w:t>产生途径</w:t>
                  </w:r>
                </w:p>
              </w:tc>
              <w:tc>
                <w:tcPr>
                  <w:tcW w:w="709" w:type="pct"/>
                  <w:tcBorders>
                    <w:bottom w:val="single" w:color="auto" w:sz="12" w:space="0"/>
                  </w:tcBorders>
                  <w:shd w:val="clear" w:color="auto" w:fill="FFFFFF"/>
                  <w:vAlign w:val="center"/>
                </w:tcPr>
                <w:p>
                  <w:pPr>
                    <w:pStyle w:val="33"/>
                    <w:bidi w:val="0"/>
                    <w:spacing w:line="240" w:lineRule="auto"/>
                    <w:rPr>
                      <w:b/>
                      <w:bCs/>
                    </w:rPr>
                  </w:pPr>
                  <w:r>
                    <w:rPr>
                      <w:b/>
                      <w:bCs/>
                    </w:rPr>
                    <w:t>固废性质</w:t>
                  </w:r>
                </w:p>
              </w:tc>
              <w:tc>
                <w:tcPr>
                  <w:tcW w:w="674" w:type="pct"/>
                  <w:tcBorders>
                    <w:bottom w:val="single" w:color="auto" w:sz="12" w:space="0"/>
                  </w:tcBorders>
                  <w:shd w:val="clear" w:color="auto" w:fill="FFFFFF"/>
                  <w:vAlign w:val="center"/>
                </w:tcPr>
                <w:p>
                  <w:pPr>
                    <w:pStyle w:val="33"/>
                    <w:bidi w:val="0"/>
                    <w:spacing w:line="240" w:lineRule="auto"/>
                    <w:rPr>
                      <w:b/>
                      <w:bCs/>
                    </w:rPr>
                  </w:pPr>
                  <w:r>
                    <w:rPr>
                      <w:b/>
                      <w:bCs/>
                    </w:rPr>
                    <w:t>产生量</w:t>
                  </w:r>
                  <w:r>
                    <w:rPr>
                      <w:b/>
                      <w:bCs/>
                      <w:lang w:val="en-US" w:eastAsia="en-US"/>
                    </w:rPr>
                    <w:t>t/a</w:t>
                  </w:r>
                </w:p>
              </w:tc>
              <w:tc>
                <w:tcPr>
                  <w:tcW w:w="980" w:type="pct"/>
                  <w:tcBorders>
                    <w:bottom w:val="single" w:color="auto" w:sz="12" w:space="0"/>
                  </w:tcBorders>
                  <w:shd w:val="clear" w:color="auto" w:fill="FFFFFF"/>
                  <w:vAlign w:val="center"/>
                </w:tcPr>
                <w:p>
                  <w:pPr>
                    <w:pStyle w:val="33"/>
                    <w:bidi w:val="0"/>
                    <w:spacing w:line="240" w:lineRule="auto"/>
                    <w:rPr>
                      <w:b/>
                      <w:bCs/>
                    </w:rPr>
                  </w:pPr>
                  <w:r>
                    <w:rPr>
                      <w:b/>
                      <w:bCs/>
                    </w:rPr>
                    <w:t>处理措施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13" w:type="pct"/>
                  <w:tcBorders>
                    <w:tl2br w:val="nil"/>
                    <w:tr2bl w:val="nil"/>
                  </w:tcBorders>
                  <w:shd w:val="clear" w:color="auto" w:fill="FFFFFF"/>
                  <w:vAlign w:val="center"/>
                </w:tcPr>
                <w:p>
                  <w:pPr>
                    <w:pStyle w:val="33"/>
                    <w:rPr>
                      <w:lang w:val="en-US" w:eastAsia="zh-CN"/>
                    </w:rPr>
                  </w:pPr>
                  <w:r>
                    <w:rPr>
                      <w:rFonts w:hint="eastAsia"/>
                      <w:lang w:val="en-US" w:eastAsia="zh-CN"/>
                    </w:rPr>
                    <w:t>1</w:t>
                  </w:r>
                </w:p>
              </w:tc>
              <w:tc>
                <w:tcPr>
                  <w:tcW w:w="978" w:type="pct"/>
                  <w:tcBorders>
                    <w:tl2br w:val="nil"/>
                    <w:tr2bl w:val="nil"/>
                  </w:tcBorders>
                  <w:shd w:val="clear" w:color="auto" w:fill="FFFFFF"/>
                  <w:vAlign w:val="center"/>
                </w:tcPr>
                <w:p>
                  <w:pPr>
                    <w:pStyle w:val="33"/>
                    <w:bidi w:val="0"/>
                    <w:rPr>
                      <w:lang w:val="en-US" w:eastAsia="zh-CN"/>
                    </w:rPr>
                  </w:pPr>
                  <w:r>
                    <w:rPr>
                      <w:rFonts w:hint="eastAsia"/>
                      <w:color w:val="auto"/>
                      <w:lang w:val="en-US" w:eastAsia="zh-CN"/>
                    </w:rPr>
                    <w:t>废离子交换树脂</w:t>
                  </w:r>
                </w:p>
              </w:tc>
              <w:tc>
                <w:tcPr>
                  <w:tcW w:w="683" w:type="pct"/>
                  <w:tcBorders>
                    <w:tl2br w:val="nil"/>
                    <w:tr2bl w:val="nil"/>
                  </w:tcBorders>
                  <w:shd w:val="clear" w:color="auto" w:fill="FFFFFF"/>
                  <w:vAlign w:val="center"/>
                </w:tcPr>
                <w:p>
                  <w:pPr>
                    <w:pStyle w:val="33"/>
                    <w:bidi w:val="0"/>
                    <w:rPr>
                      <w:lang w:val="en-US" w:eastAsia="zh-CN"/>
                    </w:rPr>
                  </w:pPr>
                  <w:r>
                    <w:rPr>
                      <w:rFonts w:hint="eastAsia"/>
                      <w:color w:val="auto"/>
                      <w:lang w:val="en-US" w:eastAsia="zh-CN"/>
                    </w:rPr>
                    <w:t>900-999-99</w:t>
                  </w:r>
                </w:p>
              </w:tc>
              <w:tc>
                <w:tcPr>
                  <w:tcW w:w="659" w:type="pct"/>
                  <w:tcBorders>
                    <w:tl2br w:val="nil"/>
                    <w:tr2bl w:val="nil"/>
                  </w:tcBorders>
                  <w:shd w:val="clear" w:color="auto" w:fill="FFFFFF"/>
                  <w:vAlign w:val="center"/>
                </w:tcPr>
                <w:p>
                  <w:pPr>
                    <w:pStyle w:val="33"/>
                    <w:bidi w:val="0"/>
                    <w:rPr>
                      <w:lang w:val="en-US" w:eastAsia="zh-CN"/>
                    </w:rPr>
                  </w:pPr>
                  <w:r>
                    <w:rPr>
                      <w:rFonts w:hint="eastAsia"/>
                      <w:color w:val="auto"/>
                      <w:lang w:val="en-US" w:eastAsia="zh-CN"/>
                    </w:rPr>
                    <w:t>软水制备</w:t>
                  </w:r>
                </w:p>
              </w:tc>
              <w:tc>
                <w:tcPr>
                  <w:tcW w:w="709" w:type="pct"/>
                  <w:vMerge w:val="restart"/>
                  <w:tcBorders>
                    <w:tl2br w:val="nil"/>
                    <w:tr2bl w:val="nil"/>
                  </w:tcBorders>
                  <w:shd w:val="clear" w:color="auto" w:fill="FFFFFF"/>
                  <w:vAlign w:val="center"/>
                </w:tcPr>
                <w:p>
                  <w:pPr>
                    <w:pStyle w:val="33"/>
                    <w:rPr>
                      <w:lang w:val="en-US" w:eastAsia="zh-CN"/>
                    </w:rPr>
                  </w:pPr>
                  <w:r>
                    <w:rPr>
                      <w:rFonts w:hint="eastAsia"/>
                      <w:color w:val="auto"/>
                      <w:lang w:val="en-US" w:eastAsia="zh-CN"/>
                    </w:rPr>
                    <w:t>一般固废</w:t>
                  </w:r>
                </w:p>
              </w:tc>
              <w:tc>
                <w:tcPr>
                  <w:tcW w:w="674" w:type="pct"/>
                  <w:tcBorders>
                    <w:tl2br w:val="nil"/>
                    <w:tr2bl w:val="nil"/>
                  </w:tcBorders>
                  <w:shd w:val="clear" w:color="auto" w:fill="FFFFFF"/>
                  <w:vAlign w:val="center"/>
                </w:tcPr>
                <w:p>
                  <w:pPr>
                    <w:pStyle w:val="33"/>
                    <w:bidi w:val="0"/>
                    <w:rPr>
                      <w:rFonts w:hint="default"/>
                      <w:lang w:val="en-US" w:eastAsia="zh-CN"/>
                    </w:rPr>
                  </w:pPr>
                  <w:r>
                    <w:rPr>
                      <w:rFonts w:hint="eastAsia"/>
                      <w:color w:val="auto"/>
                      <w:lang w:val="en-US" w:eastAsia="zh-CN"/>
                    </w:rPr>
                    <w:t>0.2</w:t>
                  </w:r>
                </w:p>
              </w:tc>
              <w:tc>
                <w:tcPr>
                  <w:tcW w:w="980" w:type="pct"/>
                  <w:tcBorders>
                    <w:tl2br w:val="nil"/>
                    <w:tr2bl w:val="nil"/>
                  </w:tcBorders>
                  <w:shd w:val="clear" w:color="auto" w:fill="FFFFFF"/>
                  <w:vAlign w:val="center"/>
                </w:tcPr>
                <w:p>
                  <w:pPr>
                    <w:pStyle w:val="33"/>
                    <w:bidi w:val="0"/>
                    <w:rPr>
                      <w:rFonts w:hint="default"/>
                      <w:lang w:val="en-US" w:eastAsia="zh-CN"/>
                    </w:rPr>
                  </w:pPr>
                  <w:r>
                    <w:rPr>
                      <w:rFonts w:hint="eastAsia"/>
                      <w:color w:val="auto"/>
                      <w:lang w:val="en-US" w:eastAsia="zh-CN"/>
                    </w:rPr>
                    <w:t>厂家回收处理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13" w:type="pct"/>
                  <w:tcBorders>
                    <w:tl2br w:val="nil"/>
                    <w:tr2bl w:val="nil"/>
                  </w:tcBorders>
                  <w:shd w:val="clear" w:color="auto" w:fill="FFFFFF"/>
                  <w:vAlign w:val="center"/>
                </w:tcPr>
                <w:p>
                  <w:pPr>
                    <w:pStyle w:val="33"/>
                    <w:rPr>
                      <w:rFonts w:hint="default"/>
                      <w:lang w:val="en-US" w:eastAsia="zh-CN"/>
                    </w:rPr>
                  </w:pPr>
                  <w:r>
                    <w:rPr>
                      <w:rFonts w:hint="eastAsia"/>
                      <w:lang w:val="en-US" w:eastAsia="zh-CN"/>
                    </w:rPr>
                    <w:t>2</w:t>
                  </w:r>
                </w:p>
              </w:tc>
              <w:tc>
                <w:tcPr>
                  <w:tcW w:w="978" w:type="pct"/>
                  <w:tcBorders>
                    <w:tl2br w:val="nil"/>
                    <w:tr2bl w:val="nil"/>
                  </w:tcBorders>
                  <w:shd w:val="clear" w:color="auto" w:fill="FFFFFF"/>
                  <w:vAlign w:val="center"/>
                </w:tcPr>
                <w:p>
                  <w:pPr>
                    <w:pStyle w:val="33"/>
                    <w:bidi w:val="0"/>
                    <w:rPr>
                      <w:rFonts w:hint="eastAsia"/>
                      <w:color w:val="auto"/>
                      <w:lang w:val="en-US" w:eastAsia="zh-CN"/>
                    </w:rPr>
                  </w:pPr>
                  <w:r>
                    <w:rPr>
                      <w:rFonts w:hint="eastAsia"/>
                      <w:lang w:val="en-US" w:eastAsia="zh-CN"/>
                    </w:rPr>
                    <w:t>废包装物</w:t>
                  </w:r>
                </w:p>
              </w:tc>
              <w:tc>
                <w:tcPr>
                  <w:tcW w:w="683" w:type="pct"/>
                  <w:tcBorders>
                    <w:tl2br w:val="nil"/>
                    <w:tr2bl w:val="nil"/>
                  </w:tcBorders>
                  <w:shd w:val="clear" w:color="auto" w:fill="FFFFFF"/>
                  <w:vAlign w:val="center"/>
                </w:tcPr>
                <w:p>
                  <w:pPr>
                    <w:pStyle w:val="33"/>
                    <w:bidi w:val="0"/>
                    <w:rPr>
                      <w:rFonts w:hint="default"/>
                      <w:color w:val="auto"/>
                      <w:lang w:val="en-US" w:eastAsia="zh-CN"/>
                    </w:rPr>
                  </w:pPr>
                  <w:r>
                    <w:rPr>
                      <w:rFonts w:hint="eastAsia"/>
                      <w:color w:val="auto"/>
                      <w:lang w:val="en-US" w:eastAsia="zh-CN"/>
                    </w:rPr>
                    <w:t>900-001-07</w:t>
                  </w:r>
                </w:p>
              </w:tc>
              <w:tc>
                <w:tcPr>
                  <w:tcW w:w="659" w:type="pct"/>
                  <w:tcBorders>
                    <w:tl2br w:val="nil"/>
                    <w:tr2bl w:val="nil"/>
                  </w:tcBorders>
                  <w:shd w:val="clear" w:color="auto" w:fill="FFFFFF"/>
                  <w:vAlign w:val="center"/>
                </w:tcPr>
                <w:p>
                  <w:pPr>
                    <w:pStyle w:val="33"/>
                    <w:bidi w:val="0"/>
                    <w:rPr>
                      <w:rFonts w:hint="default"/>
                      <w:color w:val="auto"/>
                      <w:lang w:val="en-US" w:eastAsia="zh-CN"/>
                    </w:rPr>
                  </w:pPr>
                  <w:r>
                    <w:rPr>
                      <w:rFonts w:hint="eastAsia"/>
                      <w:color w:val="auto"/>
                      <w:lang w:val="en-US" w:eastAsia="zh-CN"/>
                    </w:rPr>
                    <w:t>洗涤</w:t>
                  </w:r>
                </w:p>
              </w:tc>
              <w:tc>
                <w:tcPr>
                  <w:tcW w:w="709" w:type="pct"/>
                  <w:vMerge w:val="continue"/>
                  <w:tcBorders>
                    <w:tl2br w:val="nil"/>
                    <w:tr2bl w:val="nil"/>
                  </w:tcBorders>
                  <w:shd w:val="clear" w:color="auto" w:fill="FFFFFF"/>
                  <w:vAlign w:val="center"/>
                </w:tcPr>
                <w:p>
                  <w:pPr>
                    <w:pStyle w:val="33"/>
                    <w:rPr>
                      <w:rFonts w:hint="eastAsia"/>
                      <w:color w:val="auto"/>
                      <w:lang w:val="en-US" w:eastAsia="zh-CN"/>
                    </w:rPr>
                  </w:pPr>
                </w:p>
              </w:tc>
              <w:tc>
                <w:tcPr>
                  <w:tcW w:w="674" w:type="pct"/>
                  <w:tcBorders>
                    <w:tl2br w:val="nil"/>
                    <w:tr2bl w:val="nil"/>
                  </w:tcBorders>
                  <w:shd w:val="clear" w:color="auto" w:fill="FFFFFF"/>
                  <w:vAlign w:val="center"/>
                </w:tcPr>
                <w:p>
                  <w:pPr>
                    <w:pStyle w:val="33"/>
                    <w:bidi w:val="0"/>
                    <w:rPr>
                      <w:rFonts w:hint="default"/>
                      <w:color w:val="auto"/>
                      <w:lang w:val="en-US" w:eastAsia="zh-CN"/>
                    </w:rPr>
                  </w:pPr>
                  <w:r>
                    <w:rPr>
                      <w:rFonts w:hint="eastAsia"/>
                      <w:color w:val="auto"/>
                      <w:lang w:val="en-US" w:eastAsia="zh-CN"/>
                    </w:rPr>
                    <w:t>1.2</w:t>
                  </w:r>
                </w:p>
              </w:tc>
              <w:tc>
                <w:tcPr>
                  <w:tcW w:w="980" w:type="pct"/>
                  <w:tcBorders>
                    <w:tl2br w:val="nil"/>
                    <w:tr2bl w:val="nil"/>
                  </w:tcBorders>
                  <w:shd w:val="clear" w:color="auto" w:fill="FFFFFF"/>
                  <w:vAlign w:val="center"/>
                </w:tcPr>
                <w:p>
                  <w:pPr>
                    <w:pStyle w:val="33"/>
                    <w:bidi w:val="0"/>
                    <w:rPr>
                      <w:rFonts w:hint="eastAsia"/>
                      <w:color w:val="auto"/>
                      <w:lang w:val="en-US" w:eastAsia="zh-CN"/>
                    </w:rPr>
                  </w:pPr>
                  <w:r>
                    <w:rPr>
                      <w:rFonts w:hint="eastAsia"/>
                      <w:lang w:val="en-US" w:eastAsia="zh-CN"/>
                    </w:rPr>
                    <w:t>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13" w:type="pct"/>
                  <w:tcBorders>
                    <w:tl2br w:val="nil"/>
                    <w:tr2bl w:val="nil"/>
                  </w:tcBorders>
                  <w:shd w:val="clear" w:color="auto" w:fill="FFFFFF"/>
                  <w:vAlign w:val="center"/>
                </w:tcPr>
                <w:p>
                  <w:pPr>
                    <w:pStyle w:val="33"/>
                    <w:rPr>
                      <w:rFonts w:hint="default"/>
                      <w:lang w:val="en-US" w:eastAsia="zh-CN"/>
                    </w:rPr>
                  </w:pPr>
                  <w:r>
                    <w:rPr>
                      <w:rFonts w:hint="eastAsia"/>
                      <w:lang w:val="en-US" w:eastAsia="zh-CN"/>
                    </w:rPr>
                    <w:t>3</w:t>
                  </w:r>
                </w:p>
              </w:tc>
              <w:tc>
                <w:tcPr>
                  <w:tcW w:w="978" w:type="pct"/>
                  <w:tcBorders>
                    <w:tl2br w:val="nil"/>
                    <w:tr2bl w:val="nil"/>
                  </w:tcBorders>
                  <w:shd w:val="clear" w:color="auto" w:fill="FFFFFF"/>
                  <w:vAlign w:val="center"/>
                </w:tcPr>
                <w:p>
                  <w:pPr>
                    <w:pStyle w:val="33"/>
                    <w:bidi w:val="0"/>
                    <w:rPr>
                      <w:rFonts w:hint="default"/>
                      <w:lang w:val="en-US" w:eastAsia="zh-CN"/>
                    </w:rPr>
                  </w:pPr>
                  <w:r>
                    <w:rPr>
                      <w:rFonts w:hint="eastAsia"/>
                      <w:lang w:val="en-US" w:eastAsia="zh-CN"/>
                    </w:rPr>
                    <w:t>污泥</w:t>
                  </w:r>
                </w:p>
              </w:tc>
              <w:tc>
                <w:tcPr>
                  <w:tcW w:w="683" w:type="pct"/>
                  <w:tcBorders>
                    <w:tl2br w:val="nil"/>
                    <w:tr2bl w:val="nil"/>
                  </w:tcBorders>
                  <w:shd w:val="clear" w:color="auto" w:fill="FFFFFF"/>
                  <w:vAlign w:val="center"/>
                </w:tcPr>
                <w:p>
                  <w:pPr>
                    <w:pStyle w:val="33"/>
                    <w:bidi w:val="0"/>
                    <w:rPr>
                      <w:rFonts w:hint="eastAsia"/>
                      <w:color w:val="auto"/>
                      <w:lang w:val="en-US" w:eastAsia="zh-CN"/>
                    </w:rPr>
                  </w:pPr>
                  <w:r>
                    <w:rPr>
                      <w:rFonts w:hint="eastAsia"/>
                      <w:highlight w:val="none"/>
                      <w:lang w:val="en-US" w:eastAsia="zh-CN"/>
                    </w:rPr>
                    <w:t>900</w:t>
                  </w:r>
                  <w:r>
                    <w:rPr>
                      <w:rFonts w:hint="eastAsia"/>
                      <w:highlight w:val="none"/>
                    </w:rPr>
                    <w:t>-001-62</w:t>
                  </w:r>
                </w:p>
              </w:tc>
              <w:tc>
                <w:tcPr>
                  <w:tcW w:w="659" w:type="pct"/>
                  <w:tcBorders>
                    <w:tl2br w:val="nil"/>
                    <w:tr2bl w:val="nil"/>
                  </w:tcBorders>
                  <w:shd w:val="clear" w:color="auto" w:fill="FFFFFF"/>
                  <w:vAlign w:val="center"/>
                </w:tcPr>
                <w:p>
                  <w:pPr>
                    <w:pStyle w:val="33"/>
                    <w:bidi w:val="0"/>
                    <w:rPr>
                      <w:rFonts w:hint="default"/>
                      <w:color w:val="auto"/>
                      <w:lang w:val="en-US" w:eastAsia="zh-CN"/>
                    </w:rPr>
                  </w:pPr>
                  <w:r>
                    <w:rPr>
                      <w:rFonts w:hint="eastAsia"/>
                      <w:color w:val="auto"/>
                      <w:lang w:val="en-US" w:eastAsia="zh-CN"/>
                    </w:rPr>
                    <w:t>污水处理</w:t>
                  </w:r>
                </w:p>
              </w:tc>
              <w:tc>
                <w:tcPr>
                  <w:tcW w:w="709" w:type="pct"/>
                  <w:vMerge w:val="continue"/>
                  <w:tcBorders>
                    <w:tl2br w:val="nil"/>
                    <w:tr2bl w:val="nil"/>
                  </w:tcBorders>
                  <w:shd w:val="clear" w:color="auto" w:fill="FFFFFF"/>
                  <w:vAlign w:val="center"/>
                </w:tcPr>
                <w:p>
                  <w:pPr>
                    <w:pStyle w:val="33"/>
                    <w:rPr>
                      <w:rFonts w:hint="eastAsia"/>
                      <w:color w:val="auto"/>
                      <w:lang w:val="en-US" w:eastAsia="zh-CN"/>
                    </w:rPr>
                  </w:pPr>
                </w:p>
              </w:tc>
              <w:tc>
                <w:tcPr>
                  <w:tcW w:w="674" w:type="pct"/>
                  <w:tcBorders>
                    <w:tl2br w:val="nil"/>
                    <w:tr2bl w:val="nil"/>
                  </w:tcBorders>
                  <w:shd w:val="clear" w:color="auto" w:fill="FFFFFF"/>
                  <w:vAlign w:val="center"/>
                </w:tcPr>
                <w:p>
                  <w:pPr>
                    <w:pStyle w:val="33"/>
                    <w:bidi w:val="0"/>
                    <w:rPr>
                      <w:rFonts w:hint="default"/>
                      <w:color w:val="auto"/>
                      <w:lang w:val="en-US" w:eastAsia="zh-CN"/>
                    </w:rPr>
                  </w:pPr>
                  <w:r>
                    <w:rPr>
                      <w:rFonts w:hint="eastAsia"/>
                      <w:color w:val="auto"/>
                      <w:lang w:val="en-US" w:eastAsia="zh-CN"/>
                    </w:rPr>
                    <w:t>1.5</w:t>
                  </w:r>
                </w:p>
              </w:tc>
              <w:tc>
                <w:tcPr>
                  <w:tcW w:w="980" w:type="pct"/>
                  <w:tcBorders>
                    <w:tl2br w:val="nil"/>
                    <w:tr2bl w:val="nil"/>
                  </w:tcBorders>
                  <w:shd w:val="clear" w:color="auto" w:fill="FFFFFF"/>
                  <w:vAlign w:val="center"/>
                </w:tcPr>
                <w:p>
                  <w:pPr>
                    <w:pStyle w:val="33"/>
                    <w:bidi w:val="0"/>
                    <w:rPr>
                      <w:rFonts w:hint="eastAsia"/>
                      <w:lang w:val="en-US" w:eastAsia="zh-CN"/>
                    </w:rPr>
                  </w:pPr>
                  <w:r>
                    <w:rPr>
                      <w:rFonts w:hint="default"/>
                      <w:lang w:val="en-US" w:eastAsia="zh-CN"/>
                    </w:rPr>
                    <w:t>环卫部门</w:t>
                  </w:r>
                  <w:r>
                    <w:rPr>
                      <w:rFonts w:hint="eastAsia"/>
                      <w:lang w:val="en-US" w:eastAsia="zh-CN"/>
                    </w:rPr>
                    <w:t>清运</w:t>
                  </w:r>
                </w:p>
              </w:tc>
            </w:tr>
          </w:tbl>
          <w:p>
            <w:pPr>
              <w:pStyle w:val="6"/>
              <w:numPr>
                <w:ilvl w:val="0"/>
                <w:numId w:val="14"/>
              </w:numPr>
              <w:jc w:val="both"/>
              <w:outlineLvl w:val="1"/>
            </w:pPr>
            <w:r>
              <w:rPr>
                <w:rFonts w:hint="eastAsia"/>
              </w:rPr>
              <w:t>地下水、土壤污染影响及防治措施</w:t>
            </w:r>
          </w:p>
          <w:p>
            <w:pPr>
              <w:pStyle w:val="22"/>
              <w:bidi w:val="0"/>
              <w:jc w:val="both"/>
              <w:rPr>
                <w:rFonts w:hint="default"/>
                <w:lang w:val="en-US" w:eastAsia="zh-CN"/>
              </w:rPr>
            </w:pPr>
            <w:r>
              <w:rPr>
                <w:rFonts w:hint="default"/>
                <w:lang w:val="en-US" w:eastAsia="zh-CN"/>
              </w:rPr>
              <w:t>本项目涉及的地下水及土壤污染途径为污水管道破损下渗，为有效规避地下水</w:t>
            </w:r>
            <w:r>
              <w:rPr>
                <w:rFonts w:hint="eastAsia"/>
                <w:lang w:val="en-US" w:eastAsia="zh-CN"/>
              </w:rPr>
              <w:t>环境</w:t>
            </w:r>
            <w:r>
              <w:rPr>
                <w:rFonts w:hint="default"/>
                <w:lang w:val="en-US" w:eastAsia="zh-CN"/>
              </w:rPr>
              <w:t>污染的风险，应做好地下水污染预措施，按照源头控制、分区控制、污染监控、应急响应"的主动与被动防渗相结合的防渗原则，本项提出如下措施∶</w:t>
            </w:r>
          </w:p>
          <w:p>
            <w:pPr>
              <w:pStyle w:val="7"/>
              <w:bidi w:val="0"/>
              <w:jc w:val="both"/>
              <w:rPr>
                <w:rFonts w:hint="default"/>
                <w:lang w:val="en-US" w:eastAsia="zh-CN"/>
              </w:rPr>
            </w:pPr>
            <w:r>
              <w:rPr>
                <w:rFonts w:hint="eastAsia"/>
                <w:lang w:val="en-US" w:eastAsia="zh-CN"/>
              </w:rPr>
              <w:t xml:space="preserve">5.1 </w:t>
            </w:r>
            <w:r>
              <w:rPr>
                <w:rFonts w:hint="default"/>
                <w:lang w:val="en-US" w:eastAsia="zh-CN"/>
              </w:rPr>
              <w:t>源头控制措施</w:t>
            </w:r>
          </w:p>
          <w:p>
            <w:pPr>
              <w:pStyle w:val="22"/>
              <w:bidi w:val="0"/>
              <w:jc w:val="both"/>
              <w:rPr>
                <w:rFonts w:hint="default"/>
                <w:lang w:val="en-US" w:eastAsia="zh-CN"/>
              </w:rPr>
            </w:pPr>
            <w:r>
              <w:rPr>
                <w:rFonts w:hint="default"/>
                <w:lang w:val="en-US" w:eastAsia="zh-CN"/>
              </w:rPr>
              <w:t>项目应根据国家现行相关规范加强环境管理，采取防止和降低污染物跑、冒、滴、漏的措施。正常运行过程中加强控制，加强对防渗工程的检查，若发现防渗密封材料老化或损坏应及时维修更换。</w:t>
            </w:r>
          </w:p>
          <w:p>
            <w:pPr>
              <w:pStyle w:val="22"/>
              <w:bidi w:val="0"/>
              <w:jc w:val="both"/>
              <w:rPr>
                <w:rFonts w:hint="default"/>
                <w:lang w:val="en-US" w:eastAsia="zh-CN"/>
              </w:rPr>
            </w:pPr>
            <w:r>
              <w:rPr>
                <w:rFonts w:hint="eastAsia"/>
                <w:lang w:val="en-US" w:eastAsia="zh-CN"/>
              </w:rPr>
              <w:t>项目</w:t>
            </w:r>
            <w:r>
              <w:rPr>
                <w:rFonts w:hint="default"/>
                <w:lang w:val="en-US" w:eastAsia="zh-CN"/>
              </w:rPr>
              <w:t>对整个</w:t>
            </w:r>
            <w:r>
              <w:rPr>
                <w:rFonts w:hint="eastAsia"/>
                <w:lang w:val="en-US" w:eastAsia="zh-CN"/>
              </w:rPr>
              <w:t>污水处理站、</w:t>
            </w:r>
            <w:r>
              <w:rPr>
                <w:rFonts w:hint="default"/>
                <w:lang w:val="en-US" w:eastAsia="zh-CN"/>
              </w:rPr>
              <w:t>锅炉房、水处理间、消防泵房及污水管线等做重点防渗，</w:t>
            </w:r>
            <w:r>
              <w:rPr>
                <w:rFonts w:hint="eastAsia"/>
                <w:lang w:val="en-US" w:eastAsia="zh-CN"/>
              </w:rPr>
              <w:t>生产车间</w:t>
            </w:r>
            <w:r>
              <w:rPr>
                <w:rFonts w:hint="default"/>
                <w:lang w:val="en-US" w:eastAsia="zh-CN"/>
              </w:rPr>
              <w:t>做一般防渗，其余做简单防渗。施工方部位应密实、结合牢固，不得渗漏，预管件、止水带和填缝板要安装牢固，位置精确，每座水池必须做满水试验，质量达到合格；并进行定期检查，确保消除跑、冒、滴、漏现象发生。</w:t>
            </w:r>
          </w:p>
          <w:p>
            <w:pPr>
              <w:pStyle w:val="22"/>
              <w:bidi w:val="0"/>
              <w:jc w:val="both"/>
              <w:rPr>
                <w:rFonts w:hint="default"/>
                <w:lang w:val="en-US" w:eastAsia="zh-CN"/>
              </w:rPr>
            </w:pPr>
            <w:r>
              <w:rPr>
                <w:rFonts w:hint="default"/>
                <w:lang w:val="en-US" w:eastAsia="zh-CN"/>
              </w:rPr>
              <w:t>简单防渗区要求∶一般地面硬化。</w:t>
            </w:r>
          </w:p>
          <w:p>
            <w:pPr>
              <w:pStyle w:val="22"/>
              <w:bidi w:val="0"/>
              <w:jc w:val="both"/>
              <w:rPr>
                <w:rFonts w:hint="default"/>
                <w:lang w:val="en-US" w:eastAsia="zh-CN"/>
              </w:rPr>
            </w:pPr>
            <w:r>
              <w:rPr>
                <w:rFonts w:hint="default"/>
                <w:lang w:val="en-US" w:eastAsia="zh-CN"/>
              </w:rPr>
              <w:t>一般防渗区要求∶等效黏土防渗层Mb≥1.5m，K≤1×10</w:t>
            </w:r>
            <w:r>
              <w:rPr>
                <w:rFonts w:hint="default"/>
                <w:vertAlign w:val="superscript"/>
                <w:lang w:val="en-US" w:eastAsia="zh-CN"/>
              </w:rPr>
              <w:t>-7</w:t>
            </w:r>
            <w:r>
              <w:rPr>
                <w:rFonts w:hint="default"/>
                <w:lang w:val="en-US" w:eastAsia="zh-CN"/>
              </w:rPr>
              <w:t>cm/s。</w:t>
            </w:r>
          </w:p>
          <w:p>
            <w:pPr>
              <w:pStyle w:val="22"/>
              <w:bidi w:val="0"/>
              <w:jc w:val="both"/>
              <w:rPr>
                <w:rFonts w:hint="default"/>
                <w:lang w:val="en-US" w:eastAsia="zh-CN"/>
              </w:rPr>
            </w:pPr>
            <w:r>
              <w:rPr>
                <w:rFonts w:hint="default"/>
                <w:lang w:val="en-US" w:eastAsia="zh-CN"/>
              </w:rPr>
              <w:t>重点防渗区要求∶等效黏土防渗层Mb≥6.0m，K≤1×10</w:t>
            </w:r>
            <w:r>
              <w:rPr>
                <w:rFonts w:hint="default"/>
                <w:vertAlign w:val="superscript"/>
                <w:lang w:val="en-US" w:eastAsia="zh-CN"/>
              </w:rPr>
              <w:t>-10</w:t>
            </w:r>
            <w:r>
              <w:rPr>
                <w:rFonts w:hint="default"/>
                <w:lang w:val="en-US" w:eastAsia="zh-CN"/>
              </w:rPr>
              <w:t>cm/s。</w:t>
            </w:r>
          </w:p>
          <w:p>
            <w:pPr>
              <w:pStyle w:val="22"/>
              <w:bidi w:val="0"/>
              <w:jc w:val="both"/>
            </w:pPr>
            <w:r>
              <w:rPr>
                <w:rFonts w:hint="default"/>
                <w:lang w:val="en-US" w:eastAsia="zh-CN"/>
              </w:rPr>
              <w:t>经上述措施处理后，本项目对地下水环境影响较小。</w:t>
            </w:r>
          </w:p>
          <w:p>
            <w:pPr>
              <w:pStyle w:val="6"/>
              <w:numPr>
                <w:ilvl w:val="0"/>
                <w:numId w:val="14"/>
              </w:numPr>
              <w:bidi w:val="0"/>
              <w:jc w:val="both"/>
            </w:pPr>
            <w:r>
              <w:rPr>
                <w:rFonts w:hint="eastAsia"/>
              </w:rPr>
              <w:t>环境风险分析</w:t>
            </w:r>
          </w:p>
          <w:p>
            <w:pPr>
              <w:pStyle w:val="22"/>
              <w:ind w:firstLine="480"/>
              <w:jc w:val="both"/>
              <w:rPr>
                <w:color w:val="auto"/>
              </w:rPr>
            </w:pPr>
            <w:r>
              <w:t>依照《危险化学品重大危险源辨识》（GB 18218-2018）和《建设项目环境风险评价技术导则》（HJ 169-2018），通过对项目生产过程中原辅材料、产品进行分析，运营过程中涉及危险物质主要有</w:t>
            </w:r>
            <w:r>
              <w:rPr>
                <w:rFonts w:hint="eastAsia"/>
              </w:rPr>
              <w:t>天然气</w:t>
            </w:r>
            <w:r>
              <w:t>。</w:t>
            </w:r>
            <w:r>
              <w:rPr>
                <w:rFonts w:hint="eastAsia"/>
              </w:rPr>
              <w:t>天然气的主要成分为甲</w:t>
            </w:r>
            <w:r>
              <w:rPr>
                <w:rFonts w:hint="eastAsia"/>
                <w:color w:val="auto"/>
              </w:rPr>
              <w:t>烷，</w:t>
            </w:r>
            <w:r>
              <w:rPr>
                <w:rFonts w:hint="eastAsia"/>
                <w:color w:val="auto"/>
                <w:spacing w:val="-2"/>
                <w:highlight w:val="none"/>
                <w:vertAlign w:val="baseline"/>
                <w:lang w:val="en-US" w:eastAsia="zh-CN"/>
              </w:rPr>
              <w:t>本项目</w:t>
            </w:r>
            <w:r>
              <w:rPr>
                <w:rFonts w:hint="eastAsia"/>
                <w:color w:val="auto"/>
              </w:rPr>
              <w:t>天然气采用</w:t>
            </w:r>
            <w:r>
              <w:rPr>
                <w:rFonts w:hint="eastAsia"/>
                <w:color w:val="auto"/>
                <w:lang w:val="en-US" w:eastAsia="zh-CN"/>
              </w:rPr>
              <w:t>管道输送，</w:t>
            </w:r>
            <w:r>
              <w:rPr>
                <w:rFonts w:hint="eastAsia" w:ascii="Times New Roman" w:hAnsi="Times New Roman" w:cs="Times New Roman"/>
                <w:bCs/>
                <w:spacing w:val="0"/>
                <w:sz w:val="24"/>
                <w:szCs w:val="24"/>
                <w:lang w:val="en-US" w:eastAsia="zh-CN"/>
              </w:rPr>
              <w:t>不</w:t>
            </w:r>
            <w:r>
              <w:rPr>
                <w:rFonts w:hint="default" w:ascii="Times New Roman" w:hAnsi="Times New Roman" w:cs="Times New Roman"/>
                <w:bCs/>
                <w:spacing w:val="0"/>
                <w:sz w:val="24"/>
                <w:szCs w:val="24"/>
                <w:lang w:val="en-US" w:eastAsia="zh-CN"/>
              </w:rPr>
              <w:t>设置天然气储气设施</w:t>
            </w:r>
            <w:r>
              <w:rPr>
                <w:rFonts w:hint="eastAsia" w:cs="Times New Roman"/>
                <w:color w:val="auto"/>
                <w:sz w:val="24"/>
                <w:szCs w:val="24"/>
                <w:lang w:val="en-US" w:eastAsia="zh-CN"/>
              </w:rPr>
              <w:t>。</w:t>
            </w:r>
          </w:p>
          <w:p>
            <w:pPr>
              <w:pStyle w:val="7"/>
              <w:bidi w:val="0"/>
              <w:jc w:val="both"/>
              <w:rPr>
                <w:rFonts w:hint="default"/>
                <w:lang w:val="en-US" w:eastAsia="zh-CN"/>
              </w:rPr>
            </w:pPr>
            <w:r>
              <w:rPr>
                <w:rFonts w:hint="eastAsia"/>
                <w:lang w:val="en-US" w:eastAsia="zh-CN"/>
              </w:rPr>
              <w:t xml:space="preserve">6.1 </w:t>
            </w:r>
            <w:r>
              <w:rPr>
                <w:rFonts w:hint="default"/>
                <w:lang w:val="en-US" w:eastAsia="zh-CN"/>
              </w:rPr>
              <w:t>风险潜势初判</w:t>
            </w:r>
          </w:p>
          <w:p>
            <w:pPr>
              <w:pStyle w:val="22"/>
              <w:ind w:firstLine="480"/>
              <w:jc w:val="both"/>
              <w:rPr>
                <w:rFonts w:hint="eastAsia"/>
                <w:color w:val="auto"/>
                <w:lang w:val="en-US" w:eastAsia="zh-CN"/>
              </w:rPr>
            </w:pPr>
            <w:r>
              <w:rPr>
                <w:color w:val="auto"/>
              </w:rPr>
              <w:t>根据《建设项目环境风险评价技术导则》（HJ169-2018）附录B</w:t>
            </w:r>
            <w:r>
              <w:rPr>
                <w:rFonts w:hint="eastAsia"/>
                <w:color w:val="auto"/>
                <w:lang w:val="en-US" w:eastAsia="zh-CN"/>
              </w:rPr>
              <w:t>重点</w:t>
            </w:r>
            <w:r>
              <w:rPr>
                <w:rFonts w:hint="default"/>
                <w:color w:val="auto"/>
                <w:sz w:val="24"/>
                <w:highlight w:val="none"/>
                <w:u w:val="none"/>
              </w:rPr>
              <w:t>以及《危险化学品重大危险源辨识》（GB18218-2018），本项目</w:t>
            </w:r>
            <w:r>
              <w:rPr>
                <w:rFonts w:hint="eastAsia"/>
                <w:color w:val="auto"/>
                <w:sz w:val="24"/>
                <w:highlight w:val="none"/>
                <w:u w:val="none"/>
                <w:lang w:eastAsia="zh-CN"/>
              </w:rPr>
              <w:t>使用的材料有机氯漂液</w:t>
            </w:r>
            <w:r>
              <w:rPr>
                <w:rFonts w:hint="eastAsia"/>
                <w:color w:val="auto"/>
                <w:sz w:val="24"/>
                <w:highlight w:val="none"/>
                <w:u w:val="none"/>
                <w:lang w:val="en-US" w:eastAsia="zh-CN"/>
              </w:rPr>
              <w:t>中</w:t>
            </w:r>
            <w:r>
              <w:rPr>
                <w:rFonts w:hint="eastAsia"/>
                <w:color w:val="auto"/>
                <w:sz w:val="24"/>
                <w:highlight w:val="none"/>
                <w:u w:val="none"/>
                <w:lang w:eastAsia="zh-CN"/>
              </w:rPr>
              <w:t>含有的</w:t>
            </w:r>
            <w:r>
              <w:rPr>
                <w:rFonts w:hint="eastAsia"/>
                <w:color w:val="auto"/>
                <w:sz w:val="24"/>
                <w:highlight w:val="none"/>
                <w:u w:val="none"/>
                <w:lang w:val="en-US" w:eastAsia="zh-CN"/>
              </w:rPr>
              <w:t>氯酸钾</w:t>
            </w:r>
            <w:r>
              <w:rPr>
                <w:rFonts w:hint="eastAsia"/>
                <w:color w:val="auto"/>
                <w:sz w:val="24"/>
                <w:highlight w:val="none"/>
                <w:u w:val="none"/>
                <w:lang w:eastAsia="zh-CN"/>
              </w:rPr>
              <w:t>为</w:t>
            </w:r>
            <w:r>
              <w:rPr>
                <w:rFonts w:hint="default"/>
                <w:color w:val="auto"/>
                <w:sz w:val="24"/>
                <w:highlight w:val="none"/>
                <w:u w:val="none"/>
              </w:rPr>
              <w:t>风险物质</w:t>
            </w:r>
            <w:r>
              <w:rPr>
                <w:rFonts w:hint="eastAsia"/>
                <w:color w:val="auto"/>
                <w:sz w:val="24"/>
                <w:highlight w:val="none"/>
                <w:u w:val="none"/>
                <w:lang w:eastAsia="zh-CN"/>
              </w:rPr>
              <w:t>，</w:t>
            </w:r>
            <w:r>
              <w:rPr>
                <w:rFonts w:hint="eastAsia"/>
                <w:color w:val="auto"/>
                <w:lang w:val="en-US" w:eastAsia="zh-CN"/>
              </w:rPr>
              <w:t>本项目所涉及的风险物质及其临界量见下表：</w:t>
            </w:r>
          </w:p>
          <w:p>
            <w:pPr>
              <w:pStyle w:val="32"/>
              <w:bidi w:val="0"/>
              <w:rPr>
                <w:rFonts w:hint="eastAsia"/>
              </w:rPr>
            </w:pPr>
            <w:r>
              <w:rPr>
                <w:rFonts w:hint="eastAsia"/>
              </w:rPr>
              <w:t>表4-</w:t>
            </w:r>
            <w:r>
              <w:rPr>
                <w:rFonts w:hint="eastAsia"/>
                <w:lang w:val="en-US" w:eastAsia="zh-CN"/>
              </w:rPr>
              <w:t>15</w:t>
            </w:r>
            <w:r>
              <w:rPr>
                <w:rFonts w:hint="eastAsia"/>
              </w:rPr>
              <w:t xml:space="preserve">    建设项目</w:t>
            </w:r>
            <w:r>
              <w:rPr>
                <w:rFonts w:hint="eastAsia"/>
                <w:color w:val="auto"/>
                <w:lang w:val="en-US" w:eastAsia="zh-CN"/>
              </w:rPr>
              <w:t>所涉及的风险物质及其临界量一览</w:t>
            </w:r>
            <w:r>
              <w:rPr>
                <w:rFonts w:hint="eastAsia"/>
              </w:rPr>
              <w:t>表</w:t>
            </w:r>
          </w:p>
          <w:tbl>
            <w:tblPr>
              <w:tblStyle w:val="27"/>
              <w:tblW w:w="786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9"/>
              <w:gridCol w:w="1233"/>
              <w:gridCol w:w="1765"/>
              <w:gridCol w:w="2164"/>
              <w:gridCol w:w="894"/>
              <w:gridCol w:w="11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dxa"/>
                  <w:tcBorders>
                    <w:bottom w:val="single" w:color="000000" w:sz="12" w:space="0"/>
                    <w:tl2br w:val="nil"/>
                    <w:tr2bl w:val="nil"/>
                  </w:tcBorders>
                  <w:vAlign w:val="center"/>
                </w:tcPr>
                <w:p>
                  <w:pPr>
                    <w:pStyle w:val="33"/>
                    <w:widowControl w:val="0"/>
                    <w:bidi w:val="0"/>
                    <w:jc w:val="center"/>
                    <w:rPr>
                      <w:rFonts w:hint="default"/>
                      <w:b/>
                      <w:bCs/>
                      <w:lang w:val="en-US" w:eastAsia="zh-CN"/>
                    </w:rPr>
                  </w:pPr>
                  <w:r>
                    <w:rPr>
                      <w:rFonts w:hint="eastAsia"/>
                      <w:b/>
                      <w:bCs/>
                      <w:lang w:val="en-US" w:eastAsia="zh-CN"/>
                    </w:rPr>
                    <w:t>序号</w:t>
                  </w:r>
                </w:p>
              </w:tc>
              <w:tc>
                <w:tcPr>
                  <w:tcW w:w="1233" w:type="dxa"/>
                  <w:tcBorders>
                    <w:bottom w:val="single" w:color="000000" w:sz="12" w:space="0"/>
                    <w:tl2br w:val="nil"/>
                    <w:tr2bl w:val="nil"/>
                  </w:tcBorders>
                  <w:vAlign w:val="center"/>
                </w:tcPr>
                <w:p>
                  <w:pPr>
                    <w:pStyle w:val="33"/>
                    <w:widowControl w:val="0"/>
                    <w:bidi w:val="0"/>
                    <w:jc w:val="center"/>
                    <w:rPr>
                      <w:rFonts w:hint="default"/>
                      <w:b/>
                      <w:bCs/>
                      <w:lang w:val="en-US" w:eastAsia="zh-CN"/>
                    </w:rPr>
                  </w:pPr>
                  <w:r>
                    <w:rPr>
                      <w:rFonts w:hint="eastAsia"/>
                      <w:b/>
                      <w:bCs/>
                      <w:lang w:val="en-US" w:eastAsia="zh-CN"/>
                    </w:rPr>
                    <w:t>危险物质名称</w:t>
                  </w:r>
                </w:p>
              </w:tc>
              <w:tc>
                <w:tcPr>
                  <w:tcW w:w="1765" w:type="dxa"/>
                  <w:tcBorders>
                    <w:bottom w:val="single" w:color="000000" w:sz="12" w:space="0"/>
                    <w:tl2br w:val="nil"/>
                    <w:tr2bl w:val="nil"/>
                  </w:tcBorders>
                  <w:vAlign w:val="center"/>
                </w:tcPr>
                <w:p>
                  <w:pPr>
                    <w:pStyle w:val="33"/>
                    <w:widowControl w:val="0"/>
                    <w:bidi w:val="0"/>
                    <w:jc w:val="center"/>
                    <w:rPr>
                      <w:rFonts w:hint="default"/>
                      <w:b/>
                      <w:bCs/>
                      <w:lang w:val="en-US" w:eastAsia="zh-CN"/>
                    </w:rPr>
                  </w:pPr>
                  <w:r>
                    <w:rPr>
                      <w:rFonts w:hint="eastAsia"/>
                      <w:b/>
                      <w:bCs/>
                      <w:lang w:val="en-US" w:eastAsia="zh-CN"/>
                    </w:rPr>
                    <w:t>CAS号</w:t>
                  </w:r>
                </w:p>
              </w:tc>
              <w:tc>
                <w:tcPr>
                  <w:tcW w:w="2164" w:type="dxa"/>
                  <w:tcBorders>
                    <w:bottom w:val="single" w:color="000000" w:sz="12" w:space="0"/>
                    <w:tl2br w:val="nil"/>
                    <w:tr2bl w:val="nil"/>
                  </w:tcBorders>
                  <w:vAlign w:val="center"/>
                </w:tcPr>
                <w:p>
                  <w:pPr>
                    <w:pStyle w:val="33"/>
                    <w:widowControl w:val="0"/>
                    <w:bidi w:val="0"/>
                    <w:jc w:val="center"/>
                    <w:rPr>
                      <w:rFonts w:hint="default"/>
                      <w:b/>
                      <w:bCs/>
                      <w:lang w:val="en-US" w:eastAsia="zh-CN"/>
                    </w:rPr>
                  </w:pPr>
                  <w:r>
                    <w:rPr>
                      <w:rFonts w:hint="eastAsia"/>
                      <w:b/>
                      <w:bCs/>
                      <w:lang w:val="en-US" w:eastAsia="zh-CN"/>
                    </w:rPr>
                    <w:t>最大存在总量</w:t>
                  </w:r>
                </w:p>
              </w:tc>
              <w:tc>
                <w:tcPr>
                  <w:tcW w:w="894" w:type="dxa"/>
                  <w:tcBorders>
                    <w:bottom w:val="single" w:color="000000" w:sz="12" w:space="0"/>
                    <w:tl2br w:val="nil"/>
                    <w:tr2bl w:val="nil"/>
                  </w:tcBorders>
                  <w:vAlign w:val="center"/>
                </w:tcPr>
                <w:p>
                  <w:pPr>
                    <w:pStyle w:val="33"/>
                    <w:widowControl w:val="0"/>
                    <w:bidi w:val="0"/>
                    <w:jc w:val="center"/>
                    <w:rPr>
                      <w:rFonts w:hint="default"/>
                      <w:b/>
                      <w:bCs/>
                      <w:lang w:val="en-US" w:eastAsia="zh-CN"/>
                    </w:rPr>
                  </w:pPr>
                  <w:r>
                    <w:rPr>
                      <w:rFonts w:hint="eastAsia"/>
                      <w:b/>
                      <w:bCs/>
                      <w:lang w:val="en-US" w:eastAsia="zh-CN"/>
                    </w:rPr>
                    <w:t>临界量</w:t>
                  </w:r>
                </w:p>
              </w:tc>
              <w:tc>
                <w:tcPr>
                  <w:tcW w:w="1174" w:type="dxa"/>
                  <w:tcBorders>
                    <w:bottom w:val="single" w:color="000000" w:sz="12" w:space="0"/>
                    <w:tl2br w:val="nil"/>
                    <w:tr2bl w:val="nil"/>
                  </w:tcBorders>
                  <w:vAlign w:val="center"/>
                </w:tcPr>
                <w:p>
                  <w:pPr>
                    <w:pStyle w:val="33"/>
                    <w:widowControl w:val="0"/>
                    <w:bidi w:val="0"/>
                    <w:jc w:val="center"/>
                    <w:rPr>
                      <w:rFonts w:hint="default"/>
                      <w:b/>
                      <w:bCs/>
                      <w:lang w:val="en-US" w:eastAsia="zh-CN"/>
                    </w:rPr>
                  </w:pPr>
                  <w:r>
                    <w:rPr>
                      <w:rFonts w:hint="eastAsia"/>
                      <w:b/>
                      <w:bCs/>
                      <w:lang w:val="en-US" w:eastAsia="zh-CN"/>
                    </w:rPr>
                    <w:t>该种危险物质Q值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dxa"/>
                  <w:tcBorders>
                    <w:tl2br w:val="nil"/>
                    <w:tr2bl w:val="nil"/>
                  </w:tcBorders>
                  <w:vAlign w:val="center"/>
                </w:tcPr>
                <w:p>
                  <w:pPr>
                    <w:pStyle w:val="33"/>
                    <w:widowControl w:val="0"/>
                    <w:bidi w:val="0"/>
                    <w:jc w:val="center"/>
                    <w:rPr>
                      <w:rFonts w:hint="default"/>
                      <w:lang w:val="en-US" w:eastAsia="zh-CN"/>
                    </w:rPr>
                  </w:pPr>
                  <w:r>
                    <w:rPr>
                      <w:rFonts w:hint="eastAsia"/>
                      <w:lang w:val="en-US" w:eastAsia="zh-CN"/>
                    </w:rPr>
                    <w:t>1</w:t>
                  </w:r>
                </w:p>
              </w:tc>
              <w:tc>
                <w:tcPr>
                  <w:tcW w:w="1233" w:type="dxa"/>
                  <w:tcBorders>
                    <w:tl2br w:val="nil"/>
                    <w:tr2bl w:val="nil"/>
                  </w:tcBorders>
                  <w:vAlign w:val="center"/>
                </w:tcPr>
                <w:p>
                  <w:pPr>
                    <w:pStyle w:val="33"/>
                    <w:widowControl w:val="0"/>
                    <w:bidi w:val="0"/>
                    <w:jc w:val="center"/>
                    <w:rPr>
                      <w:rFonts w:hint="eastAsia"/>
                      <w:lang w:val="en-US" w:eastAsia="zh-CN"/>
                    </w:rPr>
                  </w:pPr>
                  <w:r>
                    <w:rPr>
                      <w:rFonts w:hint="eastAsia"/>
                      <w:lang w:val="en-US" w:eastAsia="zh-CN"/>
                    </w:rPr>
                    <w:t>天然气</w:t>
                  </w:r>
                </w:p>
              </w:tc>
              <w:tc>
                <w:tcPr>
                  <w:tcW w:w="1765" w:type="dxa"/>
                  <w:tcBorders>
                    <w:tl2br w:val="nil"/>
                    <w:tr2bl w:val="nil"/>
                  </w:tcBorders>
                  <w:vAlign w:val="center"/>
                </w:tcPr>
                <w:p>
                  <w:pPr>
                    <w:pStyle w:val="33"/>
                    <w:widowControl w:val="0"/>
                    <w:bidi w:val="0"/>
                    <w:jc w:val="center"/>
                    <w:rPr>
                      <w:rFonts w:hint="default"/>
                      <w:lang w:val="en-US" w:eastAsia="zh-CN"/>
                    </w:rPr>
                  </w:pPr>
                  <w:r>
                    <w:rPr>
                      <w:rFonts w:hint="eastAsia"/>
                      <w:lang w:val="en-US" w:eastAsia="zh-CN"/>
                    </w:rPr>
                    <w:t>参考甲烷74-82-8</w:t>
                  </w:r>
                </w:p>
              </w:tc>
              <w:tc>
                <w:tcPr>
                  <w:tcW w:w="2164" w:type="dxa"/>
                  <w:tcBorders>
                    <w:tl2br w:val="nil"/>
                    <w:tr2bl w:val="nil"/>
                  </w:tcBorders>
                  <w:vAlign w:val="center"/>
                </w:tcPr>
                <w:p>
                  <w:pPr>
                    <w:pStyle w:val="33"/>
                    <w:widowControl w:val="0"/>
                    <w:bidi w:val="0"/>
                    <w:rPr>
                      <w:rFonts w:hint="default"/>
                      <w:lang w:val="en-US" w:eastAsia="zh-CN"/>
                    </w:rPr>
                  </w:pPr>
                  <w:r>
                    <w:rPr>
                      <w:rFonts w:hint="eastAsia"/>
                      <w:lang w:val="en-US" w:eastAsia="zh-CN"/>
                    </w:rPr>
                    <w:t>管道存在量0.002t</w:t>
                  </w:r>
                </w:p>
              </w:tc>
              <w:tc>
                <w:tcPr>
                  <w:tcW w:w="894" w:type="dxa"/>
                  <w:tcBorders>
                    <w:tl2br w:val="nil"/>
                    <w:tr2bl w:val="nil"/>
                  </w:tcBorders>
                  <w:vAlign w:val="center"/>
                </w:tcPr>
                <w:p>
                  <w:pPr>
                    <w:pStyle w:val="33"/>
                    <w:widowControl w:val="0"/>
                    <w:bidi w:val="0"/>
                    <w:jc w:val="center"/>
                    <w:rPr>
                      <w:rFonts w:hint="default"/>
                      <w:lang w:val="en-US" w:eastAsia="zh-CN"/>
                    </w:rPr>
                  </w:pPr>
                  <w:r>
                    <w:rPr>
                      <w:rFonts w:hint="eastAsia"/>
                      <w:lang w:val="en-US" w:eastAsia="zh-CN"/>
                    </w:rPr>
                    <w:t>10</w:t>
                  </w:r>
                </w:p>
              </w:tc>
              <w:tc>
                <w:tcPr>
                  <w:tcW w:w="1174" w:type="dxa"/>
                  <w:tcBorders>
                    <w:tl2br w:val="nil"/>
                    <w:tr2bl w:val="nil"/>
                  </w:tcBorders>
                  <w:vAlign w:val="center"/>
                </w:tcPr>
                <w:p>
                  <w:pPr>
                    <w:pStyle w:val="33"/>
                    <w:widowControl w:val="0"/>
                    <w:bidi w:val="0"/>
                    <w:jc w:val="center"/>
                    <w:rPr>
                      <w:rFonts w:hint="default"/>
                      <w:lang w:val="en-US" w:eastAsia="zh-CN"/>
                    </w:rPr>
                  </w:pPr>
                  <w:r>
                    <w:rPr>
                      <w:rFonts w:hint="eastAsia"/>
                      <w:lang w:val="en-US" w:eastAsia="zh-CN"/>
                    </w:rPr>
                    <w:t>0.0002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dxa"/>
                  <w:tcBorders>
                    <w:tl2br w:val="nil"/>
                    <w:tr2bl w:val="nil"/>
                  </w:tcBorders>
                  <w:vAlign w:val="center"/>
                </w:tcPr>
                <w:p>
                  <w:pPr>
                    <w:pStyle w:val="33"/>
                    <w:widowControl w:val="0"/>
                    <w:bidi w:val="0"/>
                    <w:jc w:val="center"/>
                    <w:rPr>
                      <w:rFonts w:hint="default"/>
                      <w:lang w:val="en-US" w:eastAsia="zh-CN"/>
                    </w:rPr>
                  </w:pPr>
                  <w:r>
                    <w:rPr>
                      <w:rFonts w:hint="eastAsia"/>
                      <w:lang w:val="en-US" w:eastAsia="zh-CN"/>
                    </w:rPr>
                    <w:t>2</w:t>
                  </w:r>
                </w:p>
              </w:tc>
              <w:tc>
                <w:tcPr>
                  <w:tcW w:w="1233" w:type="dxa"/>
                  <w:tcBorders>
                    <w:tl2br w:val="nil"/>
                    <w:tr2bl w:val="nil"/>
                  </w:tcBorders>
                  <w:vAlign w:val="center"/>
                </w:tcPr>
                <w:p>
                  <w:pPr>
                    <w:pStyle w:val="33"/>
                    <w:bidi w:val="0"/>
                    <w:rPr>
                      <w:rFonts w:hint="eastAsia"/>
                      <w:lang w:val="en-US" w:eastAsia="zh-CN"/>
                    </w:rPr>
                  </w:pPr>
                  <w:r>
                    <w:rPr>
                      <w:rFonts w:hint="eastAsia"/>
                      <w:lang w:eastAsia="zh-CN"/>
                    </w:rPr>
                    <w:t>次氯酸钠</w:t>
                  </w:r>
                </w:p>
              </w:tc>
              <w:tc>
                <w:tcPr>
                  <w:tcW w:w="1765" w:type="dxa"/>
                  <w:tcBorders>
                    <w:tl2br w:val="nil"/>
                    <w:tr2bl w:val="nil"/>
                  </w:tcBorders>
                  <w:vAlign w:val="center"/>
                </w:tcPr>
                <w:p>
                  <w:pPr>
                    <w:pStyle w:val="33"/>
                    <w:widowControl w:val="0"/>
                    <w:bidi w:val="0"/>
                    <w:jc w:val="center"/>
                    <w:rPr>
                      <w:rFonts w:hint="eastAsia"/>
                      <w:lang w:val="en-US" w:eastAsia="zh-CN"/>
                    </w:rPr>
                  </w:pPr>
                  <w:r>
                    <w:rPr>
                      <w:rFonts w:hint="eastAsia"/>
                      <w:lang w:val="en-US" w:eastAsia="zh-CN"/>
                    </w:rPr>
                    <w:t>8006-61-9</w:t>
                  </w:r>
                </w:p>
              </w:tc>
              <w:tc>
                <w:tcPr>
                  <w:tcW w:w="2164" w:type="dxa"/>
                  <w:tcBorders>
                    <w:tl2br w:val="nil"/>
                    <w:tr2bl w:val="nil"/>
                  </w:tcBorders>
                  <w:vAlign w:val="center"/>
                </w:tcPr>
                <w:p>
                  <w:pPr>
                    <w:pStyle w:val="33"/>
                    <w:widowControl w:val="0"/>
                    <w:bidi w:val="0"/>
                    <w:rPr>
                      <w:rFonts w:hint="default"/>
                      <w:lang w:val="en-US" w:eastAsia="zh-CN"/>
                    </w:rPr>
                  </w:pPr>
                  <w:r>
                    <w:rPr>
                      <w:rFonts w:hint="eastAsia"/>
                      <w:lang w:val="en-US" w:eastAsia="zh-CN"/>
                    </w:rPr>
                    <w:t>0.5t</w:t>
                  </w:r>
                </w:p>
              </w:tc>
              <w:tc>
                <w:tcPr>
                  <w:tcW w:w="894" w:type="dxa"/>
                  <w:tcBorders>
                    <w:tl2br w:val="nil"/>
                    <w:tr2bl w:val="nil"/>
                  </w:tcBorders>
                  <w:vAlign w:val="center"/>
                </w:tcPr>
                <w:p>
                  <w:pPr>
                    <w:pStyle w:val="33"/>
                    <w:widowControl w:val="0"/>
                    <w:bidi w:val="0"/>
                    <w:jc w:val="center"/>
                    <w:rPr>
                      <w:rFonts w:hint="default"/>
                      <w:lang w:val="en-US" w:eastAsia="zh-CN"/>
                    </w:rPr>
                  </w:pPr>
                  <w:r>
                    <w:rPr>
                      <w:rFonts w:hint="eastAsia"/>
                      <w:lang w:val="en-US" w:eastAsia="zh-CN"/>
                    </w:rPr>
                    <w:t>100</w:t>
                  </w:r>
                </w:p>
              </w:tc>
              <w:tc>
                <w:tcPr>
                  <w:tcW w:w="1174" w:type="dxa"/>
                  <w:tcBorders>
                    <w:tl2br w:val="nil"/>
                    <w:tr2bl w:val="nil"/>
                  </w:tcBorders>
                  <w:vAlign w:val="center"/>
                </w:tcPr>
                <w:p>
                  <w:pPr>
                    <w:pStyle w:val="33"/>
                    <w:widowControl w:val="0"/>
                    <w:bidi w:val="0"/>
                    <w:jc w:val="center"/>
                    <w:rPr>
                      <w:rFonts w:hint="default"/>
                      <w:lang w:val="en-US" w:eastAsia="zh-CN"/>
                    </w:rPr>
                  </w:pPr>
                  <w:r>
                    <w:rPr>
                      <w:rFonts w:hint="eastAsia"/>
                      <w:lang w:val="en-US" w:eastAsia="zh-CN"/>
                    </w:rPr>
                    <w:t>0.005</w:t>
                  </w:r>
                </w:p>
              </w:tc>
            </w:tr>
          </w:tbl>
          <w:p>
            <w:pPr>
              <w:pStyle w:val="22"/>
              <w:ind w:firstLine="480"/>
              <w:jc w:val="both"/>
            </w:pPr>
            <w:r>
              <w:rPr>
                <w:rFonts w:hint="eastAsia"/>
              </w:rPr>
              <w:t>综上，本</w:t>
            </w:r>
            <w:r>
              <w:t>项目Q</w:t>
            </w:r>
            <w:r>
              <w:rPr>
                <w:rFonts w:hint="eastAsia"/>
                <w:lang w:val="en-US" w:eastAsia="zh-CN"/>
              </w:rPr>
              <w:t>=0.0052</w:t>
            </w:r>
            <w:r>
              <w:t>＜1，本项目环境风险潜势为Ⅰ，根据《建设项目环境风险评价技术导则》</w:t>
            </w:r>
            <w:r>
              <w:rPr>
                <w:rFonts w:hint="eastAsia"/>
                <w:lang w:eastAsia="zh-CN"/>
              </w:rPr>
              <w:t>（</w:t>
            </w:r>
            <w:r>
              <w:t>HJ/T169-2018</w:t>
            </w:r>
            <w:r>
              <w:rPr>
                <w:rFonts w:hint="eastAsia"/>
                <w:lang w:eastAsia="zh-CN"/>
              </w:rPr>
              <w:t>）</w:t>
            </w:r>
            <w:r>
              <w:t>要求，可开展简单分析。</w:t>
            </w:r>
          </w:p>
          <w:p>
            <w:pPr>
              <w:pStyle w:val="7"/>
              <w:bidi w:val="0"/>
              <w:jc w:val="both"/>
            </w:pPr>
            <w:r>
              <w:rPr>
                <w:rFonts w:hint="eastAsia"/>
                <w:lang w:val="en-US" w:eastAsia="zh-CN"/>
              </w:rPr>
              <w:t xml:space="preserve">6.2 </w:t>
            </w:r>
            <w:r>
              <w:t>环境敏感目标概况</w:t>
            </w:r>
          </w:p>
          <w:p>
            <w:pPr>
              <w:pStyle w:val="22"/>
              <w:ind w:firstLine="480"/>
              <w:jc w:val="both"/>
            </w:pPr>
            <w:r>
              <w:t>本项目位于新疆</w:t>
            </w:r>
            <w:r>
              <w:rPr>
                <w:rFonts w:hint="eastAsia"/>
                <w:lang w:val="en-US" w:eastAsia="zh-CN"/>
              </w:rPr>
              <w:t>昌吉回族自治州吉木萨尔县北庭综合物流园内</w:t>
            </w:r>
            <w:r>
              <w:t>，</w:t>
            </w:r>
            <w:r>
              <w:rPr>
                <w:rFonts w:hint="eastAsia"/>
                <w:lang w:val="en-US" w:eastAsia="zh-CN"/>
              </w:rPr>
              <w:t>院区东侧为物流园内部道路，南侧为林地，西侧为吉彩路，北侧为物流园入口</w:t>
            </w:r>
            <w:r>
              <w:t>。</w:t>
            </w:r>
          </w:p>
          <w:p>
            <w:pPr>
              <w:pStyle w:val="7"/>
              <w:bidi w:val="0"/>
              <w:jc w:val="both"/>
              <w:rPr>
                <w:rFonts w:hint="default"/>
                <w:lang w:val="en-US" w:eastAsia="zh-CN"/>
              </w:rPr>
            </w:pPr>
            <w:r>
              <w:rPr>
                <w:rFonts w:hint="eastAsia"/>
                <w:lang w:val="en-US" w:eastAsia="zh-CN"/>
              </w:rPr>
              <w:t xml:space="preserve">6.3 </w:t>
            </w:r>
            <w:r>
              <w:rPr>
                <w:rFonts w:hint="default"/>
                <w:lang w:val="en-US" w:eastAsia="zh-CN"/>
              </w:rPr>
              <w:t>环境风险识别</w:t>
            </w:r>
          </w:p>
          <w:p>
            <w:pPr>
              <w:pStyle w:val="22"/>
              <w:bidi w:val="0"/>
              <w:jc w:val="both"/>
            </w:pPr>
            <w:r>
              <w:rPr>
                <w:rFonts w:hint="default"/>
                <w:lang w:val="en-US" w:eastAsia="zh-CN"/>
              </w:rPr>
              <w:t>本项目未设置天然气储气设施，运营过程中最大风险是输气管道天然气泄漏遇明火产生的火灾和爆炸，本项目运营期可能发生的风险事故为天然气输送管道发生泄漏、穿孔和断裂事故，天然气管道破损引起的泄漏风险事故中泄漏（针孔、裂纹，损坏处的直径≤20mm）事故发生的概率最高，其次是穿孔（损坏处的直径&gt;20mm，但小于管道的半径）事故，断裂（损坏处的直径&gt;管道半径）事故发生的概率最小。导致管道破损的原因包括管材及施工缺陷、管道腐蚀、外部原因（操作失误和人为破坏）、自然灾害等。综合国内外的事故统计结果，除自然因素外，其他几类原因、所占的比例均较高。目前，国内城镇管道天然气工程整体建设技术、管材和阀门质量、防腐技术、安装技术、安全保护和消防设施以及运行管理水平均较高。本项目天然气由昌吉市燃气公司供应，经调压后送至锅炉房使用，输送的天然气已经净化处理，H</w:t>
            </w:r>
            <w:r>
              <w:rPr>
                <w:rFonts w:hint="default"/>
                <w:vertAlign w:val="subscript"/>
                <w:lang w:val="en-US" w:eastAsia="zh-CN"/>
              </w:rPr>
              <w:t>2</w:t>
            </w:r>
            <w:r>
              <w:rPr>
                <w:rFonts w:hint="default"/>
                <w:lang w:val="en-US" w:eastAsia="zh-CN"/>
              </w:rPr>
              <w:t>S含量极低，气体腐蚀性低。综合以上因素，本项目发生管道破损事故的发生概率很低。</w:t>
            </w:r>
          </w:p>
          <w:p>
            <w:pPr>
              <w:pStyle w:val="7"/>
              <w:bidi w:val="0"/>
              <w:jc w:val="both"/>
            </w:pPr>
            <w:r>
              <w:rPr>
                <w:rFonts w:hint="eastAsia"/>
                <w:lang w:val="en-US" w:eastAsia="zh-CN"/>
              </w:rPr>
              <w:t xml:space="preserve">6.4 </w:t>
            </w:r>
            <w:r>
              <w:rPr>
                <w:rFonts w:hint="eastAsia"/>
              </w:rPr>
              <w:t>环境风险分析</w:t>
            </w:r>
          </w:p>
          <w:p>
            <w:pPr>
              <w:pStyle w:val="22"/>
              <w:ind w:firstLine="480"/>
              <w:jc w:val="both"/>
              <w:rPr>
                <w:rFonts w:hint="default" w:ascii="Times New Roman" w:hAnsi="Times New Roman" w:cs="Times New Roman"/>
                <w:bCs/>
                <w:spacing w:val="0"/>
                <w:sz w:val="24"/>
                <w:szCs w:val="24"/>
                <w:lang w:val="en-US" w:eastAsia="zh-CN"/>
              </w:rPr>
            </w:pPr>
            <w:r>
              <w:rPr>
                <w:rFonts w:hint="eastAsia"/>
              </w:rPr>
              <w:t>项目存在的主要环境风险天然气泄漏产生的爆炸、火灾以及其对人体产生的毒害性。当天然气泄漏产生的爆炸、火灾、天然气逸散时，距离靠近灾区会有造成烧伤、中毒的危险。</w:t>
            </w:r>
            <w:r>
              <w:rPr>
                <w:rFonts w:hint="default" w:ascii="Times New Roman" w:hAnsi="Times New Roman" w:cs="Times New Roman"/>
                <w:bCs/>
                <w:spacing w:val="0"/>
                <w:sz w:val="24"/>
                <w:szCs w:val="24"/>
                <w:lang w:val="en-US" w:eastAsia="zh-CN"/>
              </w:rPr>
              <w:t>但本项目发生管道破损事故的发生概率</w:t>
            </w:r>
            <w:r>
              <w:rPr>
                <w:rFonts w:hint="eastAsia" w:ascii="Times New Roman" w:hAnsi="Times New Roman" w:cs="Times New Roman"/>
                <w:bCs/>
                <w:spacing w:val="0"/>
                <w:sz w:val="24"/>
                <w:szCs w:val="24"/>
                <w:lang w:val="en-US" w:eastAsia="zh-CN"/>
              </w:rPr>
              <w:t>较</w:t>
            </w:r>
            <w:r>
              <w:rPr>
                <w:rFonts w:hint="default" w:ascii="Times New Roman" w:hAnsi="Times New Roman" w:cs="Times New Roman"/>
                <w:bCs/>
                <w:spacing w:val="0"/>
                <w:sz w:val="24"/>
                <w:szCs w:val="24"/>
                <w:lang w:val="en-US" w:eastAsia="zh-CN"/>
              </w:rPr>
              <w:t>低。</w:t>
            </w:r>
          </w:p>
          <w:p>
            <w:pPr>
              <w:pStyle w:val="22"/>
              <w:ind w:firstLine="480"/>
              <w:jc w:val="both"/>
              <w:rPr>
                <w:rFonts w:hint="default" w:ascii="Times New Roman" w:hAnsi="Times New Roman" w:cs="Times New Roman"/>
                <w:bCs/>
                <w:spacing w:val="0"/>
                <w:sz w:val="24"/>
                <w:szCs w:val="24"/>
                <w:lang w:val="en-US" w:eastAsia="zh-CN"/>
              </w:rPr>
            </w:pPr>
            <w:r>
              <w:rPr>
                <w:rFonts w:hint="eastAsia" w:ascii="Times New Roman" w:hAnsi="Times New Roman" w:cs="Times New Roman"/>
                <w:color w:val="auto"/>
                <w:kern w:val="0"/>
                <w:sz w:val="24"/>
                <w:szCs w:val="24"/>
                <w:highlight w:val="none"/>
                <w:lang w:val="en-US" w:eastAsia="zh-CN"/>
              </w:rPr>
              <w:t>若氯酸钾预高热发生分解，释放出氧气引燃周边可燃物，则会释放氮氧化物、一氧化碳等次生污染物，污染空气环境。本项目氯酸钾以复合物的形式存在于漂白粉中，不单独存在，且氯酸钾存在量较小，本身不燃，本次发生分解造成火灾或爆炸事情的可能性较小。</w:t>
            </w:r>
          </w:p>
          <w:p>
            <w:pPr>
              <w:pStyle w:val="7"/>
              <w:jc w:val="both"/>
              <w:outlineLvl w:val="2"/>
            </w:pPr>
            <w:r>
              <w:rPr>
                <w:rFonts w:hint="eastAsia"/>
                <w:lang w:val="en-US" w:eastAsia="zh-CN"/>
              </w:rPr>
              <w:t>6</w:t>
            </w:r>
            <w:r>
              <w:rPr>
                <w:rFonts w:hint="eastAsia"/>
              </w:rPr>
              <w:t>.</w:t>
            </w:r>
            <w:r>
              <w:rPr>
                <w:rFonts w:hint="eastAsia"/>
                <w:lang w:val="en-US" w:eastAsia="zh-CN"/>
              </w:rPr>
              <w:t>5</w:t>
            </w:r>
            <w:r>
              <w:rPr>
                <w:rFonts w:hint="eastAsia"/>
              </w:rPr>
              <w:t xml:space="preserve"> </w:t>
            </w:r>
            <w:r>
              <w:t>风险防范措施</w:t>
            </w:r>
          </w:p>
          <w:p>
            <w:pPr>
              <w:pStyle w:val="22"/>
              <w:ind w:firstLine="480"/>
              <w:jc w:val="both"/>
            </w:pPr>
            <w:r>
              <w:t>本项目具有潜在天然气泄漏产生的爆炸、火灾、中毒等危险性。因此，为使环境风险减小到最低限度，必须加强劳动安全管理，制定完备、有效的安全防范措施，尽可能降低项目环境风险事故发生的概率。</w:t>
            </w:r>
          </w:p>
          <w:p>
            <w:pPr>
              <w:pStyle w:val="22"/>
              <w:ind w:firstLine="480"/>
              <w:jc w:val="both"/>
            </w:pPr>
            <w:r>
              <w:t>①建立完善的安全生产管理制度、操作规范，加强生产工人的安全环保意识，提高工作职工的责任心和工作主动性。提高操作、管理人员的</w:t>
            </w:r>
            <w:r>
              <w:rPr>
                <w:rFonts w:hint="eastAsia"/>
                <w:lang w:eastAsia="zh-CN"/>
              </w:rPr>
              <w:t>业务</w:t>
            </w:r>
            <w:r>
              <w:t>素质，操作人员需定期进行岗位系统培训，</w:t>
            </w:r>
            <w:r>
              <w:rPr>
                <w:rFonts w:hint="eastAsia"/>
                <w:lang w:eastAsia="zh-CN"/>
              </w:rPr>
              <w:t>熟悉</w:t>
            </w:r>
            <w:r>
              <w:t>工作岗位责任、规程，加强岗位责任制。</w:t>
            </w:r>
          </w:p>
          <w:p>
            <w:pPr>
              <w:pStyle w:val="22"/>
              <w:ind w:firstLine="480"/>
              <w:jc w:val="both"/>
            </w:pPr>
            <w:r>
              <w:t>②严格遵守开、停车及操作规程，适当对职工进行技术培训。</w:t>
            </w:r>
          </w:p>
          <w:p>
            <w:pPr>
              <w:pStyle w:val="22"/>
              <w:ind w:firstLine="480"/>
              <w:jc w:val="both"/>
            </w:pPr>
            <w:r>
              <w:t>③建设项目在</w:t>
            </w:r>
            <w:r>
              <w:rPr>
                <w:rFonts w:hint="eastAsia"/>
                <w:lang w:val="en-US" w:eastAsia="zh-CN"/>
              </w:rPr>
              <w:t>锅炉房</w:t>
            </w:r>
            <w:r>
              <w:t>要严禁烟火；禁止工人在</w:t>
            </w:r>
            <w:r>
              <w:rPr>
                <w:rFonts w:hint="eastAsia"/>
                <w:lang w:val="en-US" w:eastAsia="zh-CN"/>
              </w:rPr>
              <w:t>锅炉房</w:t>
            </w:r>
            <w:r>
              <w:t>吸烟，并设置明显的禁止吸烟标志。在作业现场范围内不得堆放其他无关的易燃易爆物品。</w:t>
            </w:r>
          </w:p>
          <w:p>
            <w:pPr>
              <w:pStyle w:val="22"/>
              <w:ind w:firstLine="480"/>
              <w:jc w:val="both"/>
            </w:pPr>
            <w:r>
              <w:t>④</w:t>
            </w:r>
            <w:r>
              <w:rPr>
                <w:rFonts w:hint="eastAsia"/>
                <w:lang w:val="en-US" w:eastAsia="zh-CN"/>
              </w:rPr>
              <w:t>项目区</w:t>
            </w:r>
            <w:r>
              <w:t>必须配备足够数量的灭火装置。</w:t>
            </w:r>
          </w:p>
          <w:p>
            <w:pPr>
              <w:pStyle w:val="22"/>
              <w:ind w:firstLine="480"/>
              <w:jc w:val="both"/>
            </w:pPr>
            <w:r>
              <w:t>⑤在事故状态下，本项目废气对周围大气环境造成污染，对周围人群健康造成危害，在发生事故时，应及时组织人群转移，以减少对人群的伤害；</w:t>
            </w:r>
          </w:p>
          <w:p>
            <w:pPr>
              <w:pStyle w:val="22"/>
              <w:ind w:firstLine="480"/>
              <w:jc w:val="both"/>
            </w:pPr>
            <w:r>
              <w:t>⑥</w:t>
            </w:r>
            <w:r>
              <w:rPr>
                <w:rFonts w:hint="eastAsia" w:ascii="Times New Roman" w:hAnsi="Times New Roman" w:cs="Times New Roman"/>
                <w:color w:val="auto"/>
                <w:kern w:val="0"/>
                <w:sz w:val="24"/>
                <w:szCs w:val="24"/>
                <w:highlight w:val="none"/>
                <w:lang w:val="en-US" w:eastAsia="zh-CN"/>
              </w:rPr>
              <w:t>强化风险物质的监督管理，按规定使用合理的、有益于环境保护的原辅材料及燃料，从源头上减少污染物的产生；</w:t>
            </w:r>
          </w:p>
          <w:p>
            <w:pPr>
              <w:pStyle w:val="22"/>
              <w:ind w:firstLine="480"/>
              <w:jc w:val="both"/>
            </w:pPr>
            <w:r>
              <w:rPr>
                <w:rFonts w:hint="eastAsia"/>
                <w:lang w:val="en-US" w:eastAsia="zh-CN"/>
              </w:rPr>
              <w:t>⑦</w:t>
            </w:r>
            <w:r>
              <w:t>加强巡查管理，及时发现泄漏情况便于及时处理；</w:t>
            </w:r>
          </w:p>
          <w:p>
            <w:pPr>
              <w:pStyle w:val="7"/>
              <w:jc w:val="both"/>
              <w:outlineLvl w:val="2"/>
            </w:pPr>
            <w:r>
              <w:rPr>
                <w:rFonts w:hint="eastAsia"/>
                <w:lang w:val="en-US" w:eastAsia="zh-CN"/>
              </w:rPr>
              <w:t>6</w:t>
            </w:r>
            <w:r>
              <w:rPr>
                <w:rFonts w:hint="eastAsia"/>
              </w:rPr>
              <w:t>.</w:t>
            </w:r>
            <w:r>
              <w:rPr>
                <w:rFonts w:hint="eastAsia"/>
                <w:lang w:val="en-US" w:eastAsia="zh-CN"/>
              </w:rPr>
              <w:t>6</w:t>
            </w:r>
            <w:r>
              <w:rPr>
                <w:rFonts w:hint="eastAsia"/>
              </w:rPr>
              <w:t xml:space="preserve"> 风险事故应急措施</w:t>
            </w:r>
          </w:p>
          <w:p>
            <w:pPr>
              <w:pStyle w:val="22"/>
              <w:ind w:firstLine="480"/>
              <w:jc w:val="both"/>
            </w:pPr>
            <w:r>
              <w:rPr>
                <w:rFonts w:hint="eastAsia"/>
              </w:rPr>
              <w:t>根据本项目所使用天然气的特性，对发生泄漏引起火灾或爆炸等风险事故的应急措施如下：</w:t>
            </w:r>
          </w:p>
          <w:p>
            <w:pPr>
              <w:pStyle w:val="22"/>
              <w:ind w:firstLine="480"/>
              <w:jc w:val="both"/>
            </w:pPr>
            <w:r>
              <w:rPr>
                <w:rFonts w:hint="eastAsia"/>
              </w:rPr>
              <w:t>① 一旦发生天然气泄漏事故，应立即停止供气，迅速撤离污染区人员至安全区，并进行隔离，周围设警告标志，严格限制出入，杜绝产生明火、静电因素。</w:t>
            </w:r>
          </w:p>
          <w:p>
            <w:pPr>
              <w:pStyle w:val="22"/>
              <w:ind w:firstLine="480"/>
              <w:jc w:val="both"/>
            </w:pPr>
            <w:r>
              <w:rPr>
                <w:rFonts w:hint="eastAsia"/>
              </w:rPr>
              <w:t>② 为了防止偶然火灾事故造成重大人身伤亡和设备损失，设计有完整、高效的消防报警系统，整个系统包括感烟系统、应急疏散系统、室内外消防装置系统、排烟系统和应急照明及疏散指示系统。</w:t>
            </w:r>
          </w:p>
          <w:p>
            <w:pPr>
              <w:pStyle w:val="22"/>
              <w:ind w:firstLine="480"/>
              <w:jc w:val="both"/>
            </w:pPr>
            <w:r>
              <w:rPr>
                <w:rFonts w:hint="eastAsia"/>
              </w:rPr>
              <w:t>③ 当发生火灾及燃爆事故时，现场人员或其他人员应该立刻拨打火警电话</w:t>
            </w:r>
            <w:r>
              <w:t>119</w:t>
            </w:r>
            <w:r>
              <w:rPr>
                <w:rFonts w:hint="eastAsia"/>
              </w:rPr>
              <w:t>并立即通知有关人员停止作业，尽快切断所有电源，组织人员和其他易燃物品的疏散，并利用就近的消防器材将火苗扑灭。现场人员在确保安全的情况下不可逃离现场，应和消防人员配合，做好灭火工作。</w:t>
            </w:r>
          </w:p>
          <w:p>
            <w:pPr>
              <w:pStyle w:val="22"/>
              <w:ind w:firstLine="480"/>
              <w:jc w:val="both"/>
            </w:pPr>
            <w:r>
              <w:rPr>
                <w:rFonts w:hint="eastAsia"/>
              </w:rPr>
              <w:t>④ 建设单位应按相关规范编制详尽的事故应急预案并进行演练。</w:t>
            </w:r>
          </w:p>
          <w:p>
            <w:pPr>
              <w:pStyle w:val="22"/>
              <w:ind w:firstLine="480"/>
              <w:jc w:val="both"/>
            </w:pPr>
            <w:r>
              <w:rPr>
                <w:rFonts w:hint="eastAsia"/>
              </w:rPr>
              <w:t>⑤ 做好日常管理，针对突发的事故，应有紧急处理能力与应急救援行动方案，火灾或燃爆现场组织人员进行疏散时，应避免向火情下风向撤离，同时尽量借助道路和交通工具。</w:t>
            </w:r>
          </w:p>
          <w:p>
            <w:pPr>
              <w:pStyle w:val="22"/>
              <w:ind w:firstLine="480"/>
              <w:jc w:val="both"/>
            </w:pPr>
            <w:r>
              <w:rPr>
                <w:rFonts w:hint="eastAsia"/>
              </w:rPr>
              <w:t>⑥ 环境保护领导小组应加强各施工队伍的环境风险意识的宣传教育，建立岗位责任制，明确管理责任。</w:t>
            </w:r>
          </w:p>
          <w:p>
            <w:pPr>
              <w:pStyle w:val="7"/>
              <w:jc w:val="both"/>
              <w:outlineLvl w:val="2"/>
            </w:pPr>
            <w:r>
              <w:rPr>
                <w:rFonts w:hint="eastAsia"/>
                <w:lang w:val="en-US" w:eastAsia="zh-CN"/>
              </w:rPr>
              <w:t>6</w:t>
            </w:r>
            <w:r>
              <w:t>.</w:t>
            </w:r>
            <w:r>
              <w:rPr>
                <w:rFonts w:hint="eastAsia"/>
                <w:lang w:val="en-US" w:eastAsia="zh-CN"/>
              </w:rPr>
              <w:t>7</w:t>
            </w:r>
            <w:r>
              <w:t xml:space="preserve"> </w:t>
            </w:r>
            <w:r>
              <w:rPr>
                <w:rFonts w:hint="eastAsia"/>
              </w:rPr>
              <w:t>风险评价结论</w:t>
            </w:r>
          </w:p>
          <w:p>
            <w:pPr>
              <w:pStyle w:val="22"/>
              <w:ind w:firstLine="480"/>
              <w:jc w:val="both"/>
            </w:pPr>
            <w:r>
              <w:rPr>
                <w:rFonts w:hint="eastAsia"/>
              </w:rPr>
              <w:t>通过采取相应的风险防范措施，可以将项目的风险水平降到较低的水平，因此本项目的环境风险水平在可接受的范围。一旦发生事故，建设单位应立即采取合理的事故应急处理措施，将事故影响降到最低限度。</w:t>
            </w:r>
          </w:p>
          <w:p>
            <w:pPr>
              <w:pStyle w:val="32"/>
              <w:bidi w:val="0"/>
            </w:pPr>
            <w:r>
              <w:rPr>
                <w:rFonts w:hint="eastAsia"/>
              </w:rPr>
              <w:t>表4-1</w:t>
            </w:r>
            <w:r>
              <w:rPr>
                <w:rFonts w:hint="eastAsia"/>
                <w:lang w:val="en-US" w:eastAsia="zh-CN"/>
              </w:rPr>
              <w:t>6</w:t>
            </w:r>
            <w:r>
              <w:rPr>
                <w:rFonts w:hint="eastAsia"/>
              </w:rPr>
              <w:t xml:space="preserve">    建设项目环境风险简单分析内容表</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1"/>
              <w:gridCol w:w="763"/>
              <w:gridCol w:w="1677"/>
              <w:gridCol w:w="1171"/>
              <w:gridCol w:w="721"/>
              <w:gridCol w:w="15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91" w:type="pct"/>
                  <w:tcBorders>
                    <w:bottom w:val="single" w:color="auto" w:sz="12" w:space="0"/>
                  </w:tcBorders>
                  <w:vAlign w:val="center"/>
                </w:tcPr>
                <w:p>
                  <w:pPr>
                    <w:pStyle w:val="33"/>
                    <w:widowControl w:val="0"/>
                    <w:rPr>
                      <w:b/>
                      <w:bCs/>
                      <w:lang w:val="en-US" w:eastAsia="zh-CN"/>
                    </w:rPr>
                  </w:pPr>
                  <w:r>
                    <w:rPr>
                      <w:rFonts w:hint="eastAsia"/>
                      <w:b/>
                      <w:bCs/>
                      <w:lang w:val="en-US" w:eastAsia="zh-CN"/>
                    </w:rPr>
                    <w:t>建设项目名称</w:t>
                  </w:r>
                </w:p>
              </w:tc>
              <w:tc>
                <w:tcPr>
                  <w:tcW w:w="3708" w:type="pct"/>
                  <w:gridSpan w:val="5"/>
                  <w:tcBorders>
                    <w:bottom w:val="single" w:color="auto" w:sz="12" w:space="0"/>
                  </w:tcBorders>
                  <w:vAlign w:val="center"/>
                </w:tcPr>
                <w:p>
                  <w:pPr>
                    <w:pStyle w:val="33"/>
                    <w:widowControl w:val="0"/>
                    <w:rPr>
                      <w:b/>
                      <w:bCs/>
                      <w:lang w:val="en-US" w:eastAsia="zh-CN"/>
                    </w:rPr>
                  </w:pPr>
                  <w:r>
                    <w:rPr>
                      <w:rFonts w:hint="eastAsia"/>
                      <w:b/>
                      <w:bCs/>
                      <w:lang w:val="en-US" w:eastAsia="zh-CN"/>
                    </w:rPr>
                    <w:t>吉木萨尔县绿色洗消中心项目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91" w:type="pct"/>
                  <w:tcBorders>
                    <w:top w:val="single" w:color="auto" w:sz="12" w:space="0"/>
                    <w:tl2br w:val="nil"/>
                    <w:tr2bl w:val="nil"/>
                  </w:tcBorders>
                  <w:vAlign w:val="center"/>
                </w:tcPr>
                <w:p>
                  <w:pPr>
                    <w:pStyle w:val="33"/>
                    <w:widowControl w:val="0"/>
                    <w:rPr>
                      <w:b/>
                      <w:bCs/>
                      <w:lang w:val="en-US" w:eastAsia="zh-CN"/>
                    </w:rPr>
                  </w:pPr>
                  <w:r>
                    <w:rPr>
                      <w:rFonts w:hint="eastAsia"/>
                      <w:b/>
                      <w:bCs/>
                      <w:lang w:val="en-US" w:eastAsia="zh-CN"/>
                    </w:rPr>
                    <w:t>建设地点</w:t>
                  </w:r>
                </w:p>
              </w:tc>
              <w:tc>
                <w:tcPr>
                  <w:tcW w:w="485" w:type="pct"/>
                  <w:tcBorders>
                    <w:top w:val="single" w:color="auto" w:sz="12" w:space="0"/>
                    <w:tl2br w:val="nil"/>
                    <w:tr2bl w:val="nil"/>
                  </w:tcBorders>
                  <w:vAlign w:val="center"/>
                </w:tcPr>
                <w:p>
                  <w:pPr>
                    <w:pStyle w:val="33"/>
                    <w:widowControl w:val="0"/>
                    <w:rPr>
                      <w:lang w:val="en-US" w:eastAsia="zh-CN"/>
                    </w:rPr>
                  </w:pPr>
                  <w:r>
                    <w:rPr>
                      <w:rFonts w:hint="eastAsia"/>
                      <w:lang w:val="en-US" w:eastAsia="zh-CN"/>
                    </w:rPr>
                    <w:t>新疆</w:t>
                  </w:r>
                </w:p>
              </w:tc>
              <w:tc>
                <w:tcPr>
                  <w:tcW w:w="1066" w:type="pct"/>
                  <w:tcBorders>
                    <w:top w:val="single" w:color="auto" w:sz="12" w:space="0"/>
                    <w:tl2br w:val="nil"/>
                    <w:tr2bl w:val="nil"/>
                  </w:tcBorders>
                  <w:vAlign w:val="center"/>
                </w:tcPr>
                <w:p>
                  <w:pPr>
                    <w:pStyle w:val="33"/>
                    <w:widowControl w:val="0"/>
                    <w:rPr>
                      <w:lang w:val="en-US" w:eastAsia="zh-CN"/>
                    </w:rPr>
                  </w:pPr>
                  <w:r>
                    <w:rPr>
                      <w:rFonts w:hint="eastAsia"/>
                      <w:lang w:val="en-US" w:eastAsia="zh-CN"/>
                    </w:rPr>
                    <w:t>昌吉州</w:t>
                  </w:r>
                </w:p>
              </w:tc>
              <w:tc>
                <w:tcPr>
                  <w:tcW w:w="744" w:type="pct"/>
                  <w:tcBorders>
                    <w:top w:val="single" w:color="auto" w:sz="12" w:space="0"/>
                    <w:tl2br w:val="nil"/>
                    <w:tr2bl w:val="nil"/>
                  </w:tcBorders>
                  <w:vAlign w:val="center"/>
                </w:tcPr>
                <w:p>
                  <w:pPr>
                    <w:pStyle w:val="33"/>
                    <w:widowControl w:val="0"/>
                    <w:rPr>
                      <w:lang w:val="en-US" w:eastAsia="zh-CN"/>
                    </w:rPr>
                  </w:pPr>
                  <w:r>
                    <w:rPr>
                      <w:rFonts w:hint="eastAsia"/>
                      <w:lang w:val="en-US" w:eastAsia="zh-CN"/>
                    </w:rPr>
                    <w:t>吉木萨尔</w:t>
                  </w:r>
                </w:p>
              </w:tc>
              <w:tc>
                <w:tcPr>
                  <w:tcW w:w="458" w:type="pct"/>
                  <w:tcBorders>
                    <w:top w:val="single" w:color="auto" w:sz="12" w:space="0"/>
                    <w:tl2br w:val="nil"/>
                    <w:tr2bl w:val="nil"/>
                  </w:tcBorders>
                  <w:vAlign w:val="center"/>
                </w:tcPr>
                <w:p>
                  <w:pPr>
                    <w:pStyle w:val="33"/>
                    <w:widowControl w:val="0"/>
                    <w:rPr>
                      <w:lang w:val="en-US" w:eastAsia="zh-CN"/>
                    </w:rPr>
                  </w:pPr>
                  <w:r>
                    <w:rPr>
                      <w:rFonts w:hint="eastAsia"/>
                      <w:lang w:val="en-US" w:eastAsia="zh-CN"/>
                    </w:rPr>
                    <w:t>县</w:t>
                  </w:r>
                </w:p>
              </w:tc>
              <w:tc>
                <w:tcPr>
                  <w:tcW w:w="952" w:type="pct"/>
                  <w:tcBorders>
                    <w:top w:val="single" w:color="auto" w:sz="12" w:space="0"/>
                    <w:tl2br w:val="nil"/>
                    <w:tr2bl w:val="nil"/>
                  </w:tcBorders>
                  <w:vAlign w:val="center"/>
                </w:tcPr>
                <w:p>
                  <w:pPr>
                    <w:pStyle w:val="33"/>
                    <w:widowControl w:val="0"/>
                    <w:rPr>
                      <w:lang w:val="en-US" w:eastAsia="zh-CN"/>
                    </w:rPr>
                  </w:pPr>
                  <w:r>
                    <w:rPr>
                      <w:rFonts w:hint="eastAsia"/>
                      <w:lang w:val="en-US" w:eastAsia="zh-CN"/>
                    </w:rPr>
                    <w:t>北庭综合物流园内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91" w:type="pct"/>
                  <w:tcBorders>
                    <w:tl2br w:val="nil"/>
                    <w:tr2bl w:val="nil"/>
                  </w:tcBorders>
                  <w:vAlign w:val="center"/>
                </w:tcPr>
                <w:p>
                  <w:pPr>
                    <w:pStyle w:val="33"/>
                    <w:widowControl w:val="0"/>
                    <w:rPr>
                      <w:b/>
                      <w:bCs/>
                      <w:lang w:val="en-US" w:eastAsia="zh-CN"/>
                    </w:rPr>
                  </w:pPr>
                  <w:r>
                    <w:rPr>
                      <w:rFonts w:hint="eastAsia"/>
                      <w:b/>
                      <w:bCs/>
                      <w:lang w:val="en-US" w:eastAsia="zh-CN"/>
                    </w:rPr>
                    <w:t>地理坐标</w:t>
                  </w:r>
                </w:p>
              </w:tc>
              <w:tc>
                <w:tcPr>
                  <w:tcW w:w="485" w:type="pct"/>
                  <w:tcBorders>
                    <w:tl2br w:val="nil"/>
                    <w:tr2bl w:val="nil"/>
                  </w:tcBorders>
                  <w:vAlign w:val="center"/>
                </w:tcPr>
                <w:p>
                  <w:pPr>
                    <w:pStyle w:val="33"/>
                    <w:widowControl w:val="0"/>
                    <w:rPr>
                      <w:lang w:val="en-US" w:eastAsia="zh-CN"/>
                    </w:rPr>
                  </w:pPr>
                  <w:r>
                    <w:rPr>
                      <w:rFonts w:hint="eastAsia"/>
                      <w:lang w:val="en-US" w:eastAsia="zh-CN"/>
                    </w:rPr>
                    <w:t>经度</w:t>
                  </w:r>
                </w:p>
              </w:tc>
              <w:tc>
                <w:tcPr>
                  <w:tcW w:w="1066" w:type="pct"/>
                  <w:tcBorders>
                    <w:tl2br w:val="nil"/>
                    <w:tr2bl w:val="nil"/>
                  </w:tcBorders>
                  <w:vAlign w:val="center"/>
                </w:tcPr>
                <w:p>
                  <w:pPr>
                    <w:pStyle w:val="33"/>
                    <w:widowControl w:val="0"/>
                    <w:rPr>
                      <w:lang w:val="en-US" w:eastAsia="zh-CN"/>
                    </w:rPr>
                  </w:pPr>
                  <w:r>
                    <w:rPr>
                      <w:rFonts w:hint="eastAsia"/>
                      <w:lang w:val="en-US" w:eastAsia="zh-CN"/>
                    </w:rPr>
                    <w:t>89.23717655</w:t>
                  </w:r>
                </w:p>
              </w:tc>
              <w:tc>
                <w:tcPr>
                  <w:tcW w:w="744" w:type="pct"/>
                  <w:tcBorders>
                    <w:tl2br w:val="nil"/>
                    <w:tr2bl w:val="nil"/>
                  </w:tcBorders>
                  <w:vAlign w:val="center"/>
                </w:tcPr>
                <w:p>
                  <w:pPr>
                    <w:pStyle w:val="33"/>
                    <w:widowControl w:val="0"/>
                    <w:rPr>
                      <w:lang w:val="en-US" w:eastAsia="zh-CN"/>
                    </w:rPr>
                  </w:pPr>
                  <w:r>
                    <w:rPr>
                      <w:rFonts w:hint="eastAsia"/>
                      <w:lang w:val="en-US" w:eastAsia="zh-CN"/>
                    </w:rPr>
                    <w:t>纬度</w:t>
                  </w:r>
                </w:p>
              </w:tc>
              <w:tc>
                <w:tcPr>
                  <w:tcW w:w="1411" w:type="pct"/>
                  <w:gridSpan w:val="2"/>
                  <w:tcBorders>
                    <w:tl2br w:val="nil"/>
                    <w:tr2bl w:val="nil"/>
                  </w:tcBorders>
                  <w:vAlign w:val="center"/>
                </w:tcPr>
                <w:p>
                  <w:pPr>
                    <w:pStyle w:val="33"/>
                    <w:widowControl w:val="0"/>
                    <w:rPr>
                      <w:lang w:val="en-US" w:eastAsia="zh-CN"/>
                    </w:rPr>
                  </w:pPr>
                  <w:r>
                    <w:rPr>
                      <w:rFonts w:hint="eastAsia"/>
                      <w:lang w:val="en-US" w:eastAsia="zh-CN"/>
                    </w:rPr>
                    <w:t>43.98851966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91" w:type="pct"/>
                  <w:tcBorders>
                    <w:tl2br w:val="nil"/>
                    <w:tr2bl w:val="nil"/>
                  </w:tcBorders>
                  <w:vAlign w:val="center"/>
                </w:tcPr>
                <w:p>
                  <w:pPr>
                    <w:pStyle w:val="33"/>
                    <w:widowControl w:val="0"/>
                    <w:rPr>
                      <w:b/>
                      <w:bCs/>
                      <w:lang w:val="en-US" w:eastAsia="zh-CN"/>
                    </w:rPr>
                  </w:pPr>
                  <w:r>
                    <w:rPr>
                      <w:rFonts w:hint="eastAsia"/>
                      <w:b/>
                      <w:bCs/>
                      <w:lang w:val="en-US" w:eastAsia="zh-CN"/>
                    </w:rPr>
                    <w:t>主要危险物质及分布</w:t>
                  </w:r>
                </w:p>
              </w:tc>
              <w:tc>
                <w:tcPr>
                  <w:tcW w:w="3708" w:type="pct"/>
                  <w:gridSpan w:val="5"/>
                  <w:tcBorders>
                    <w:tl2br w:val="nil"/>
                    <w:tr2bl w:val="nil"/>
                  </w:tcBorders>
                  <w:vAlign w:val="center"/>
                </w:tcPr>
                <w:p>
                  <w:pPr>
                    <w:pStyle w:val="33"/>
                    <w:widowControl w:val="0"/>
                    <w:jc w:val="left"/>
                    <w:rPr>
                      <w:rFonts w:hint="default" w:eastAsia="宋体"/>
                      <w:lang w:val="en-US" w:eastAsia="zh-CN"/>
                    </w:rPr>
                  </w:pPr>
                  <w:r>
                    <w:rPr>
                      <w:rFonts w:hint="eastAsia"/>
                      <w:lang w:val="en-US" w:eastAsia="zh-CN"/>
                    </w:rPr>
                    <w:t>天然气</w:t>
                  </w:r>
                  <w:r>
                    <w:rPr>
                      <w:lang w:val="en-US" w:eastAsia="zh-CN"/>
                    </w:rPr>
                    <w:t>：</w:t>
                  </w:r>
                  <w:r>
                    <w:rPr>
                      <w:rFonts w:hint="eastAsia"/>
                      <w:lang w:val="en-US" w:eastAsia="zh-CN"/>
                    </w:rPr>
                    <w:t>天然气管道、锅炉；</w:t>
                  </w:r>
                  <w:r>
                    <w:rPr>
                      <w:rFonts w:hint="eastAsia" w:ascii="Times New Roman" w:hAnsi="Times New Roman" w:eastAsia="宋体" w:cs="Times New Roman"/>
                      <w:color w:val="auto"/>
                      <w:sz w:val="21"/>
                      <w:szCs w:val="21"/>
                      <w:highlight w:val="none"/>
                      <w:lang w:val="en-US" w:eastAsia="zh-CN"/>
                    </w:rPr>
                    <w:t>氯漂液（含有氯酸钾）生产车间、污水处理站；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91" w:type="pct"/>
                  <w:tcBorders>
                    <w:tl2br w:val="nil"/>
                    <w:tr2bl w:val="nil"/>
                  </w:tcBorders>
                  <w:vAlign w:val="center"/>
                </w:tcPr>
                <w:p>
                  <w:pPr>
                    <w:pStyle w:val="33"/>
                    <w:widowControl w:val="0"/>
                    <w:rPr>
                      <w:b/>
                      <w:bCs/>
                      <w:lang w:val="en-US" w:eastAsia="zh-CN"/>
                    </w:rPr>
                  </w:pPr>
                  <w:r>
                    <w:rPr>
                      <w:rFonts w:hint="eastAsia"/>
                      <w:b/>
                      <w:bCs/>
                      <w:lang w:val="en-US" w:eastAsia="zh-CN"/>
                    </w:rPr>
                    <w:t>环境影响途径及危害后果（大气、地表水、地下水等）</w:t>
                  </w:r>
                </w:p>
              </w:tc>
              <w:tc>
                <w:tcPr>
                  <w:tcW w:w="3708" w:type="pct"/>
                  <w:gridSpan w:val="5"/>
                  <w:tcBorders>
                    <w:tl2br w:val="nil"/>
                    <w:tr2bl w:val="nil"/>
                  </w:tcBorders>
                  <w:vAlign w:val="center"/>
                </w:tcPr>
                <w:p>
                  <w:pPr>
                    <w:pStyle w:val="33"/>
                    <w:widowControl w:val="0"/>
                    <w:jc w:val="both"/>
                    <w:rPr>
                      <w:lang w:val="en-US" w:eastAsia="zh-CN"/>
                    </w:rPr>
                  </w:pPr>
                  <w:r>
                    <w:rPr>
                      <w:rFonts w:hint="eastAsia"/>
                      <w:lang w:val="en-US" w:eastAsia="zh-CN"/>
                    </w:rPr>
                    <w:t>天然气泄漏</w:t>
                  </w:r>
                  <w:r>
                    <w:rPr>
                      <w:lang w:val="en-US" w:eastAsia="zh-CN"/>
                    </w:rPr>
                    <w:t>产生的爆炸、火灾、中毒等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91" w:type="pct"/>
                  <w:tcBorders>
                    <w:tl2br w:val="nil"/>
                    <w:tr2bl w:val="nil"/>
                  </w:tcBorders>
                  <w:vAlign w:val="center"/>
                </w:tcPr>
                <w:p>
                  <w:pPr>
                    <w:pStyle w:val="33"/>
                    <w:widowControl w:val="0"/>
                    <w:rPr>
                      <w:b/>
                      <w:bCs/>
                      <w:lang w:val="en-US" w:eastAsia="zh-CN"/>
                    </w:rPr>
                  </w:pPr>
                  <w:r>
                    <w:rPr>
                      <w:rFonts w:hint="eastAsia"/>
                      <w:b/>
                      <w:bCs/>
                      <w:lang w:val="en-US" w:eastAsia="zh-CN"/>
                    </w:rPr>
                    <w:t>风险防范措施</w:t>
                  </w:r>
                </w:p>
              </w:tc>
              <w:tc>
                <w:tcPr>
                  <w:tcW w:w="3708" w:type="pct"/>
                  <w:gridSpan w:val="5"/>
                  <w:tcBorders>
                    <w:tl2br w:val="nil"/>
                    <w:tr2bl w:val="nil"/>
                  </w:tcBorders>
                  <w:vAlign w:val="center"/>
                </w:tcPr>
                <w:p>
                  <w:pPr>
                    <w:pStyle w:val="33"/>
                    <w:widowControl w:val="0"/>
                    <w:jc w:val="both"/>
                    <w:rPr>
                      <w:lang w:val="en-US" w:eastAsia="zh-CN"/>
                    </w:rPr>
                  </w:pPr>
                  <w:r>
                    <w:rPr>
                      <w:lang w:val="en-US" w:eastAsia="zh-CN"/>
                    </w:rPr>
                    <w:t>①操作维护管理</w:t>
                  </w:r>
                </w:p>
                <w:p>
                  <w:pPr>
                    <w:pStyle w:val="33"/>
                    <w:widowControl w:val="0"/>
                    <w:jc w:val="both"/>
                    <w:rPr>
                      <w:lang w:val="en-US" w:eastAsia="zh-CN"/>
                    </w:rPr>
                  </w:pPr>
                  <w:r>
                    <w:rPr>
                      <w:lang w:val="en-US" w:eastAsia="zh-CN"/>
                    </w:rPr>
                    <w:t>企业应加强设备管理，确保设备完好。应制定严格的操作、管理制度，工作人员应培训上岗，并经常检查，防止“跑、冒、滴、漏”的发生。应对</w:t>
                  </w:r>
                  <w:r>
                    <w:rPr>
                      <w:rFonts w:hint="eastAsia"/>
                      <w:lang w:val="en-US" w:eastAsia="zh-CN"/>
                    </w:rPr>
                    <w:t>锅炉房</w:t>
                  </w:r>
                  <w:r>
                    <w:rPr>
                      <w:lang w:val="en-US" w:eastAsia="zh-CN"/>
                    </w:rPr>
                    <w:t>地面进行水泥硬化，并</w:t>
                  </w:r>
                  <w:r>
                    <w:rPr>
                      <w:rFonts w:hint="eastAsia"/>
                      <w:lang w:val="en-US" w:eastAsia="zh-CN"/>
                    </w:rPr>
                    <w:t>做</w:t>
                  </w:r>
                  <w:r>
                    <w:rPr>
                      <w:lang w:val="en-US" w:eastAsia="zh-CN"/>
                    </w:rPr>
                    <w:t>防渗处理。厂区内设置消防通道。加强职工培训，提高应急处理能力。</w:t>
                  </w:r>
                </w:p>
                <w:p>
                  <w:pPr>
                    <w:pStyle w:val="33"/>
                    <w:widowControl w:val="0"/>
                    <w:jc w:val="both"/>
                    <w:rPr>
                      <w:lang w:val="en-US" w:eastAsia="zh-CN"/>
                    </w:rPr>
                  </w:pPr>
                  <w:r>
                    <w:rPr>
                      <w:lang w:val="en-US" w:eastAsia="zh-CN"/>
                    </w:rPr>
                    <w:t>②废水废气处理设施</w:t>
                  </w:r>
                </w:p>
                <w:p>
                  <w:pPr>
                    <w:pStyle w:val="33"/>
                    <w:widowControl w:val="0"/>
                    <w:jc w:val="both"/>
                    <w:rPr>
                      <w:lang w:val="en-US" w:eastAsia="zh-CN"/>
                    </w:rPr>
                  </w:pPr>
                  <w:r>
                    <w:rPr>
                      <w:lang w:val="en-US" w:eastAsia="zh-CN"/>
                    </w:rPr>
                    <w:t>加强对废水废气处理设施的日常管理，加强处理设施的日常维护，</w:t>
                  </w:r>
                  <w:r>
                    <w:rPr>
                      <w:rFonts w:hint="eastAsia"/>
                      <w:lang w:val="en-US" w:eastAsia="zh-CN"/>
                    </w:rPr>
                    <w:t>做好</w:t>
                  </w:r>
                  <w:r>
                    <w:rPr>
                      <w:lang w:val="en-US" w:eastAsia="zh-CN"/>
                    </w:rPr>
                    <w:t>运行</w:t>
                  </w:r>
                  <w:r>
                    <w:rPr>
                      <w:rFonts w:hint="eastAsia"/>
                      <w:lang w:val="en-US" w:eastAsia="zh-CN"/>
                    </w:rPr>
                    <w:t>台账的</w:t>
                  </w:r>
                  <w:r>
                    <w:rPr>
                      <w:lang w:val="en-US" w:eastAsia="zh-CN"/>
                    </w:rPr>
                    <w:t>记录及管理，防止废气处理设施故障。</w:t>
                  </w:r>
                </w:p>
                <w:p>
                  <w:pPr>
                    <w:pStyle w:val="33"/>
                    <w:widowControl w:val="0"/>
                    <w:jc w:val="both"/>
                    <w:rPr>
                      <w:lang w:val="en-US" w:eastAsia="zh-CN"/>
                    </w:rPr>
                  </w:pPr>
                  <w:r>
                    <w:rPr>
                      <w:lang w:val="en-US" w:eastAsia="zh-CN"/>
                    </w:rPr>
                    <w:t>③设置风险事故应急预案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91" w:type="pct"/>
                  <w:tcBorders>
                    <w:tl2br w:val="nil"/>
                    <w:tr2bl w:val="nil"/>
                  </w:tcBorders>
                  <w:vAlign w:val="center"/>
                </w:tcPr>
                <w:p>
                  <w:pPr>
                    <w:pStyle w:val="33"/>
                    <w:widowControl w:val="0"/>
                    <w:rPr>
                      <w:b/>
                      <w:bCs/>
                      <w:lang w:val="en-US" w:eastAsia="zh-CN"/>
                    </w:rPr>
                  </w:pPr>
                  <w:r>
                    <w:rPr>
                      <w:rFonts w:hint="eastAsia"/>
                      <w:b/>
                      <w:bCs/>
                      <w:lang w:val="en-US" w:eastAsia="zh-CN"/>
                    </w:rPr>
                    <w:t>填报说明</w:t>
                  </w:r>
                </w:p>
                <w:p>
                  <w:pPr>
                    <w:pStyle w:val="33"/>
                    <w:widowControl w:val="0"/>
                    <w:rPr>
                      <w:b/>
                      <w:bCs/>
                      <w:lang w:val="en-US" w:eastAsia="zh-CN"/>
                    </w:rPr>
                  </w:pPr>
                  <w:r>
                    <w:rPr>
                      <w:rFonts w:hint="eastAsia"/>
                      <w:b/>
                      <w:bCs/>
                      <w:lang w:val="en-US" w:eastAsia="zh-CN"/>
                    </w:rPr>
                    <w:t>（列出项目相关信息及评价说明）</w:t>
                  </w:r>
                </w:p>
              </w:tc>
              <w:tc>
                <w:tcPr>
                  <w:tcW w:w="3708" w:type="pct"/>
                  <w:gridSpan w:val="5"/>
                  <w:tcBorders>
                    <w:tl2br w:val="nil"/>
                    <w:tr2bl w:val="nil"/>
                  </w:tcBorders>
                  <w:vAlign w:val="center"/>
                </w:tcPr>
                <w:p>
                  <w:pPr>
                    <w:pStyle w:val="33"/>
                    <w:widowControl w:val="0"/>
                    <w:jc w:val="both"/>
                    <w:rPr>
                      <w:lang w:val="en-US" w:eastAsia="zh-CN"/>
                    </w:rPr>
                  </w:pPr>
                  <w:r>
                    <w:rPr>
                      <w:lang w:val="en-US" w:eastAsia="zh-CN"/>
                    </w:rPr>
                    <w:t>项目涉及的主要风险物质为</w:t>
                  </w:r>
                  <w:r>
                    <w:rPr>
                      <w:rFonts w:hint="eastAsia"/>
                      <w:lang w:val="en-US" w:eastAsia="zh-CN"/>
                    </w:rPr>
                    <w:t>天然气、</w:t>
                  </w:r>
                  <w:r>
                    <w:rPr>
                      <w:rFonts w:hint="eastAsia" w:ascii="Times New Roman" w:hAnsi="Times New Roman" w:eastAsia="宋体" w:cs="Times New Roman"/>
                      <w:color w:val="auto"/>
                      <w:sz w:val="21"/>
                      <w:szCs w:val="21"/>
                      <w:highlight w:val="none"/>
                      <w:lang w:val="en-US" w:eastAsia="zh-CN"/>
                    </w:rPr>
                    <w:t>氯漂液（含有氯酸钾）</w:t>
                  </w:r>
                  <w:r>
                    <w:rPr>
                      <w:lang w:val="en-US" w:eastAsia="zh-CN"/>
                    </w:rPr>
                    <w:t>，根据《建设项目环境风险评价技术导则》</w:t>
                  </w:r>
                  <w:r>
                    <w:rPr>
                      <w:rFonts w:hint="eastAsia"/>
                      <w:lang w:val="en-US" w:eastAsia="zh-CN"/>
                    </w:rPr>
                    <w:t>（</w:t>
                  </w:r>
                  <w:r>
                    <w:rPr>
                      <w:lang w:val="en-US" w:eastAsia="zh-CN"/>
                    </w:rPr>
                    <w:t>HJ169-2018</w:t>
                  </w:r>
                  <w:r>
                    <w:rPr>
                      <w:rFonts w:hint="eastAsia"/>
                      <w:lang w:val="en-US" w:eastAsia="zh-CN"/>
                    </w:rPr>
                    <w:t>）</w:t>
                  </w:r>
                  <w:r>
                    <w:rPr>
                      <w:lang w:val="en-US" w:eastAsia="zh-CN"/>
                    </w:rPr>
                    <w:t>要求，项目环境风险潜势为I级，因此对环境风险评价开展简单分析</w:t>
                  </w:r>
                </w:p>
              </w:tc>
            </w:tr>
          </w:tbl>
          <w:p>
            <w:pPr>
              <w:pStyle w:val="6"/>
              <w:numPr>
                <w:ilvl w:val="0"/>
                <w:numId w:val="14"/>
              </w:numPr>
              <w:jc w:val="both"/>
              <w:outlineLvl w:val="1"/>
            </w:pPr>
            <w:r>
              <w:t>环保投资估算</w:t>
            </w:r>
          </w:p>
          <w:p>
            <w:pPr>
              <w:pStyle w:val="22"/>
              <w:ind w:firstLine="480"/>
              <w:jc w:val="both"/>
            </w:pPr>
            <w:r>
              <w:t>本项目总投资</w:t>
            </w:r>
            <w:r>
              <w:rPr>
                <w:rFonts w:hint="eastAsia"/>
                <w:color w:val="auto"/>
                <w:lang w:val="en-US" w:eastAsia="zh-CN"/>
              </w:rPr>
              <w:t>400</w:t>
            </w:r>
            <w:r>
              <w:rPr>
                <w:color w:val="auto"/>
              </w:rPr>
              <w:t>万元，环保投资</w:t>
            </w:r>
            <w:r>
              <w:rPr>
                <w:rFonts w:hint="eastAsia"/>
                <w:color w:val="auto"/>
                <w:lang w:val="en-US" w:eastAsia="zh-CN"/>
              </w:rPr>
              <w:t>110</w:t>
            </w:r>
            <w:r>
              <w:rPr>
                <w:color w:val="auto"/>
              </w:rPr>
              <w:t>万元，占总投资的</w:t>
            </w:r>
            <w:r>
              <w:rPr>
                <w:rFonts w:hint="eastAsia"/>
                <w:color w:val="auto"/>
                <w:lang w:val="en-US" w:eastAsia="zh-CN"/>
              </w:rPr>
              <w:t>27.5</w:t>
            </w:r>
            <w:r>
              <w:rPr>
                <w:color w:val="auto"/>
              </w:rPr>
              <w:t>%。</w:t>
            </w:r>
            <w:r>
              <w:t>本项目环保工程主要包括废气治理工程、噪声治理工程，具体见表</w:t>
            </w:r>
            <w:r>
              <w:rPr>
                <w:rFonts w:hint="eastAsia"/>
              </w:rPr>
              <w:t>4-1</w:t>
            </w:r>
            <w:r>
              <w:rPr>
                <w:rFonts w:hint="eastAsia"/>
                <w:lang w:val="en-US" w:eastAsia="zh-CN"/>
              </w:rPr>
              <w:t>7</w:t>
            </w:r>
            <w:r>
              <w:t>。</w:t>
            </w:r>
          </w:p>
          <w:p>
            <w:pPr>
              <w:pStyle w:val="32"/>
            </w:pPr>
            <w:r>
              <w:t>表</w:t>
            </w:r>
            <w:r>
              <w:rPr>
                <w:rFonts w:hint="eastAsia"/>
              </w:rPr>
              <w:t>4-1</w:t>
            </w:r>
            <w:r>
              <w:rPr>
                <w:rFonts w:hint="eastAsia"/>
                <w:lang w:val="en-US" w:eastAsia="zh-CN"/>
              </w:rPr>
              <w:t>7</w:t>
            </w:r>
            <w:r>
              <w:rPr>
                <w:rFonts w:hint="eastAsia"/>
              </w:rPr>
              <w:t xml:space="preserve">    </w:t>
            </w:r>
            <w:r>
              <w:t>环保工程项目及投资估算</w:t>
            </w:r>
          </w:p>
          <w:tbl>
            <w:tblPr>
              <w:tblStyle w:val="26"/>
              <w:tblW w:w="49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3"/>
              <w:gridCol w:w="1851"/>
              <w:gridCol w:w="3758"/>
              <w:gridCol w:w="15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tcBorders>
                    <w:top w:val="single" w:color="auto" w:sz="12" w:space="0"/>
                    <w:left w:val="nil"/>
                    <w:bottom w:val="single" w:color="auto" w:sz="12" w:space="0"/>
                    <w:right w:val="single" w:color="auto" w:sz="4" w:space="0"/>
                  </w:tcBorders>
                  <w:vAlign w:val="center"/>
                </w:tcPr>
                <w:p>
                  <w:pPr>
                    <w:pStyle w:val="33"/>
                    <w:rPr>
                      <w:b/>
                      <w:bCs/>
                    </w:rPr>
                  </w:pPr>
                  <w:r>
                    <w:rPr>
                      <w:b/>
                      <w:bCs/>
                    </w:rPr>
                    <w:t>序号</w:t>
                  </w:r>
                </w:p>
              </w:tc>
              <w:tc>
                <w:tcPr>
                  <w:tcW w:w="1183" w:type="pct"/>
                  <w:tcBorders>
                    <w:top w:val="single" w:color="auto" w:sz="12" w:space="0"/>
                    <w:left w:val="nil"/>
                    <w:bottom w:val="single" w:color="auto" w:sz="12" w:space="0"/>
                    <w:right w:val="single" w:color="auto" w:sz="4" w:space="0"/>
                  </w:tcBorders>
                  <w:vAlign w:val="center"/>
                </w:tcPr>
                <w:p>
                  <w:pPr>
                    <w:pStyle w:val="33"/>
                    <w:rPr>
                      <w:b/>
                      <w:bCs/>
                    </w:rPr>
                  </w:pPr>
                  <w:r>
                    <w:rPr>
                      <w:b/>
                      <w:bCs/>
                    </w:rPr>
                    <w:t>内容</w:t>
                  </w:r>
                </w:p>
              </w:tc>
              <w:tc>
                <w:tcPr>
                  <w:tcW w:w="2401" w:type="pct"/>
                  <w:tcBorders>
                    <w:top w:val="single" w:color="auto" w:sz="12" w:space="0"/>
                    <w:left w:val="nil"/>
                    <w:bottom w:val="single" w:color="auto" w:sz="12" w:space="0"/>
                    <w:right w:val="single" w:color="auto" w:sz="4" w:space="0"/>
                  </w:tcBorders>
                  <w:vAlign w:val="center"/>
                </w:tcPr>
                <w:p>
                  <w:pPr>
                    <w:pStyle w:val="33"/>
                    <w:rPr>
                      <w:b/>
                      <w:bCs/>
                    </w:rPr>
                  </w:pPr>
                  <w:r>
                    <w:rPr>
                      <w:b/>
                      <w:bCs/>
                    </w:rPr>
                    <w:t>环保设施</w:t>
                  </w:r>
                </w:p>
              </w:tc>
              <w:tc>
                <w:tcPr>
                  <w:tcW w:w="978" w:type="pct"/>
                  <w:tcBorders>
                    <w:top w:val="single" w:color="auto" w:sz="12" w:space="0"/>
                    <w:left w:val="nil"/>
                    <w:bottom w:val="single" w:color="auto" w:sz="12" w:space="0"/>
                    <w:right w:val="nil"/>
                  </w:tcBorders>
                  <w:vAlign w:val="center"/>
                </w:tcPr>
                <w:p>
                  <w:pPr>
                    <w:pStyle w:val="33"/>
                    <w:rPr>
                      <w:b/>
                      <w:bCs/>
                    </w:rPr>
                  </w:pPr>
                  <w:r>
                    <w:rPr>
                      <w:b/>
                      <w:bCs/>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tcBorders>
                    <w:top w:val="single" w:color="auto" w:sz="4" w:space="0"/>
                    <w:left w:val="nil"/>
                    <w:bottom w:val="single" w:color="auto" w:sz="4" w:space="0"/>
                    <w:right w:val="single" w:color="auto" w:sz="4" w:space="0"/>
                  </w:tcBorders>
                  <w:vAlign w:val="center"/>
                </w:tcPr>
                <w:p>
                  <w:pPr>
                    <w:pStyle w:val="33"/>
                    <w:rPr>
                      <w:rFonts w:hint="eastAsia" w:eastAsia="宋体"/>
                      <w:lang w:val="en-US" w:eastAsia="zh-CN"/>
                    </w:rPr>
                  </w:pPr>
                  <w:r>
                    <w:rPr>
                      <w:rFonts w:hint="eastAsia"/>
                      <w:lang w:val="en-US" w:eastAsia="zh-CN"/>
                    </w:rPr>
                    <w:t>1</w:t>
                  </w:r>
                </w:p>
              </w:tc>
              <w:tc>
                <w:tcPr>
                  <w:tcW w:w="1183" w:type="pct"/>
                  <w:tcBorders>
                    <w:top w:val="single" w:color="auto" w:sz="4" w:space="0"/>
                    <w:left w:val="nil"/>
                    <w:bottom w:val="single" w:color="auto" w:sz="4" w:space="0"/>
                    <w:right w:val="single" w:color="auto" w:sz="4" w:space="0"/>
                  </w:tcBorders>
                  <w:vAlign w:val="center"/>
                </w:tcPr>
                <w:p>
                  <w:pPr>
                    <w:pStyle w:val="33"/>
                  </w:pPr>
                  <w:r>
                    <w:t>噪声治理</w:t>
                  </w:r>
                </w:p>
              </w:tc>
              <w:tc>
                <w:tcPr>
                  <w:tcW w:w="2401" w:type="pct"/>
                  <w:tcBorders>
                    <w:top w:val="single" w:color="auto" w:sz="4" w:space="0"/>
                    <w:left w:val="nil"/>
                    <w:bottom w:val="single" w:color="auto" w:sz="4" w:space="0"/>
                    <w:right w:val="single" w:color="auto" w:sz="4" w:space="0"/>
                  </w:tcBorders>
                  <w:vAlign w:val="center"/>
                </w:tcPr>
                <w:p>
                  <w:pPr>
                    <w:pStyle w:val="33"/>
                    <w:rPr>
                      <w:lang w:val="en-US" w:eastAsia="zh-CN"/>
                    </w:rPr>
                  </w:pPr>
                  <w:r>
                    <w:rPr>
                      <w:rFonts w:hint="eastAsia"/>
                      <w:lang w:val="en-US" w:eastAsia="zh-CN"/>
                    </w:rPr>
                    <w:t>加强维修养护，</w:t>
                  </w:r>
                  <w:r>
                    <w:rPr>
                      <w:lang w:val="en-US" w:eastAsia="zh-CN"/>
                    </w:rPr>
                    <w:t>基础减震，厂房隔音</w:t>
                  </w:r>
                </w:p>
              </w:tc>
              <w:tc>
                <w:tcPr>
                  <w:tcW w:w="978" w:type="pct"/>
                  <w:tcBorders>
                    <w:top w:val="single" w:color="auto" w:sz="4" w:space="0"/>
                    <w:left w:val="nil"/>
                    <w:bottom w:val="single" w:color="auto" w:sz="4" w:space="0"/>
                    <w:right w:val="nil"/>
                  </w:tcBorders>
                  <w:vAlign w:val="center"/>
                </w:tcPr>
                <w:p>
                  <w:pPr>
                    <w:pStyle w:val="33"/>
                  </w:pPr>
                  <w: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tcBorders>
                    <w:top w:val="single" w:color="auto" w:sz="4" w:space="0"/>
                    <w:left w:val="nil"/>
                    <w:bottom w:val="single" w:color="auto" w:sz="4" w:space="0"/>
                    <w:right w:val="single" w:color="auto" w:sz="4" w:space="0"/>
                  </w:tcBorders>
                  <w:vAlign w:val="center"/>
                </w:tcPr>
                <w:p>
                  <w:pPr>
                    <w:pStyle w:val="33"/>
                    <w:rPr>
                      <w:rFonts w:hint="eastAsia"/>
                      <w:lang w:val="en-US" w:eastAsia="zh-CN"/>
                    </w:rPr>
                  </w:pPr>
                  <w:r>
                    <w:t>2</w:t>
                  </w:r>
                </w:p>
              </w:tc>
              <w:tc>
                <w:tcPr>
                  <w:tcW w:w="1183" w:type="pct"/>
                  <w:tcBorders>
                    <w:top w:val="single" w:color="auto" w:sz="4" w:space="0"/>
                    <w:left w:val="nil"/>
                    <w:bottom w:val="single" w:color="auto" w:sz="4" w:space="0"/>
                    <w:right w:val="single" w:color="auto" w:sz="4" w:space="0"/>
                  </w:tcBorders>
                  <w:vAlign w:val="center"/>
                </w:tcPr>
                <w:p>
                  <w:pPr>
                    <w:pStyle w:val="33"/>
                    <w:rPr>
                      <w:rFonts w:hint="default" w:eastAsia="宋体"/>
                      <w:lang w:val="en-US" w:eastAsia="zh-CN"/>
                    </w:rPr>
                  </w:pPr>
                  <w:r>
                    <w:rPr>
                      <w:rFonts w:hint="eastAsia"/>
                      <w:lang w:val="en-US" w:eastAsia="zh-CN"/>
                    </w:rPr>
                    <w:t>废水治理</w:t>
                  </w:r>
                </w:p>
              </w:tc>
              <w:tc>
                <w:tcPr>
                  <w:tcW w:w="2401" w:type="pct"/>
                  <w:tcBorders>
                    <w:top w:val="single" w:color="auto" w:sz="4" w:space="0"/>
                    <w:left w:val="nil"/>
                    <w:bottom w:val="single" w:color="auto" w:sz="4" w:space="0"/>
                    <w:right w:val="single" w:color="auto" w:sz="4" w:space="0"/>
                  </w:tcBorders>
                  <w:vAlign w:val="center"/>
                </w:tcPr>
                <w:p>
                  <w:pPr>
                    <w:pStyle w:val="33"/>
                    <w:rPr>
                      <w:rFonts w:hint="default"/>
                      <w:lang w:val="en-US" w:eastAsia="zh-CN"/>
                    </w:rPr>
                  </w:pPr>
                  <w:r>
                    <w:rPr>
                      <w:rFonts w:hint="eastAsia"/>
                      <w:lang w:val="en-US" w:eastAsia="zh-CN"/>
                    </w:rPr>
                    <w:t>污水处理站</w:t>
                  </w:r>
                </w:p>
              </w:tc>
              <w:tc>
                <w:tcPr>
                  <w:tcW w:w="978" w:type="pct"/>
                  <w:tcBorders>
                    <w:top w:val="single" w:color="auto" w:sz="4" w:space="0"/>
                    <w:left w:val="nil"/>
                    <w:bottom w:val="single" w:color="auto" w:sz="4" w:space="0"/>
                    <w:right w:val="nil"/>
                  </w:tcBorders>
                  <w:vAlign w:val="center"/>
                </w:tcPr>
                <w:p>
                  <w:pPr>
                    <w:pStyle w:val="33"/>
                    <w:rPr>
                      <w:rFonts w:hint="default" w:eastAsia="宋体"/>
                      <w:lang w:val="en-US" w:eastAsia="zh-CN"/>
                    </w:rPr>
                  </w:pPr>
                  <w:r>
                    <w:rPr>
                      <w:rFonts w:hint="eastAsia"/>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tcBorders>
                    <w:top w:val="single" w:color="auto" w:sz="4" w:space="0"/>
                    <w:left w:val="nil"/>
                    <w:right w:val="single" w:color="auto" w:sz="4" w:space="0"/>
                  </w:tcBorders>
                  <w:vAlign w:val="center"/>
                </w:tcPr>
                <w:p>
                  <w:pPr>
                    <w:pStyle w:val="33"/>
                    <w:rPr>
                      <w:rFonts w:hint="eastAsia" w:ascii="Times New Roman" w:hAnsi="Times New Roman" w:eastAsia="宋体" w:cs="Times New Roman"/>
                      <w:kern w:val="2"/>
                      <w:sz w:val="21"/>
                      <w:szCs w:val="24"/>
                      <w:lang w:val="en-US" w:eastAsia="zh-CN" w:bidi="ar-SA"/>
                    </w:rPr>
                  </w:pPr>
                  <w:r>
                    <w:rPr>
                      <w:rFonts w:hint="eastAsia" w:cs="Times New Roman"/>
                      <w:kern w:val="2"/>
                      <w:sz w:val="21"/>
                      <w:szCs w:val="24"/>
                      <w:lang w:val="en-US" w:eastAsia="zh-CN" w:bidi="ar-SA"/>
                    </w:rPr>
                    <w:t>3</w:t>
                  </w:r>
                </w:p>
              </w:tc>
              <w:tc>
                <w:tcPr>
                  <w:tcW w:w="1183" w:type="pct"/>
                  <w:tcBorders>
                    <w:top w:val="single" w:color="auto" w:sz="4" w:space="0"/>
                    <w:left w:val="nil"/>
                    <w:right w:val="single" w:color="auto" w:sz="4" w:space="0"/>
                  </w:tcBorders>
                  <w:vAlign w:val="center"/>
                </w:tcPr>
                <w:p>
                  <w:pPr>
                    <w:pStyle w:val="33"/>
                    <w:rPr>
                      <w:lang w:eastAsia="zh-CN"/>
                    </w:rPr>
                  </w:pPr>
                  <w:r>
                    <w:rPr>
                      <w:lang w:eastAsia="zh-CN"/>
                    </w:rPr>
                    <w:t>废气治理</w:t>
                  </w:r>
                </w:p>
              </w:tc>
              <w:tc>
                <w:tcPr>
                  <w:tcW w:w="2401" w:type="pct"/>
                  <w:tcBorders>
                    <w:top w:val="single" w:color="auto" w:sz="4" w:space="0"/>
                    <w:left w:val="nil"/>
                    <w:bottom w:val="single" w:color="auto" w:sz="4" w:space="0"/>
                    <w:right w:val="single" w:color="auto" w:sz="4" w:space="0"/>
                  </w:tcBorders>
                  <w:vAlign w:val="center"/>
                </w:tcPr>
                <w:p>
                  <w:pPr>
                    <w:pStyle w:val="33"/>
                    <w:rPr>
                      <w:rFonts w:hint="default"/>
                      <w:lang w:val="en-US" w:eastAsia="zh-CN"/>
                    </w:rPr>
                  </w:pPr>
                  <w:r>
                    <w:rPr>
                      <w:rFonts w:hint="eastAsia"/>
                      <w:lang w:val="en-US" w:eastAsia="zh-CN"/>
                    </w:rPr>
                    <w:t>低氮燃烧器+烟气再循环、加盖密闭</w:t>
                  </w:r>
                </w:p>
              </w:tc>
              <w:tc>
                <w:tcPr>
                  <w:tcW w:w="978" w:type="pct"/>
                  <w:tcBorders>
                    <w:top w:val="single" w:color="auto" w:sz="4" w:space="0"/>
                    <w:left w:val="nil"/>
                    <w:bottom w:val="single" w:color="auto" w:sz="4" w:space="0"/>
                    <w:right w:val="nil"/>
                  </w:tcBorders>
                  <w:vAlign w:val="center"/>
                </w:tcPr>
                <w:p>
                  <w:pPr>
                    <w:pStyle w:val="33"/>
                    <w:rPr>
                      <w:rFonts w:hint="default"/>
                      <w:lang w:val="en-US"/>
                    </w:rPr>
                  </w:pPr>
                  <w:r>
                    <w:rPr>
                      <w:rFonts w:hint="eastAsia"/>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tcBorders>
                    <w:top w:val="single" w:color="auto" w:sz="4" w:space="0"/>
                    <w:left w:val="nil"/>
                    <w:right w:val="single" w:color="auto" w:sz="4" w:space="0"/>
                  </w:tcBorders>
                  <w:vAlign w:val="center"/>
                </w:tcPr>
                <w:p>
                  <w:pPr>
                    <w:pStyle w:val="33"/>
                    <w:rPr>
                      <w:rFonts w:hint="default" w:cs="Times New Roman"/>
                      <w:kern w:val="2"/>
                      <w:sz w:val="21"/>
                      <w:szCs w:val="24"/>
                      <w:lang w:val="en-US" w:eastAsia="zh-CN" w:bidi="ar-SA"/>
                    </w:rPr>
                  </w:pPr>
                  <w:r>
                    <w:rPr>
                      <w:rFonts w:hint="eastAsia" w:cs="Times New Roman"/>
                      <w:kern w:val="2"/>
                      <w:sz w:val="21"/>
                      <w:szCs w:val="24"/>
                      <w:lang w:val="en-US" w:eastAsia="zh-CN" w:bidi="ar-SA"/>
                    </w:rPr>
                    <w:t>4</w:t>
                  </w:r>
                </w:p>
              </w:tc>
              <w:tc>
                <w:tcPr>
                  <w:tcW w:w="1183" w:type="pct"/>
                  <w:tcBorders>
                    <w:top w:val="single" w:color="auto" w:sz="4" w:space="0"/>
                    <w:left w:val="nil"/>
                    <w:right w:val="single" w:color="auto" w:sz="4" w:space="0"/>
                  </w:tcBorders>
                  <w:vAlign w:val="center"/>
                </w:tcPr>
                <w:p>
                  <w:pPr>
                    <w:pStyle w:val="33"/>
                    <w:rPr>
                      <w:rFonts w:hint="default"/>
                      <w:lang w:val="en-US" w:eastAsia="zh-CN"/>
                    </w:rPr>
                  </w:pPr>
                  <w:r>
                    <w:rPr>
                      <w:rFonts w:hint="eastAsia"/>
                      <w:lang w:val="en-US" w:eastAsia="zh-CN"/>
                    </w:rPr>
                    <w:t>固废治理</w:t>
                  </w:r>
                </w:p>
              </w:tc>
              <w:tc>
                <w:tcPr>
                  <w:tcW w:w="2401" w:type="pct"/>
                  <w:tcBorders>
                    <w:top w:val="single" w:color="auto" w:sz="4" w:space="0"/>
                    <w:left w:val="nil"/>
                    <w:bottom w:val="single" w:color="auto" w:sz="4" w:space="0"/>
                    <w:right w:val="single" w:color="auto" w:sz="4" w:space="0"/>
                  </w:tcBorders>
                  <w:vAlign w:val="center"/>
                </w:tcPr>
                <w:p>
                  <w:pPr>
                    <w:pStyle w:val="33"/>
                    <w:rPr>
                      <w:rFonts w:hint="default"/>
                      <w:lang w:val="en-US" w:eastAsia="zh-CN"/>
                    </w:rPr>
                  </w:pPr>
                  <w:r>
                    <w:rPr>
                      <w:rFonts w:hint="eastAsia"/>
                      <w:lang w:val="en-US" w:eastAsia="zh-CN"/>
                    </w:rPr>
                    <w:t>垃圾箱</w:t>
                  </w:r>
                </w:p>
              </w:tc>
              <w:tc>
                <w:tcPr>
                  <w:tcW w:w="978" w:type="pct"/>
                  <w:tcBorders>
                    <w:top w:val="single" w:color="auto" w:sz="4" w:space="0"/>
                    <w:left w:val="nil"/>
                    <w:bottom w:val="single" w:color="auto" w:sz="4" w:space="0"/>
                    <w:right w:val="nil"/>
                  </w:tcBorders>
                  <w:vAlign w:val="center"/>
                </w:tcPr>
                <w:p>
                  <w:pPr>
                    <w:pStyle w:val="33"/>
                    <w:rPr>
                      <w:rFonts w:hint="default"/>
                      <w:lang w:val="en-US" w:eastAsia="zh-CN"/>
                    </w:rPr>
                  </w:pPr>
                  <w:r>
                    <w:rPr>
                      <w:rFonts w:hint="eastAsia"/>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tcBorders>
                    <w:top w:val="single" w:color="auto" w:sz="4" w:space="0"/>
                    <w:left w:val="nil"/>
                    <w:right w:val="single" w:color="auto" w:sz="4" w:space="0"/>
                  </w:tcBorders>
                  <w:vAlign w:val="center"/>
                </w:tcPr>
                <w:p>
                  <w:pPr>
                    <w:pStyle w:val="33"/>
                    <w:rPr>
                      <w:rFonts w:hint="default" w:cs="Times New Roman"/>
                      <w:kern w:val="2"/>
                      <w:sz w:val="21"/>
                      <w:szCs w:val="24"/>
                      <w:lang w:val="en-US" w:eastAsia="zh-CN" w:bidi="ar-SA"/>
                    </w:rPr>
                  </w:pPr>
                  <w:r>
                    <w:rPr>
                      <w:rFonts w:hint="eastAsia" w:cs="Times New Roman"/>
                      <w:kern w:val="2"/>
                      <w:sz w:val="21"/>
                      <w:szCs w:val="24"/>
                      <w:lang w:val="en-US" w:eastAsia="zh-CN" w:bidi="ar-SA"/>
                    </w:rPr>
                    <w:t>5</w:t>
                  </w:r>
                </w:p>
              </w:tc>
              <w:tc>
                <w:tcPr>
                  <w:tcW w:w="1183" w:type="pct"/>
                  <w:tcBorders>
                    <w:top w:val="single" w:color="auto" w:sz="4" w:space="0"/>
                    <w:left w:val="nil"/>
                    <w:right w:val="single" w:color="auto" w:sz="4" w:space="0"/>
                  </w:tcBorders>
                  <w:vAlign w:val="center"/>
                </w:tcPr>
                <w:p>
                  <w:pPr>
                    <w:pStyle w:val="33"/>
                    <w:rPr>
                      <w:rFonts w:hint="eastAsia"/>
                      <w:lang w:val="en-US" w:eastAsia="zh-CN"/>
                    </w:rPr>
                  </w:pPr>
                  <w:r>
                    <w:rPr>
                      <w:rFonts w:hint="eastAsia"/>
                      <w:lang w:val="en-US" w:eastAsia="zh-CN"/>
                    </w:rPr>
                    <w:t>竣工环保验收费</w:t>
                  </w:r>
                </w:p>
              </w:tc>
              <w:tc>
                <w:tcPr>
                  <w:tcW w:w="2401" w:type="pct"/>
                  <w:tcBorders>
                    <w:top w:val="single" w:color="auto" w:sz="4" w:space="0"/>
                    <w:left w:val="nil"/>
                    <w:bottom w:val="single" w:color="auto" w:sz="4" w:space="0"/>
                    <w:right w:val="single" w:color="auto" w:sz="4" w:space="0"/>
                  </w:tcBorders>
                  <w:vAlign w:val="center"/>
                </w:tcPr>
                <w:p>
                  <w:pPr>
                    <w:pStyle w:val="33"/>
                    <w:rPr>
                      <w:rFonts w:hint="default"/>
                      <w:lang w:val="en-US" w:eastAsia="zh-CN"/>
                    </w:rPr>
                  </w:pPr>
                  <w:r>
                    <w:rPr>
                      <w:rFonts w:hint="eastAsia"/>
                      <w:lang w:val="en-US" w:eastAsia="zh-CN"/>
                    </w:rPr>
                    <w:t>/</w:t>
                  </w:r>
                </w:p>
              </w:tc>
              <w:tc>
                <w:tcPr>
                  <w:tcW w:w="978" w:type="pct"/>
                  <w:tcBorders>
                    <w:top w:val="single" w:color="auto" w:sz="4" w:space="0"/>
                    <w:left w:val="nil"/>
                    <w:bottom w:val="single" w:color="auto" w:sz="4" w:space="0"/>
                    <w:right w:val="nil"/>
                  </w:tcBorders>
                  <w:vAlign w:val="center"/>
                </w:tcPr>
                <w:p>
                  <w:pPr>
                    <w:pStyle w:val="33"/>
                    <w:rPr>
                      <w:rFonts w:hint="default"/>
                      <w:lang w:val="en-US" w:eastAsia="zh-CN"/>
                    </w:rPr>
                  </w:pPr>
                  <w:r>
                    <w:rPr>
                      <w:rFonts w:hint="eastAsia"/>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21" w:type="pct"/>
                  <w:gridSpan w:val="3"/>
                  <w:tcBorders>
                    <w:top w:val="single" w:color="auto" w:sz="4" w:space="0"/>
                    <w:left w:val="nil"/>
                    <w:bottom w:val="single" w:color="auto" w:sz="12" w:space="0"/>
                    <w:right w:val="single" w:color="auto" w:sz="4" w:space="0"/>
                  </w:tcBorders>
                  <w:vAlign w:val="center"/>
                </w:tcPr>
                <w:p>
                  <w:pPr>
                    <w:pStyle w:val="33"/>
                  </w:pPr>
                  <w:r>
                    <w:t>合计</w:t>
                  </w:r>
                </w:p>
              </w:tc>
              <w:tc>
                <w:tcPr>
                  <w:tcW w:w="978" w:type="pct"/>
                  <w:tcBorders>
                    <w:top w:val="single" w:color="auto" w:sz="4" w:space="0"/>
                    <w:left w:val="nil"/>
                    <w:bottom w:val="single" w:color="auto" w:sz="12" w:space="0"/>
                    <w:right w:val="nil"/>
                  </w:tcBorders>
                  <w:vAlign w:val="center"/>
                </w:tcPr>
                <w:p>
                  <w:pPr>
                    <w:pStyle w:val="33"/>
                    <w:rPr>
                      <w:rFonts w:hint="default"/>
                      <w:lang w:val="en-US" w:eastAsia="zh-CN"/>
                    </w:rPr>
                  </w:pPr>
                  <w:r>
                    <w:rPr>
                      <w:rFonts w:hint="eastAsia"/>
                      <w:lang w:val="en-US" w:eastAsia="zh-CN"/>
                    </w:rPr>
                    <w:t>110</w:t>
                  </w:r>
                </w:p>
              </w:tc>
            </w:tr>
          </w:tbl>
          <w:p>
            <w:pPr>
              <w:pStyle w:val="6"/>
              <w:numPr>
                <w:ilvl w:val="0"/>
                <w:numId w:val="14"/>
              </w:numPr>
              <w:jc w:val="both"/>
              <w:outlineLvl w:val="1"/>
              <w:rPr>
                <w:rFonts w:hint="default" w:ascii="Times New Roman" w:hAnsi="Times New Roman" w:eastAsia="宋体"/>
                <w:lang w:val="en-US" w:eastAsia="zh-CN"/>
              </w:rPr>
            </w:pPr>
            <w:r>
              <w:rPr>
                <w:rFonts w:hint="eastAsia" w:ascii="Times New Roman" w:hAnsi="Times New Roman" w:eastAsia="宋体"/>
                <w:lang w:val="en-US" w:eastAsia="zh-CN"/>
              </w:rPr>
              <w:t>竣工环保验收</w:t>
            </w:r>
          </w:p>
          <w:p>
            <w:pPr>
              <w:pStyle w:val="22"/>
              <w:bidi w:val="0"/>
              <w:jc w:val="both"/>
              <w:rPr>
                <w:rFonts w:hint="default"/>
                <w:lang w:val="en-US" w:eastAsia="zh-CN"/>
              </w:rPr>
            </w:pPr>
            <w:r>
              <w:rPr>
                <w:lang w:val="en-US" w:eastAsia="zh-CN"/>
              </w:rPr>
              <w:t>建设单位应按照《建设项目环境保护管理条例》中的有关要求，由建设单位成立验收组进行自主验收。项目三同时竣工验收一览表见表4-</w:t>
            </w:r>
            <w:r>
              <w:rPr>
                <w:rFonts w:hint="eastAsia"/>
                <w:lang w:val="en-US" w:eastAsia="zh-CN"/>
              </w:rPr>
              <w:t>18。</w:t>
            </w:r>
          </w:p>
          <w:p>
            <w:pPr>
              <w:pStyle w:val="32"/>
              <w:bidi w:val="0"/>
              <w:rPr>
                <w:rFonts w:hint="eastAsia"/>
                <w:lang w:val="en-US" w:eastAsia="zh-CN"/>
              </w:rPr>
            </w:pPr>
            <w:r>
              <w:rPr>
                <w:rFonts w:hint="eastAsia"/>
                <w:lang w:val="en-US" w:eastAsia="zh-CN"/>
              </w:rPr>
              <w:t>表4</w:t>
            </w:r>
            <w:r>
              <w:rPr>
                <w:rFonts w:hint="default"/>
                <w:lang w:val="en-US" w:eastAsia="zh-CN"/>
              </w:rPr>
              <w:t>-</w:t>
            </w:r>
            <w:r>
              <w:rPr>
                <w:rFonts w:hint="eastAsia"/>
                <w:lang w:val="en-US" w:eastAsia="zh-CN"/>
              </w:rPr>
              <w:t>18</w:t>
            </w:r>
            <w:r>
              <w:rPr>
                <w:rFonts w:hint="default"/>
                <w:lang w:val="en-US" w:eastAsia="zh-CN"/>
              </w:rPr>
              <w:t xml:space="preserve">    </w:t>
            </w:r>
            <w:r>
              <w:rPr>
                <w:rFonts w:hint="eastAsia"/>
                <w:lang w:val="en-US" w:eastAsia="zh-CN"/>
              </w:rPr>
              <w:t>项目“</w:t>
            </w:r>
            <w:r>
              <w:rPr>
                <w:rFonts w:hint="default"/>
                <w:lang w:val="en-US" w:eastAsia="zh-CN"/>
              </w:rPr>
              <w:t>三同时</w:t>
            </w:r>
            <w:r>
              <w:rPr>
                <w:rFonts w:hint="eastAsia"/>
                <w:lang w:val="en-US" w:eastAsia="zh-CN"/>
              </w:rPr>
              <w:t>”</w:t>
            </w:r>
            <w:r>
              <w:rPr>
                <w:rFonts w:hint="default"/>
                <w:lang w:val="en-US" w:eastAsia="zh-CN"/>
              </w:rPr>
              <w:t>竣工验收一览表</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93"/>
              <w:gridCol w:w="1566"/>
              <w:gridCol w:w="2074"/>
              <w:gridCol w:w="33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tcBorders>
                    <w:bottom w:val="single" w:color="auto" w:sz="12" w:space="0"/>
                  </w:tcBorders>
                  <w:noWrap w:val="0"/>
                  <w:vAlign w:val="center"/>
                </w:tcPr>
                <w:p>
                  <w:pPr>
                    <w:pStyle w:val="33"/>
                    <w:bidi w:val="0"/>
                    <w:rPr>
                      <w:rFonts w:hint="default"/>
                      <w:b/>
                      <w:bCs/>
                      <w:lang w:val="en-US" w:eastAsia="zh-CN"/>
                    </w:rPr>
                  </w:pPr>
                  <w:r>
                    <w:rPr>
                      <w:rFonts w:hint="default"/>
                      <w:b/>
                      <w:bCs/>
                      <w:lang w:val="en-US" w:eastAsia="zh-CN"/>
                    </w:rPr>
                    <w:t>项目</w:t>
                  </w:r>
                </w:p>
              </w:tc>
              <w:tc>
                <w:tcPr>
                  <w:tcW w:w="995" w:type="pct"/>
                  <w:tcBorders>
                    <w:bottom w:val="single" w:color="auto" w:sz="12" w:space="0"/>
                  </w:tcBorders>
                  <w:noWrap w:val="0"/>
                  <w:vAlign w:val="center"/>
                </w:tcPr>
                <w:p>
                  <w:pPr>
                    <w:pStyle w:val="33"/>
                    <w:bidi w:val="0"/>
                    <w:rPr>
                      <w:rFonts w:hint="default"/>
                      <w:b/>
                      <w:bCs/>
                      <w:lang w:val="en-US" w:eastAsia="zh-CN"/>
                    </w:rPr>
                  </w:pPr>
                  <w:r>
                    <w:rPr>
                      <w:rFonts w:hint="default"/>
                      <w:b/>
                      <w:bCs/>
                      <w:lang w:val="en-US" w:eastAsia="zh-CN"/>
                    </w:rPr>
                    <w:t>污染源</w:t>
                  </w:r>
                </w:p>
              </w:tc>
              <w:tc>
                <w:tcPr>
                  <w:tcW w:w="1318" w:type="pct"/>
                  <w:tcBorders>
                    <w:bottom w:val="single" w:color="auto" w:sz="12" w:space="0"/>
                  </w:tcBorders>
                  <w:noWrap w:val="0"/>
                  <w:vAlign w:val="center"/>
                </w:tcPr>
                <w:p>
                  <w:pPr>
                    <w:pStyle w:val="33"/>
                    <w:bidi w:val="0"/>
                    <w:rPr>
                      <w:rFonts w:hint="default"/>
                      <w:b/>
                      <w:bCs/>
                      <w:lang w:val="en-US" w:eastAsia="zh-CN"/>
                    </w:rPr>
                  </w:pPr>
                  <w:r>
                    <w:rPr>
                      <w:rFonts w:hint="default"/>
                      <w:b/>
                      <w:bCs/>
                      <w:lang w:val="en-US" w:eastAsia="zh-CN"/>
                    </w:rPr>
                    <w:t>验收内容</w:t>
                  </w:r>
                </w:p>
              </w:tc>
              <w:tc>
                <w:tcPr>
                  <w:tcW w:w="2118" w:type="pct"/>
                  <w:tcBorders>
                    <w:bottom w:val="single" w:color="auto" w:sz="12" w:space="0"/>
                  </w:tcBorders>
                  <w:noWrap w:val="0"/>
                  <w:vAlign w:val="center"/>
                </w:tcPr>
                <w:p>
                  <w:pPr>
                    <w:pStyle w:val="33"/>
                    <w:bidi w:val="0"/>
                    <w:rPr>
                      <w:rFonts w:hint="default"/>
                      <w:b/>
                      <w:bCs/>
                      <w:lang w:val="en-US" w:eastAsia="zh-CN"/>
                    </w:rPr>
                  </w:pPr>
                  <w:r>
                    <w:rPr>
                      <w:rFonts w:hint="default"/>
                      <w:b/>
                      <w:bCs/>
                      <w:lang w:val="en-US" w:eastAsia="zh-CN"/>
                    </w:rPr>
                    <w:t>预计治理效果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restart"/>
                  <w:tcBorders>
                    <w:top w:val="single" w:color="auto" w:sz="12" w:space="0"/>
                    <w:tl2br w:val="nil"/>
                    <w:tr2bl w:val="nil"/>
                  </w:tcBorders>
                  <w:noWrap w:val="0"/>
                  <w:vAlign w:val="center"/>
                </w:tcPr>
                <w:p>
                  <w:pPr>
                    <w:pStyle w:val="33"/>
                    <w:bidi w:val="0"/>
                    <w:rPr>
                      <w:rFonts w:hint="default"/>
                      <w:lang w:val="en-US" w:eastAsia="zh-CN"/>
                    </w:rPr>
                  </w:pPr>
                  <w:r>
                    <w:rPr>
                      <w:rFonts w:hint="default"/>
                      <w:lang w:val="en-US" w:eastAsia="zh-CN"/>
                    </w:rPr>
                    <w:t>废气</w:t>
                  </w:r>
                </w:p>
              </w:tc>
              <w:tc>
                <w:tcPr>
                  <w:tcW w:w="995" w:type="pct"/>
                  <w:tcBorders>
                    <w:top w:val="single" w:color="auto" w:sz="12" w:space="0"/>
                    <w:tl2br w:val="nil"/>
                    <w:tr2bl w:val="nil"/>
                  </w:tcBorders>
                  <w:noWrap w:val="0"/>
                  <w:vAlign w:val="center"/>
                </w:tcPr>
                <w:p>
                  <w:pPr>
                    <w:pStyle w:val="33"/>
                    <w:bidi w:val="0"/>
                    <w:rPr>
                      <w:rFonts w:hint="default"/>
                      <w:lang w:val="en-US" w:eastAsia="zh-CN"/>
                    </w:rPr>
                  </w:pPr>
                  <w:r>
                    <w:rPr>
                      <w:rFonts w:hint="eastAsia" w:cs="Times New Roman"/>
                      <w:b w:val="0"/>
                      <w:bCs/>
                    </w:rPr>
                    <w:t>SO</w:t>
                  </w:r>
                  <w:r>
                    <w:rPr>
                      <w:rFonts w:hint="eastAsia" w:cs="Times New Roman"/>
                      <w:b w:val="0"/>
                      <w:bCs/>
                      <w:vertAlign w:val="subscript"/>
                    </w:rPr>
                    <w:t>2</w:t>
                  </w:r>
                  <w:r>
                    <w:rPr>
                      <w:rFonts w:hint="eastAsia" w:cs="Times New Roman"/>
                      <w:b w:val="0"/>
                      <w:bCs/>
                    </w:rPr>
                    <w:t>、颗粒物</w:t>
                  </w:r>
                </w:p>
              </w:tc>
              <w:tc>
                <w:tcPr>
                  <w:tcW w:w="1318" w:type="pct"/>
                  <w:vMerge w:val="restart"/>
                  <w:tcBorders>
                    <w:top w:val="single" w:color="auto" w:sz="12" w:space="0"/>
                    <w:tl2br w:val="nil"/>
                    <w:tr2bl w:val="nil"/>
                  </w:tcBorders>
                  <w:noWrap w:val="0"/>
                  <w:vAlign w:val="center"/>
                </w:tcPr>
                <w:p>
                  <w:pPr>
                    <w:pStyle w:val="33"/>
                    <w:bidi w:val="0"/>
                    <w:rPr>
                      <w:rFonts w:hint="default"/>
                      <w:lang w:val="zh-CN" w:eastAsia="zh-CN"/>
                    </w:rPr>
                  </w:pPr>
                  <w:r>
                    <w:rPr>
                      <w:rFonts w:cs="Times New Roman"/>
                      <w:b w:val="0"/>
                      <w:bCs/>
                    </w:rPr>
                    <w:t>低氮燃烧器</w:t>
                  </w:r>
                  <w:r>
                    <w:rPr>
                      <w:rFonts w:hint="eastAsia" w:cs="Times New Roman"/>
                      <w:b w:val="0"/>
                      <w:bCs/>
                      <w:lang w:val="en-US" w:eastAsia="zh-CN"/>
                    </w:rPr>
                    <w:t>+烟气再循环</w:t>
                  </w:r>
                  <w:r>
                    <w:rPr>
                      <w:rFonts w:cs="Times New Roman"/>
                      <w:b w:val="0"/>
                      <w:bCs/>
                    </w:rPr>
                    <w:t>，</w:t>
                  </w:r>
                  <w:r>
                    <w:rPr>
                      <w:rFonts w:hint="eastAsia" w:cs="Times New Roman"/>
                      <w:b w:val="0"/>
                      <w:bCs/>
                      <w:lang w:val="en-US" w:eastAsia="zh-CN"/>
                    </w:rPr>
                    <w:t>1</w:t>
                  </w:r>
                  <w:r>
                    <w:rPr>
                      <w:rFonts w:cs="Times New Roman"/>
                      <w:b w:val="0"/>
                      <w:bCs/>
                    </w:rPr>
                    <w:t>根</w:t>
                  </w:r>
                  <w:r>
                    <w:rPr>
                      <w:rFonts w:hint="eastAsia" w:cs="Times New Roman"/>
                      <w:b w:val="0"/>
                      <w:bCs/>
                      <w:lang w:val="en-US" w:eastAsia="zh-CN"/>
                    </w:rPr>
                    <w:t>8</w:t>
                  </w:r>
                  <w:r>
                    <w:rPr>
                      <w:rFonts w:cs="Times New Roman"/>
                      <w:b w:val="0"/>
                      <w:bCs/>
                    </w:rPr>
                    <w:t>m高烟囱排放</w:t>
                  </w:r>
                </w:p>
              </w:tc>
              <w:tc>
                <w:tcPr>
                  <w:tcW w:w="2118" w:type="pct"/>
                  <w:tcBorders>
                    <w:top w:val="single" w:color="auto" w:sz="12" w:space="0"/>
                    <w:tl2br w:val="nil"/>
                    <w:tr2bl w:val="nil"/>
                  </w:tcBorders>
                  <w:noWrap w:val="0"/>
                  <w:vAlign w:val="center"/>
                </w:tcPr>
                <w:p>
                  <w:pPr>
                    <w:pStyle w:val="45"/>
                    <w:jc w:val="left"/>
                    <w:rPr>
                      <w:rFonts w:hint="default"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kern w:val="2"/>
                      <w:sz w:val="21"/>
                      <w:szCs w:val="24"/>
                      <w:lang w:val="en-US" w:eastAsia="zh-CN" w:bidi="ar-SA"/>
                    </w:rPr>
                    <w:t>《锅炉大气污染物排放标准》（GB13271-2014）表3大气污染物特别排放限值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continue"/>
                  <w:tcBorders>
                    <w:tl2br w:val="nil"/>
                    <w:tr2bl w:val="nil"/>
                  </w:tcBorders>
                  <w:noWrap w:val="0"/>
                  <w:vAlign w:val="center"/>
                </w:tcPr>
                <w:p>
                  <w:pPr>
                    <w:pStyle w:val="33"/>
                    <w:bidi w:val="0"/>
                    <w:rPr>
                      <w:rFonts w:hint="default"/>
                      <w:lang w:val="en-US" w:eastAsia="zh-CN"/>
                    </w:rPr>
                  </w:pPr>
                </w:p>
              </w:tc>
              <w:tc>
                <w:tcPr>
                  <w:tcW w:w="995" w:type="pct"/>
                  <w:tcBorders>
                    <w:tl2br w:val="nil"/>
                    <w:tr2bl w:val="nil"/>
                  </w:tcBorders>
                  <w:noWrap w:val="0"/>
                  <w:vAlign w:val="center"/>
                </w:tcPr>
                <w:p>
                  <w:pPr>
                    <w:pStyle w:val="33"/>
                    <w:bidi w:val="0"/>
                    <w:rPr>
                      <w:rFonts w:hint="default"/>
                      <w:lang w:val="en-US" w:eastAsia="zh-CN"/>
                    </w:rPr>
                  </w:pPr>
                  <w:r>
                    <w:rPr>
                      <w:rFonts w:hint="eastAsia"/>
                      <w:lang w:val="en-US" w:eastAsia="zh-CN"/>
                    </w:rPr>
                    <w:t>NOx</w:t>
                  </w:r>
                </w:p>
              </w:tc>
              <w:tc>
                <w:tcPr>
                  <w:tcW w:w="1318" w:type="pct"/>
                  <w:vMerge w:val="continue"/>
                  <w:tcBorders>
                    <w:tl2br w:val="nil"/>
                    <w:tr2bl w:val="nil"/>
                  </w:tcBorders>
                  <w:noWrap w:val="0"/>
                  <w:vAlign w:val="center"/>
                </w:tcPr>
                <w:p>
                  <w:pPr>
                    <w:pStyle w:val="33"/>
                    <w:bidi w:val="0"/>
                    <w:rPr>
                      <w:rFonts w:hint="default"/>
                      <w:lang w:val="zh-CN" w:eastAsia="zh-CN"/>
                    </w:rPr>
                  </w:pPr>
                </w:p>
              </w:tc>
              <w:tc>
                <w:tcPr>
                  <w:tcW w:w="2118" w:type="pct"/>
                  <w:tcBorders>
                    <w:tl2br w:val="nil"/>
                    <w:tr2bl w:val="nil"/>
                  </w:tcBorders>
                  <w:noWrap w:val="0"/>
                  <w:vAlign w:val="center"/>
                </w:tcPr>
                <w:p>
                  <w:pPr>
                    <w:pStyle w:val="45"/>
                    <w:jc w:val="left"/>
                    <w:rPr>
                      <w:rFonts w:hint="default"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kern w:val="2"/>
                      <w:sz w:val="21"/>
                      <w:szCs w:val="24"/>
                      <w:lang w:val="en-US" w:eastAsia="zh-CN" w:bidi="ar-SA"/>
                    </w:rPr>
                    <w:t>《关于开展自治区</w:t>
                  </w:r>
                  <w:r>
                    <w:rPr>
                      <w:rFonts w:hint="eastAsia" w:ascii="Times New Roman" w:hAnsi="Times New Roman" w:eastAsia="宋体" w:cs="Times New Roman"/>
                      <w:b w:val="0"/>
                      <w:bCs/>
                      <w:kern w:val="2"/>
                      <w:sz w:val="21"/>
                      <w:szCs w:val="24"/>
                      <w:lang w:val="en-US" w:eastAsia="zh-CN" w:bidi="ar-SA"/>
                    </w:rPr>
                    <w:t>2022年度夏秋季大气污染防治“冬病夏治”工作的通知》（新环大气函〔2022〕483号）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continue"/>
                  <w:tcBorders>
                    <w:tl2br w:val="nil"/>
                    <w:tr2bl w:val="nil"/>
                  </w:tcBorders>
                  <w:noWrap w:val="0"/>
                  <w:vAlign w:val="center"/>
                </w:tcPr>
                <w:p>
                  <w:pPr>
                    <w:pStyle w:val="33"/>
                    <w:bidi w:val="0"/>
                    <w:rPr>
                      <w:rFonts w:hint="default"/>
                      <w:lang w:val="en-US" w:eastAsia="zh-CN"/>
                    </w:rPr>
                  </w:pPr>
                </w:p>
              </w:tc>
              <w:tc>
                <w:tcPr>
                  <w:tcW w:w="995" w:type="pct"/>
                  <w:tcBorders>
                    <w:tl2br w:val="nil"/>
                    <w:tr2bl w:val="nil"/>
                  </w:tcBorders>
                  <w:noWrap w:val="0"/>
                  <w:vAlign w:val="center"/>
                </w:tcPr>
                <w:p>
                  <w:pPr>
                    <w:pStyle w:val="33"/>
                    <w:bidi w:val="0"/>
                    <w:rPr>
                      <w:rFonts w:hint="default"/>
                      <w:lang w:val="en-US" w:eastAsia="zh-CN"/>
                    </w:rPr>
                  </w:pPr>
                  <w:r>
                    <w:rPr>
                      <w:rFonts w:hint="eastAsia"/>
                      <w:lang w:val="en-US" w:eastAsia="zh-CN"/>
                    </w:rPr>
                    <w:t>硫化氢、氨、臭气浓度</w:t>
                  </w:r>
                </w:p>
              </w:tc>
              <w:tc>
                <w:tcPr>
                  <w:tcW w:w="1318" w:type="pct"/>
                  <w:tcBorders>
                    <w:tl2br w:val="nil"/>
                    <w:tr2bl w:val="nil"/>
                  </w:tcBorders>
                  <w:noWrap w:val="0"/>
                  <w:vAlign w:val="center"/>
                </w:tcPr>
                <w:p>
                  <w:pPr>
                    <w:pStyle w:val="33"/>
                    <w:bidi w:val="0"/>
                    <w:rPr>
                      <w:rFonts w:hint="default"/>
                      <w:lang w:val="en-US" w:eastAsia="zh-CN"/>
                    </w:rPr>
                  </w:pPr>
                  <w:r>
                    <w:rPr>
                      <w:rFonts w:hint="eastAsia"/>
                      <w:lang w:val="en-US" w:eastAsia="zh-CN"/>
                    </w:rPr>
                    <w:t>加盖密闭、绿化</w:t>
                  </w:r>
                </w:p>
              </w:tc>
              <w:tc>
                <w:tcPr>
                  <w:tcW w:w="2118" w:type="pct"/>
                  <w:tcBorders>
                    <w:tl2br w:val="nil"/>
                    <w:tr2bl w:val="nil"/>
                  </w:tcBorders>
                  <w:noWrap w:val="0"/>
                  <w:vAlign w:val="center"/>
                </w:tcPr>
                <w:p>
                  <w:pPr>
                    <w:pStyle w:val="33"/>
                    <w:bidi w:val="0"/>
                    <w:rPr>
                      <w:rFonts w:hint="default"/>
                      <w:lang w:val="en-US" w:eastAsia="zh-CN"/>
                    </w:rPr>
                  </w:pPr>
                  <w:r>
                    <w:rPr>
                      <w:rFonts w:hint="default"/>
                      <w:lang w:val="en-US" w:eastAsia="zh-CN"/>
                    </w:rPr>
                    <w:t>《恶臭污染物排放标准》（GB14554-93）表1中二级新建项目排放限值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restart"/>
                  <w:tcBorders>
                    <w:tl2br w:val="nil"/>
                    <w:tr2bl w:val="nil"/>
                  </w:tcBorders>
                  <w:noWrap w:val="0"/>
                  <w:vAlign w:val="center"/>
                </w:tcPr>
                <w:p>
                  <w:pPr>
                    <w:pStyle w:val="33"/>
                    <w:bidi w:val="0"/>
                    <w:rPr>
                      <w:rFonts w:hint="default"/>
                      <w:lang w:val="en-US" w:eastAsia="zh-CN"/>
                    </w:rPr>
                  </w:pPr>
                  <w:r>
                    <w:rPr>
                      <w:rFonts w:hint="eastAsia"/>
                      <w:lang w:val="en-US" w:eastAsia="zh-CN"/>
                    </w:rPr>
                    <w:t>废水</w:t>
                  </w:r>
                </w:p>
              </w:tc>
              <w:tc>
                <w:tcPr>
                  <w:tcW w:w="995" w:type="pct"/>
                  <w:tcBorders>
                    <w:tl2br w:val="nil"/>
                    <w:tr2bl w:val="nil"/>
                  </w:tcBorders>
                  <w:noWrap w:val="0"/>
                  <w:vAlign w:val="center"/>
                </w:tcPr>
                <w:p>
                  <w:pPr>
                    <w:pStyle w:val="33"/>
                    <w:bidi w:val="0"/>
                    <w:rPr>
                      <w:rFonts w:hint="default"/>
                      <w:lang w:val="en-US" w:eastAsia="zh-CN"/>
                    </w:rPr>
                  </w:pPr>
                  <w:r>
                    <w:rPr>
                      <w:rFonts w:hint="eastAsia"/>
                      <w:lang w:val="en-US" w:eastAsia="zh-CN"/>
                    </w:rPr>
                    <w:t>洗涤废水</w:t>
                  </w:r>
                </w:p>
              </w:tc>
              <w:tc>
                <w:tcPr>
                  <w:tcW w:w="1318" w:type="pct"/>
                  <w:tcBorders>
                    <w:tl2br w:val="nil"/>
                    <w:tr2bl w:val="nil"/>
                  </w:tcBorders>
                  <w:noWrap w:val="0"/>
                  <w:vAlign w:val="center"/>
                </w:tcPr>
                <w:p>
                  <w:pPr>
                    <w:pStyle w:val="33"/>
                    <w:bidi w:val="0"/>
                    <w:rPr>
                      <w:rFonts w:hint="default"/>
                      <w:lang w:val="en-US" w:eastAsia="zh-CN"/>
                    </w:rPr>
                  </w:pPr>
                  <w:r>
                    <w:rPr>
                      <w:rFonts w:hint="eastAsia"/>
                      <w:lang w:val="en-US" w:eastAsia="zh-CN"/>
                    </w:rPr>
                    <w:t>污水处理站</w:t>
                  </w:r>
                </w:p>
              </w:tc>
              <w:tc>
                <w:tcPr>
                  <w:tcW w:w="2118" w:type="pct"/>
                  <w:tcBorders>
                    <w:tl2br w:val="nil"/>
                    <w:tr2bl w:val="nil"/>
                  </w:tcBorders>
                  <w:noWrap w:val="0"/>
                  <w:vAlign w:val="center"/>
                </w:tcPr>
                <w:p>
                  <w:pPr>
                    <w:pStyle w:val="33"/>
                    <w:bidi w:val="0"/>
                    <w:rPr>
                      <w:rFonts w:hint="default"/>
                      <w:lang w:val="en-US" w:eastAsia="zh-CN"/>
                    </w:rPr>
                  </w:pPr>
                  <w:r>
                    <w:rPr>
                      <w:rFonts w:hint="eastAsia" w:cs="Times New Roman"/>
                      <w:b w:val="0"/>
                      <w:bCs/>
                      <w:lang w:val="en-US" w:eastAsia="zh-CN"/>
                    </w:rPr>
                    <w:t>《污水综合排放标准》（GB8978-1996）三级标准限值、《污水排入城镇下水道水质标准》（GB/T31962-2015）B级标准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continue"/>
                  <w:tcBorders>
                    <w:tl2br w:val="nil"/>
                    <w:tr2bl w:val="nil"/>
                  </w:tcBorders>
                  <w:noWrap w:val="0"/>
                  <w:vAlign w:val="center"/>
                </w:tcPr>
                <w:p>
                  <w:pPr>
                    <w:pStyle w:val="33"/>
                    <w:bidi w:val="0"/>
                    <w:rPr>
                      <w:rFonts w:hint="eastAsia"/>
                      <w:lang w:val="en-US" w:eastAsia="zh-CN"/>
                    </w:rPr>
                  </w:pPr>
                </w:p>
              </w:tc>
              <w:tc>
                <w:tcPr>
                  <w:tcW w:w="995" w:type="pct"/>
                  <w:tcBorders>
                    <w:tl2br w:val="nil"/>
                    <w:tr2bl w:val="nil"/>
                  </w:tcBorders>
                  <w:noWrap w:val="0"/>
                  <w:vAlign w:val="center"/>
                </w:tcPr>
                <w:p>
                  <w:pPr>
                    <w:pStyle w:val="33"/>
                    <w:bidi w:val="0"/>
                    <w:rPr>
                      <w:rFonts w:hint="default"/>
                      <w:lang w:val="en-US" w:eastAsia="zh-CN"/>
                    </w:rPr>
                  </w:pPr>
                  <w:r>
                    <w:rPr>
                      <w:rFonts w:hint="eastAsia"/>
                      <w:lang w:val="en-US" w:eastAsia="zh-CN"/>
                    </w:rPr>
                    <w:t>锅炉排污水、软水制备废水</w:t>
                  </w:r>
                </w:p>
              </w:tc>
              <w:tc>
                <w:tcPr>
                  <w:tcW w:w="1318" w:type="pct"/>
                  <w:tcBorders>
                    <w:tl2br w:val="nil"/>
                    <w:tr2bl w:val="nil"/>
                  </w:tcBorders>
                  <w:noWrap w:val="0"/>
                  <w:vAlign w:val="center"/>
                </w:tcPr>
                <w:p>
                  <w:pPr>
                    <w:pStyle w:val="33"/>
                    <w:bidi w:val="0"/>
                    <w:rPr>
                      <w:rFonts w:hint="default"/>
                      <w:lang w:val="en-US" w:eastAsia="zh-CN"/>
                    </w:rPr>
                  </w:pPr>
                  <w:r>
                    <w:rPr>
                      <w:rFonts w:hint="eastAsia"/>
                      <w:lang w:val="en-US" w:eastAsia="zh-CN"/>
                    </w:rPr>
                    <w:t>园区污水管网</w:t>
                  </w:r>
                </w:p>
              </w:tc>
              <w:tc>
                <w:tcPr>
                  <w:tcW w:w="2118" w:type="pct"/>
                  <w:tcBorders>
                    <w:tl2br w:val="nil"/>
                    <w:tr2bl w:val="nil"/>
                  </w:tcBorders>
                  <w:noWrap w:val="0"/>
                  <w:vAlign w:val="center"/>
                </w:tcPr>
                <w:p>
                  <w:pPr>
                    <w:pStyle w:val="33"/>
                    <w:bidi w:val="0"/>
                    <w:rPr>
                      <w:rFonts w:hint="default"/>
                      <w:lang w:val="en-US" w:eastAsia="zh-CN"/>
                    </w:rPr>
                  </w:pPr>
                  <w:r>
                    <w:rPr>
                      <w:rFonts w:hint="eastAsia"/>
                    </w:rPr>
                    <w:t>《污水综合排放标准》（GB8978-1996）三级标准限值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tcBorders>
                    <w:tl2br w:val="nil"/>
                    <w:tr2bl w:val="nil"/>
                  </w:tcBorders>
                  <w:noWrap w:val="0"/>
                  <w:vAlign w:val="center"/>
                </w:tcPr>
                <w:p>
                  <w:pPr>
                    <w:pStyle w:val="33"/>
                    <w:bidi w:val="0"/>
                    <w:rPr>
                      <w:rFonts w:hint="default"/>
                      <w:lang w:val="en-US" w:eastAsia="zh-CN"/>
                    </w:rPr>
                  </w:pPr>
                  <w:r>
                    <w:rPr>
                      <w:rFonts w:hint="default"/>
                      <w:lang w:val="en-US" w:eastAsia="zh-CN"/>
                    </w:rPr>
                    <w:t>噪声</w:t>
                  </w:r>
                </w:p>
              </w:tc>
              <w:tc>
                <w:tcPr>
                  <w:tcW w:w="995" w:type="pct"/>
                  <w:tcBorders>
                    <w:tl2br w:val="nil"/>
                    <w:tr2bl w:val="nil"/>
                  </w:tcBorders>
                  <w:noWrap w:val="0"/>
                  <w:vAlign w:val="center"/>
                </w:tcPr>
                <w:p>
                  <w:pPr>
                    <w:pStyle w:val="33"/>
                    <w:bidi w:val="0"/>
                    <w:rPr>
                      <w:rFonts w:hint="default"/>
                      <w:lang w:val="en-US" w:eastAsia="zh-CN"/>
                    </w:rPr>
                  </w:pPr>
                  <w:r>
                    <w:rPr>
                      <w:rFonts w:hint="default"/>
                      <w:lang w:val="en-US" w:eastAsia="zh-CN"/>
                    </w:rPr>
                    <w:t>设备噪声</w:t>
                  </w:r>
                </w:p>
              </w:tc>
              <w:tc>
                <w:tcPr>
                  <w:tcW w:w="1318" w:type="pct"/>
                  <w:tcBorders>
                    <w:tl2br w:val="nil"/>
                    <w:tr2bl w:val="nil"/>
                  </w:tcBorders>
                  <w:noWrap w:val="0"/>
                  <w:vAlign w:val="center"/>
                </w:tcPr>
                <w:p>
                  <w:pPr>
                    <w:pStyle w:val="33"/>
                    <w:bidi w:val="0"/>
                    <w:rPr>
                      <w:rFonts w:hint="default"/>
                      <w:lang w:val="en-US" w:eastAsia="zh-CN"/>
                    </w:rPr>
                  </w:pPr>
                  <w:r>
                    <w:rPr>
                      <w:rFonts w:hint="default"/>
                      <w:lang w:val="en-US" w:eastAsia="zh-CN"/>
                    </w:rPr>
                    <w:t>建筑隔声、基础减振</w:t>
                  </w:r>
                </w:p>
              </w:tc>
              <w:tc>
                <w:tcPr>
                  <w:tcW w:w="2118" w:type="pct"/>
                  <w:tcBorders>
                    <w:tl2br w:val="nil"/>
                    <w:tr2bl w:val="nil"/>
                  </w:tcBorders>
                  <w:noWrap w:val="0"/>
                  <w:vAlign w:val="center"/>
                </w:tcPr>
                <w:p>
                  <w:pPr>
                    <w:pStyle w:val="33"/>
                    <w:bidi w:val="0"/>
                    <w:rPr>
                      <w:rFonts w:hint="default"/>
                      <w:lang w:val="en-US" w:eastAsia="zh-CN"/>
                    </w:rPr>
                  </w:pPr>
                  <w:r>
                    <w:rPr>
                      <w:rFonts w:hint="default"/>
                      <w:lang w:val="en-US" w:eastAsia="zh-CN"/>
                    </w:rPr>
                    <w:t>《工业企业厂界环境噪声排放标准》（GB12348-2008）中的</w:t>
                  </w:r>
                  <w:r>
                    <w:rPr>
                      <w:rFonts w:hint="eastAsia"/>
                      <w:lang w:val="en-US" w:eastAsia="zh-CN"/>
                    </w:rPr>
                    <w:t>2</w:t>
                  </w:r>
                  <w:r>
                    <w:rPr>
                      <w:rFonts w:hint="default"/>
                      <w:lang w:val="en-US" w:eastAsia="zh-CN"/>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restart"/>
                  <w:tcBorders>
                    <w:tl2br w:val="nil"/>
                    <w:tr2bl w:val="nil"/>
                  </w:tcBorders>
                  <w:noWrap w:val="0"/>
                  <w:vAlign w:val="center"/>
                </w:tcPr>
                <w:p>
                  <w:pPr>
                    <w:pStyle w:val="33"/>
                    <w:bidi w:val="0"/>
                    <w:rPr>
                      <w:rFonts w:hint="default"/>
                      <w:lang w:val="en-US" w:eastAsia="zh-CN"/>
                    </w:rPr>
                  </w:pPr>
                  <w:r>
                    <w:rPr>
                      <w:rFonts w:hint="eastAsia"/>
                      <w:lang w:val="en-US" w:eastAsia="zh-CN"/>
                    </w:rPr>
                    <w:t>固废</w:t>
                  </w:r>
                </w:p>
              </w:tc>
              <w:tc>
                <w:tcPr>
                  <w:tcW w:w="995" w:type="pct"/>
                  <w:tcBorders>
                    <w:tl2br w:val="nil"/>
                    <w:tr2bl w:val="nil"/>
                  </w:tcBorders>
                  <w:noWrap w:val="0"/>
                  <w:vAlign w:val="center"/>
                </w:tcPr>
                <w:p>
                  <w:pPr>
                    <w:pStyle w:val="45"/>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危离子交换树脂</w:t>
                  </w:r>
                </w:p>
              </w:tc>
              <w:tc>
                <w:tcPr>
                  <w:tcW w:w="1318" w:type="pct"/>
                  <w:tcBorders>
                    <w:tl2br w:val="nil"/>
                    <w:tr2bl w:val="nil"/>
                  </w:tcBorders>
                  <w:noWrap w:val="0"/>
                  <w:vAlign w:val="center"/>
                </w:tcPr>
                <w:p>
                  <w:pPr>
                    <w:pStyle w:val="45"/>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厂家更换回收</w:t>
                  </w:r>
                </w:p>
              </w:tc>
              <w:tc>
                <w:tcPr>
                  <w:tcW w:w="2118" w:type="pct"/>
                  <w:vMerge w:val="restart"/>
                  <w:tcBorders>
                    <w:tl2br w:val="nil"/>
                    <w:tr2bl w:val="nil"/>
                  </w:tcBorders>
                  <w:noWrap w:val="0"/>
                  <w:vAlign w:val="center"/>
                </w:tcPr>
                <w:p>
                  <w:pPr>
                    <w:pStyle w:val="33"/>
                    <w:bidi w:val="0"/>
                    <w:rPr>
                      <w:rFonts w:hint="default"/>
                      <w:lang w:val="en-US" w:eastAsia="zh-CN"/>
                    </w:rPr>
                  </w:pPr>
                  <w:r>
                    <w:rPr>
                      <w:rFonts w:hint="default"/>
                      <w:lang w:val="en-US" w:eastAsia="zh-CN"/>
                    </w:rPr>
                    <w:t>《一般工业固体废物贮存</w:t>
                  </w:r>
                  <w:r>
                    <w:rPr>
                      <w:rFonts w:hint="eastAsia"/>
                      <w:lang w:val="en-US" w:eastAsia="zh-CN"/>
                    </w:rPr>
                    <w:t>和填埋</w:t>
                  </w:r>
                  <w:r>
                    <w:rPr>
                      <w:rFonts w:hint="default"/>
                      <w:lang w:val="en-US" w:eastAsia="zh-CN"/>
                    </w:rPr>
                    <w:t>污染控制标准》（GB18599-2020）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continue"/>
                  <w:tcBorders>
                    <w:tl2br w:val="nil"/>
                    <w:tr2bl w:val="nil"/>
                  </w:tcBorders>
                  <w:noWrap w:val="0"/>
                  <w:vAlign w:val="center"/>
                </w:tcPr>
                <w:p>
                  <w:pPr>
                    <w:pStyle w:val="33"/>
                    <w:bidi w:val="0"/>
                    <w:rPr>
                      <w:rFonts w:hint="eastAsia"/>
                      <w:lang w:val="en-US" w:eastAsia="zh-CN"/>
                    </w:rPr>
                  </w:pPr>
                </w:p>
              </w:tc>
              <w:tc>
                <w:tcPr>
                  <w:tcW w:w="995" w:type="pct"/>
                  <w:tcBorders>
                    <w:tl2br w:val="nil"/>
                    <w:tr2bl w:val="nil"/>
                  </w:tcBorders>
                  <w:noWrap w:val="0"/>
                  <w:vAlign w:val="center"/>
                </w:tcPr>
                <w:p>
                  <w:pPr>
                    <w:pStyle w:val="45"/>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污泥</w:t>
                  </w:r>
                </w:p>
              </w:tc>
              <w:tc>
                <w:tcPr>
                  <w:tcW w:w="1318" w:type="pct"/>
                  <w:tcBorders>
                    <w:tl2br w:val="nil"/>
                    <w:tr2bl w:val="nil"/>
                  </w:tcBorders>
                  <w:noWrap w:val="0"/>
                  <w:vAlign w:val="center"/>
                </w:tcPr>
                <w:p>
                  <w:pPr>
                    <w:pStyle w:val="45"/>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环卫部门清运</w:t>
                  </w:r>
                </w:p>
              </w:tc>
              <w:tc>
                <w:tcPr>
                  <w:tcW w:w="2118" w:type="pct"/>
                  <w:vMerge w:val="continue"/>
                  <w:tcBorders>
                    <w:tl2br w:val="nil"/>
                    <w:tr2bl w:val="nil"/>
                  </w:tcBorders>
                  <w:noWrap w:val="0"/>
                  <w:vAlign w:val="center"/>
                </w:tcPr>
                <w:p>
                  <w:pPr>
                    <w:pStyle w:val="33"/>
                    <w:bidi w:val="0"/>
                    <w:rPr>
                      <w:rFonts w:hint="default"/>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continue"/>
                  <w:tcBorders>
                    <w:tl2br w:val="nil"/>
                    <w:tr2bl w:val="nil"/>
                  </w:tcBorders>
                  <w:noWrap w:val="0"/>
                  <w:vAlign w:val="center"/>
                </w:tcPr>
                <w:p>
                  <w:pPr>
                    <w:pStyle w:val="33"/>
                    <w:bidi w:val="0"/>
                    <w:rPr>
                      <w:rFonts w:hint="eastAsia"/>
                      <w:lang w:val="en-US" w:eastAsia="zh-CN"/>
                    </w:rPr>
                  </w:pPr>
                </w:p>
              </w:tc>
              <w:tc>
                <w:tcPr>
                  <w:tcW w:w="995" w:type="pct"/>
                  <w:tcBorders>
                    <w:tl2br w:val="nil"/>
                    <w:tr2bl w:val="nil"/>
                  </w:tcBorders>
                  <w:noWrap w:val="0"/>
                  <w:vAlign w:val="center"/>
                </w:tcPr>
                <w:p>
                  <w:pPr>
                    <w:pStyle w:val="45"/>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废包装物</w:t>
                  </w:r>
                </w:p>
              </w:tc>
              <w:tc>
                <w:tcPr>
                  <w:tcW w:w="1318" w:type="pct"/>
                  <w:tcBorders>
                    <w:tl2br w:val="nil"/>
                    <w:tr2bl w:val="nil"/>
                  </w:tcBorders>
                  <w:noWrap w:val="0"/>
                  <w:vAlign w:val="center"/>
                </w:tcPr>
                <w:p>
                  <w:pPr>
                    <w:pStyle w:val="45"/>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外售</w:t>
                  </w:r>
                </w:p>
              </w:tc>
              <w:tc>
                <w:tcPr>
                  <w:tcW w:w="2118" w:type="pct"/>
                  <w:vMerge w:val="continue"/>
                  <w:tcBorders>
                    <w:tl2br w:val="nil"/>
                    <w:tr2bl w:val="nil"/>
                  </w:tcBorders>
                  <w:noWrap w:val="0"/>
                  <w:vAlign w:val="center"/>
                </w:tcPr>
                <w:p>
                  <w:pPr>
                    <w:pStyle w:val="33"/>
                    <w:bidi w:val="0"/>
                    <w:rPr>
                      <w:rFonts w:hint="default"/>
                      <w:lang w:val="en-US" w:eastAsia="zh-CN"/>
                    </w:rPr>
                  </w:pPr>
                </w:p>
              </w:tc>
            </w:tr>
          </w:tbl>
          <w:p>
            <w:pPr>
              <w:pStyle w:val="22"/>
              <w:ind w:firstLine="0" w:firstLineChars="0"/>
              <w:jc w:val="both"/>
            </w:pPr>
          </w:p>
        </w:tc>
      </w:tr>
    </w:tbl>
    <w:p>
      <w:pPr>
        <w:jc w:val="both"/>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5"/>
        <w:numPr>
          <w:ilvl w:val="0"/>
          <w:numId w:val="2"/>
        </w:numPr>
      </w:pPr>
      <w:bookmarkStart w:id="2" w:name="_Hlk54167917"/>
      <w:r>
        <w:rPr>
          <w:rFonts w:hint="eastAsia"/>
        </w:rPr>
        <w:t>环境保护措施监督检查清单</w:t>
      </w:r>
      <w:bookmarkEnd w:id="2"/>
    </w:p>
    <w:tbl>
      <w:tblPr>
        <w:tblStyle w:val="27"/>
        <w:tblW w:w="8533"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1736"/>
        <w:gridCol w:w="1438"/>
        <w:gridCol w:w="1714"/>
        <w:gridCol w:w="28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818" w:type="dxa"/>
            <w:tcBorders>
              <w:tl2br w:val="single" w:color="auto" w:sz="4" w:space="0"/>
            </w:tcBorders>
            <w:vAlign w:val="center"/>
          </w:tcPr>
          <w:p>
            <w:pPr>
              <w:jc w:val="center"/>
            </w:pPr>
            <w:r>
              <w:rPr>
                <w:rFonts w:hint="eastAsia"/>
              </w:rPr>
              <w:t xml:space="preserve"> 内容</w:t>
            </w:r>
          </w:p>
          <w:p>
            <w:pPr>
              <w:jc w:val="both"/>
            </w:pPr>
            <w:r>
              <w:rPr>
                <w:rFonts w:hint="eastAsia"/>
              </w:rPr>
              <w:t>要素</w:t>
            </w:r>
          </w:p>
        </w:tc>
        <w:tc>
          <w:tcPr>
            <w:tcW w:w="1736" w:type="dxa"/>
            <w:tcBorders>
              <w:tl2br w:val="nil"/>
              <w:tr2bl w:val="nil"/>
            </w:tcBorders>
            <w:vAlign w:val="center"/>
          </w:tcPr>
          <w:p>
            <w:pPr>
              <w:jc w:val="center"/>
            </w:pPr>
            <w:r>
              <w:rPr>
                <w:rFonts w:hint="eastAsia" w:ascii="宋体" w:hAnsi="宋体" w:cs="宋体"/>
                <w:szCs w:val="21"/>
              </w:rPr>
              <w:t>排放口</w:t>
            </w:r>
            <w:r>
              <w:rPr>
                <w:rFonts w:hint="eastAsia" w:ascii="宋体" w:hAnsi="宋体" w:cs="宋体"/>
                <w:szCs w:val="21"/>
                <w:lang w:eastAsia="zh-CN"/>
              </w:rPr>
              <w:t>（</w:t>
            </w:r>
            <w:r>
              <w:rPr>
                <w:rFonts w:hint="eastAsia" w:ascii="宋体" w:hAnsi="宋体" w:cs="宋体"/>
                <w:szCs w:val="21"/>
              </w:rPr>
              <w:t>编号、名称</w:t>
            </w:r>
            <w:r>
              <w:rPr>
                <w:rFonts w:hint="eastAsia" w:ascii="宋体" w:hAnsi="宋体" w:cs="宋体"/>
                <w:szCs w:val="21"/>
                <w:lang w:eastAsia="zh-CN"/>
              </w:rPr>
              <w:t>）</w:t>
            </w:r>
            <w:r>
              <w:rPr>
                <w:rFonts w:hint="eastAsia" w:ascii="宋体" w:hAnsi="宋体" w:cs="宋体"/>
                <w:szCs w:val="21"/>
              </w:rPr>
              <w:t>/污染源</w:t>
            </w:r>
          </w:p>
        </w:tc>
        <w:tc>
          <w:tcPr>
            <w:tcW w:w="1438" w:type="dxa"/>
            <w:tcBorders>
              <w:tl2br w:val="nil"/>
              <w:tr2bl w:val="nil"/>
            </w:tcBorders>
            <w:vAlign w:val="center"/>
          </w:tcPr>
          <w:p>
            <w:pPr>
              <w:jc w:val="center"/>
            </w:pPr>
            <w:r>
              <w:rPr>
                <w:rFonts w:hint="eastAsia" w:ascii="宋体" w:hAnsi="宋体" w:cs="宋体"/>
                <w:szCs w:val="21"/>
              </w:rPr>
              <w:t>污染物项目</w:t>
            </w:r>
          </w:p>
        </w:tc>
        <w:tc>
          <w:tcPr>
            <w:tcW w:w="1714" w:type="dxa"/>
            <w:tcBorders>
              <w:tl2br w:val="nil"/>
              <w:tr2bl w:val="nil"/>
            </w:tcBorders>
            <w:vAlign w:val="center"/>
          </w:tcPr>
          <w:p>
            <w:pPr>
              <w:jc w:val="center"/>
            </w:pPr>
            <w:r>
              <w:rPr>
                <w:rFonts w:hint="eastAsia" w:ascii="宋体" w:hAnsi="宋体" w:cs="宋体"/>
                <w:szCs w:val="21"/>
              </w:rPr>
              <w:t>环境保护措施</w:t>
            </w:r>
          </w:p>
        </w:tc>
        <w:tc>
          <w:tcPr>
            <w:tcW w:w="2827" w:type="dxa"/>
            <w:tcBorders>
              <w:tl2br w:val="nil"/>
              <w:tr2bl w:val="nil"/>
            </w:tcBorders>
            <w:vAlign w:val="center"/>
          </w:tcPr>
          <w:p>
            <w:pPr>
              <w:jc w:val="center"/>
            </w:pPr>
            <w:r>
              <w:rPr>
                <w:rFonts w:hint="eastAsia" w:ascii="宋体" w:hAnsi="宋体" w:cs="宋体"/>
                <w:szCs w:val="21"/>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6" w:hRule="atLeast"/>
        </w:trPr>
        <w:tc>
          <w:tcPr>
            <w:tcW w:w="818" w:type="dxa"/>
            <w:vMerge w:val="restart"/>
            <w:tcBorders>
              <w:tl2br w:val="nil"/>
              <w:tr2bl w:val="nil"/>
            </w:tcBorders>
            <w:vAlign w:val="center"/>
          </w:tcPr>
          <w:p>
            <w:pPr>
              <w:jc w:val="center"/>
            </w:pPr>
            <w:r>
              <w:rPr>
                <w:rFonts w:hint="eastAsia" w:ascii="宋体" w:hAnsi="宋体" w:cs="宋体"/>
                <w:szCs w:val="21"/>
              </w:rPr>
              <w:t>大气环境</w:t>
            </w:r>
          </w:p>
        </w:tc>
        <w:tc>
          <w:tcPr>
            <w:tcW w:w="1736" w:type="dxa"/>
            <w:vMerge w:val="restart"/>
            <w:tcBorders>
              <w:tl2br w:val="nil"/>
              <w:tr2bl w:val="nil"/>
            </w:tcBorders>
            <w:vAlign w:val="center"/>
          </w:tcPr>
          <w:p>
            <w:pPr>
              <w:jc w:val="center"/>
              <w:rPr>
                <w:rFonts w:cs="Times New Roman"/>
                <w:b w:val="0"/>
                <w:bCs/>
              </w:rPr>
            </w:pPr>
            <w:r>
              <w:rPr>
                <w:rFonts w:hint="eastAsia" w:cs="Times New Roman"/>
                <w:b w:val="0"/>
                <w:bCs/>
                <w:lang w:val="en-US" w:eastAsia="zh-CN"/>
              </w:rPr>
              <w:t>燃气锅炉</w:t>
            </w:r>
            <w:r>
              <w:rPr>
                <w:rFonts w:hint="eastAsia" w:cs="Times New Roman"/>
                <w:b w:val="0"/>
                <w:bCs/>
              </w:rPr>
              <w:t>废气</w:t>
            </w:r>
            <w:r>
              <w:rPr>
                <w:rFonts w:cs="Times New Roman"/>
                <w:b w:val="0"/>
                <w:bCs/>
              </w:rPr>
              <w:t>排放口</w:t>
            </w:r>
          </w:p>
          <w:p>
            <w:pPr>
              <w:jc w:val="center"/>
              <w:rPr>
                <w:rFonts w:cs="Times New Roman"/>
              </w:rPr>
            </w:pPr>
            <w:r>
              <w:rPr>
                <w:rFonts w:cs="Times New Roman"/>
                <w:b w:val="0"/>
                <w:bCs/>
              </w:rPr>
              <w:t>（DA00</w:t>
            </w:r>
            <w:r>
              <w:rPr>
                <w:rFonts w:hint="eastAsia" w:cs="Times New Roman"/>
                <w:b w:val="0"/>
                <w:bCs/>
                <w:lang w:val="en-US" w:eastAsia="zh-CN"/>
              </w:rPr>
              <w:t>1</w:t>
            </w:r>
            <w:r>
              <w:rPr>
                <w:rFonts w:cs="Times New Roman"/>
                <w:b w:val="0"/>
                <w:bCs/>
              </w:rPr>
              <w:t>）</w:t>
            </w:r>
          </w:p>
        </w:tc>
        <w:tc>
          <w:tcPr>
            <w:tcW w:w="1438" w:type="dxa"/>
            <w:tcBorders>
              <w:tl2br w:val="nil"/>
              <w:tr2bl w:val="nil"/>
            </w:tcBorders>
            <w:vAlign w:val="center"/>
          </w:tcPr>
          <w:p>
            <w:pPr>
              <w:jc w:val="center"/>
              <w:rPr>
                <w:rFonts w:cs="Times New Roman"/>
                <w:b w:val="0"/>
                <w:bCs/>
              </w:rPr>
            </w:pPr>
            <w:r>
              <w:rPr>
                <w:rFonts w:hint="eastAsia" w:cs="Times New Roman"/>
                <w:b w:val="0"/>
                <w:bCs/>
              </w:rPr>
              <w:t>SO</w:t>
            </w:r>
            <w:r>
              <w:rPr>
                <w:rFonts w:hint="eastAsia" w:cs="Times New Roman"/>
                <w:b w:val="0"/>
                <w:bCs/>
                <w:vertAlign w:val="subscript"/>
              </w:rPr>
              <w:t>2</w:t>
            </w:r>
            <w:r>
              <w:rPr>
                <w:rFonts w:hint="eastAsia" w:cs="Times New Roman"/>
                <w:b w:val="0"/>
                <w:bCs/>
              </w:rPr>
              <w:t>、颗粒物</w:t>
            </w:r>
            <w:r>
              <w:rPr>
                <w:rFonts w:hint="eastAsia" w:cs="Times New Roman"/>
                <w:b w:val="0"/>
                <w:bCs/>
                <w:lang w:eastAsia="zh-CN"/>
              </w:rPr>
              <w:t>、</w:t>
            </w:r>
          </w:p>
        </w:tc>
        <w:tc>
          <w:tcPr>
            <w:tcW w:w="1714" w:type="dxa"/>
            <w:vMerge w:val="restart"/>
            <w:tcBorders>
              <w:tl2br w:val="nil"/>
              <w:tr2bl w:val="nil"/>
            </w:tcBorders>
            <w:vAlign w:val="center"/>
          </w:tcPr>
          <w:p>
            <w:pPr>
              <w:jc w:val="both"/>
              <w:rPr>
                <w:rFonts w:hint="eastAsia" w:eastAsia="宋体" w:cs="Times New Roman"/>
                <w:b w:val="0"/>
                <w:bCs/>
                <w:lang w:eastAsia="zh-CN"/>
              </w:rPr>
            </w:pPr>
            <w:r>
              <w:rPr>
                <w:rFonts w:cs="Times New Roman"/>
                <w:b w:val="0"/>
                <w:bCs/>
              </w:rPr>
              <w:t>低氮燃烧器</w:t>
            </w:r>
            <w:r>
              <w:rPr>
                <w:rFonts w:hint="eastAsia" w:cs="Times New Roman"/>
                <w:b w:val="0"/>
                <w:bCs/>
                <w:lang w:val="en-US" w:eastAsia="zh-CN"/>
              </w:rPr>
              <w:t>+烟气再循环</w:t>
            </w:r>
            <w:r>
              <w:rPr>
                <w:rFonts w:cs="Times New Roman"/>
                <w:b w:val="0"/>
                <w:bCs/>
              </w:rPr>
              <w:t>，</w:t>
            </w:r>
            <w:r>
              <w:rPr>
                <w:rFonts w:hint="eastAsia" w:cs="Times New Roman"/>
                <w:b w:val="0"/>
                <w:bCs/>
                <w:lang w:val="en-US" w:eastAsia="zh-CN"/>
              </w:rPr>
              <w:t>1</w:t>
            </w:r>
            <w:r>
              <w:rPr>
                <w:rFonts w:cs="Times New Roman"/>
                <w:b w:val="0"/>
                <w:bCs/>
              </w:rPr>
              <w:t>根</w:t>
            </w:r>
            <w:r>
              <w:rPr>
                <w:rFonts w:hint="eastAsia" w:cs="Times New Roman"/>
                <w:b w:val="0"/>
                <w:bCs/>
                <w:lang w:val="en-US" w:eastAsia="zh-CN"/>
              </w:rPr>
              <w:t>8</w:t>
            </w:r>
            <w:r>
              <w:rPr>
                <w:rFonts w:cs="Times New Roman"/>
                <w:b w:val="0"/>
                <w:bCs/>
              </w:rPr>
              <w:t>m高烟囱排放</w:t>
            </w:r>
          </w:p>
        </w:tc>
        <w:tc>
          <w:tcPr>
            <w:tcW w:w="2827" w:type="dxa"/>
            <w:tcBorders>
              <w:tl2br w:val="nil"/>
              <w:tr2bl w:val="nil"/>
            </w:tcBorders>
            <w:vAlign w:val="center"/>
          </w:tcPr>
          <w:p>
            <w:pPr>
              <w:pStyle w:val="45"/>
              <w:jc w:val="left"/>
              <w:rPr>
                <w:rFonts w:cs="Times New Roman"/>
              </w:rPr>
            </w:pPr>
            <w:r>
              <w:rPr>
                <w:rFonts w:cs="Times New Roman"/>
              </w:rPr>
              <w:t>《锅炉大气污染物排放标准》（GB13271-2014）表3大气污染物特别排放限值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6" w:hRule="atLeast"/>
        </w:trPr>
        <w:tc>
          <w:tcPr>
            <w:tcW w:w="818" w:type="dxa"/>
            <w:vMerge w:val="continue"/>
            <w:tcBorders>
              <w:tl2br w:val="nil"/>
              <w:tr2bl w:val="nil"/>
            </w:tcBorders>
            <w:vAlign w:val="center"/>
          </w:tcPr>
          <w:p>
            <w:pPr>
              <w:jc w:val="center"/>
              <w:rPr>
                <w:rFonts w:hint="eastAsia" w:ascii="宋体" w:hAnsi="宋体" w:cs="宋体"/>
                <w:szCs w:val="21"/>
              </w:rPr>
            </w:pPr>
          </w:p>
        </w:tc>
        <w:tc>
          <w:tcPr>
            <w:tcW w:w="1736" w:type="dxa"/>
            <w:vMerge w:val="continue"/>
            <w:tcBorders>
              <w:tl2br w:val="nil"/>
              <w:tr2bl w:val="nil"/>
            </w:tcBorders>
            <w:vAlign w:val="center"/>
          </w:tcPr>
          <w:p>
            <w:pPr>
              <w:jc w:val="center"/>
              <w:rPr>
                <w:rFonts w:cs="Times New Roman"/>
                <w:b w:val="0"/>
                <w:bCs/>
              </w:rPr>
            </w:pPr>
          </w:p>
        </w:tc>
        <w:tc>
          <w:tcPr>
            <w:tcW w:w="1438" w:type="dxa"/>
            <w:tcBorders>
              <w:tl2br w:val="nil"/>
              <w:tr2bl w:val="nil"/>
            </w:tcBorders>
            <w:vAlign w:val="center"/>
          </w:tcPr>
          <w:p>
            <w:pPr>
              <w:jc w:val="center"/>
              <w:rPr>
                <w:rFonts w:hint="eastAsia" w:cs="Times New Roman"/>
                <w:b w:val="0"/>
                <w:bCs/>
              </w:rPr>
            </w:pPr>
            <w:r>
              <w:rPr>
                <w:rFonts w:cs="Times New Roman"/>
                <w:b w:val="0"/>
                <w:bCs/>
              </w:rPr>
              <w:t>NOx</w:t>
            </w:r>
          </w:p>
        </w:tc>
        <w:tc>
          <w:tcPr>
            <w:tcW w:w="1714" w:type="dxa"/>
            <w:vMerge w:val="continue"/>
            <w:tcBorders>
              <w:tl2br w:val="nil"/>
              <w:tr2bl w:val="nil"/>
            </w:tcBorders>
            <w:vAlign w:val="center"/>
          </w:tcPr>
          <w:p>
            <w:pPr>
              <w:jc w:val="both"/>
              <w:rPr>
                <w:rFonts w:cs="Times New Roman"/>
                <w:b w:val="0"/>
                <w:bCs/>
              </w:rPr>
            </w:pPr>
          </w:p>
        </w:tc>
        <w:tc>
          <w:tcPr>
            <w:tcW w:w="2827" w:type="dxa"/>
            <w:tcBorders>
              <w:tl2br w:val="nil"/>
              <w:tr2bl w:val="nil"/>
            </w:tcBorders>
            <w:vAlign w:val="center"/>
          </w:tcPr>
          <w:p>
            <w:pPr>
              <w:pStyle w:val="45"/>
              <w:jc w:val="left"/>
            </w:pPr>
            <w:r>
              <w:t>《关于开展自治区</w:t>
            </w:r>
            <w:r>
              <w:rPr>
                <w:rFonts w:hint="eastAsia"/>
              </w:rPr>
              <w:t>2022年度夏秋季大气污染防治“冬病夏治”工作的通知》（新环大气函〔2022〕483号）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6" w:hRule="atLeast"/>
        </w:trPr>
        <w:tc>
          <w:tcPr>
            <w:tcW w:w="818" w:type="dxa"/>
            <w:vMerge w:val="continue"/>
            <w:tcBorders>
              <w:tl2br w:val="nil"/>
              <w:tr2bl w:val="nil"/>
            </w:tcBorders>
            <w:vAlign w:val="center"/>
          </w:tcPr>
          <w:p>
            <w:pPr>
              <w:jc w:val="center"/>
              <w:rPr>
                <w:rFonts w:hint="eastAsia" w:ascii="宋体" w:hAnsi="宋体" w:cs="宋体"/>
                <w:szCs w:val="21"/>
              </w:rPr>
            </w:pPr>
          </w:p>
        </w:tc>
        <w:tc>
          <w:tcPr>
            <w:tcW w:w="1736" w:type="dxa"/>
            <w:tcBorders>
              <w:tl2br w:val="nil"/>
              <w:tr2bl w:val="nil"/>
            </w:tcBorders>
            <w:vAlign w:val="center"/>
          </w:tcPr>
          <w:p>
            <w:pPr>
              <w:jc w:val="center"/>
              <w:rPr>
                <w:rFonts w:hint="default" w:eastAsia="宋体" w:cs="Times New Roman"/>
                <w:b w:val="0"/>
                <w:bCs/>
                <w:lang w:val="en-US" w:eastAsia="zh-CN"/>
              </w:rPr>
            </w:pPr>
            <w:r>
              <w:rPr>
                <w:rFonts w:hint="eastAsia" w:cs="Times New Roman"/>
                <w:b w:val="0"/>
                <w:bCs/>
                <w:lang w:val="en-US" w:eastAsia="zh-CN"/>
              </w:rPr>
              <w:t>污水处理站</w:t>
            </w:r>
          </w:p>
        </w:tc>
        <w:tc>
          <w:tcPr>
            <w:tcW w:w="1438" w:type="dxa"/>
            <w:tcBorders>
              <w:tl2br w:val="nil"/>
              <w:tr2bl w:val="nil"/>
            </w:tcBorders>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硫化氢、氨、臭气浓度</w:t>
            </w:r>
          </w:p>
        </w:tc>
        <w:tc>
          <w:tcPr>
            <w:tcW w:w="1714" w:type="dxa"/>
            <w:tcBorders>
              <w:tl2br w:val="nil"/>
              <w:tr2bl w:val="nil"/>
            </w:tcBorders>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加盖密闭、绿化</w:t>
            </w:r>
          </w:p>
        </w:tc>
        <w:tc>
          <w:tcPr>
            <w:tcW w:w="2827" w:type="dxa"/>
            <w:tcBorders>
              <w:tl2br w:val="nil"/>
              <w:tr2bl w:val="nil"/>
            </w:tcBorders>
            <w:vAlign w:val="center"/>
          </w:tcPr>
          <w:p>
            <w:pPr>
              <w:jc w:val="center"/>
              <w:rPr>
                <w:rFonts w:hint="default" w:ascii="Times New Roman" w:hAnsi="Times New Roman" w:eastAsia="宋体" w:cs="Times New Roman"/>
                <w:b w:val="0"/>
                <w:bCs/>
                <w:lang w:val="en-US" w:eastAsia="zh-CN"/>
              </w:rPr>
            </w:pPr>
            <w:r>
              <w:rPr>
                <w:rFonts w:hint="default" w:ascii="Times New Roman" w:hAnsi="Times New Roman" w:eastAsia="宋体" w:cs="Times New Roman"/>
                <w:b w:val="0"/>
                <w:bCs/>
                <w:lang w:val="en-US" w:eastAsia="zh-CN"/>
              </w:rPr>
              <w:t>《恶臭污染物排放标准》（GB14554-93）表1中二级新建项目排放限值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68" w:hRule="atLeast"/>
        </w:trPr>
        <w:tc>
          <w:tcPr>
            <w:tcW w:w="818" w:type="dxa"/>
            <w:tcBorders>
              <w:tl2br w:val="nil"/>
              <w:tr2bl w:val="nil"/>
            </w:tcBorders>
            <w:vAlign w:val="center"/>
          </w:tcPr>
          <w:p>
            <w:pPr>
              <w:jc w:val="center"/>
              <w:rPr>
                <w:rFonts w:ascii="宋体" w:hAnsi="宋体" w:cs="宋体"/>
                <w:szCs w:val="21"/>
              </w:rPr>
            </w:pPr>
            <w:r>
              <w:rPr>
                <w:rFonts w:hint="eastAsia" w:ascii="宋体" w:hAnsi="宋体" w:cs="宋体"/>
                <w:szCs w:val="21"/>
              </w:rPr>
              <w:t>地</w:t>
            </w:r>
          </w:p>
          <w:p>
            <w:pPr>
              <w:jc w:val="center"/>
              <w:rPr>
                <w:rFonts w:ascii="宋体" w:hAnsi="宋体" w:cs="宋体"/>
                <w:szCs w:val="21"/>
              </w:rPr>
            </w:pPr>
            <w:r>
              <w:rPr>
                <w:rFonts w:hint="eastAsia" w:ascii="宋体" w:hAnsi="宋体" w:cs="宋体"/>
                <w:szCs w:val="21"/>
              </w:rPr>
              <w:t>表</w:t>
            </w:r>
          </w:p>
          <w:p>
            <w:pPr>
              <w:jc w:val="center"/>
              <w:rPr>
                <w:rFonts w:ascii="宋体" w:hAnsi="宋体" w:cs="宋体"/>
                <w:szCs w:val="21"/>
              </w:rPr>
            </w:pPr>
            <w:r>
              <w:rPr>
                <w:rFonts w:hint="eastAsia" w:ascii="宋体" w:hAnsi="宋体" w:cs="宋体"/>
                <w:szCs w:val="21"/>
              </w:rPr>
              <w:t>水</w:t>
            </w:r>
          </w:p>
          <w:p>
            <w:pPr>
              <w:jc w:val="center"/>
              <w:rPr>
                <w:rFonts w:ascii="宋体" w:hAnsi="宋体" w:cs="宋体"/>
                <w:szCs w:val="21"/>
              </w:rPr>
            </w:pPr>
            <w:r>
              <w:rPr>
                <w:rFonts w:hint="eastAsia" w:ascii="宋体" w:hAnsi="宋体" w:cs="宋体"/>
                <w:szCs w:val="21"/>
              </w:rPr>
              <w:t>环</w:t>
            </w:r>
          </w:p>
          <w:p>
            <w:pPr>
              <w:jc w:val="center"/>
              <w:rPr>
                <w:rFonts w:ascii="宋体" w:hAnsi="宋体" w:cs="宋体"/>
                <w:sz w:val="21"/>
                <w:szCs w:val="21"/>
              </w:rPr>
            </w:pPr>
            <w:r>
              <w:rPr>
                <w:rFonts w:hint="eastAsia" w:ascii="宋体" w:hAnsi="宋体" w:cs="宋体"/>
                <w:szCs w:val="21"/>
              </w:rPr>
              <w:t>境</w:t>
            </w:r>
          </w:p>
        </w:tc>
        <w:tc>
          <w:tcPr>
            <w:tcW w:w="1736" w:type="dxa"/>
            <w:tcBorders>
              <w:tl2br w:val="nil"/>
              <w:tr2bl w:val="nil"/>
            </w:tcBorders>
            <w:vAlign w:val="center"/>
          </w:tcPr>
          <w:p>
            <w:pPr>
              <w:jc w:val="center"/>
              <w:rPr>
                <w:rFonts w:hint="default" w:eastAsia="宋体" w:cs="Times New Roman"/>
                <w:b w:val="0"/>
                <w:bCs/>
                <w:lang w:val="en-US" w:eastAsia="zh-CN"/>
              </w:rPr>
            </w:pPr>
            <w:r>
              <w:rPr>
                <w:rFonts w:hint="eastAsia" w:cs="Times New Roman"/>
                <w:b w:val="0"/>
                <w:bCs/>
                <w:lang w:val="en-US" w:eastAsia="zh-CN"/>
              </w:rPr>
              <w:t>生产废水</w:t>
            </w:r>
          </w:p>
        </w:tc>
        <w:tc>
          <w:tcPr>
            <w:tcW w:w="1438" w:type="dxa"/>
            <w:tcBorders>
              <w:tl2br w:val="nil"/>
              <w:tr2bl w:val="nil"/>
            </w:tcBorders>
            <w:vAlign w:val="center"/>
          </w:tcPr>
          <w:p>
            <w:pPr>
              <w:jc w:val="center"/>
              <w:rPr>
                <w:rFonts w:hint="default" w:eastAsia="宋体" w:cs="Times New Roman"/>
                <w:b w:val="0"/>
                <w:bCs/>
                <w:lang w:val="en-US" w:eastAsia="zh-CN"/>
              </w:rPr>
            </w:pPr>
            <w:r>
              <w:rPr>
                <w:rFonts w:hint="eastAsia" w:cs="Times New Roman"/>
                <w:b w:val="0"/>
                <w:bCs/>
                <w:lang w:val="en-US" w:eastAsia="zh-CN"/>
              </w:rPr>
              <w:t>TDS、CODCr、BOD</w:t>
            </w:r>
            <w:r>
              <w:rPr>
                <w:rFonts w:hint="eastAsia" w:cs="Times New Roman"/>
                <w:b w:val="0"/>
                <w:bCs/>
                <w:vertAlign w:val="subscript"/>
                <w:lang w:val="en-US" w:eastAsia="zh-CN"/>
              </w:rPr>
              <w:t>5</w:t>
            </w:r>
            <w:r>
              <w:rPr>
                <w:rFonts w:hint="eastAsia" w:cs="Times New Roman"/>
                <w:b w:val="0"/>
                <w:bCs/>
                <w:lang w:val="en-US" w:eastAsia="zh-CN"/>
              </w:rPr>
              <w:t>、SS、氨氮、LAS</w:t>
            </w:r>
          </w:p>
        </w:tc>
        <w:tc>
          <w:tcPr>
            <w:tcW w:w="1714" w:type="dxa"/>
            <w:tcBorders>
              <w:tl2br w:val="nil"/>
              <w:tr2bl w:val="nil"/>
            </w:tcBorders>
            <w:vAlign w:val="center"/>
          </w:tcPr>
          <w:p>
            <w:pPr>
              <w:jc w:val="center"/>
              <w:rPr>
                <w:rFonts w:hint="default" w:eastAsia="宋体" w:cs="Times New Roman"/>
                <w:b w:val="0"/>
                <w:bCs/>
                <w:lang w:val="en-US" w:eastAsia="zh-CN"/>
              </w:rPr>
            </w:pPr>
            <w:r>
              <w:rPr>
                <w:rFonts w:hint="default" w:eastAsia="宋体" w:cs="Times New Roman"/>
                <w:b w:val="0"/>
                <w:bCs/>
                <w:lang w:val="en-US" w:eastAsia="zh-CN"/>
              </w:rPr>
              <w:t>排入</w:t>
            </w:r>
            <w:r>
              <w:rPr>
                <w:rFonts w:hint="eastAsia" w:cs="Times New Roman"/>
                <w:b w:val="0"/>
                <w:bCs/>
                <w:lang w:val="en-US" w:eastAsia="zh-CN"/>
              </w:rPr>
              <w:t>市政管网</w:t>
            </w:r>
          </w:p>
        </w:tc>
        <w:tc>
          <w:tcPr>
            <w:tcW w:w="2827" w:type="dxa"/>
            <w:tcBorders>
              <w:tl2br w:val="nil"/>
              <w:tr2bl w:val="nil"/>
            </w:tcBorders>
            <w:vAlign w:val="center"/>
          </w:tcPr>
          <w:p>
            <w:pPr>
              <w:jc w:val="both"/>
              <w:rPr>
                <w:rFonts w:cs="Times New Roman"/>
                <w:b w:val="0"/>
                <w:bCs/>
              </w:rPr>
            </w:pPr>
            <w:r>
              <w:rPr>
                <w:rFonts w:hint="eastAsia" w:cs="Times New Roman"/>
                <w:b w:val="0"/>
                <w:bCs/>
                <w:lang w:val="en-US" w:eastAsia="zh-CN"/>
              </w:rPr>
              <w:t>《污水综合排放标准》（GB8978-1996）三级标准限值、《污水排入城镇下水道水质标准》（GB/T31962-2015）B级标准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75" w:hRule="atLeast"/>
        </w:trPr>
        <w:tc>
          <w:tcPr>
            <w:tcW w:w="818" w:type="dxa"/>
            <w:tcBorders>
              <w:tl2br w:val="nil"/>
              <w:tr2bl w:val="nil"/>
            </w:tcBorders>
            <w:vAlign w:val="center"/>
          </w:tcPr>
          <w:p>
            <w:pPr>
              <w:jc w:val="center"/>
              <w:rPr>
                <w:rFonts w:ascii="宋体" w:hAnsi="宋体" w:cs="宋体"/>
                <w:szCs w:val="21"/>
              </w:rPr>
            </w:pPr>
            <w:r>
              <w:rPr>
                <w:rFonts w:hint="eastAsia" w:ascii="宋体" w:hAnsi="宋体" w:cs="宋体"/>
                <w:szCs w:val="21"/>
              </w:rPr>
              <w:t>声</w:t>
            </w:r>
          </w:p>
          <w:p>
            <w:pPr>
              <w:jc w:val="center"/>
              <w:rPr>
                <w:rFonts w:ascii="宋体" w:hAnsi="宋体" w:cs="宋体"/>
                <w:szCs w:val="21"/>
              </w:rPr>
            </w:pPr>
            <w:r>
              <w:rPr>
                <w:rFonts w:hint="eastAsia" w:ascii="宋体" w:hAnsi="宋体" w:cs="宋体"/>
                <w:szCs w:val="21"/>
              </w:rPr>
              <w:t>环</w:t>
            </w:r>
          </w:p>
          <w:p>
            <w:pPr>
              <w:jc w:val="center"/>
              <w:rPr>
                <w:rFonts w:ascii="宋体" w:hAnsi="宋体" w:cs="宋体"/>
                <w:sz w:val="21"/>
                <w:szCs w:val="21"/>
              </w:rPr>
            </w:pPr>
            <w:r>
              <w:rPr>
                <w:rFonts w:hint="eastAsia" w:ascii="宋体" w:hAnsi="宋体" w:cs="宋体"/>
                <w:szCs w:val="21"/>
              </w:rPr>
              <w:t>境</w:t>
            </w:r>
          </w:p>
        </w:tc>
        <w:tc>
          <w:tcPr>
            <w:tcW w:w="1736" w:type="dxa"/>
            <w:tcBorders>
              <w:tl2br w:val="nil"/>
              <w:tr2bl w:val="nil"/>
            </w:tcBorders>
            <w:vAlign w:val="center"/>
          </w:tcPr>
          <w:p>
            <w:pPr>
              <w:jc w:val="center"/>
              <w:rPr>
                <w:rFonts w:cs="Times New Roman"/>
                <w:b w:val="0"/>
                <w:bCs/>
              </w:rPr>
            </w:pPr>
            <w:r>
              <w:rPr>
                <w:rFonts w:cs="Times New Roman"/>
                <w:b w:val="0"/>
                <w:bCs/>
              </w:rPr>
              <w:t>厂界四周</w:t>
            </w:r>
          </w:p>
        </w:tc>
        <w:tc>
          <w:tcPr>
            <w:tcW w:w="1438" w:type="dxa"/>
            <w:tcBorders>
              <w:tl2br w:val="nil"/>
              <w:tr2bl w:val="nil"/>
            </w:tcBorders>
            <w:vAlign w:val="center"/>
          </w:tcPr>
          <w:p>
            <w:pPr>
              <w:jc w:val="center"/>
              <w:rPr>
                <w:rFonts w:cs="Times New Roman"/>
                <w:b w:val="0"/>
                <w:bCs/>
              </w:rPr>
            </w:pPr>
            <w:r>
              <w:rPr>
                <w:rFonts w:cs="Times New Roman"/>
                <w:b w:val="0"/>
                <w:bCs/>
              </w:rPr>
              <w:t>等效A声级</w:t>
            </w:r>
          </w:p>
        </w:tc>
        <w:tc>
          <w:tcPr>
            <w:tcW w:w="1714" w:type="dxa"/>
            <w:tcBorders>
              <w:tl2br w:val="nil"/>
              <w:tr2bl w:val="nil"/>
            </w:tcBorders>
            <w:vAlign w:val="center"/>
          </w:tcPr>
          <w:p>
            <w:pPr>
              <w:jc w:val="center"/>
              <w:rPr>
                <w:rFonts w:cs="Times New Roman"/>
                <w:b w:val="0"/>
                <w:bCs/>
              </w:rPr>
            </w:pPr>
            <w:r>
              <w:rPr>
                <w:rFonts w:cs="Times New Roman"/>
                <w:b w:val="0"/>
                <w:bCs/>
              </w:rPr>
              <w:t>用低噪声设备、基础减震、厂房隔音</w:t>
            </w:r>
          </w:p>
        </w:tc>
        <w:tc>
          <w:tcPr>
            <w:tcW w:w="2827" w:type="dxa"/>
            <w:tcBorders>
              <w:tl2br w:val="nil"/>
              <w:tr2bl w:val="nil"/>
            </w:tcBorders>
            <w:vAlign w:val="center"/>
          </w:tcPr>
          <w:p>
            <w:pPr>
              <w:jc w:val="both"/>
              <w:rPr>
                <w:rFonts w:cs="Times New Roman"/>
                <w:b w:val="0"/>
                <w:bCs/>
              </w:rPr>
            </w:pPr>
            <w:r>
              <w:rPr>
                <w:rFonts w:hint="eastAsia" w:cs="Times New Roman"/>
                <w:b w:val="0"/>
                <w:bCs/>
              </w:rPr>
              <w:t>《工业企业厂界环境噪声排放标准》（</w:t>
            </w:r>
            <w:r>
              <w:rPr>
                <w:rFonts w:cs="Times New Roman"/>
                <w:b w:val="0"/>
                <w:bCs/>
              </w:rPr>
              <w:t>GB12348-2008</w:t>
            </w:r>
            <w:r>
              <w:rPr>
                <w:rFonts w:hint="eastAsia" w:cs="Times New Roman"/>
                <w:b w:val="0"/>
                <w:bCs/>
              </w:rPr>
              <w:t>）中</w:t>
            </w:r>
            <w:r>
              <w:rPr>
                <w:rFonts w:hint="eastAsia" w:cs="Times New Roman"/>
                <w:b w:val="0"/>
                <w:bCs/>
                <w:lang w:val="en-US" w:eastAsia="zh-CN"/>
              </w:rPr>
              <w:t>2</w:t>
            </w:r>
            <w:r>
              <w:rPr>
                <w:rFonts w:hint="eastAsia" w:cs="Times New Roman"/>
                <w:b w:val="0"/>
                <w:bCs/>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818" w:type="dxa"/>
            <w:vAlign w:val="center"/>
          </w:tcPr>
          <w:p>
            <w:pPr>
              <w:jc w:val="center"/>
              <w:rPr>
                <w:rFonts w:ascii="宋体" w:hAnsi="宋体" w:cs="宋体"/>
                <w:sz w:val="21"/>
                <w:szCs w:val="21"/>
              </w:rPr>
            </w:pPr>
            <w:r>
              <w:rPr>
                <w:rFonts w:hint="eastAsia" w:ascii="宋体" w:hAnsi="宋体" w:cs="宋体"/>
                <w:szCs w:val="21"/>
              </w:rPr>
              <w:t>电磁辐射</w:t>
            </w:r>
          </w:p>
        </w:tc>
        <w:tc>
          <w:tcPr>
            <w:tcW w:w="1736" w:type="dxa"/>
            <w:vAlign w:val="center"/>
          </w:tcPr>
          <w:p>
            <w:pPr>
              <w:jc w:val="center"/>
              <w:rPr>
                <w:rFonts w:cs="Times New Roman"/>
                <w:b w:val="0"/>
                <w:bCs/>
              </w:rPr>
            </w:pPr>
            <w:r>
              <w:rPr>
                <w:rFonts w:cs="Times New Roman"/>
                <w:b w:val="0"/>
                <w:bCs/>
              </w:rPr>
              <w:t>/</w:t>
            </w:r>
          </w:p>
        </w:tc>
        <w:tc>
          <w:tcPr>
            <w:tcW w:w="1438" w:type="dxa"/>
            <w:vAlign w:val="center"/>
          </w:tcPr>
          <w:p>
            <w:pPr>
              <w:jc w:val="center"/>
              <w:rPr>
                <w:rFonts w:cs="Times New Roman"/>
                <w:b w:val="0"/>
                <w:bCs/>
              </w:rPr>
            </w:pPr>
            <w:r>
              <w:rPr>
                <w:rFonts w:cs="Times New Roman"/>
                <w:b w:val="0"/>
                <w:bCs/>
              </w:rPr>
              <w:t>/</w:t>
            </w:r>
          </w:p>
        </w:tc>
        <w:tc>
          <w:tcPr>
            <w:tcW w:w="1714" w:type="dxa"/>
            <w:vAlign w:val="center"/>
          </w:tcPr>
          <w:p>
            <w:pPr>
              <w:jc w:val="center"/>
              <w:rPr>
                <w:rFonts w:cs="Times New Roman"/>
                <w:b w:val="0"/>
                <w:bCs/>
              </w:rPr>
            </w:pPr>
            <w:r>
              <w:rPr>
                <w:rFonts w:cs="Times New Roman"/>
                <w:b w:val="0"/>
                <w:bCs/>
              </w:rPr>
              <w:t>/</w:t>
            </w:r>
          </w:p>
        </w:tc>
        <w:tc>
          <w:tcPr>
            <w:tcW w:w="2827" w:type="dxa"/>
            <w:vAlign w:val="center"/>
          </w:tcPr>
          <w:p>
            <w:pPr>
              <w:jc w:val="center"/>
              <w:rPr>
                <w:rFonts w:cs="Times New Roman"/>
                <w:b w:val="0"/>
                <w:bCs/>
              </w:rPr>
            </w:pPr>
            <w:r>
              <w:rPr>
                <w:rFonts w:cs="Times New Roman"/>
                <w:b w:val="0"/>
                <w:bCs/>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818" w:type="dxa"/>
            <w:vMerge w:val="restart"/>
            <w:vAlign w:val="center"/>
          </w:tcPr>
          <w:p>
            <w:pPr>
              <w:jc w:val="center"/>
              <w:rPr>
                <w:rFonts w:ascii="宋体" w:hAnsi="宋体" w:cs="宋体"/>
                <w:sz w:val="21"/>
                <w:szCs w:val="21"/>
              </w:rPr>
            </w:pPr>
            <w:r>
              <w:rPr>
                <w:rFonts w:hint="eastAsia" w:ascii="宋体" w:hAnsi="宋体" w:cs="宋体"/>
                <w:szCs w:val="21"/>
              </w:rPr>
              <w:t>固体废物</w:t>
            </w:r>
          </w:p>
        </w:tc>
        <w:tc>
          <w:tcPr>
            <w:tcW w:w="1736" w:type="dxa"/>
            <w:vAlign w:val="center"/>
          </w:tcPr>
          <w:p>
            <w:pPr>
              <w:pStyle w:val="45"/>
              <w:rPr>
                <w:rFonts w:hint="default" w:eastAsia="宋体" w:cs="Times New Roman"/>
                <w:bCs/>
                <w:lang w:val="en-US" w:eastAsia="zh-CN"/>
              </w:rPr>
            </w:pPr>
            <w:r>
              <w:rPr>
                <w:rFonts w:hint="eastAsia" w:cs="Times New Roman"/>
                <w:bCs/>
                <w:lang w:val="en-US" w:eastAsia="zh-CN"/>
              </w:rPr>
              <w:t>软水制备</w:t>
            </w:r>
          </w:p>
        </w:tc>
        <w:tc>
          <w:tcPr>
            <w:tcW w:w="1438" w:type="dxa"/>
            <w:vAlign w:val="center"/>
          </w:tcPr>
          <w:p>
            <w:pPr>
              <w:pStyle w:val="45"/>
              <w:rPr>
                <w:rFonts w:hint="default" w:eastAsia="宋体" w:cs="Times New Roman"/>
                <w:bCs/>
                <w:lang w:val="en-US" w:eastAsia="zh-CN"/>
              </w:rPr>
            </w:pPr>
            <w:r>
              <w:rPr>
                <w:rFonts w:hint="eastAsia" w:cs="Times New Roman"/>
                <w:bCs/>
                <w:lang w:val="en-US" w:eastAsia="zh-CN"/>
              </w:rPr>
              <w:t>危离子交换树脂</w:t>
            </w:r>
          </w:p>
        </w:tc>
        <w:tc>
          <w:tcPr>
            <w:tcW w:w="1714" w:type="dxa"/>
            <w:vAlign w:val="center"/>
          </w:tcPr>
          <w:p>
            <w:pPr>
              <w:pStyle w:val="45"/>
              <w:rPr>
                <w:rFonts w:hint="default" w:eastAsia="宋体" w:cs="Times New Roman"/>
                <w:bCs/>
                <w:lang w:val="en-US" w:eastAsia="zh-CN"/>
              </w:rPr>
            </w:pPr>
            <w:r>
              <w:rPr>
                <w:rFonts w:hint="eastAsia" w:cs="Times New Roman"/>
                <w:bCs/>
                <w:lang w:val="en-US" w:eastAsia="zh-CN"/>
              </w:rPr>
              <w:t>厂家更换回收</w:t>
            </w:r>
          </w:p>
        </w:tc>
        <w:tc>
          <w:tcPr>
            <w:tcW w:w="2827" w:type="dxa"/>
            <w:vAlign w:val="center"/>
          </w:tcPr>
          <w:p>
            <w:pPr>
              <w:pStyle w:val="45"/>
              <w:jc w:val="center"/>
              <w:rPr>
                <w:rFonts w:hint="eastAsia" w:eastAsia="宋体" w:cs="Times New Roman"/>
                <w:bCs/>
                <w:lang w:eastAsia="zh-CN"/>
              </w:rPr>
            </w:pPr>
            <w:r>
              <w:rPr>
                <w:rFonts w:hint="eastAsia"/>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818" w:type="dxa"/>
            <w:vMerge w:val="continue"/>
            <w:vAlign w:val="center"/>
          </w:tcPr>
          <w:p>
            <w:pPr>
              <w:jc w:val="center"/>
              <w:rPr>
                <w:rFonts w:hint="eastAsia" w:ascii="宋体" w:hAnsi="宋体" w:cs="宋体"/>
                <w:szCs w:val="21"/>
              </w:rPr>
            </w:pPr>
          </w:p>
        </w:tc>
        <w:tc>
          <w:tcPr>
            <w:tcW w:w="1736" w:type="dxa"/>
            <w:vAlign w:val="center"/>
          </w:tcPr>
          <w:p>
            <w:pPr>
              <w:pStyle w:val="45"/>
              <w:rPr>
                <w:rFonts w:hint="default" w:cs="Times New Roman"/>
                <w:bCs/>
                <w:lang w:val="en-US" w:eastAsia="zh-CN"/>
              </w:rPr>
            </w:pPr>
            <w:r>
              <w:rPr>
                <w:rFonts w:hint="eastAsia" w:cs="Times New Roman"/>
                <w:bCs/>
                <w:lang w:val="en-US" w:eastAsia="zh-CN"/>
              </w:rPr>
              <w:t>污水处理站</w:t>
            </w:r>
          </w:p>
        </w:tc>
        <w:tc>
          <w:tcPr>
            <w:tcW w:w="1438" w:type="dxa"/>
            <w:vAlign w:val="center"/>
          </w:tcPr>
          <w:p>
            <w:pPr>
              <w:pStyle w:val="45"/>
              <w:rPr>
                <w:rFonts w:hint="eastAsia" w:cs="Times New Roman"/>
                <w:bCs/>
                <w:lang w:val="en-US" w:eastAsia="zh-CN"/>
              </w:rPr>
            </w:pPr>
            <w:r>
              <w:rPr>
                <w:rFonts w:hint="eastAsia" w:cs="Times New Roman"/>
                <w:bCs/>
                <w:lang w:val="en-US" w:eastAsia="zh-CN"/>
              </w:rPr>
              <w:t>污泥</w:t>
            </w:r>
          </w:p>
        </w:tc>
        <w:tc>
          <w:tcPr>
            <w:tcW w:w="1714" w:type="dxa"/>
            <w:vAlign w:val="center"/>
          </w:tcPr>
          <w:p>
            <w:pPr>
              <w:pStyle w:val="45"/>
              <w:rPr>
                <w:rFonts w:hint="default" w:cs="Times New Roman"/>
                <w:bCs/>
                <w:lang w:val="en-US" w:eastAsia="zh-CN"/>
              </w:rPr>
            </w:pPr>
            <w:r>
              <w:rPr>
                <w:rFonts w:hint="eastAsia" w:cs="Times New Roman"/>
                <w:bCs/>
                <w:lang w:val="en-US" w:eastAsia="zh-CN"/>
              </w:rPr>
              <w:t>环卫部门清运</w:t>
            </w:r>
          </w:p>
        </w:tc>
        <w:tc>
          <w:tcPr>
            <w:tcW w:w="2827" w:type="dxa"/>
            <w:vAlign w:val="center"/>
          </w:tcPr>
          <w:p>
            <w:pPr>
              <w:pStyle w:val="45"/>
              <w:jc w:val="center"/>
              <w:rPr>
                <w:rFonts w:hint="eastAsia"/>
                <w:lang w:val="en-US" w:eastAsia="zh-CN"/>
              </w:rPr>
            </w:pPr>
            <w:r>
              <w:rPr>
                <w:rFonts w:hint="eastAsia"/>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818" w:type="dxa"/>
            <w:vMerge w:val="continue"/>
            <w:vAlign w:val="center"/>
          </w:tcPr>
          <w:p>
            <w:pPr>
              <w:jc w:val="center"/>
              <w:rPr>
                <w:rFonts w:hint="eastAsia" w:ascii="宋体" w:hAnsi="宋体" w:cs="宋体"/>
                <w:szCs w:val="21"/>
              </w:rPr>
            </w:pPr>
          </w:p>
        </w:tc>
        <w:tc>
          <w:tcPr>
            <w:tcW w:w="1736" w:type="dxa"/>
            <w:vAlign w:val="center"/>
          </w:tcPr>
          <w:p>
            <w:pPr>
              <w:pStyle w:val="45"/>
              <w:rPr>
                <w:rFonts w:hint="default" w:cs="Times New Roman"/>
                <w:bCs/>
                <w:lang w:val="en-US" w:eastAsia="zh-CN"/>
              </w:rPr>
            </w:pPr>
            <w:r>
              <w:rPr>
                <w:rFonts w:hint="eastAsia" w:cs="Times New Roman"/>
                <w:bCs/>
                <w:lang w:val="en-US" w:eastAsia="zh-CN"/>
              </w:rPr>
              <w:t>废包装物</w:t>
            </w:r>
          </w:p>
        </w:tc>
        <w:tc>
          <w:tcPr>
            <w:tcW w:w="1438" w:type="dxa"/>
            <w:vAlign w:val="center"/>
          </w:tcPr>
          <w:p>
            <w:pPr>
              <w:pStyle w:val="45"/>
              <w:rPr>
                <w:rFonts w:hint="eastAsia" w:cs="Times New Roman"/>
                <w:bCs/>
                <w:lang w:val="en-US" w:eastAsia="zh-CN"/>
              </w:rPr>
            </w:pPr>
            <w:r>
              <w:rPr>
                <w:rFonts w:hint="eastAsia" w:cs="Times New Roman"/>
                <w:bCs/>
                <w:lang w:val="en-US" w:eastAsia="zh-CN"/>
              </w:rPr>
              <w:t>废包装物</w:t>
            </w:r>
          </w:p>
        </w:tc>
        <w:tc>
          <w:tcPr>
            <w:tcW w:w="1714" w:type="dxa"/>
            <w:vAlign w:val="center"/>
          </w:tcPr>
          <w:p>
            <w:pPr>
              <w:pStyle w:val="45"/>
              <w:rPr>
                <w:rFonts w:hint="default" w:cs="Times New Roman"/>
                <w:bCs/>
                <w:lang w:val="en-US" w:eastAsia="zh-CN"/>
              </w:rPr>
            </w:pPr>
            <w:r>
              <w:rPr>
                <w:rFonts w:hint="eastAsia" w:cs="Times New Roman"/>
                <w:bCs/>
                <w:lang w:val="en-US" w:eastAsia="zh-CN"/>
              </w:rPr>
              <w:t>外售</w:t>
            </w:r>
          </w:p>
        </w:tc>
        <w:tc>
          <w:tcPr>
            <w:tcW w:w="2827" w:type="dxa"/>
            <w:vAlign w:val="center"/>
          </w:tcPr>
          <w:p>
            <w:pPr>
              <w:pStyle w:val="45"/>
              <w:jc w:val="center"/>
              <w:rPr>
                <w:rFonts w:hint="eastAsia"/>
                <w:lang w:val="en-US" w:eastAsia="zh-CN"/>
              </w:rPr>
            </w:pPr>
            <w:r>
              <w:rPr>
                <w:rFonts w:hint="eastAsia"/>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8" w:type="dxa"/>
            <w:vAlign w:val="center"/>
          </w:tcPr>
          <w:p>
            <w:pPr>
              <w:jc w:val="center"/>
              <w:rPr>
                <w:rFonts w:ascii="宋体" w:hAnsi="宋体" w:cs="宋体"/>
                <w:sz w:val="21"/>
                <w:szCs w:val="21"/>
              </w:rPr>
            </w:pPr>
            <w:r>
              <w:rPr>
                <w:rFonts w:hint="eastAsia" w:ascii="宋体" w:hAnsi="宋体" w:cs="宋体"/>
                <w:szCs w:val="21"/>
              </w:rPr>
              <w:t>土壤及地下水污染防治措施</w:t>
            </w:r>
          </w:p>
        </w:tc>
        <w:tc>
          <w:tcPr>
            <w:tcW w:w="7715" w:type="dxa"/>
            <w:gridSpan w:val="4"/>
            <w:vAlign w:val="center"/>
          </w:tcPr>
          <w:p>
            <w:pPr>
              <w:pStyle w:val="22"/>
              <w:spacing w:line="360" w:lineRule="auto"/>
              <w:ind w:firstLine="0" w:firstLineChars="0"/>
              <w:jc w:val="both"/>
              <w:rPr>
                <w:rFonts w:ascii="宋体" w:hAnsi="宋体" w:cs="宋体"/>
              </w:rPr>
            </w:pPr>
            <w:r>
              <w:rPr>
                <w:rFonts w:hint="eastAsia" w:ascii="宋体" w:hAnsi="宋体" w:cs="宋体"/>
              </w:rPr>
              <w:t>本项目地下水与土壤污染防治措施和对策，坚持“源头控制、分区防治、污染监控、</w:t>
            </w:r>
            <w:r>
              <w:rPr>
                <w:rFonts w:hint="eastAsia" w:ascii="宋体" w:hAnsi="宋体" w:cs="宋体"/>
                <w:lang w:eastAsia="zh-CN"/>
              </w:rPr>
              <w:t>应急</w:t>
            </w:r>
            <w:r>
              <w:rPr>
                <w:rFonts w:hint="eastAsia" w:ascii="宋体" w:hAnsi="宋体" w:cs="宋体"/>
              </w:rPr>
              <w:t>响应”的原则，本项目拟对</w:t>
            </w:r>
            <w:r>
              <w:rPr>
                <w:rFonts w:hint="default"/>
                <w:lang w:val="en-US" w:eastAsia="zh-CN"/>
              </w:rPr>
              <w:t>锅炉房、水处理间、消防泵房及污水管线</w:t>
            </w:r>
            <w:r>
              <w:rPr>
                <w:rFonts w:hint="eastAsia"/>
                <w:lang w:val="en-US" w:eastAsia="zh-CN"/>
              </w:rPr>
              <w:t>等</w:t>
            </w:r>
            <w:r>
              <w:rPr>
                <w:rFonts w:hint="eastAsia" w:ascii="宋体" w:hAnsi="宋体" w:cs="宋体"/>
              </w:rPr>
              <w:t>做重点防渗，其余做简单防渗。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8" w:type="dxa"/>
            <w:vAlign w:val="center"/>
          </w:tcPr>
          <w:p>
            <w:pPr>
              <w:jc w:val="center"/>
              <w:rPr>
                <w:rFonts w:ascii="宋体" w:hAnsi="宋体" w:cs="宋体"/>
                <w:sz w:val="21"/>
                <w:szCs w:val="21"/>
              </w:rPr>
            </w:pPr>
            <w:r>
              <w:rPr>
                <w:rFonts w:hint="eastAsia" w:ascii="宋体" w:hAnsi="宋体" w:cs="宋体"/>
                <w:szCs w:val="21"/>
              </w:rPr>
              <w:t>生态保护措施</w:t>
            </w:r>
          </w:p>
        </w:tc>
        <w:tc>
          <w:tcPr>
            <w:tcW w:w="7715" w:type="dxa"/>
            <w:gridSpan w:val="4"/>
            <w:vAlign w:val="center"/>
          </w:tcPr>
          <w:p>
            <w:pPr>
              <w:jc w:val="center"/>
              <w:rPr>
                <w:rFonts w:ascii="宋体" w:hAnsi="宋体" w:cs="宋体"/>
              </w:rPr>
            </w:pPr>
            <w:r>
              <w:rPr>
                <w:rFonts w:hint="eastAsia" w:ascii="宋体" w:hAnsi="宋体" w:cs="宋体"/>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8" w:type="dxa"/>
            <w:vAlign w:val="center"/>
          </w:tcPr>
          <w:p>
            <w:pPr>
              <w:jc w:val="center"/>
              <w:rPr>
                <w:rFonts w:ascii="宋体" w:hAnsi="宋体" w:cs="宋体"/>
                <w:spacing w:val="-8"/>
                <w:szCs w:val="21"/>
              </w:rPr>
            </w:pPr>
            <w:r>
              <w:rPr>
                <w:rFonts w:hint="eastAsia" w:ascii="宋体" w:hAnsi="宋体" w:cs="宋体"/>
                <w:spacing w:val="-8"/>
                <w:szCs w:val="21"/>
              </w:rPr>
              <w:t>环境风险</w:t>
            </w:r>
          </w:p>
          <w:p>
            <w:pPr>
              <w:jc w:val="center"/>
              <w:rPr>
                <w:rFonts w:ascii="宋体" w:hAnsi="宋体" w:cs="宋体"/>
                <w:spacing w:val="-8"/>
                <w:sz w:val="21"/>
                <w:szCs w:val="21"/>
              </w:rPr>
            </w:pPr>
            <w:r>
              <w:rPr>
                <w:rFonts w:hint="eastAsia" w:ascii="宋体" w:hAnsi="宋体" w:cs="宋体"/>
                <w:spacing w:val="-8"/>
                <w:szCs w:val="21"/>
              </w:rPr>
              <w:t>防范措施</w:t>
            </w:r>
          </w:p>
        </w:tc>
        <w:tc>
          <w:tcPr>
            <w:tcW w:w="7715" w:type="dxa"/>
            <w:gridSpan w:val="4"/>
            <w:vAlign w:val="center"/>
          </w:tcPr>
          <w:p>
            <w:pPr>
              <w:pStyle w:val="22"/>
              <w:ind w:firstLine="480"/>
              <w:jc w:val="both"/>
            </w:pPr>
            <w:r>
              <w:rPr>
                <w:rFonts w:hint="eastAsia"/>
              </w:rPr>
              <w:t>①建立严格的环境管理制度及操作规程，严格培训操作人员，严格遵守各项规章制度；</w:t>
            </w:r>
          </w:p>
          <w:p>
            <w:pPr>
              <w:pStyle w:val="22"/>
              <w:ind w:firstLine="480"/>
              <w:jc w:val="both"/>
            </w:pPr>
            <w:r>
              <w:rPr>
                <w:rFonts w:hint="eastAsia"/>
              </w:rPr>
              <w:t>②确保各项环保治理措施切实可行，并保证治理设施正常运行，且做到达标排放；</w:t>
            </w:r>
          </w:p>
          <w:p>
            <w:pPr>
              <w:pStyle w:val="22"/>
              <w:ind w:firstLine="480"/>
              <w:jc w:val="both"/>
            </w:pPr>
            <w:r>
              <w:rPr>
                <w:rFonts w:hint="eastAsia"/>
              </w:rPr>
              <w:t>③定期检查和维修设备，及时发现问题及时解决，使事故发生率</w:t>
            </w:r>
            <w:r>
              <w:rPr>
                <w:rFonts w:hint="eastAsia"/>
                <w:lang w:eastAsia="zh-CN"/>
              </w:rPr>
              <w:t>降</w:t>
            </w:r>
            <w:r>
              <w:rPr>
                <w:rFonts w:hint="eastAsia"/>
              </w:rPr>
              <w:t>至最低；同时锅炉房须配有规定数量的灭火器等，建设单位须定期对消防设施进行检查与更换，确保其达到完好状态；</w:t>
            </w:r>
          </w:p>
          <w:p>
            <w:pPr>
              <w:pStyle w:val="22"/>
              <w:ind w:firstLine="480"/>
              <w:jc w:val="both"/>
            </w:pPr>
            <w:r>
              <w:rPr>
                <w:rFonts w:hint="eastAsia"/>
              </w:rPr>
              <w:t>④建立一套完整的应急预案及应急处理事故的队伍，一旦发生意外，迅速解决问题和处理事故现场，使环境损失、经济损失、人员伤亡等降至最小；</w:t>
            </w:r>
          </w:p>
          <w:p>
            <w:pPr>
              <w:pStyle w:val="22"/>
              <w:ind w:firstLine="480"/>
              <w:jc w:val="both"/>
            </w:pPr>
            <w:r>
              <w:rPr>
                <w:rFonts w:hint="eastAsia"/>
              </w:rPr>
              <w:t>⑤微小</w:t>
            </w:r>
            <w:r>
              <w:rPr>
                <w:rFonts w:hint="eastAsia"/>
                <w:lang w:eastAsia="zh-CN"/>
              </w:rPr>
              <w:t>泄漏</w:t>
            </w:r>
            <w:r>
              <w:rPr>
                <w:rFonts w:hint="eastAsia"/>
              </w:rPr>
              <w:t>和预警事故的工艺处理措施：发生此类事故，要及时根据实际情况确定事故较小对生产无影响，采取减少污染物的泄漏量，同时禁止无关人员接近事故现场；</w:t>
            </w:r>
          </w:p>
          <w:p>
            <w:pPr>
              <w:pStyle w:val="22"/>
              <w:ind w:firstLine="480"/>
              <w:jc w:val="both"/>
            </w:pPr>
            <w:r>
              <w:rPr>
                <w:rFonts w:hint="eastAsia"/>
              </w:rPr>
              <w:t>⑥加强职工的安全教育，提高安全防范风险的意识，规范职工操作。对易发生</w:t>
            </w:r>
            <w:r>
              <w:rPr>
                <w:rFonts w:hint="eastAsia"/>
                <w:lang w:eastAsia="zh-CN"/>
              </w:rPr>
              <w:t>泄漏</w:t>
            </w:r>
            <w:r>
              <w:rPr>
                <w:rFonts w:hint="eastAsia"/>
              </w:rPr>
              <w:t>的部位实行定期的巡查制度，及时发现问题，尽快解决；</w:t>
            </w:r>
          </w:p>
          <w:p>
            <w:pPr>
              <w:pStyle w:val="22"/>
              <w:ind w:firstLine="480"/>
              <w:jc w:val="both"/>
              <w:rPr>
                <w:rFonts w:hint="eastAsia"/>
              </w:rPr>
            </w:pPr>
            <w:r>
              <w:rPr>
                <w:rFonts w:hint="eastAsia"/>
              </w:rPr>
              <w:t>⑦建设单位应定期检查风险防范措施和应急预案的有效性，定期进行风险救援训练，确保责任到人、措施到位。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7" w:hRule="atLeast"/>
        </w:trPr>
        <w:tc>
          <w:tcPr>
            <w:tcW w:w="818" w:type="dxa"/>
            <w:vAlign w:val="center"/>
          </w:tcPr>
          <w:p>
            <w:pPr>
              <w:jc w:val="center"/>
              <w:rPr>
                <w:rFonts w:ascii="宋体" w:hAnsi="宋体" w:cs="宋体"/>
                <w:spacing w:val="-8"/>
                <w:szCs w:val="21"/>
              </w:rPr>
            </w:pPr>
            <w:r>
              <w:rPr>
                <w:rFonts w:hint="eastAsia" w:ascii="宋体" w:hAnsi="宋体" w:cs="宋体"/>
                <w:spacing w:val="-8"/>
                <w:szCs w:val="21"/>
              </w:rPr>
              <w:t>其他环境</w:t>
            </w:r>
          </w:p>
          <w:p>
            <w:pPr>
              <w:jc w:val="center"/>
              <w:rPr>
                <w:rFonts w:ascii="宋体" w:hAnsi="宋体" w:cs="宋体"/>
                <w:spacing w:val="-8"/>
                <w:sz w:val="21"/>
                <w:szCs w:val="21"/>
              </w:rPr>
            </w:pPr>
            <w:r>
              <w:rPr>
                <w:rFonts w:hint="eastAsia" w:ascii="宋体" w:hAnsi="宋体" w:cs="宋体"/>
                <w:spacing w:val="-8"/>
                <w:szCs w:val="21"/>
              </w:rPr>
              <w:t>管理要求</w:t>
            </w:r>
          </w:p>
        </w:tc>
        <w:tc>
          <w:tcPr>
            <w:tcW w:w="7715" w:type="dxa"/>
            <w:gridSpan w:val="4"/>
            <w:vAlign w:val="top"/>
          </w:tcPr>
          <w:p>
            <w:pPr>
              <w:pStyle w:val="22"/>
              <w:bidi w:val="0"/>
              <w:jc w:val="both"/>
              <w:rPr>
                <w:rFonts w:hint="eastAsia"/>
              </w:rPr>
            </w:pPr>
            <w:r>
              <w:rPr>
                <w:rFonts w:hint="eastAsia"/>
              </w:rPr>
              <w:t>加强管理，项目建成投入运营后，按要求填报排污许可证，并尽快组织竣工环保验收；项目正式运营后必须按照当地环境保护行政主管部门的要求，委托第三方社会化环境监测机构对企业排污状况按照监测计划进行环境监测。</w:t>
            </w:r>
          </w:p>
          <w:p>
            <w:pPr>
              <w:pStyle w:val="7"/>
              <w:bidi w:val="0"/>
              <w:jc w:val="both"/>
              <w:rPr>
                <w:rFonts w:hint="eastAsia"/>
              </w:rPr>
            </w:pPr>
            <w:r>
              <w:rPr>
                <w:rFonts w:hint="eastAsia"/>
              </w:rPr>
              <w:t>排污许可信息填报要求</w:t>
            </w:r>
          </w:p>
          <w:p>
            <w:pPr>
              <w:pStyle w:val="22"/>
              <w:bidi w:val="0"/>
              <w:jc w:val="both"/>
              <w:rPr>
                <w:rFonts w:hint="eastAsia"/>
              </w:rPr>
            </w:pPr>
            <w:r>
              <w:rPr>
                <w:rFonts w:hint="eastAsia"/>
              </w:rPr>
              <w:t>根据《固定污染源排污许可分类管理名录》（2019年版）、</w:t>
            </w:r>
            <w:r>
              <w:rPr>
                <w:rFonts w:hint="default" w:ascii="Times New Roman" w:hAnsi="Times New Roman" w:cs="Times New Roman"/>
                <w:b w:val="0"/>
                <w:bCs/>
                <w:color w:val="auto"/>
                <w:lang w:val="en-US" w:eastAsia="zh-CN"/>
              </w:rPr>
              <w:t>《排污许可证与核发技术规范 锅炉》（HJ953-2018）与《排污单位自行监测技术指南 火力发电及锅炉》（HJ 820-2017）</w:t>
            </w:r>
            <w:r>
              <w:rPr>
                <w:rFonts w:hint="eastAsia"/>
              </w:rPr>
              <w:t>及《排污许可证申请与核发技术规范总则》（HJ942-2018），本项目属于简化管理，建设单位应在启动生产设施或者发生实际排污之前申请取得排污许可证，并严格按照排污许可证规定的污染物排放种类、浓度、总量等排污。</w:t>
            </w:r>
          </w:p>
          <w:p>
            <w:pPr>
              <w:pStyle w:val="22"/>
              <w:ind w:left="0" w:leftChars="0" w:firstLine="0" w:firstLineChars="0"/>
              <w:jc w:val="both"/>
              <w:rPr>
                <w:rFonts w:hint="eastAsia"/>
              </w:rPr>
            </w:pPr>
          </w:p>
        </w:tc>
      </w:tr>
    </w:tbl>
    <w:p>
      <w:pPr>
        <w:jc w:val="both"/>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5"/>
        <w:numPr>
          <w:ilvl w:val="0"/>
          <w:numId w:val="2"/>
        </w:numPr>
      </w:pPr>
      <w:r>
        <w:rPr>
          <w:rFonts w:hint="eastAsia"/>
        </w:rPr>
        <w:t>结论</w:t>
      </w:r>
    </w:p>
    <w:tbl>
      <w:tblPr>
        <w:tblStyle w:val="27"/>
        <w:tblW w:w="0" w:type="auto"/>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2823" w:hRule="atLeast"/>
        </w:trPr>
        <w:tc>
          <w:tcPr>
            <w:tcW w:w="8522" w:type="dxa"/>
            <w:tcBorders>
              <w:tl2br w:val="nil"/>
              <w:tr2bl w:val="nil"/>
            </w:tcBorders>
          </w:tcPr>
          <w:p>
            <w:pPr>
              <w:pStyle w:val="22"/>
              <w:ind w:firstLine="480"/>
              <w:jc w:val="both"/>
            </w:pPr>
            <w:r>
              <w:rPr>
                <w:rFonts w:hint="eastAsia"/>
                <w:bCs/>
              </w:rPr>
              <w:t>本项目</w:t>
            </w:r>
            <w:r>
              <w:rPr>
                <w:rFonts w:hint="eastAsia"/>
              </w:rPr>
              <w:t>符合国家产业政策，其厂址选择基本可行、厂区布局合理。采用的生产工艺和设备较为先进，采用的污染防治措施技术可行，可确保废水、废气、噪声达标排放，固废妥善处置。项目投产后具有良好的经济效益和一定的社会效益。只要在工程建设中，严格执行建设项目</w:t>
            </w:r>
            <w:r>
              <w:t>“</w:t>
            </w:r>
            <w:r>
              <w:rPr>
                <w:rFonts w:hint="eastAsia"/>
              </w:rPr>
              <w:t>三同时</w:t>
            </w:r>
            <w:r>
              <w:t>”</w:t>
            </w:r>
            <w:r>
              <w:rPr>
                <w:rFonts w:hint="eastAsia"/>
              </w:rPr>
              <w:t>制度，使各项环保治理措施得以落实，在工程运行过程中加强生产安全管理，从环境保护角度论证，本项目的建设是可行的。</w:t>
            </w:r>
          </w:p>
          <w:p>
            <w:pPr>
              <w:jc w:val="both"/>
            </w:pPr>
          </w:p>
          <w:p>
            <w:pPr>
              <w:pStyle w:val="2"/>
              <w:ind w:left="482"/>
              <w:jc w:val="both"/>
            </w:pPr>
          </w:p>
          <w:p>
            <w:pPr>
              <w:pStyle w:val="12"/>
              <w:jc w:val="both"/>
            </w:pPr>
          </w:p>
          <w:p>
            <w:pPr>
              <w:pStyle w:val="43"/>
              <w:jc w:val="both"/>
            </w:pPr>
          </w:p>
          <w:p>
            <w:pPr>
              <w:pStyle w:val="43"/>
              <w:jc w:val="both"/>
            </w:pPr>
          </w:p>
          <w:p>
            <w:pPr>
              <w:pStyle w:val="43"/>
              <w:jc w:val="both"/>
            </w:pPr>
          </w:p>
          <w:p>
            <w:pPr>
              <w:pStyle w:val="43"/>
              <w:jc w:val="both"/>
            </w:pPr>
          </w:p>
          <w:p>
            <w:pPr>
              <w:pStyle w:val="43"/>
              <w:jc w:val="both"/>
            </w:pPr>
          </w:p>
          <w:p>
            <w:pPr>
              <w:pStyle w:val="43"/>
              <w:jc w:val="both"/>
            </w:pPr>
          </w:p>
          <w:p>
            <w:pPr>
              <w:pStyle w:val="43"/>
              <w:jc w:val="both"/>
            </w:pPr>
          </w:p>
          <w:p>
            <w:pPr>
              <w:pStyle w:val="43"/>
              <w:jc w:val="both"/>
            </w:pPr>
          </w:p>
          <w:p>
            <w:pPr>
              <w:pStyle w:val="43"/>
              <w:jc w:val="both"/>
            </w:pPr>
          </w:p>
          <w:p>
            <w:pPr>
              <w:pStyle w:val="43"/>
              <w:jc w:val="both"/>
            </w:pPr>
          </w:p>
          <w:p>
            <w:pPr>
              <w:pStyle w:val="43"/>
              <w:jc w:val="both"/>
            </w:pPr>
          </w:p>
          <w:p>
            <w:pPr>
              <w:pStyle w:val="43"/>
              <w:jc w:val="both"/>
            </w:pPr>
          </w:p>
        </w:tc>
      </w:tr>
    </w:tbl>
    <w:p>
      <w:pPr>
        <w:jc w:val="both"/>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rPr>
          <w:rFonts w:eastAsia="黑体" w:cs="Times New Roman"/>
          <w:sz w:val="38"/>
          <w:szCs w:val="38"/>
        </w:rPr>
      </w:pPr>
      <w:r>
        <w:rPr>
          <w:rFonts w:eastAsia="黑体" w:cs="Times New Roman"/>
          <w:sz w:val="38"/>
          <w:szCs w:val="38"/>
        </w:rPr>
        <w:t>附表</w:t>
      </w:r>
    </w:p>
    <w:p>
      <w:pPr>
        <w:jc w:val="center"/>
        <w:rPr>
          <w:rFonts w:eastAsia="黑体" w:cs="Times New Roman"/>
          <w:color w:val="auto"/>
          <w:sz w:val="38"/>
          <w:szCs w:val="38"/>
        </w:rPr>
      </w:pPr>
      <w:r>
        <w:rPr>
          <w:rFonts w:eastAsia="黑体" w:cs="Times New Roman"/>
          <w:color w:val="auto"/>
          <w:sz w:val="38"/>
          <w:szCs w:val="38"/>
        </w:rPr>
        <w:t>建设项目污染物排放量汇总表</w:t>
      </w:r>
    </w:p>
    <w:tbl>
      <w:tblPr>
        <w:tblStyle w:val="26"/>
        <w:tblW w:w="1337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1460"/>
        <w:gridCol w:w="1970"/>
        <w:gridCol w:w="1235"/>
        <w:gridCol w:w="1651"/>
        <w:gridCol w:w="1514"/>
        <w:gridCol w:w="1527"/>
        <w:gridCol w:w="1706"/>
        <w:gridCol w:w="117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5" w:hRule="atLeast"/>
          <w:jc w:val="center"/>
        </w:trPr>
        <w:tc>
          <w:tcPr>
            <w:tcW w:w="1135" w:type="dxa"/>
            <w:tcBorders>
              <w:top w:val="single" w:color="auto" w:sz="8" w:space="0"/>
              <w:left w:val="single" w:color="auto" w:sz="8" w:space="0"/>
              <w:bottom w:val="single" w:color="auto" w:sz="4" w:space="0"/>
              <w:right w:val="single" w:color="auto" w:sz="4" w:space="0"/>
              <w:tl2br w:val="single" w:color="auto" w:sz="4" w:space="0"/>
            </w:tcBorders>
            <w:noWrap w:val="0"/>
            <w:tcMar>
              <w:top w:w="0" w:type="dxa"/>
              <w:left w:w="28" w:type="dxa"/>
              <w:bottom w:w="0" w:type="dxa"/>
              <w:right w:w="28" w:type="dxa"/>
            </w:tcMar>
            <w:vAlign w:val="center"/>
          </w:tcPr>
          <w:p>
            <w:pPr>
              <w:pStyle w:val="33"/>
              <w:bidi w:val="0"/>
              <w:rPr>
                <w:b/>
                <w:bCs/>
                <w:lang w:val="en-US" w:eastAsia="zh-CN"/>
              </w:rPr>
            </w:pPr>
            <w:r>
              <w:rPr>
                <w:rFonts w:hint="eastAsia"/>
                <w:b/>
                <w:bCs/>
                <w:lang w:val="en-US" w:eastAsia="zh-CN"/>
              </w:rPr>
              <w:t xml:space="preserve">    </w:t>
            </w:r>
            <w:r>
              <w:rPr>
                <w:b/>
                <w:bCs/>
                <w:lang w:val="en-US" w:eastAsia="zh-CN"/>
              </w:rPr>
              <w:t>项目</w:t>
            </w:r>
          </w:p>
          <w:p>
            <w:pPr>
              <w:pStyle w:val="33"/>
              <w:bidi w:val="0"/>
              <w:jc w:val="left"/>
              <w:rPr>
                <w:b/>
                <w:bCs/>
                <w:lang w:val="en-US" w:eastAsia="zh-CN"/>
              </w:rPr>
            </w:pPr>
            <w:r>
              <w:rPr>
                <w:b/>
                <w:bCs/>
                <w:lang w:val="en-US" w:eastAsia="zh-CN"/>
              </w:rPr>
              <w:t>分类</w:t>
            </w:r>
          </w:p>
        </w:tc>
        <w:tc>
          <w:tcPr>
            <w:tcW w:w="1460"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33"/>
              <w:bidi w:val="0"/>
              <w:rPr>
                <w:b/>
                <w:bCs/>
                <w:lang w:val="en-US" w:eastAsia="zh-CN"/>
              </w:rPr>
            </w:pPr>
            <w:r>
              <w:rPr>
                <w:b/>
                <w:bCs/>
                <w:lang w:val="en-US" w:eastAsia="zh-CN"/>
              </w:rPr>
              <w:t>污染物名称</w:t>
            </w:r>
          </w:p>
        </w:tc>
        <w:tc>
          <w:tcPr>
            <w:tcW w:w="1970"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33"/>
              <w:bidi w:val="0"/>
              <w:rPr>
                <w:b/>
                <w:bCs/>
                <w:lang w:val="en-US" w:eastAsia="zh-CN"/>
              </w:rPr>
            </w:pPr>
            <w:r>
              <w:rPr>
                <w:b/>
                <w:bCs/>
                <w:lang w:val="en-US" w:eastAsia="zh-CN"/>
              </w:rPr>
              <w:t>现有工程</w:t>
            </w:r>
          </w:p>
          <w:p>
            <w:pPr>
              <w:pStyle w:val="33"/>
              <w:bidi w:val="0"/>
              <w:rPr>
                <w:b/>
                <w:bCs/>
                <w:lang w:val="en-US" w:eastAsia="zh-CN"/>
              </w:rPr>
            </w:pPr>
            <w:r>
              <w:rPr>
                <w:b/>
                <w:bCs/>
                <w:lang w:val="en-US" w:eastAsia="zh-CN"/>
              </w:rPr>
              <w:t>排放量（固体废物产生量）</w:t>
            </w:r>
            <w:r>
              <w:rPr>
                <w:b/>
                <w:bCs/>
                <w:lang w:val="en-US" w:eastAsia="zh-CN"/>
              </w:rPr>
              <w:fldChar w:fldCharType="begin"/>
            </w:r>
            <w:r>
              <w:rPr>
                <w:b/>
                <w:bCs/>
                <w:lang w:val="en-US" w:eastAsia="zh-CN"/>
              </w:rPr>
              <w:instrText xml:space="preserve"> = 1 \* GB3 \* MERGEFORMAT </w:instrText>
            </w:r>
            <w:r>
              <w:rPr>
                <w:b/>
                <w:bCs/>
                <w:lang w:val="en-US" w:eastAsia="zh-CN"/>
              </w:rPr>
              <w:fldChar w:fldCharType="separate"/>
            </w:r>
            <w:r>
              <w:rPr>
                <w:rFonts w:hint="eastAsia"/>
                <w:b/>
                <w:bCs/>
                <w:lang w:val="en-US" w:eastAsia="zh-CN"/>
              </w:rPr>
              <w:t>①</w:t>
            </w:r>
            <w:r>
              <w:rPr>
                <w:b/>
                <w:bCs/>
                <w:lang w:val="en-US" w:eastAsia="zh-CN"/>
              </w:rPr>
              <w:fldChar w:fldCharType="end"/>
            </w:r>
          </w:p>
        </w:tc>
        <w:tc>
          <w:tcPr>
            <w:tcW w:w="1235"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33"/>
              <w:bidi w:val="0"/>
              <w:rPr>
                <w:b/>
                <w:bCs/>
                <w:lang w:val="en-US" w:eastAsia="zh-CN"/>
              </w:rPr>
            </w:pPr>
            <w:r>
              <w:rPr>
                <w:b/>
                <w:bCs/>
                <w:lang w:val="en-US" w:eastAsia="zh-CN"/>
              </w:rPr>
              <w:t>现有工程</w:t>
            </w:r>
          </w:p>
          <w:p>
            <w:pPr>
              <w:pStyle w:val="33"/>
              <w:bidi w:val="0"/>
              <w:rPr>
                <w:b/>
                <w:bCs/>
                <w:lang w:val="en-US" w:eastAsia="zh-CN"/>
              </w:rPr>
            </w:pPr>
            <w:r>
              <w:rPr>
                <w:b/>
                <w:bCs/>
                <w:lang w:val="en-US" w:eastAsia="zh-CN"/>
              </w:rPr>
              <w:t>许可排放量</w:t>
            </w:r>
          </w:p>
          <w:p>
            <w:pPr>
              <w:pStyle w:val="33"/>
              <w:bidi w:val="0"/>
              <w:rPr>
                <w:b/>
                <w:bCs/>
                <w:lang w:val="en-US" w:eastAsia="zh-CN"/>
              </w:rPr>
            </w:pPr>
            <w:r>
              <w:rPr>
                <w:b/>
                <w:bCs/>
                <w:lang w:val="en-US" w:eastAsia="zh-CN"/>
              </w:rPr>
              <w:fldChar w:fldCharType="begin"/>
            </w:r>
            <w:r>
              <w:rPr>
                <w:b/>
                <w:bCs/>
                <w:lang w:val="en-US" w:eastAsia="zh-CN"/>
              </w:rPr>
              <w:instrText xml:space="preserve"> = 2 \* GB3 \* MERGEFORMAT </w:instrText>
            </w:r>
            <w:r>
              <w:rPr>
                <w:b/>
                <w:bCs/>
                <w:lang w:val="en-US" w:eastAsia="zh-CN"/>
              </w:rPr>
              <w:fldChar w:fldCharType="separate"/>
            </w:r>
            <w:r>
              <w:rPr>
                <w:rFonts w:hint="eastAsia"/>
                <w:b/>
                <w:bCs/>
                <w:lang w:val="en-US" w:eastAsia="zh-CN"/>
              </w:rPr>
              <w:t>②</w:t>
            </w:r>
            <w:r>
              <w:rPr>
                <w:b/>
                <w:bCs/>
                <w:lang w:val="en-US" w:eastAsia="zh-CN"/>
              </w:rPr>
              <w:fldChar w:fldCharType="end"/>
            </w:r>
          </w:p>
        </w:tc>
        <w:tc>
          <w:tcPr>
            <w:tcW w:w="1651"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33"/>
              <w:bidi w:val="0"/>
              <w:rPr>
                <w:b/>
                <w:bCs/>
                <w:lang w:val="en-US" w:eastAsia="zh-CN"/>
              </w:rPr>
            </w:pPr>
            <w:r>
              <w:rPr>
                <w:b/>
                <w:bCs/>
                <w:lang w:val="en-US" w:eastAsia="zh-CN"/>
              </w:rPr>
              <w:t>在建工程</w:t>
            </w:r>
          </w:p>
          <w:p>
            <w:pPr>
              <w:pStyle w:val="33"/>
              <w:bidi w:val="0"/>
              <w:rPr>
                <w:b/>
                <w:bCs/>
                <w:lang w:val="en-US" w:eastAsia="zh-CN"/>
              </w:rPr>
            </w:pPr>
            <w:r>
              <w:rPr>
                <w:b/>
                <w:bCs/>
                <w:lang w:val="en-US" w:eastAsia="zh-CN"/>
              </w:rPr>
              <w:t>排放量（固体废物产生量）</w:t>
            </w:r>
            <w:r>
              <w:rPr>
                <w:b/>
                <w:bCs/>
                <w:lang w:val="en-US" w:eastAsia="zh-CN"/>
              </w:rPr>
              <w:fldChar w:fldCharType="begin"/>
            </w:r>
            <w:r>
              <w:rPr>
                <w:b/>
                <w:bCs/>
                <w:lang w:val="en-US" w:eastAsia="zh-CN"/>
              </w:rPr>
              <w:instrText xml:space="preserve"> = 3 \* GB3 \* MERGEFORMAT </w:instrText>
            </w:r>
            <w:r>
              <w:rPr>
                <w:b/>
                <w:bCs/>
                <w:lang w:val="en-US" w:eastAsia="zh-CN"/>
              </w:rPr>
              <w:fldChar w:fldCharType="separate"/>
            </w:r>
            <w:r>
              <w:rPr>
                <w:rFonts w:hint="eastAsia"/>
                <w:b/>
                <w:bCs/>
                <w:lang w:val="en-US" w:eastAsia="zh-CN"/>
              </w:rPr>
              <w:t>③</w:t>
            </w:r>
            <w:r>
              <w:rPr>
                <w:b/>
                <w:bCs/>
                <w:lang w:val="en-US" w:eastAsia="zh-CN"/>
              </w:rPr>
              <w:fldChar w:fldCharType="end"/>
            </w:r>
          </w:p>
        </w:tc>
        <w:tc>
          <w:tcPr>
            <w:tcW w:w="1514"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33"/>
              <w:bidi w:val="0"/>
              <w:rPr>
                <w:b/>
                <w:bCs/>
                <w:lang w:val="en-US" w:eastAsia="zh-CN"/>
              </w:rPr>
            </w:pPr>
            <w:r>
              <w:rPr>
                <w:b/>
                <w:bCs/>
                <w:lang w:val="en-US" w:eastAsia="zh-CN"/>
              </w:rPr>
              <w:t>本项目</w:t>
            </w:r>
          </w:p>
          <w:p>
            <w:pPr>
              <w:pStyle w:val="33"/>
              <w:bidi w:val="0"/>
              <w:rPr>
                <w:b/>
                <w:bCs/>
                <w:lang w:val="en-US" w:eastAsia="zh-CN"/>
              </w:rPr>
            </w:pPr>
            <w:r>
              <w:rPr>
                <w:b/>
                <w:bCs/>
                <w:lang w:val="en-US" w:eastAsia="zh-CN"/>
              </w:rPr>
              <w:t>排放量（固体废物产生量）</w:t>
            </w:r>
            <w:r>
              <w:rPr>
                <w:b/>
                <w:bCs/>
                <w:lang w:val="en-US" w:eastAsia="zh-CN"/>
              </w:rPr>
              <w:fldChar w:fldCharType="begin"/>
            </w:r>
            <w:r>
              <w:rPr>
                <w:b/>
                <w:bCs/>
                <w:lang w:val="en-US" w:eastAsia="zh-CN"/>
              </w:rPr>
              <w:instrText xml:space="preserve"> = 4 \* GB3 \* MERGEFORMAT </w:instrText>
            </w:r>
            <w:r>
              <w:rPr>
                <w:b/>
                <w:bCs/>
                <w:lang w:val="en-US" w:eastAsia="zh-CN"/>
              </w:rPr>
              <w:fldChar w:fldCharType="separate"/>
            </w:r>
            <w:r>
              <w:rPr>
                <w:rFonts w:hint="eastAsia"/>
                <w:b/>
                <w:bCs/>
                <w:lang w:val="en-US" w:eastAsia="zh-CN"/>
              </w:rPr>
              <w:t>④</w:t>
            </w:r>
            <w:r>
              <w:rPr>
                <w:b/>
                <w:bCs/>
                <w:lang w:val="en-US" w:eastAsia="zh-CN"/>
              </w:rPr>
              <w:fldChar w:fldCharType="end"/>
            </w:r>
          </w:p>
        </w:tc>
        <w:tc>
          <w:tcPr>
            <w:tcW w:w="1527"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33"/>
              <w:bidi w:val="0"/>
              <w:rPr>
                <w:b/>
                <w:bCs/>
                <w:lang w:val="en-US" w:eastAsia="zh-CN"/>
              </w:rPr>
            </w:pPr>
            <w:r>
              <w:rPr>
                <w:b/>
                <w:bCs/>
                <w:lang w:val="en-US" w:eastAsia="zh-CN"/>
              </w:rPr>
              <w:t>以新带老削减量（新建项目不填）</w:t>
            </w:r>
            <w:r>
              <w:rPr>
                <w:b/>
                <w:bCs/>
                <w:lang w:val="en-US" w:eastAsia="zh-CN"/>
              </w:rPr>
              <w:fldChar w:fldCharType="begin"/>
            </w:r>
            <w:r>
              <w:rPr>
                <w:b/>
                <w:bCs/>
                <w:lang w:val="en-US" w:eastAsia="zh-CN"/>
              </w:rPr>
              <w:instrText xml:space="preserve"> = 5 \* GB3 \* MERGEFORMAT </w:instrText>
            </w:r>
            <w:r>
              <w:rPr>
                <w:b/>
                <w:bCs/>
                <w:lang w:val="en-US" w:eastAsia="zh-CN"/>
              </w:rPr>
              <w:fldChar w:fldCharType="separate"/>
            </w:r>
            <w:r>
              <w:rPr>
                <w:rFonts w:hint="eastAsia"/>
                <w:b/>
                <w:bCs/>
                <w:lang w:val="en-US" w:eastAsia="zh-CN"/>
              </w:rPr>
              <w:t>⑤</w:t>
            </w:r>
            <w:r>
              <w:rPr>
                <w:b/>
                <w:bCs/>
                <w:lang w:val="en-US" w:eastAsia="zh-CN"/>
              </w:rPr>
              <w:fldChar w:fldCharType="end"/>
            </w:r>
          </w:p>
        </w:tc>
        <w:tc>
          <w:tcPr>
            <w:tcW w:w="1706"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33"/>
              <w:bidi w:val="0"/>
              <w:rPr>
                <w:b/>
                <w:bCs/>
                <w:lang w:val="en-US" w:eastAsia="zh-CN"/>
              </w:rPr>
            </w:pPr>
            <w:r>
              <w:rPr>
                <w:b/>
                <w:bCs/>
                <w:lang w:val="en-US" w:eastAsia="zh-CN"/>
              </w:rPr>
              <w:t>本项目建成后</w:t>
            </w:r>
          </w:p>
          <w:p>
            <w:pPr>
              <w:pStyle w:val="33"/>
              <w:bidi w:val="0"/>
              <w:rPr>
                <w:b/>
                <w:bCs/>
                <w:lang w:val="en-US" w:eastAsia="zh-CN"/>
              </w:rPr>
            </w:pPr>
            <w:r>
              <w:rPr>
                <w:b/>
                <w:bCs/>
                <w:lang w:val="en-US" w:eastAsia="zh-CN"/>
              </w:rPr>
              <w:t>全厂排放量（固体废物产生量）</w:t>
            </w:r>
            <w:r>
              <w:rPr>
                <w:b/>
                <w:bCs/>
                <w:lang w:val="en-US" w:eastAsia="zh-CN"/>
              </w:rPr>
              <w:fldChar w:fldCharType="begin"/>
            </w:r>
            <w:r>
              <w:rPr>
                <w:b/>
                <w:bCs/>
                <w:lang w:val="en-US" w:eastAsia="zh-CN"/>
              </w:rPr>
              <w:instrText xml:space="preserve"> = 6 \* GB3 \* MERGEFORMAT </w:instrText>
            </w:r>
            <w:r>
              <w:rPr>
                <w:b/>
                <w:bCs/>
                <w:lang w:val="en-US" w:eastAsia="zh-CN"/>
              </w:rPr>
              <w:fldChar w:fldCharType="separate"/>
            </w:r>
            <w:r>
              <w:rPr>
                <w:rFonts w:hint="eastAsia"/>
                <w:b/>
                <w:bCs/>
                <w:lang w:val="en-US" w:eastAsia="zh-CN"/>
              </w:rPr>
              <w:t>⑥</w:t>
            </w:r>
            <w:r>
              <w:rPr>
                <w:b/>
                <w:bCs/>
                <w:lang w:val="en-US" w:eastAsia="zh-CN"/>
              </w:rPr>
              <w:fldChar w:fldCharType="end"/>
            </w:r>
          </w:p>
        </w:tc>
        <w:tc>
          <w:tcPr>
            <w:tcW w:w="1177" w:type="dxa"/>
            <w:tcBorders>
              <w:top w:val="single" w:color="auto" w:sz="8" w:space="0"/>
              <w:left w:val="single" w:color="auto" w:sz="4" w:space="0"/>
              <w:bottom w:val="single" w:color="auto" w:sz="4" w:space="0"/>
              <w:right w:val="single" w:color="auto" w:sz="8" w:space="0"/>
            </w:tcBorders>
            <w:noWrap w:val="0"/>
            <w:tcMar>
              <w:top w:w="0" w:type="dxa"/>
              <w:left w:w="28" w:type="dxa"/>
              <w:bottom w:w="0" w:type="dxa"/>
              <w:right w:w="28" w:type="dxa"/>
            </w:tcMar>
            <w:vAlign w:val="center"/>
          </w:tcPr>
          <w:p>
            <w:pPr>
              <w:pStyle w:val="33"/>
              <w:bidi w:val="0"/>
              <w:rPr>
                <w:b/>
                <w:bCs/>
                <w:lang w:val="en-US" w:eastAsia="zh-CN"/>
              </w:rPr>
            </w:pPr>
            <w:r>
              <w:rPr>
                <w:b/>
                <w:bCs/>
                <w:lang w:val="en-US" w:eastAsia="zh-CN"/>
              </w:rPr>
              <w:t>变化量</w:t>
            </w:r>
          </w:p>
          <w:p>
            <w:pPr>
              <w:pStyle w:val="33"/>
              <w:bidi w:val="0"/>
              <w:rPr>
                <w:b/>
                <w:bCs/>
                <w:lang w:val="en-US" w:eastAsia="zh-CN"/>
              </w:rPr>
            </w:pPr>
            <w:r>
              <w:rPr>
                <w:b/>
                <w:bCs/>
                <w:lang w:val="en-US" w:eastAsia="zh-CN"/>
              </w:rPr>
              <w:fldChar w:fldCharType="begin"/>
            </w:r>
            <w:r>
              <w:rPr>
                <w:b/>
                <w:bCs/>
                <w:lang w:val="en-US" w:eastAsia="zh-CN"/>
              </w:rPr>
              <w:instrText xml:space="preserve"> = 7 \* GB3 \* MERGEFORMAT </w:instrText>
            </w:r>
            <w:r>
              <w:rPr>
                <w:b/>
                <w:bCs/>
                <w:lang w:val="en-US" w:eastAsia="zh-CN"/>
              </w:rPr>
              <w:fldChar w:fldCharType="separate"/>
            </w:r>
            <w:r>
              <w:rPr>
                <w:rFonts w:hint="eastAsia"/>
                <w:b/>
                <w:bCs/>
                <w:lang w:val="en-US" w:eastAsia="zh-CN"/>
              </w:rPr>
              <w:t>⑦</w:t>
            </w:r>
            <w:r>
              <w:rPr>
                <w:b/>
                <w:bCs/>
                <w:lang w:val="en-US" w:eastAsia="zh-CN"/>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5" w:type="dxa"/>
            <w:vMerge w:val="restart"/>
            <w:tcBorders>
              <w:left w:val="single" w:color="auto" w:sz="8" w:space="0"/>
              <w:right w:val="single" w:color="auto" w:sz="4" w:space="0"/>
            </w:tcBorders>
            <w:noWrap w:val="0"/>
            <w:vAlign w:val="center"/>
          </w:tcPr>
          <w:p>
            <w:pPr>
              <w:pStyle w:val="33"/>
              <w:bidi w:val="0"/>
            </w:pPr>
            <w:r>
              <w:rPr>
                <w:rFonts w:hint="eastAsia"/>
              </w:rPr>
              <w:t>废气</w:t>
            </w:r>
          </w:p>
        </w:tc>
        <w:tc>
          <w:tcPr>
            <w:tcW w:w="1460" w:type="dxa"/>
            <w:tcBorders>
              <w:top w:val="single" w:color="auto" w:sz="4" w:space="0"/>
              <w:left w:val="single" w:color="auto" w:sz="4" w:space="0"/>
              <w:bottom w:val="single" w:color="auto" w:sz="4" w:space="0"/>
              <w:right w:val="single" w:color="auto" w:sz="4" w:space="0"/>
            </w:tcBorders>
            <w:noWrap w:val="0"/>
            <w:vAlign w:val="center"/>
          </w:tcPr>
          <w:p>
            <w:pPr>
              <w:pStyle w:val="33"/>
              <w:bidi w:val="0"/>
              <w:rPr>
                <w:lang w:val="en-US" w:eastAsia="zh-CN"/>
              </w:rPr>
            </w:pPr>
            <w:r>
              <w:rPr>
                <w:rFonts w:hint="eastAsia"/>
                <w:lang w:val="en-US" w:eastAsia="zh-CN"/>
              </w:rPr>
              <w:t>烟尘</w:t>
            </w:r>
          </w:p>
        </w:tc>
        <w:tc>
          <w:tcPr>
            <w:tcW w:w="1970" w:type="dxa"/>
            <w:tcBorders>
              <w:top w:val="single" w:color="auto" w:sz="4" w:space="0"/>
              <w:bottom w:val="single" w:color="auto" w:sz="4" w:space="0"/>
              <w:tl2br w:val="nil"/>
              <w:tr2bl w:val="nil"/>
            </w:tcBorders>
            <w:noWrap w:val="0"/>
            <w:vAlign w:val="center"/>
          </w:tcPr>
          <w:p>
            <w:pPr>
              <w:pStyle w:val="33"/>
              <w:bidi w:val="0"/>
              <w:rPr>
                <w:rFonts w:hint="default"/>
                <w:lang w:val="en-US" w:eastAsia="zh-CN"/>
              </w:rPr>
            </w:pPr>
            <w:r>
              <w:rPr>
                <w:rFonts w:hint="eastAsia"/>
                <w:lang w:val="en-US" w:eastAsia="zh-CN"/>
              </w:rPr>
              <w:t>/</w:t>
            </w:r>
          </w:p>
        </w:tc>
        <w:tc>
          <w:tcPr>
            <w:tcW w:w="1235"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651"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514" w:type="dxa"/>
            <w:tcBorders>
              <w:top w:val="single" w:color="auto" w:sz="4" w:space="0"/>
              <w:left w:val="single" w:color="auto" w:sz="4" w:space="0"/>
              <w:bottom w:val="single" w:color="auto" w:sz="4" w:space="0"/>
              <w:right w:val="single" w:color="auto" w:sz="4" w:space="0"/>
            </w:tcBorders>
            <w:noWrap w:val="0"/>
            <w:vAlign w:val="center"/>
          </w:tcPr>
          <w:p>
            <w:pPr>
              <w:pStyle w:val="33"/>
              <w:rPr>
                <w:rFonts w:hint="default" w:ascii="Times New Roman" w:hAnsi="Times New Roman" w:eastAsia="宋体" w:cs="Times New Roman"/>
                <w:kern w:val="2"/>
                <w:sz w:val="21"/>
                <w:szCs w:val="24"/>
                <w:lang w:val="en-US" w:eastAsia="zh-CN" w:bidi="ar-SA"/>
              </w:rPr>
            </w:pPr>
            <w:r>
              <w:rPr>
                <w:rFonts w:hint="eastAsia"/>
                <w:color w:val="auto"/>
                <w:lang w:val="en-US" w:eastAsia="zh-CN"/>
              </w:rPr>
              <w:t>0.168t/a</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w:t>
            </w:r>
          </w:p>
        </w:tc>
        <w:tc>
          <w:tcPr>
            <w:tcW w:w="1706" w:type="dxa"/>
            <w:tcBorders>
              <w:top w:val="single" w:color="auto" w:sz="4" w:space="0"/>
              <w:left w:val="single" w:color="auto" w:sz="4" w:space="0"/>
              <w:bottom w:val="single" w:color="auto" w:sz="4" w:space="0"/>
              <w:right w:val="single" w:color="auto" w:sz="4" w:space="0"/>
            </w:tcBorders>
            <w:noWrap w:val="0"/>
            <w:vAlign w:val="center"/>
          </w:tcPr>
          <w:p>
            <w:pPr>
              <w:pStyle w:val="33"/>
              <w:rPr>
                <w:rFonts w:hint="default" w:ascii="Times New Roman" w:hAnsi="Times New Roman" w:eastAsia="宋体" w:cs="Times New Roman"/>
                <w:kern w:val="2"/>
                <w:sz w:val="21"/>
                <w:szCs w:val="24"/>
                <w:lang w:val="en-US" w:eastAsia="zh-CN" w:bidi="ar-SA"/>
              </w:rPr>
            </w:pPr>
            <w:r>
              <w:rPr>
                <w:rFonts w:hint="eastAsia"/>
                <w:color w:val="auto"/>
                <w:lang w:val="en-US" w:eastAsia="zh-CN"/>
              </w:rPr>
              <w:t>0.168t/a</w:t>
            </w:r>
          </w:p>
        </w:tc>
        <w:tc>
          <w:tcPr>
            <w:tcW w:w="1177" w:type="dxa"/>
            <w:tcBorders>
              <w:top w:val="single" w:color="auto" w:sz="4" w:space="0"/>
              <w:left w:val="single" w:color="auto" w:sz="4" w:space="0"/>
              <w:bottom w:val="single" w:color="auto" w:sz="4" w:space="0"/>
              <w:right w:val="single" w:color="auto" w:sz="8" w:space="0"/>
            </w:tcBorders>
            <w:noWrap w:val="0"/>
            <w:vAlign w:val="center"/>
          </w:tcPr>
          <w:p>
            <w:pPr>
              <w:pStyle w:val="33"/>
              <w:bidi w:val="0"/>
              <w:rPr>
                <w:rFonts w:hint="default"/>
                <w:lang w:val="en-US" w:eastAsia="zh-CN"/>
              </w:rPr>
            </w:pP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5" w:type="dxa"/>
            <w:vMerge w:val="continue"/>
            <w:tcBorders>
              <w:left w:val="single" w:color="auto" w:sz="8" w:space="0"/>
              <w:right w:val="single" w:color="auto" w:sz="4" w:space="0"/>
            </w:tcBorders>
            <w:noWrap w:val="0"/>
            <w:vAlign w:val="center"/>
          </w:tcPr>
          <w:p>
            <w:pPr>
              <w:pStyle w:val="33"/>
              <w:bidi w:val="0"/>
            </w:pPr>
          </w:p>
        </w:tc>
        <w:tc>
          <w:tcPr>
            <w:tcW w:w="1460" w:type="dxa"/>
            <w:tcBorders>
              <w:top w:val="single" w:color="auto" w:sz="4" w:space="0"/>
              <w:left w:val="single" w:color="auto" w:sz="4" w:space="0"/>
              <w:bottom w:val="single" w:color="auto" w:sz="4" w:space="0"/>
              <w:right w:val="single" w:color="auto" w:sz="4" w:space="0"/>
            </w:tcBorders>
            <w:noWrap w:val="0"/>
            <w:vAlign w:val="center"/>
          </w:tcPr>
          <w:p>
            <w:pPr>
              <w:pStyle w:val="33"/>
              <w:bidi w:val="0"/>
              <w:rPr>
                <w:lang w:val="en-US" w:eastAsia="zh-CN"/>
              </w:rPr>
            </w:pPr>
            <w:r>
              <w:rPr>
                <w:lang w:val="en-US" w:eastAsia="zh-CN"/>
              </w:rPr>
              <w:t>SO</w:t>
            </w:r>
            <w:r>
              <w:rPr>
                <w:vertAlign w:val="subscript"/>
                <w:lang w:val="en-US" w:eastAsia="zh-CN"/>
              </w:rPr>
              <w:t>2</w:t>
            </w:r>
          </w:p>
        </w:tc>
        <w:tc>
          <w:tcPr>
            <w:tcW w:w="1970" w:type="dxa"/>
            <w:tcBorders>
              <w:top w:val="single" w:color="auto" w:sz="4" w:space="0"/>
              <w:bottom w:val="single" w:color="auto" w:sz="4" w:space="0"/>
              <w:tl2br w:val="nil"/>
              <w:tr2bl w:val="nil"/>
            </w:tcBorders>
            <w:noWrap w:val="0"/>
            <w:vAlign w:val="center"/>
          </w:tcPr>
          <w:p>
            <w:pPr>
              <w:pStyle w:val="33"/>
              <w:bidi w:val="0"/>
              <w:rPr>
                <w:rFonts w:hint="default"/>
                <w:lang w:val="en-US" w:eastAsia="zh-CN"/>
              </w:rPr>
            </w:pPr>
            <w:r>
              <w:rPr>
                <w:rFonts w:hint="eastAsia"/>
                <w:lang w:val="en-US" w:eastAsia="zh-CN"/>
              </w:rPr>
              <w:t>/</w:t>
            </w:r>
          </w:p>
        </w:tc>
        <w:tc>
          <w:tcPr>
            <w:tcW w:w="1235"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651"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514" w:type="dxa"/>
            <w:tcBorders>
              <w:top w:val="single" w:color="auto" w:sz="4" w:space="0"/>
              <w:left w:val="single" w:color="auto" w:sz="4" w:space="0"/>
              <w:bottom w:val="single" w:color="auto" w:sz="4" w:space="0"/>
              <w:right w:val="single" w:color="auto" w:sz="4" w:space="0"/>
            </w:tcBorders>
            <w:noWrap w:val="0"/>
            <w:vAlign w:val="center"/>
          </w:tcPr>
          <w:p>
            <w:pPr>
              <w:pStyle w:val="33"/>
              <w:rPr>
                <w:rFonts w:hint="default" w:ascii="Times New Roman" w:hAnsi="Times New Roman" w:eastAsia="宋体" w:cs="Times New Roman"/>
                <w:kern w:val="2"/>
                <w:sz w:val="21"/>
                <w:szCs w:val="24"/>
                <w:lang w:val="en-US" w:eastAsia="zh-CN" w:bidi="ar-SA"/>
              </w:rPr>
            </w:pPr>
            <w:r>
              <w:rPr>
                <w:rFonts w:hint="eastAsia"/>
                <w:color w:val="auto"/>
                <w:lang w:val="en-US" w:eastAsia="zh-CN"/>
              </w:rPr>
              <w:t>0.005t/a</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w:t>
            </w:r>
          </w:p>
        </w:tc>
        <w:tc>
          <w:tcPr>
            <w:tcW w:w="1706" w:type="dxa"/>
            <w:tcBorders>
              <w:top w:val="single" w:color="auto" w:sz="4" w:space="0"/>
              <w:left w:val="single" w:color="auto" w:sz="4" w:space="0"/>
              <w:bottom w:val="single" w:color="auto" w:sz="4" w:space="0"/>
              <w:right w:val="single" w:color="auto" w:sz="4" w:space="0"/>
            </w:tcBorders>
            <w:noWrap w:val="0"/>
            <w:vAlign w:val="center"/>
          </w:tcPr>
          <w:p>
            <w:pPr>
              <w:pStyle w:val="33"/>
              <w:rPr>
                <w:rFonts w:hint="default" w:ascii="Times New Roman" w:hAnsi="Times New Roman" w:eastAsia="宋体" w:cs="Times New Roman"/>
                <w:kern w:val="2"/>
                <w:sz w:val="21"/>
                <w:szCs w:val="24"/>
                <w:lang w:val="en-US" w:eastAsia="zh-CN" w:bidi="ar-SA"/>
              </w:rPr>
            </w:pPr>
            <w:r>
              <w:rPr>
                <w:rFonts w:hint="eastAsia"/>
                <w:color w:val="auto"/>
                <w:lang w:val="en-US" w:eastAsia="zh-CN"/>
              </w:rPr>
              <w:t>0.005t/a</w:t>
            </w:r>
          </w:p>
        </w:tc>
        <w:tc>
          <w:tcPr>
            <w:tcW w:w="1177" w:type="dxa"/>
            <w:tcBorders>
              <w:top w:val="single" w:color="auto" w:sz="4" w:space="0"/>
              <w:left w:val="single" w:color="auto" w:sz="4" w:space="0"/>
              <w:bottom w:val="single" w:color="auto" w:sz="4" w:space="0"/>
              <w:right w:val="single" w:color="auto" w:sz="8" w:space="0"/>
            </w:tcBorders>
            <w:noWrap w:val="0"/>
            <w:vAlign w:val="center"/>
          </w:tcPr>
          <w:p>
            <w:pPr>
              <w:pStyle w:val="33"/>
              <w:bidi w:val="0"/>
              <w:rPr>
                <w:rFonts w:hint="default"/>
                <w:lang w:val="en-US" w:eastAsia="zh-CN"/>
              </w:rPr>
            </w:pP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5" w:type="dxa"/>
            <w:vMerge w:val="continue"/>
            <w:tcBorders>
              <w:left w:val="single" w:color="auto" w:sz="8" w:space="0"/>
              <w:right w:val="single" w:color="auto" w:sz="4" w:space="0"/>
            </w:tcBorders>
            <w:noWrap w:val="0"/>
            <w:vAlign w:val="center"/>
          </w:tcPr>
          <w:p>
            <w:pPr>
              <w:pStyle w:val="33"/>
              <w:bidi w:val="0"/>
            </w:pPr>
          </w:p>
        </w:tc>
        <w:tc>
          <w:tcPr>
            <w:tcW w:w="1460" w:type="dxa"/>
            <w:tcBorders>
              <w:top w:val="single" w:color="auto" w:sz="4" w:space="0"/>
              <w:left w:val="single" w:color="auto" w:sz="4" w:space="0"/>
              <w:bottom w:val="single" w:color="auto" w:sz="4" w:space="0"/>
              <w:right w:val="single" w:color="auto" w:sz="4" w:space="0"/>
            </w:tcBorders>
            <w:noWrap w:val="0"/>
            <w:vAlign w:val="center"/>
          </w:tcPr>
          <w:p>
            <w:pPr>
              <w:pStyle w:val="33"/>
              <w:bidi w:val="0"/>
              <w:rPr>
                <w:lang w:val="en-US" w:eastAsia="zh-CN"/>
              </w:rPr>
            </w:pPr>
            <w:r>
              <w:rPr>
                <w:lang w:val="en-US" w:eastAsia="zh-CN"/>
              </w:rPr>
              <w:t>NOx</w:t>
            </w:r>
          </w:p>
        </w:tc>
        <w:tc>
          <w:tcPr>
            <w:tcW w:w="1970" w:type="dxa"/>
            <w:tcBorders>
              <w:top w:val="single" w:color="auto" w:sz="4" w:space="0"/>
              <w:bottom w:val="single" w:color="auto" w:sz="4" w:space="0"/>
              <w:tl2br w:val="nil"/>
              <w:tr2bl w:val="nil"/>
            </w:tcBorders>
            <w:noWrap w:val="0"/>
            <w:vAlign w:val="center"/>
          </w:tcPr>
          <w:p>
            <w:pPr>
              <w:pStyle w:val="33"/>
              <w:bidi w:val="0"/>
              <w:rPr>
                <w:rFonts w:hint="default"/>
                <w:lang w:val="en-US" w:eastAsia="zh-CN"/>
              </w:rPr>
            </w:pPr>
            <w:r>
              <w:rPr>
                <w:rFonts w:hint="eastAsia"/>
                <w:lang w:val="en-US" w:eastAsia="zh-CN"/>
              </w:rPr>
              <w:t>/</w:t>
            </w:r>
          </w:p>
        </w:tc>
        <w:tc>
          <w:tcPr>
            <w:tcW w:w="1235"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651"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514" w:type="dxa"/>
            <w:tcBorders>
              <w:top w:val="single" w:color="auto" w:sz="4" w:space="0"/>
              <w:left w:val="single" w:color="auto" w:sz="4" w:space="0"/>
              <w:bottom w:val="single" w:color="auto" w:sz="4" w:space="0"/>
              <w:right w:val="single" w:color="auto" w:sz="4" w:space="0"/>
            </w:tcBorders>
            <w:noWrap w:val="0"/>
            <w:vAlign w:val="center"/>
          </w:tcPr>
          <w:p>
            <w:pPr>
              <w:pStyle w:val="33"/>
              <w:rPr>
                <w:rFonts w:hint="default" w:ascii="Times New Roman" w:hAnsi="Times New Roman" w:eastAsia="宋体" w:cs="Times New Roman"/>
                <w:kern w:val="2"/>
                <w:sz w:val="21"/>
                <w:szCs w:val="24"/>
                <w:lang w:val="en-US" w:eastAsia="zh-CN" w:bidi="ar-SA"/>
              </w:rPr>
            </w:pPr>
            <w:r>
              <w:rPr>
                <w:rFonts w:hint="eastAsia"/>
                <w:lang w:val="en-US" w:eastAsia="zh-CN"/>
              </w:rPr>
              <w:t>0.418</w:t>
            </w:r>
            <w:r>
              <w:rPr>
                <w:rFonts w:hint="eastAsia"/>
                <w:color w:val="auto"/>
                <w:lang w:val="en-US" w:eastAsia="zh-CN"/>
              </w:rPr>
              <w:t>t/a</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706" w:type="dxa"/>
            <w:tcBorders>
              <w:top w:val="single" w:color="auto" w:sz="4" w:space="0"/>
              <w:left w:val="single" w:color="auto" w:sz="4" w:space="0"/>
              <w:bottom w:val="single" w:color="auto" w:sz="4" w:space="0"/>
              <w:right w:val="single" w:color="auto" w:sz="4" w:space="0"/>
            </w:tcBorders>
            <w:noWrap w:val="0"/>
            <w:vAlign w:val="center"/>
          </w:tcPr>
          <w:p>
            <w:pPr>
              <w:pStyle w:val="33"/>
              <w:rPr>
                <w:rFonts w:hint="default" w:ascii="Times New Roman" w:hAnsi="Times New Roman" w:eastAsia="宋体" w:cs="Times New Roman"/>
                <w:kern w:val="2"/>
                <w:sz w:val="21"/>
                <w:szCs w:val="24"/>
                <w:lang w:val="en-US" w:eastAsia="zh-CN" w:bidi="ar-SA"/>
              </w:rPr>
            </w:pPr>
            <w:r>
              <w:rPr>
                <w:rFonts w:hint="eastAsia"/>
                <w:lang w:val="en-US" w:eastAsia="zh-CN"/>
              </w:rPr>
              <w:t>0.418</w:t>
            </w:r>
            <w:r>
              <w:rPr>
                <w:rFonts w:hint="eastAsia"/>
                <w:color w:val="auto"/>
                <w:lang w:val="en-US" w:eastAsia="zh-CN"/>
              </w:rPr>
              <w:t>t/a</w:t>
            </w:r>
          </w:p>
        </w:tc>
        <w:tc>
          <w:tcPr>
            <w:tcW w:w="1177" w:type="dxa"/>
            <w:tcBorders>
              <w:top w:val="single" w:color="auto" w:sz="4" w:space="0"/>
              <w:left w:val="single" w:color="auto" w:sz="4" w:space="0"/>
              <w:bottom w:val="single" w:color="auto" w:sz="4" w:space="0"/>
              <w:right w:val="single" w:color="auto" w:sz="8" w:space="0"/>
            </w:tcBorders>
            <w:noWrap w:val="0"/>
            <w:vAlign w:val="center"/>
          </w:tcPr>
          <w:p>
            <w:pPr>
              <w:pStyle w:val="33"/>
              <w:bidi w:val="0"/>
              <w:rPr>
                <w:rFonts w:hint="default"/>
                <w:lang w:val="en-US" w:eastAsia="zh-CN"/>
              </w:rPr>
            </w:pP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5" w:type="dxa"/>
            <w:vMerge w:val="restart"/>
            <w:tcBorders>
              <w:left w:val="single" w:color="auto" w:sz="8" w:space="0"/>
              <w:right w:val="single" w:color="auto" w:sz="4" w:space="0"/>
            </w:tcBorders>
            <w:noWrap w:val="0"/>
            <w:vAlign w:val="center"/>
          </w:tcPr>
          <w:p>
            <w:pPr>
              <w:pStyle w:val="33"/>
              <w:bidi w:val="0"/>
              <w:rPr>
                <w:color w:val="auto"/>
              </w:rPr>
            </w:pPr>
            <w:r>
              <w:rPr>
                <w:color w:val="auto"/>
              </w:rPr>
              <w:t>废水</w:t>
            </w:r>
          </w:p>
        </w:tc>
        <w:tc>
          <w:tcPr>
            <w:tcW w:w="1460"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COD</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w:t>
            </w:r>
          </w:p>
        </w:tc>
        <w:tc>
          <w:tcPr>
            <w:tcW w:w="1235"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w:t>
            </w:r>
          </w:p>
        </w:tc>
        <w:tc>
          <w:tcPr>
            <w:tcW w:w="1651"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w:t>
            </w:r>
          </w:p>
        </w:tc>
        <w:tc>
          <w:tcPr>
            <w:tcW w:w="1514"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15.176t/a</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default"/>
                <w:color w:val="auto"/>
                <w:lang w:val="en-US" w:eastAsia="zh-CN"/>
              </w:rPr>
            </w:pPr>
            <w:r>
              <w:rPr>
                <w:rFonts w:hint="eastAsia"/>
                <w:color w:val="auto"/>
                <w:lang w:val="en-US" w:eastAsia="zh-CN"/>
              </w:rPr>
              <w:t>/</w:t>
            </w:r>
          </w:p>
        </w:tc>
        <w:tc>
          <w:tcPr>
            <w:tcW w:w="1706"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15.176t/a</w:t>
            </w:r>
          </w:p>
        </w:tc>
        <w:tc>
          <w:tcPr>
            <w:tcW w:w="1177" w:type="dxa"/>
            <w:tcBorders>
              <w:top w:val="single" w:color="auto" w:sz="4" w:space="0"/>
              <w:left w:val="single" w:color="auto" w:sz="4" w:space="0"/>
              <w:bottom w:val="single" w:color="auto" w:sz="4" w:space="0"/>
              <w:right w:val="single" w:color="auto" w:sz="8" w:space="0"/>
            </w:tcBorders>
            <w:noWrap w:val="0"/>
            <w:vAlign w:val="center"/>
          </w:tcPr>
          <w:p>
            <w:pPr>
              <w:pStyle w:val="33"/>
              <w:bidi w:val="0"/>
              <w:ind w:firstLine="0" w:firstLineChars="0"/>
              <w:rPr>
                <w:rFonts w:hint="default"/>
                <w:color w:val="auto"/>
                <w:lang w:val="en-US" w:eastAsia="zh-CN"/>
              </w:rPr>
            </w:pPr>
            <w:r>
              <w:rPr>
                <w:rFonts w:hint="eastAsia"/>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5" w:type="dxa"/>
            <w:vMerge w:val="continue"/>
            <w:tcBorders>
              <w:left w:val="single" w:color="auto" w:sz="8" w:space="0"/>
              <w:right w:val="single" w:color="auto" w:sz="4" w:space="0"/>
            </w:tcBorders>
            <w:noWrap w:val="0"/>
            <w:vAlign w:val="center"/>
          </w:tcPr>
          <w:p>
            <w:pPr>
              <w:pStyle w:val="33"/>
              <w:bidi w:val="0"/>
              <w:rPr>
                <w:color w:val="auto"/>
              </w:rPr>
            </w:pPr>
          </w:p>
        </w:tc>
        <w:tc>
          <w:tcPr>
            <w:tcW w:w="1460"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BOD</w:t>
            </w:r>
            <w:r>
              <w:rPr>
                <w:rFonts w:hint="eastAsia"/>
                <w:color w:val="auto"/>
                <w:vertAlign w:val="subscript"/>
                <w:lang w:val="en-US" w:eastAsia="zh-CN"/>
              </w:rPr>
              <w:t>5</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235"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651"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514"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5.097</w:t>
            </w:r>
            <w:r>
              <w:rPr>
                <w:rFonts w:hint="eastAsia"/>
                <w:color w:val="auto"/>
                <w:lang w:val="en-US" w:eastAsia="zh-CN"/>
              </w:rPr>
              <w:t>t/a</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706"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5.097</w:t>
            </w:r>
            <w:r>
              <w:rPr>
                <w:rFonts w:hint="eastAsia"/>
                <w:color w:val="auto"/>
                <w:lang w:val="en-US" w:eastAsia="zh-CN"/>
              </w:rPr>
              <w:t>t/a</w:t>
            </w:r>
          </w:p>
        </w:tc>
        <w:tc>
          <w:tcPr>
            <w:tcW w:w="1177" w:type="dxa"/>
            <w:tcBorders>
              <w:top w:val="single" w:color="auto" w:sz="4" w:space="0"/>
              <w:left w:val="single" w:color="auto" w:sz="4" w:space="0"/>
              <w:bottom w:val="single" w:color="auto" w:sz="4" w:space="0"/>
              <w:right w:val="single" w:color="auto" w:sz="8"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5" w:type="dxa"/>
            <w:vMerge w:val="continue"/>
            <w:tcBorders>
              <w:left w:val="single" w:color="auto" w:sz="8" w:space="0"/>
              <w:right w:val="single" w:color="auto" w:sz="4" w:space="0"/>
            </w:tcBorders>
            <w:noWrap w:val="0"/>
            <w:vAlign w:val="center"/>
          </w:tcPr>
          <w:p>
            <w:pPr>
              <w:pStyle w:val="33"/>
              <w:bidi w:val="0"/>
              <w:rPr>
                <w:color w:val="auto"/>
              </w:rPr>
            </w:pPr>
          </w:p>
        </w:tc>
        <w:tc>
          <w:tcPr>
            <w:tcW w:w="1460"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SS</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235"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651"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514"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13.72</w:t>
            </w:r>
            <w:r>
              <w:rPr>
                <w:rFonts w:hint="eastAsia"/>
                <w:color w:val="auto"/>
                <w:lang w:val="en-US" w:eastAsia="zh-CN"/>
              </w:rPr>
              <w:t>t/a</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706"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13.72</w:t>
            </w:r>
            <w:r>
              <w:rPr>
                <w:rFonts w:hint="eastAsia"/>
                <w:color w:val="auto"/>
                <w:lang w:val="en-US" w:eastAsia="zh-CN"/>
              </w:rPr>
              <w:t>t/a</w:t>
            </w:r>
          </w:p>
        </w:tc>
        <w:tc>
          <w:tcPr>
            <w:tcW w:w="1177" w:type="dxa"/>
            <w:tcBorders>
              <w:top w:val="single" w:color="auto" w:sz="4" w:space="0"/>
              <w:left w:val="single" w:color="auto" w:sz="4" w:space="0"/>
              <w:bottom w:val="single" w:color="auto" w:sz="4" w:space="0"/>
              <w:right w:val="single" w:color="auto" w:sz="8"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5" w:type="dxa"/>
            <w:vMerge w:val="continue"/>
            <w:tcBorders>
              <w:left w:val="single" w:color="auto" w:sz="8" w:space="0"/>
              <w:right w:val="single" w:color="auto" w:sz="4" w:space="0"/>
            </w:tcBorders>
            <w:noWrap w:val="0"/>
            <w:vAlign w:val="center"/>
          </w:tcPr>
          <w:p>
            <w:pPr>
              <w:pStyle w:val="33"/>
              <w:bidi w:val="0"/>
              <w:rPr>
                <w:color w:val="auto"/>
              </w:rPr>
            </w:pPr>
          </w:p>
        </w:tc>
        <w:tc>
          <w:tcPr>
            <w:tcW w:w="1460"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氨氮</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235"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651"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514"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1.029</w:t>
            </w:r>
            <w:r>
              <w:rPr>
                <w:rFonts w:hint="eastAsia"/>
                <w:color w:val="auto"/>
                <w:lang w:val="en-US" w:eastAsia="zh-CN"/>
              </w:rPr>
              <w:t>t/a</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706"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1.029</w:t>
            </w:r>
            <w:r>
              <w:rPr>
                <w:rFonts w:hint="eastAsia"/>
                <w:color w:val="auto"/>
                <w:lang w:val="en-US" w:eastAsia="zh-CN"/>
              </w:rPr>
              <w:t>t/a</w:t>
            </w:r>
          </w:p>
        </w:tc>
        <w:tc>
          <w:tcPr>
            <w:tcW w:w="1177" w:type="dxa"/>
            <w:tcBorders>
              <w:top w:val="single" w:color="auto" w:sz="4" w:space="0"/>
              <w:left w:val="single" w:color="auto" w:sz="4" w:space="0"/>
              <w:bottom w:val="single" w:color="auto" w:sz="4" w:space="0"/>
              <w:right w:val="single" w:color="auto" w:sz="8"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5" w:type="dxa"/>
            <w:vMerge w:val="continue"/>
            <w:tcBorders>
              <w:left w:val="single" w:color="auto" w:sz="8" w:space="0"/>
              <w:right w:val="single" w:color="auto" w:sz="4" w:space="0"/>
            </w:tcBorders>
            <w:noWrap w:val="0"/>
            <w:vAlign w:val="center"/>
          </w:tcPr>
          <w:p>
            <w:pPr>
              <w:pStyle w:val="33"/>
              <w:bidi w:val="0"/>
              <w:rPr>
                <w:color w:val="auto"/>
              </w:rPr>
            </w:pPr>
          </w:p>
        </w:tc>
        <w:tc>
          <w:tcPr>
            <w:tcW w:w="1460"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LAS</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235"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651"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514"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0.438</w:t>
            </w:r>
            <w:r>
              <w:rPr>
                <w:rFonts w:hint="eastAsia"/>
                <w:color w:val="auto"/>
                <w:lang w:val="en-US" w:eastAsia="zh-CN"/>
              </w:rPr>
              <w:t>t/a</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c>
          <w:tcPr>
            <w:tcW w:w="1706"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lang w:val="en-US" w:eastAsia="zh-CN"/>
              </w:rPr>
            </w:pPr>
            <w:r>
              <w:rPr>
                <w:rFonts w:hint="eastAsia"/>
                <w:lang w:val="en-US" w:eastAsia="zh-CN"/>
              </w:rPr>
              <w:t>0.438</w:t>
            </w:r>
            <w:r>
              <w:rPr>
                <w:rFonts w:hint="eastAsia"/>
                <w:color w:val="auto"/>
                <w:lang w:val="en-US" w:eastAsia="zh-CN"/>
              </w:rPr>
              <w:t>t/a</w:t>
            </w:r>
          </w:p>
        </w:tc>
        <w:tc>
          <w:tcPr>
            <w:tcW w:w="1177" w:type="dxa"/>
            <w:tcBorders>
              <w:top w:val="single" w:color="auto" w:sz="4" w:space="0"/>
              <w:left w:val="single" w:color="auto" w:sz="4" w:space="0"/>
              <w:bottom w:val="single" w:color="auto" w:sz="4" w:space="0"/>
              <w:right w:val="single" w:color="auto" w:sz="8" w:space="0"/>
            </w:tcBorders>
            <w:noWrap w:val="0"/>
            <w:vAlign w:val="center"/>
          </w:tcPr>
          <w:p>
            <w:pPr>
              <w:pStyle w:val="33"/>
              <w:bidi w:val="0"/>
              <w:ind w:firstLine="0" w:firstLineChars="0"/>
              <w:rPr>
                <w:rFonts w:hint="eastAsia"/>
                <w:color w:val="auto"/>
                <w:lang w:val="en-US" w:eastAsia="zh-CN"/>
              </w:rPr>
            </w:pPr>
            <w:r>
              <w:rPr>
                <w:rFonts w:hint="eastAsia"/>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5" w:type="dxa"/>
            <w:vMerge w:val="restart"/>
            <w:tcBorders>
              <w:top w:val="single" w:color="auto" w:sz="4" w:space="0"/>
              <w:left w:val="single" w:color="auto" w:sz="8" w:space="0"/>
              <w:right w:val="single" w:color="auto" w:sz="4" w:space="0"/>
            </w:tcBorders>
            <w:noWrap w:val="0"/>
            <w:vAlign w:val="center"/>
          </w:tcPr>
          <w:p>
            <w:pPr>
              <w:pStyle w:val="33"/>
              <w:bidi w:val="0"/>
              <w:rPr>
                <w:lang w:val="en-US" w:eastAsia="zh-CN"/>
              </w:rPr>
            </w:pPr>
            <w:r>
              <w:rPr>
                <w:lang w:val="en-US" w:eastAsia="zh-CN"/>
              </w:rPr>
              <w:t>固体废物</w:t>
            </w:r>
          </w:p>
        </w:tc>
        <w:tc>
          <w:tcPr>
            <w:tcW w:w="1460"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ascii="Times New Roman" w:hAnsi="Times New Roman" w:eastAsia="宋体" w:cs="Times New Roman"/>
                <w:kern w:val="2"/>
                <w:sz w:val="21"/>
                <w:szCs w:val="24"/>
                <w:lang w:val="en-US" w:eastAsia="zh-CN" w:bidi="ar-SA"/>
              </w:rPr>
            </w:pPr>
            <w:r>
              <w:rPr>
                <w:rFonts w:hint="eastAsia"/>
                <w:lang w:val="en-US" w:eastAsia="zh-CN"/>
              </w:rPr>
              <w:t>废离子交换树脂</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235"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651"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514"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kern w:val="2"/>
                <w:sz w:val="21"/>
                <w:szCs w:val="24"/>
                <w:lang w:val="en-US" w:eastAsia="zh-CN" w:bidi="ar-SA"/>
              </w:rPr>
            </w:pPr>
            <w:r>
              <w:rPr>
                <w:rFonts w:hint="eastAsia"/>
                <w:color w:val="auto"/>
                <w:lang w:val="en-US" w:eastAsia="zh-CN"/>
              </w:rPr>
              <w:t>0.2t/a</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706"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ascii="Times New Roman" w:hAnsi="Times New Roman" w:eastAsia="宋体" w:cs="Times New Roman"/>
                <w:kern w:val="2"/>
                <w:sz w:val="21"/>
                <w:szCs w:val="24"/>
                <w:lang w:val="en-US" w:eastAsia="zh-CN" w:bidi="ar-SA"/>
              </w:rPr>
            </w:pPr>
            <w:r>
              <w:rPr>
                <w:rFonts w:hint="eastAsia"/>
                <w:color w:val="auto"/>
                <w:lang w:val="en-US" w:eastAsia="zh-CN"/>
              </w:rPr>
              <w:t>0.2t/a</w:t>
            </w:r>
          </w:p>
        </w:tc>
        <w:tc>
          <w:tcPr>
            <w:tcW w:w="1177" w:type="dxa"/>
            <w:tcBorders>
              <w:top w:val="single" w:color="auto" w:sz="4" w:space="0"/>
              <w:left w:val="single" w:color="auto" w:sz="4" w:space="0"/>
              <w:bottom w:val="single" w:color="auto" w:sz="4" w:space="0"/>
              <w:right w:val="single" w:color="auto" w:sz="8" w:space="0"/>
            </w:tcBorders>
            <w:noWrap w:val="0"/>
            <w:vAlign w:val="center"/>
          </w:tcPr>
          <w:p>
            <w:pPr>
              <w:pStyle w:val="33"/>
              <w:bidi w:val="0"/>
              <w:rPr>
                <w:rFonts w:hint="default"/>
                <w:lang w:val="en-US" w:eastAsia="zh-CN"/>
              </w:rPr>
            </w:pP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5" w:type="dxa"/>
            <w:vMerge w:val="continue"/>
            <w:tcBorders>
              <w:left w:val="single" w:color="auto" w:sz="8" w:space="0"/>
              <w:right w:val="single" w:color="auto" w:sz="4" w:space="0"/>
            </w:tcBorders>
            <w:noWrap w:val="0"/>
            <w:vAlign w:val="center"/>
          </w:tcPr>
          <w:p>
            <w:pPr>
              <w:pStyle w:val="33"/>
              <w:bidi w:val="0"/>
              <w:rPr>
                <w:lang w:val="en-US" w:eastAsia="zh-CN"/>
              </w:rPr>
            </w:pPr>
          </w:p>
        </w:tc>
        <w:tc>
          <w:tcPr>
            <w:tcW w:w="1460"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污泥</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1235"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1651"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ascii="Times New Roman" w:hAnsi="Times New Roman" w:eastAsia="宋体" w:cs="Times New Roman"/>
                <w:kern w:val="2"/>
                <w:sz w:val="21"/>
                <w:szCs w:val="24"/>
                <w:lang w:val="en-US" w:eastAsia="zh-CN" w:bidi="ar-SA"/>
              </w:rPr>
            </w:pPr>
            <w:r>
              <w:rPr>
                <w:rFonts w:hint="eastAsia"/>
                <w:lang w:val="en-US" w:eastAsia="zh-CN"/>
              </w:rPr>
              <w:t>/</w:t>
            </w:r>
          </w:p>
        </w:tc>
        <w:tc>
          <w:tcPr>
            <w:tcW w:w="1514"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color w:val="auto"/>
                <w:lang w:val="en-US" w:eastAsia="zh-CN"/>
              </w:rPr>
            </w:pPr>
            <w:r>
              <w:rPr>
                <w:rFonts w:hint="eastAsia"/>
                <w:color w:val="auto"/>
                <w:lang w:val="en-US" w:eastAsia="zh-CN"/>
              </w:rPr>
              <w:t>1.5t/a</w:t>
            </w:r>
          </w:p>
        </w:tc>
        <w:tc>
          <w:tcPr>
            <w:tcW w:w="1527"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706" w:type="dxa"/>
            <w:tcBorders>
              <w:top w:val="single" w:color="auto" w:sz="4" w:space="0"/>
              <w:left w:val="single" w:color="auto" w:sz="4" w:space="0"/>
              <w:bottom w:val="single" w:color="auto" w:sz="4" w:space="0"/>
              <w:right w:val="single" w:color="auto" w:sz="4" w:space="0"/>
            </w:tcBorders>
            <w:noWrap w:val="0"/>
            <w:vAlign w:val="center"/>
          </w:tcPr>
          <w:p>
            <w:pPr>
              <w:pStyle w:val="33"/>
              <w:bidi w:val="0"/>
              <w:rPr>
                <w:rFonts w:hint="eastAsia"/>
                <w:color w:val="auto"/>
                <w:lang w:val="en-US" w:eastAsia="zh-CN"/>
              </w:rPr>
            </w:pPr>
            <w:r>
              <w:rPr>
                <w:rFonts w:hint="eastAsia"/>
                <w:color w:val="auto"/>
                <w:lang w:val="en-US" w:eastAsia="zh-CN"/>
              </w:rPr>
              <w:t>1.5t/a</w:t>
            </w:r>
          </w:p>
        </w:tc>
        <w:tc>
          <w:tcPr>
            <w:tcW w:w="1177" w:type="dxa"/>
            <w:tcBorders>
              <w:top w:val="single" w:color="auto" w:sz="4" w:space="0"/>
              <w:left w:val="single" w:color="auto" w:sz="4" w:space="0"/>
              <w:bottom w:val="single" w:color="auto" w:sz="4" w:space="0"/>
              <w:right w:val="single" w:color="auto" w:sz="8" w:space="0"/>
            </w:tcBorders>
            <w:noWrap w:val="0"/>
            <w:vAlign w:val="center"/>
          </w:tcPr>
          <w:p>
            <w:pPr>
              <w:pStyle w:val="33"/>
              <w:bidi w:val="0"/>
              <w:rPr>
                <w:rFonts w:hint="eastAsia"/>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5" w:type="dxa"/>
            <w:vMerge w:val="continue"/>
            <w:tcBorders>
              <w:left w:val="single" w:color="auto" w:sz="8" w:space="0"/>
              <w:bottom w:val="single" w:color="auto" w:sz="8" w:space="0"/>
              <w:right w:val="single" w:color="auto" w:sz="4" w:space="0"/>
            </w:tcBorders>
            <w:noWrap w:val="0"/>
            <w:vAlign w:val="center"/>
          </w:tcPr>
          <w:p>
            <w:pPr>
              <w:pStyle w:val="33"/>
              <w:bidi w:val="0"/>
              <w:rPr>
                <w:lang w:val="en-US" w:eastAsia="zh-CN"/>
              </w:rPr>
            </w:pPr>
          </w:p>
        </w:tc>
        <w:tc>
          <w:tcPr>
            <w:tcW w:w="1460" w:type="dxa"/>
            <w:tcBorders>
              <w:top w:val="single" w:color="auto" w:sz="4" w:space="0"/>
              <w:left w:val="single" w:color="auto" w:sz="4" w:space="0"/>
              <w:bottom w:val="single" w:color="auto" w:sz="8" w:space="0"/>
              <w:right w:val="single" w:color="auto" w:sz="4" w:space="0"/>
            </w:tcBorders>
            <w:noWrap w:val="0"/>
            <w:vAlign w:val="center"/>
          </w:tcPr>
          <w:p>
            <w:pPr>
              <w:pStyle w:val="33"/>
              <w:bidi w:val="0"/>
              <w:rPr>
                <w:rFonts w:hint="default" w:ascii="Times New Roman" w:hAnsi="Times New Roman" w:eastAsia="宋体" w:cs="Times New Roman"/>
                <w:kern w:val="2"/>
                <w:sz w:val="21"/>
                <w:szCs w:val="24"/>
                <w:lang w:val="en-US" w:eastAsia="zh-CN" w:bidi="ar-SA"/>
              </w:rPr>
            </w:pPr>
            <w:r>
              <w:rPr>
                <w:lang w:val="en-US" w:eastAsia="zh-CN"/>
              </w:rPr>
              <w:t>废弃包装物</w:t>
            </w:r>
          </w:p>
        </w:tc>
        <w:tc>
          <w:tcPr>
            <w:tcW w:w="1970" w:type="dxa"/>
            <w:tcBorders>
              <w:top w:val="single" w:color="auto" w:sz="4" w:space="0"/>
              <w:left w:val="single" w:color="auto" w:sz="4" w:space="0"/>
              <w:bottom w:val="single" w:color="auto" w:sz="8"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235" w:type="dxa"/>
            <w:tcBorders>
              <w:top w:val="single" w:color="auto" w:sz="4" w:space="0"/>
              <w:left w:val="single" w:color="auto" w:sz="4" w:space="0"/>
              <w:bottom w:val="single" w:color="auto" w:sz="8" w:space="0"/>
              <w:right w:val="single" w:color="auto" w:sz="4" w:space="0"/>
            </w:tcBorders>
            <w:noWrap w:val="0"/>
            <w:vAlign w:val="center"/>
          </w:tcPr>
          <w:p>
            <w:pPr>
              <w:pStyle w:val="33"/>
              <w:bidi w:val="0"/>
              <w:rPr>
                <w:rFonts w:hint="eastAsia" w:eastAsia="宋体"/>
                <w:lang w:val="en-US" w:eastAsia="zh-CN"/>
              </w:rPr>
            </w:pPr>
            <w:r>
              <w:rPr>
                <w:rFonts w:hint="eastAsia"/>
                <w:lang w:val="en-US" w:eastAsia="zh-CN"/>
              </w:rPr>
              <w:t>/</w:t>
            </w:r>
          </w:p>
        </w:tc>
        <w:tc>
          <w:tcPr>
            <w:tcW w:w="1651" w:type="dxa"/>
            <w:tcBorders>
              <w:top w:val="single" w:color="auto" w:sz="4" w:space="0"/>
              <w:left w:val="single" w:color="auto" w:sz="4" w:space="0"/>
              <w:bottom w:val="single" w:color="auto" w:sz="8" w:space="0"/>
              <w:right w:val="single" w:color="auto" w:sz="4" w:space="0"/>
            </w:tcBorders>
            <w:noWrap w:val="0"/>
            <w:vAlign w:val="center"/>
          </w:tcPr>
          <w:p>
            <w:pPr>
              <w:pStyle w:val="33"/>
              <w:bidi w:val="0"/>
              <w:rPr>
                <w:rFonts w:hint="eastAsia" w:eastAsia="宋体"/>
                <w:lang w:val="en-US" w:eastAsia="zh-CN"/>
              </w:rPr>
            </w:pPr>
            <w:r>
              <w:rPr>
                <w:rFonts w:hint="eastAsia"/>
                <w:lang w:val="en-US" w:eastAsia="zh-CN"/>
              </w:rPr>
              <w:t>/</w:t>
            </w:r>
          </w:p>
        </w:tc>
        <w:tc>
          <w:tcPr>
            <w:tcW w:w="1514" w:type="dxa"/>
            <w:tcBorders>
              <w:top w:val="single" w:color="auto" w:sz="4" w:space="0"/>
              <w:left w:val="single" w:color="auto" w:sz="4" w:space="0"/>
              <w:bottom w:val="single" w:color="auto" w:sz="8"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1.2t/a</w:t>
            </w:r>
          </w:p>
        </w:tc>
        <w:tc>
          <w:tcPr>
            <w:tcW w:w="1527" w:type="dxa"/>
            <w:tcBorders>
              <w:top w:val="single" w:color="auto" w:sz="4" w:space="0"/>
              <w:left w:val="single" w:color="auto" w:sz="4" w:space="0"/>
              <w:bottom w:val="single" w:color="auto" w:sz="8" w:space="0"/>
              <w:right w:val="single" w:color="auto" w:sz="4" w:space="0"/>
            </w:tcBorders>
            <w:noWrap w:val="0"/>
            <w:vAlign w:val="center"/>
          </w:tcPr>
          <w:p>
            <w:pPr>
              <w:pStyle w:val="33"/>
              <w:bidi w:val="0"/>
              <w:rPr>
                <w:rFonts w:hint="default"/>
                <w:lang w:val="en-US" w:eastAsia="zh-CN"/>
              </w:rPr>
            </w:pPr>
            <w:r>
              <w:rPr>
                <w:rFonts w:hint="eastAsia"/>
                <w:lang w:val="en-US" w:eastAsia="zh-CN"/>
              </w:rPr>
              <w:t>/</w:t>
            </w:r>
          </w:p>
        </w:tc>
        <w:tc>
          <w:tcPr>
            <w:tcW w:w="1706" w:type="dxa"/>
            <w:tcBorders>
              <w:top w:val="single" w:color="auto" w:sz="4" w:space="0"/>
              <w:left w:val="single" w:color="auto" w:sz="4" w:space="0"/>
              <w:bottom w:val="single" w:color="auto" w:sz="8" w:space="0"/>
              <w:right w:val="single" w:color="auto" w:sz="4" w:space="0"/>
            </w:tcBorders>
            <w:noWrap w:val="0"/>
            <w:vAlign w:val="center"/>
          </w:tcPr>
          <w:p>
            <w:pPr>
              <w:pStyle w:val="33"/>
              <w:bidi w:val="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1.2t/a</w:t>
            </w:r>
          </w:p>
        </w:tc>
        <w:tc>
          <w:tcPr>
            <w:tcW w:w="1177" w:type="dxa"/>
            <w:tcBorders>
              <w:top w:val="single" w:color="auto" w:sz="4" w:space="0"/>
              <w:left w:val="single" w:color="auto" w:sz="4" w:space="0"/>
              <w:bottom w:val="single" w:color="auto" w:sz="8" w:space="0"/>
              <w:right w:val="single" w:color="auto" w:sz="8" w:space="0"/>
            </w:tcBorders>
            <w:noWrap w:val="0"/>
            <w:vAlign w:val="center"/>
          </w:tcPr>
          <w:p>
            <w:pPr>
              <w:pStyle w:val="33"/>
              <w:bidi w:val="0"/>
              <w:rPr>
                <w:rFonts w:hint="default"/>
                <w:lang w:val="en-US" w:eastAsia="zh-CN"/>
              </w:rPr>
            </w:pPr>
            <w:r>
              <w:rPr>
                <w:rFonts w:hint="eastAsia"/>
                <w:lang w:val="en-US" w:eastAsia="zh-CN"/>
              </w:rPr>
              <w:t>/</w:t>
            </w:r>
          </w:p>
        </w:tc>
      </w:tr>
    </w:tbl>
    <w:p>
      <w:pPr>
        <w:pStyle w:val="51"/>
        <w:spacing w:before="249" w:beforeLines="80" w:after="31"/>
        <w:jc w:val="left"/>
        <w:rPr>
          <w:rFonts w:ascii="Times New Roman" w:hAnsi="Times New Roman" w:cs="Times New Roman"/>
          <w:snapToGrid w:val="0"/>
          <w:spacing w:val="-6"/>
          <w:kern w:val="21"/>
          <w:szCs w:val="21"/>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cs="Times New Roman"/>
          <w:snapToGrid w:val="0"/>
          <w:kern w:val="21"/>
          <w:szCs w:val="21"/>
        </w:rPr>
        <w:t>注：</w:t>
      </w:r>
      <w:r>
        <w:rPr>
          <w:rFonts w:ascii="Times New Roman" w:hAnsi="Times New Roman" w:cs="Times New Roman"/>
          <w:snapToGrid w:val="0"/>
          <w:spacing w:val="-16"/>
          <w:kern w:val="21"/>
          <w:szCs w:val="21"/>
        </w:rPr>
        <w:fldChar w:fldCharType="begin"/>
      </w:r>
      <w:r>
        <w:rPr>
          <w:rFonts w:ascii="Times New Roman" w:hAnsi="Times New Roman" w:cs="Times New Roman"/>
          <w:snapToGrid w:val="0"/>
          <w:spacing w:val="-16"/>
          <w:kern w:val="21"/>
          <w:szCs w:val="21"/>
        </w:rPr>
        <w:instrText xml:space="preserve"> = 6 \* GB3 \* MERGEFORMAT </w:instrText>
      </w:r>
      <w:r>
        <w:rPr>
          <w:rFonts w:ascii="Times New Roman" w:hAnsi="Times New Roman" w:cs="Times New Roman"/>
          <w:snapToGrid w:val="0"/>
          <w:spacing w:val="-16"/>
          <w:kern w:val="21"/>
          <w:szCs w:val="21"/>
        </w:rPr>
        <w:fldChar w:fldCharType="separate"/>
      </w:r>
      <w:r>
        <w:rPr>
          <w:rFonts w:ascii="Times New Roman" w:hAnsi="Times New Roman" w:cs="Times New Roman"/>
          <w:szCs w:val="21"/>
        </w:rPr>
        <w:t>⑥</w:t>
      </w:r>
      <w:r>
        <w:rPr>
          <w:rFonts w:ascii="Times New Roman" w:hAnsi="Times New Roman" w:cs="Times New Roman"/>
          <w:snapToGrid w:val="0"/>
          <w:spacing w:val="-16"/>
          <w:kern w:val="21"/>
          <w:szCs w:val="21"/>
        </w:rPr>
        <w:fldChar w:fldCharType="end"/>
      </w:r>
      <w:r>
        <w:rPr>
          <w:rFonts w:ascii="Times New Roman" w:hAnsi="Times New Roman" w:cs="Times New Roman"/>
          <w:snapToGrid w:val="0"/>
          <w:spacing w:val="-16"/>
          <w:kern w:val="21"/>
          <w:szCs w:val="21"/>
        </w:rPr>
        <w:t>=</w:t>
      </w:r>
      <w:r>
        <w:rPr>
          <w:rFonts w:ascii="Times New Roman" w:hAnsi="Times New Roman" w:cs="Times New Roman"/>
          <w:snapToGrid w:val="0"/>
          <w:spacing w:val="-6"/>
          <w:kern w:val="21"/>
          <w:szCs w:val="21"/>
        </w:rPr>
        <w:fldChar w:fldCharType="begin"/>
      </w:r>
      <w:r>
        <w:rPr>
          <w:rFonts w:ascii="Times New Roman" w:hAnsi="Times New Roman" w:cs="Times New Roman"/>
          <w:snapToGrid w:val="0"/>
          <w:spacing w:val="-6"/>
          <w:kern w:val="21"/>
          <w:szCs w:val="21"/>
        </w:rPr>
        <w:instrText xml:space="preserve"> = 1 \* GB3 \* MERGEFORMAT </w:instrText>
      </w:r>
      <w:r>
        <w:rPr>
          <w:rFonts w:ascii="Times New Roman" w:hAnsi="Times New Roman" w:cs="Times New Roman"/>
          <w:snapToGrid w:val="0"/>
          <w:spacing w:val="-6"/>
          <w:kern w:val="21"/>
          <w:szCs w:val="21"/>
        </w:rPr>
        <w:fldChar w:fldCharType="separate"/>
      </w:r>
      <w:r>
        <w:rPr>
          <w:rFonts w:ascii="Times New Roman" w:hAnsi="Times New Roman" w:cs="Times New Roman"/>
          <w:szCs w:val="21"/>
        </w:rPr>
        <w:t>①</w:t>
      </w:r>
      <w:r>
        <w:rPr>
          <w:rFonts w:ascii="Times New Roman" w:hAnsi="Times New Roman" w:cs="Times New Roman"/>
          <w:snapToGrid w:val="0"/>
          <w:spacing w:val="-6"/>
          <w:kern w:val="21"/>
          <w:szCs w:val="21"/>
        </w:rPr>
        <w:fldChar w:fldCharType="end"/>
      </w:r>
      <w:r>
        <w:rPr>
          <w:rFonts w:ascii="Times New Roman" w:hAnsi="Times New Roman" w:cs="Times New Roman"/>
          <w:snapToGrid w:val="0"/>
          <w:spacing w:val="-6"/>
          <w:kern w:val="21"/>
          <w:szCs w:val="21"/>
        </w:rPr>
        <w:t>+</w:t>
      </w:r>
      <w:r>
        <w:rPr>
          <w:rFonts w:ascii="Times New Roman" w:hAnsi="Times New Roman" w:cs="Times New Roman"/>
          <w:snapToGrid w:val="0"/>
          <w:spacing w:val="-6"/>
          <w:kern w:val="21"/>
          <w:szCs w:val="21"/>
        </w:rPr>
        <w:fldChar w:fldCharType="begin"/>
      </w:r>
      <w:r>
        <w:rPr>
          <w:rFonts w:ascii="Times New Roman" w:hAnsi="Times New Roman" w:cs="Times New Roman"/>
          <w:snapToGrid w:val="0"/>
          <w:spacing w:val="-6"/>
          <w:kern w:val="21"/>
          <w:szCs w:val="21"/>
        </w:rPr>
        <w:instrText xml:space="preserve"> = 3 \* GB3 \* MERGEFORMAT </w:instrText>
      </w:r>
      <w:r>
        <w:rPr>
          <w:rFonts w:ascii="Times New Roman" w:hAnsi="Times New Roman" w:cs="Times New Roman"/>
          <w:snapToGrid w:val="0"/>
          <w:spacing w:val="-6"/>
          <w:kern w:val="21"/>
          <w:szCs w:val="21"/>
        </w:rPr>
        <w:fldChar w:fldCharType="separate"/>
      </w:r>
      <w:r>
        <w:rPr>
          <w:rFonts w:ascii="Times New Roman" w:hAnsi="Times New Roman" w:cs="Times New Roman"/>
          <w:szCs w:val="21"/>
        </w:rPr>
        <w:t>③</w:t>
      </w:r>
      <w:r>
        <w:rPr>
          <w:rFonts w:ascii="Times New Roman" w:hAnsi="Times New Roman" w:cs="Times New Roman"/>
          <w:snapToGrid w:val="0"/>
          <w:spacing w:val="-6"/>
          <w:kern w:val="21"/>
          <w:szCs w:val="21"/>
        </w:rPr>
        <w:fldChar w:fldCharType="end"/>
      </w:r>
      <w:r>
        <w:rPr>
          <w:rFonts w:ascii="Times New Roman" w:hAnsi="Times New Roman" w:cs="Times New Roman"/>
          <w:snapToGrid w:val="0"/>
          <w:spacing w:val="-6"/>
          <w:kern w:val="21"/>
          <w:szCs w:val="21"/>
        </w:rPr>
        <w:t>+</w:t>
      </w:r>
      <w:r>
        <w:rPr>
          <w:rFonts w:ascii="Times New Roman" w:hAnsi="Times New Roman" w:cs="Times New Roman"/>
          <w:snapToGrid w:val="0"/>
          <w:spacing w:val="-6"/>
          <w:kern w:val="21"/>
          <w:szCs w:val="21"/>
        </w:rPr>
        <w:fldChar w:fldCharType="begin"/>
      </w:r>
      <w:r>
        <w:rPr>
          <w:rFonts w:ascii="Times New Roman" w:hAnsi="Times New Roman" w:cs="Times New Roman"/>
          <w:snapToGrid w:val="0"/>
          <w:spacing w:val="-6"/>
          <w:kern w:val="21"/>
          <w:szCs w:val="21"/>
        </w:rPr>
        <w:instrText xml:space="preserve"> = 4 \* GB3 \* MERGEFORMAT </w:instrText>
      </w:r>
      <w:r>
        <w:rPr>
          <w:rFonts w:ascii="Times New Roman" w:hAnsi="Times New Roman" w:cs="Times New Roman"/>
          <w:snapToGrid w:val="0"/>
          <w:spacing w:val="-6"/>
          <w:kern w:val="21"/>
          <w:szCs w:val="21"/>
        </w:rPr>
        <w:fldChar w:fldCharType="separate"/>
      </w:r>
      <w:r>
        <w:rPr>
          <w:rFonts w:ascii="Times New Roman" w:hAnsi="Times New Roman" w:cs="Times New Roman"/>
          <w:szCs w:val="21"/>
        </w:rPr>
        <w:t>④</w:t>
      </w:r>
      <w:r>
        <w:rPr>
          <w:rFonts w:ascii="Times New Roman" w:hAnsi="Times New Roman" w:cs="Times New Roman"/>
          <w:snapToGrid w:val="0"/>
          <w:spacing w:val="-6"/>
          <w:kern w:val="21"/>
          <w:szCs w:val="21"/>
        </w:rPr>
        <w:fldChar w:fldCharType="end"/>
      </w:r>
      <w:r>
        <w:rPr>
          <w:rFonts w:ascii="Times New Roman" w:hAnsi="Times New Roman" w:cs="Times New Roman"/>
          <w:snapToGrid w:val="0"/>
          <w:spacing w:val="-6"/>
          <w:kern w:val="21"/>
          <w:szCs w:val="21"/>
        </w:rPr>
        <w:t>-</w:t>
      </w:r>
      <w:r>
        <w:rPr>
          <w:rFonts w:ascii="Times New Roman" w:hAnsi="Times New Roman" w:cs="Times New Roman"/>
          <w:snapToGrid w:val="0"/>
          <w:spacing w:val="-16"/>
          <w:kern w:val="21"/>
          <w:szCs w:val="21"/>
        </w:rPr>
        <w:fldChar w:fldCharType="begin"/>
      </w:r>
      <w:r>
        <w:rPr>
          <w:rFonts w:ascii="Times New Roman" w:hAnsi="Times New Roman" w:cs="Times New Roman"/>
          <w:snapToGrid w:val="0"/>
          <w:spacing w:val="-16"/>
          <w:kern w:val="21"/>
          <w:szCs w:val="21"/>
        </w:rPr>
        <w:instrText xml:space="preserve"> = 5 \* GB3 \* MERGEFORMAT </w:instrText>
      </w:r>
      <w:r>
        <w:rPr>
          <w:rFonts w:ascii="Times New Roman" w:hAnsi="Times New Roman" w:cs="Times New Roman"/>
          <w:snapToGrid w:val="0"/>
          <w:spacing w:val="-16"/>
          <w:kern w:val="21"/>
          <w:szCs w:val="21"/>
        </w:rPr>
        <w:fldChar w:fldCharType="separate"/>
      </w:r>
      <w:r>
        <w:rPr>
          <w:rFonts w:ascii="Times New Roman" w:hAnsi="Times New Roman" w:cs="Times New Roman"/>
          <w:szCs w:val="21"/>
        </w:rPr>
        <w:t>⑤</w:t>
      </w:r>
      <w:r>
        <w:rPr>
          <w:rFonts w:ascii="Times New Roman" w:hAnsi="Times New Roman" w:cs="Times New Roman"/>
          <w:snapToGrid w:val="0"/>
          <w:spacing w:val="-16"/>
          <w:kern w:val="21"/>
          <w:szCs w:val="21"/>
        </w:rPr>
        <w:fldChar w:fldCharType="end"/>
      </w:r>
      <w:r>
        <w:rPr>
          <w:rFonts w:ascii="Times New Roman" w:hAnsi="Times New Roman" w:cs="Times New Roman"/>
          <w:snapToGrid w:val="0"/>
          <w:spacing w:val="-16"/>
          <w:kern w:val="21"/>
          <w:szCs w:val="21"/>
        </w:rPr>
        <w:t>；</w:t>
      </w:r>
      <w:r>
        <w:rPr>
          <w:rFonts w:ascii="Times New Roman" w:hAnsi="Times New Roman" w:cs="Times New Roman"/>
          <w:snapToGrid w:val="0"/>
          <w:spacing w:val="-6"/>
          <w:kern w:val="21"/>
          <w:szCs w:val="21"/>
        </w:rPr>
        <w:fldChar w:fldCharType="begin"/>
      </w:r>
      <w:r>
        <w:rPr>
          <w:rFonts w:ascii="Times New Roman" w:hAnsi="Times New Roman" w:cs="Times New Roman"/>
          <w:snapToGrid w:val="0"/>
          <w:spacing w:val="-6"/>
          <w:kern w:val="21"/>
          <w:szCs w:val="21"/>
        </w:rPr>
        <w:instrText xml:space="preserve"> = 7 \* GB3 \* MERGEFORMAT </w:instrText>
      </w:r>
      <w:r>
        <w:rPr>
          <w:rFonts w:ascii="Times New Roman" w:hAnsi="Times New Roman" w:cs="Times New Roman"/>
          <w:snapToGrid w:val="0"/>
          <w:spacing w:val="-6"/>
          <w:kern w:val="21"/>
          <w:szCs w:val="21"/>
        </w:rPr>
        <w:fldChar w:fldCharType="separate"/>
      </w:r>
      <w:r>
        <w:rPr>
          <w:rFonts w:ascii="Times New Roman" w:hAnsi="Times New Roman" w:cs="Times New Roman"/>
          <w:szCs w:val="21"/>
        </w:rPr>
        <w:t>⑦</w:t>
      </w:r>
      <w:r>
        <w:rPr>
          <w:rFonts w:ascii="Times New Roman" w:hAnsi="Times New Roman" w:cs="Times New Roman"/>
          <w:snapToGrid w:val="0"/>
          <w:spacing w:val="-6"/>
          <w:kern w:val="21"/>
          <w:szCs w:val="21"/>
        </w:rPr>
        <w:fldChar w:fldCharType="end"/>
      </w:r>
      <w:r>
        <w:rPr>
          <w:rFonts w:ascii="Times New Roman" w:hAnsi="Times New Roman" w:cs="Times New Roman"/>
          <w:snapToGrid w:val="0"/>
          <w:spacing w:val="-6"/>
          <w:kern w:val="21"/>
          <w:szCs w:val="21"/>
        </w:rPr>
        <w:t>=</w:t>
      </w:r>
      <w:r>
        <w:rPr>
          <w:rFonts w:ascii="Times New Roman" w:hAnsi="Times New Roman" w:cs="Times New Roman"/>
          <w:snapToGrid w:val="0"/>
          <w:spacing w:val="-16"/>
          <w:kern w:val="21"/>
          <w:szCs w:val="21"/>
        </w:rPr>
        <w:fldChar w:fldCharType="begin"/>
      </w:r>
      <w:r>
        <w:rPr>
          <w:rFonts w:ascii="Times New Roman" w:hAnsi="Times New Roman" w:cs="Times New Roman"/>
          <w:snapToGrid w:val="0"/>
          <w:spacing w:val="-16"/>
          <w:kern w:val="21"/>
          <w:szCs w:val="21"/>
        </w:rPr>
        <w:instrText xml:space="preserve"> = 6 \* GB3 \* MERGEFORMAT </w:instrText>
      </w:r>
      <w:r>
        <w:rPr>
          <w:rFonts w:ascii="Times New Roman" w:hAnsi="Times New Roman" w:cs="Times New Roman"/>
          <w:snapToGrid w:val="0"/>
          <w:spacing w:val="-16"/>
          <w:kern w:val="21"/>
          <w:szCs w:val="21"/>
        </w:rPr>
        <w:fldChar w:fldCharType="separate"/>
      </w:r>
      <w:r>
        <w:rPr>
          <w:rFonts w:ascii="Times New Roman" w:hAnsi="Times New Roman" w:cs="Times New Roman"/>
          <w:szCs w:val="21"/>
        </w:rPr>
        <w:t>⑥</w:t>
      </w:r>
      <w:r>
        <w:rPr>
          <w:rFonts w:ascii="Times New Roman" w:hAnsi="Times New Roman" w:cs="Times New Roman"/>
          <w:snapToGrid w:val="0"/>
          <w:spacing w:val="-16"/>
          <w:kern w:val="21"/>
          <w:szCs w:val="21"/>
        </w:rPr>
        <w:fldChar w:fldCharType="end"/>
      </w:r>
      <w:r>
        <w:rPr>
          <w:rFonts w:ascii="Times New Roman" w:hAnsi="Times New Roman" w:cs="Times New Roman"/>
          <w:snapToGrid w:val="0"/>
          <w:spacing w:val="-16"/>
          <w:kern w:val="21"/>
          <w:szCs w:val="21"/>
        </w:rPr>
        <w:t>-</w:t>
      </w:r>
      <w:r>
        <w:rPr>
          <w:rFonts w:ascii="Times New Roman" w:hAnsi="Times New Roman" w:cs="Times New Roman"/>
          <w:snapToGrid w:val="0"/>
          <w:spacing w:val="-6"/>
          <w:kern w:val="21"/>
          <w:szCs w:val="21"/>
        </w:rPr>
        <w:fldChar w:fldCharType="begin"/>
      </w:r>
      <w:r>
        <w:rPr>
          <w:rFonts w:ascii="Times New Roman" w:hAnsi="Times New Roman" w:cs="Times New Roman"/>
          <w:snapToGrid w:val="0"/>
          <w:spacing w:val="-6"/>
          <w:kern w:val="21"/>
          <w:szCs w:val="21"/>
        </w:rPr>
        <w:instrText xml:space="preserve"> = 1 \* GB3 \* MERGEFORMAT </w:instrText>
      </w:r>
      <w:r>
        <w:rPr>
          <w:rFonts w:ascii="Times New Roman" w:hAnsi="Times New Roman" w:cs="Times New Roman"/>
          <w:snapToGrid w:val="0"/>
          <w:spacing w:val="-6"/>
          <w:kern w:val="21"/>
          <w:szCs w:val="21"/>
        </w:rPr>
        <w:fldChar w:fldCharType="separate"/>
      </w:r>
      <w:r>
        <w:rPr>
          <w:rFonts w:ascii="Times New Roman" w:hAnsi="Times New Roman" w:cs="Times New Roman"/>
          <w:szCs w:val="21"/>
        </w:rPr>
        <w:t>①</w:t>
      </w:r>
      <w:r>
        <w:rPr>
          <w:rFonts w:ascii="Times New Roman" w:hAnsi="Times New Roman" w:cs="Times New Roman"/>
          <w:snapToGrid w:val="0"/>
          <w:spacing w:val="-6"/>
          <w:kern w:val="21"/>
          <w:szCs w:val="21"/>
        </w:rPr>
        <w:fldChar w:fldCharType="end"/>
      </w:r>
    </w:p>
    <w:p>
      <w:pPr>
        <w:spacing w:line="360" w:lineRule="auto"/>
        <w:rPr>
          <w:rFonts w:cs="Times New Roman"/>
          <w:bCs/>
          <w:sz w:val="28"/>
          <w:szCs w:val="36"/>
        </w:rPr>
      </w:pPr>
      <w:r>
        <w:rPr>
          <w:rFonts w:cs="Times New Roman"/>
          <w:bCs/>
          <w:sz w:val="28"/>
          <w:szCs w:val="36"/>
        </w:rPr>
        <w:t>附图：</w:t>
      </w:r>
    </w:p>
    <w:p>
      <w:pPr>
        <w:spacing w:line="360" w:lineRule="auto"/>
        <w:ind w:firstLine="480" w:firstLineChars="200"/>
        <w:rPr>
          <w:rFonts w:cs="Times New Roman"/>
          <w:b w:val="0"/>
          <w:bCs/>
          <w:szCs w:val="32"/>
        </w:rPr>
      </w:pPr>
      <w:r>
        <w:rPr>
          <w:rFonts w:cs="Times New Roman"/>
          <w:b w:val="0"/>
          <w:bCs/>
          <w:szCs w:val="32"/>
        </w:rPr>
        <w:t>附图1：项目地理位置图</w:t>
      </w:r>
    </w:p>
    <w:p>
      <w:pPr>
        <w:spacing w:line="360" w:lineRule="auto"/>
        <w:ind w:firstLine="480" w:firstLineChars="200"/>
        <w:rPr>
          <w:rFonts w:cs="Times New Roman"/>
          <w:b w:val="0"/>
          <w:bCs/>
          <w:szCs w:val="32"/>
        </w:rPr>
      </w:pPr>
      <w:r>
        <w:rPr>
          <w:rFonts w:cs="Times New Roman"/>
          <w:b w:val="0"/>
          <w:bCs/>
          <w:szCs w:val="32"/>
        </w:rPr>
        <w:t>附图2：</w:t>
      </w:r>
      <w:r>
        <w:rPr>
          <w:rFonts w:hint="eastAsia" w:cs="Times New Roman"/>
          <w:b w:val="0"/>
          <w:bCs/>
          <w:szCs w:val="32"/>
        </w:rPr>
        <w:t>项目区周边关系图</w:t>
      </w:r>
    </w:p>
    <w:p>
      <w:pPr>
        <w:spacing w:line="360" w:lineRule="auto"/>
        <w:ind w:firstLine="480" w:firstLineChars="200"/>
        <w:rPr>
          <w:rFonts w:cs="Times New Roman"/>
          <w:b w:val="0"/>
          <w:bCs/>
          <w:szCs w:val="32"/>
        </w:rPr>
      </w:pPr>
      <w:r>
        <w:rPr>
          <w:rFonts w:ascii="Times New Roman" w:hAnsi="Times New Roman" w:eastAsia="宋体" w:cs="Times New Roman"/>
          <w:b w:val="0"/>
          <w:bCs/>
          <w:szCs w:val="32"/>
        </w:rPr>
        <w:t>附图</w:t>
      </w:r>
      <w:r>
        <w:rPr>
          <w:rFonts w:hint="eastAsia" w:ascii="Times New Roman" w:hAnsi="Times New Roman" w:eastAsia="宋体" w:cs="Times New Roman"/>
          <w:b w:val="0"/>
          <w:bCs/>
          <w:szCs w:val="32"/>
        </w:rPr>
        <w:t>3：</w:t>
      </w:r>
      <w:r>
        <w:rPr>
          <w:rFonts w:ascii="Times New Roman" w:hAnsi="Times New Roman" w:eastAsia="宋体" w:cs="Times New Roman"/>
          <w:b w:val="0"/>
          <w:bCs/>
          <w:szCs w:val="32"/>
        </w:rPr>
        <w:t>平面布置图</w:t>
      </w:r>
    </w:p>
    <w:p>
      <w:pPr>
        <w:pStyle w:val="2"/>
        <w:spacing w:after="0" w:line="360" w:lineRule="auto"/>
        <w:ind w:left="0" w:leftChars="0" w:firstLine="480" w:firstLineChars="200"/>
        <w:rPr>
          <w:rFonts w:ascii="Times New Roman" w:hAnsi="Times New Roman" w:cs="Times New Roman"/>
          <w:b w:val="0"/>
          <w:bCs/>
          <w:sz w:val="24"/>
          <w:szCs w:val="32"/>
        </w:rPr>
      </w:pPr>
      <w:r>
        <w:rPr>
          <w:rFonts w:ascii="Times New Roman" w:hAnsi="Times New Roman" w:cs="Times New Roman"/>
          <w:b w:val="0"/>
          <w:bCs/>
          <w:sz w:val="24"/>
          <w:szCs w:val="32"/>
        </w:rPr>
        <w:t>附图</w:t>
      </w:r>
      <w:r>
        <w:rPr>
          <w:rFonts w:hint="eastAsia" w:ascii="Times New Roman" w:hAnsi="Times New Roman" w:cs="Times New Roman"/>
          <w:b w:val="0"/>
          <w:bCs/>
          <w:sz w:val="24"/>
          <w:szCs w:val="32"/>
        </w:rPr>
        <w:t>4</w:t>
      </w:r>
      <w:r>
        <w:rPr>
          <w:rFonts w:ascii="Times New Roman" w:hAnsi="Times New Roman" w:cs="Times New Roman"/>
          <w:b w:val="0"/>
          <w:bCs/>
          <w:sz w:val="24"/>
          <w:szCs w:val="32"/>
        </w:rPr>
        <w:t>：</w:t>
      </w:r>
      <w:r>
        <w:rPr>
          <w:rFonts w:hint="eastAsia" w:ascii="Times New Roman" w:hAnsi="Times New Roman" w:cs="Times New Roman"/>
          <w:b w:val="0"/>
          <w:bCs/>
          <w:sz w:val="24"/>
          <w:szCs w:val="32"/>
          <w:lang w:val="en-US" w:eastAsia="zh-CN"/>
        </w:rPr>
        <w:t>本项目周边</w:t>
      </w:r>
      <w:r>
        <w:rPr>
          <w:rFonts w:hint="eastAsia" w:ascii="Times New Roman" w:hAnsi="Times New Roman" w:cs="Times New Roman"/>
          <w:b w:val="0"/>
          <w:bCs/>
          <w:sz w:val="24"/>
          <w:szCs w:val="32"/>
        </w:rPr>
        <w:t>敏感目标分布图</w:t>
      </w:r>
    </w:p>
    <w:p>
      <w:pPr>
        <w:pStyle w:val="2"/>
        <w:spacing w:after="0" w:line="360" w:lineRule="auto"/>
        <w:ind w:left="0" w:leftChars="0" w:firstLine="480" w:firstLineChars="200"/>
        <w:rPr>
          <w:rFonts w:ascii="Times New Roman" w:hAnsi="Times New Roman" w:cs="Times New Roman"/>
          <w:b w:val="0"/>
          <w:bCs/>
          <w:sz w:val="24"/>
          <w:szCs w:val="32"/>
        </w:rPr>
      </w:pPr>
      <w:r>
        <w:rPr>
          <w:rFonts w:hint="eastAsia" w:ascii="Times New Roman" w:hAnsi="Times New Roman" w:cs="Times New Roman"/>
          <w:b w:val="0"/>
          <w:bCs/>
          <w:sz w:val="24"/>
          <w:szCs w:val="32"/>
        </w:rPr>
        <w:t>附图5：</w:t>
      </w:r>
      <w:r>
        <w:rPr>
          <w:rFonts w:hint="eastAsia" w:ascii="Times New Roman" w:hAnsi="Times New Roman" w:cs="Times New Roman"/>
          <w:b w:val="0"/>
          <w:bCs/>
          <w:sz w:val="24"/>
          <w:szCs w:val="32"/>
          <w:lang w:val="en-US" w:eastAsia="zh-CN"/>
        </w:rPr>
        <w:t>本项目在昌吉回族自治州环境管控单元图位置图</w:t>
      </w:r>
    </w:p>
    <w:p>
      <w:pPr>
        <w:pStyle w:val="2"/>
        <w:spacing w:after="0" w:line="360" w:lineRule="auto"/>
        <w:ind w:left="0" w:leftChars="0" w:firstLine="480" w:firstLineChars="200"/>
        <w:rPr>
          <w:rFonts w:hint="eastAsia" w:ascii="Times New Roman" w:hAnsi="Times New Roman" w:eastAsia="宋体" w:cs="Times New Roman"/>
          <w:b w:val="0"/>
          <w:bCs/>
          <w:sz w:val="24"/>
          <w:szCs w:val="32"/>
        </w:rPr>
      </w:pPr>
      <w:r>
        <w:rPr>
          <w:rFonts w:hint="eastAsia" w:ascii="Times New Roman" w:hAnsi="Times New Roman" w:eastAsia="宋体" w:cs="Times New Roman"/>
          <w:b w:val="0"/>
          <w:bCs/>
          <w:sz w:val="24"/>
          <w:szCs w:val="32"/>
        </w:rPr>
        <w:t>附图</w:t>
      </w:r>
      <w:r>
        <w:rPr>
          <w:rFonts w:hint="eastAsia" w:ascii="Times New Roman" w:hAnsi="Times New Roman" w:eastAsia="宋体" w:cs="Times New Roman"/>
          <w:b w:val="0"/>
          <w:bCs/>
          <w:sz w:val="24"/>
          <w:szCs w:val="32"/>
          <w:lang w:val="en-US" w:eastAsia="zh-CN"/>
        </w:rPr>
        <w:t>6</w:t>
      </w:r>
      <w:r>
        <w:rPr>
          <w:rFonts w:hint="eastAsia" w:ascii="Times New Roman" w:hAnsi="Times New Roman" w:eastAsia="宋体" w:cs="Times New Roman"/>
          <w:b w:val="0"/>
          <w:bCs/>
          <w:sz w:val="24"/>
          <w:szCs w:val="32"/>
        </w:rPr>
        <w:t>：</w:t>
      </w:r>
      <w:r>
        <w:rPr>
          <w:rFonts w:hint="eastAsia" w:ascii="Times New Roman" w:hAnsi="Times New Roman" w:eastAsia="宋体" w:cs="Times New Roman"/>
          <w:b w:val="0"/>
          <w:bCs/>
          <w:sz w:val="24"/>
          <w:szCs w:val="32"/>
          <w:lang w:val="en-US" w:eastAsia="zh-CN"/>
        </w:rPr>
        <w:t>本项目在昌吉市城市总体规划位置图</w:t>
      </w:r>
    </w:p>
    <w:p>
      <w:pPr>
        <w:pStyle w:val="2"/>
        <w:spacing w:after="0" w:line="360" w:lineRule="auto"/>
        <w:ind w:left="0" w:leftChars="0" w:firstLine="480" w:firstLineChars="200"/>
        <w:rPr>
          <w:rFonts w:ascii="Times New Roman" w:hAnsi="Times New Roman" w:cs="Times New Roman"/>
          <w:b w:val="0"/>
          <w:bCs/>
          <w:sz w:val="24"/>
          <w:szCs w:val="32"/>
        </w:rPr>
      </w:pPr>
    </w:p>
    <w:p/>
    <w:p>
      <w:pPr>
        <w:pStyle w:val="22"/>
        <w:ind w:firstLine="0" w:firstLineChars="0"/>
        <w:rPr>
          <w:rFonts w:cs="Times New Roman"/>
          <w:b/>
          <w:bCs/>
          <w:sz w:val="28"/>
          <w:szCs w:val="36"/>
        </w:rPr>
      </w:pPr>
    </w:p>
    <w:p>
      <w:pPr>
        <w:pStyle w:val="22"/>
        <w:ind w:firstLine="0" w:firstLineChars="0"/>
        <w:rPr>
          <w:rFonts w:cs="Times New Roman"/>
          <w:b/>
          <w:bCs/>
          <w:sz w:val="28"/>
          <w:szCs w:val="36"/>
        </w:rPr>
      </w:pPr>
    </w:p>
    <w:p>
      <w:pPr>
        <w:pStyle w:val="22"/>
        <w:ind w:firstLine="0" w:firstLineChars="0"/>
        <w:rPr>
          <w:rFonts w:cs="Times New Roman"/>
          <w:b/>
          <w:bCs/>
          <w:sz w:val="28"/>
          <w:szCs w:val="36"/>
        </w:rPr>
      </w:pPr>
      <w:r>
        <w:rPr>
          <w:rFonts w:cs="Times New Roman"/>
          <w:b/>
          <w:bCs/>
          <w:sz w:val="28"/>
          <w:szCs w:val="36"/>
        </w:rPr>
        <w:t>附件：</w:t>
      </w:r>
    </w:p>
    <w:p>
      <w:pPr>
        <w:spacing w:line="360" w:lineRule="auto"/>
        <w:ind w:firstLine="480" w:firstLineChars="200"/>
        <w:rPr>
          <w:rFonts w:cs="Times New Roman"/>
          <w:b w:val="0"/>
          <w:bCs/>
          <w:szCs w:val="32"/>
        </w:rPr>
      </w:pPr>
      <w:r>
        <w:rPr>
          <w:rFonts w:cs="Times New Roman"/>
          <w:b w:val="0"/>
          <w:bCs/>
          <w:szCs w:val="32"/>
        </w:rPr>
        <w:t>附件1：委托书</w:t>
      </w:r>
    </w:p>
    <w:p>
      <w:pPr>
        <w:spacing w:line="360" w:lineRule="auto"/>
        <w:ind w:firstLine="480" w:firstLineChars="200"/>
        <w:rPr>
          <w:rFonts w:hint="eastAsia" w:cs="Times New Roman"/>
          <w:b w:val="0"/>
          <w:bCs/>
          <w:szCs w:val="32"/>
          <w:lang w:val="en-US" w:eastAsia="zh-CN"/>
        </w:rPr>
      </w:pPr>
      <w:r>
        <w:rPr>
          <w:rFonts w:cs="Times New Roman"/>
          <w:b w:val="0"/>
          <w:bCs/>
          <w:szCs w:val="32"/>
        </w:rPr>
        <w:t>附件</w:t>
      </w:r>
      <w:r>
        <w:rPr>
          <w:rFonts w:hint="eastAsia" w:cs="Times New Roman"/>
          <w:b w:val="0"/>
          <w:bCs/>
          <w:szCs w:val="32"/>
        </w:rPr>
        <w:t>2</w:t>
      </w:r>
      <w:r>
        <w:rPr>
          <w:rFonts w:cs="Times New Roman"/>
          <w:b w:val="0"/>
          <w:bCs/>
          <w:szCs w:val="32"/>
        </w:rPr>
        <w:t>：</w:t>
      </w:r>
      <w:r>
        <w:rPr>
          <w:rFonts w:hint="eastAsia" w:cs="Times New Roman"/>
          <w:b w:val="0"/>
          <w:bCs/>
          <w:szCs w:val="32"/>
          <w:lang w:val="en-US" w:eastAsia="zh-CN"/>
        </w:rPr>
        <w:t>土地证</w:t>
      </w:r>
    </w:p>
    <w:p>
      <w:pPr>
        <w:spacing w:line="360" w:lineRule="auto"/>
        <w:ind w:firstLine="480" w:firstLineChars="200"/>
        <w:rPr>
          <w:rFonts w:hint="default" w:cs="Times New Roman"/>
          <w:b w:val="0"/>
          <w:bCs/>
          <w:szCs w:val="32"/>
          <w:lang w:val="en-US" w:eastAsia="zh-CN"/>
        </w:rPr>
      </w:pPr>
      <w:r>
        <w:rPr>
          <w:rFonts w:cs="Times New Roman"/>
          <w:b w:val="0"/>
          <w:bCs/>
          <w:szCs w:val="32"/>
        </w:rPr>
        <w:t>附件</w:t>
      </w:r>
      <w:r>
        <w:rPr>
          <w:rFonts w:hint="eastAsia" w:cs="Times New Roman"/>
          <w:b w:val="0"/>
          <w:bCs/>
          <w:szCs w:val="32"/>
          <w:lang w:val="en-US" w:eastAsia="zh-CN"/>
        </w:rPr>
        <w:t>3</w:t>
      </w:r>
      <w:r>
        <w:rPr>
          <w:rFonts w:cs="Times New Roman"/>
          <w:b w:val="0"/>
          <w:bCs/>
          <w:szCs w:val="32"/>
        </w:rPr>
        <w:t>：</w:t>
      </w:r>
      <w:r>
        <w:rPr>
          <w:rFonts w:hint="eastAsia" w:cs="Times New Roman"/>
          <w:b w:val="0"/>
          <w:bCs/>
          <w:szCs w:val="32"/>
          <w:lang w:val="en-US" w:eastAsia="zh-CN"/>
        </w:rPr>
        <w:t>天然气检测报告单</w:t>
      </w:r>
    </w:p>
    <w:p>
      <w:pPr>
        <w:pStyle w:val="41"/>
        <w:rPr>
          <w:rFonts w:hint="eastAsia" w:ascii="Times New Roman" w:hAnsi="Times New Roman" w:eastAsia="宋体" w:cs="Times New Roman"/>
          <w:b w:val="0"/>
          <w:bCs/>
          <w:szCs w:val="32"/>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78"/>
        <w:spacing w:line="240" w:lineRule="auto"/>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8499475" cy="4909820"/>
            <wp:effectExtent l="0" t="0" r="9525" b="508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5"/>
                    <a:stretch>
                      <a:fillRect/>
                    </a:stretch>
                  </pic:blipFill>
                  <pic:spPr>
                    <a:xfrm>
                      <a:off x="0" y="0"/>
                      <a:ext cx="8499475" cy="4909820"/>
                    </a:xfrm>
                    <a:prstGeom prst="rect">
                      <a:avLst/>
                    </a:prstGeom>
                    <a:noFill/>
                    <a:ln>
                      <a:noFill/>
                    </a:ln>
                  </pic:spPr>
                </pic:pic>
              </a:graphicData>
            </a:graphic>
          </wp:inline>
        </w:drawing>
      </w:r>
    </w:p>
    <w:p>
      <w:pPr>
        <w:pStyle w:val="78"/>
        <w:spacing w:line="240" w:lineRule="auto"/>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8527415" cy="4786630"/>
            <wp:effectExtent l="0" t="0" r="6985" b="127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26"/>
                    <a:stretch>
                      <a:fillRect/>
                    </a:stretch>
                  </pic:blipFill>
                  <pic:spPr>
                    <a:xfrm>
                      <a:off x="0" y="0"/>
                      <a:ext cx="8527415" cy="4786630"/>
                    </a:xfrm>
                    <a:prstGeom prst="rect">
                      <a:avLst/>
                    </a:prstGeom>
                    <a:noFill/>
                    <a:ln>
                      <a:noFill/>
                    </a:ln>
                  </pic:spPr>
                </pic:pic>
              </a:graphicData>
            </a:graphic>
          </wp:inline>
        </w:drawing>
      </w:r>
    </w:p>
    <w:p>
      <w:pPr>
        <w:pStyle w:val="78"/>
        <w:spacing w:line="240" w:lineRule="auto"/>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8864600" cy="4911725"/>
            <wp:effectExtent l="0" t="0" r="0" b="317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27"/>
                    <a:stretch>
                      <a:fillRect/>
                    </a:stretch>
                  </pic:blipFill>
                  <pic:spPr>
                    <a:xfrm>
                      <a:off x="0" y="0"/>
                      <a:ext cx="8864600" cy="4911725"/>
                    </a:xfrm>
                    <a:prstGeom prst="rect">
                      <a:avLst/>
                    </a:prstGeom>
                    <a:noFill/>
                    <a:ln>
                      <a:noFill/>
                    </a:ln>
                  </pic:spPr>
                </pic:pic>
              </a:graphicData>
            </a:graphic>
          </wp:inline>
        </w:drawing>
      </w:r>
    </w:p>
    <w:p>
      <w:pPr>
        <w:pStyle w:val="78"/>
        <w:spacing w:line="240" w:lineRule="auto"/>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8688705" cy="5007610"/>
            <wp:effectExtent l="0" t="0" r="10795" b="8890"/>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28"/>
                    <a:stretch>
                      <a:fillRect/>
                    </a:stretch>
                  </pic:blipFill>
                  <pic:spPr>
                    <a:xfrm>
                      <a:off x="0" y="0"/>
                      <a:ext cx="8688705" cy="5007610"/>
                    </a:xfrm>
                    <a:prstGeom prst="rect">
                      <a:avLst/>
                    </a:prstGeom>
                    <a:noFill/>
                    <a:ln>
                      <a:noFill/>
                    </a:ln>
                  </pic:spPr>
                </pic:pic>
              </a:graphicData>
            </a:graphic>
          </wp:inline>
        </w:drawing>
      </w:r>
    </w:p>
    <w:p>
      <w:pPr>
        <w:pStyle w:val="78"/>
        <w:spacing w:line="240" w:lineRule="auto"/>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218430" cy="7990840"/>
            <wp:effectExtent l="0" t="0" r="1270" b="1016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29"/>
                    <a:stretch>
                      <a:fillRect/>
                    </a:stretch>
                  </pic:blipFill>
                  <pic:spPr>
                    <a:xfrm>
                      <a:off x="0" y="0"/>
                      <a:ext cx="5218430" cy="7990840"/>
                    </a:xfrm>
                    <a:prstGeom prst="rect">
                      <a:avLst/>
                    </a:prstGeom>
                    <a:noFill/>
                    <a:ln>
                      <a:noFill/>
                    </a:ln>
                  </pic:spPr>
                </pic:pic>
              </a:graphicData>
            </a:graphic>
          </wp:inline>
        </w:drawing>
      </w:r>
    </w:p>
    <w:p>
      <w:pPr>
        <w:pStyle w:val="78"/>
        <w:spacing w:line="240" w:lineRule="auto"/>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200015" cy="8031480"/>
            <wp:effectExtent l="0" t="0" r="6985" b="762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30"/>
                    <a:stretch>
                      <a:fillRect/>
                    </a:stretch>
                  </pic:blipFill>
                  <pic:spPr>
                    <a:xfrm>
                      <a:off x="0" y="0"/>
                      <a:ext cx="5200015" cy="8031480"/>
                    </a:xfrm>
                    <a:prstGeom prst="rect">
                      <a:avLst/>
                    </a:prstGeom>
                    <a:noFill/>
                    <a:ln>
                      <a:noFill/>
                    </a:ln>
                  </pic:spPr>
                </pic:pic>
              </a:graphicData>
            </a:graphic>
          </wp:inline>
        </w:drawing>
      </w:r>
    </w:p>
    <w:p>
      <w:pPr>
        <w:pStyle w:val="78"/>
        <w:spacing w:line="240" w:lineRule="auto"/>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eastAsia="zh-CN"/>
        </w:rPr>
        <w:drawing>
          <wp:inline distT="0" distB="0" distL="114300" distR="114300">
            <wp:extent cx="5273040" cy="7450455"/>
            <wp:effectExtent l="0" t="0" r="10160" b="4445"/>
            <wp:docPr id="44" name="图片 44" descr="厂房租赁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厂房租赁合同_00"/>
                    <pic:cNvPicPr>
                      <a:picLocks noChangeAspect="1"/>
                    </pic:cNvPicPr>
                  </pic:nvPicPr>
                  <pic:blipFill>
                    <a:blip r:embed="rId31"/>
                    <a:stretch>
                      <a:fillRect/>
                    </a:stretch>
                  </pic:blipFill>
                  <pic:spPr>
                    <a:xfrm>
                      <a:off x="0" y="0"/>
                      <a:ext cx="5273040" cy="7450455"/>
                    </a:xfrm>
                    <a:prstGeom prst="rect">
                      <a:avLst/>
                    </a:prstGeom>
                  </pic:spPr>
                </pic:pic>
              </a:graphicData>
            </a:graphic>
          </wp:inline>
        </w:drawing>
      </w:r>
    </w:p>
    <w:p>
      <w:pPr>
        <w:pStyle w:val="78"/>
        <w:spacing w:line="240" w:lineRule="auto"/>
        <w:rPr>
          <w:rFonts w:hint="eastAsia" w:eastAsiaTheme="minor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Theme="minorEastAsia"/>
          <w:lang w:eastAsia="zh-CN"/>
        </w:rPr>
        <w:drawing>
          <wp:inline distT="0" distB="0" distL="114300" distR="114300">
            <wp:extent cx="5273040" cy="7450455"/>
            <wp:effectExtent l="0" t="0" r="10160" b="4445"/>
            <wp:docPr id="47" name="图片 47" descr="厂房租赁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厂房租赁合同_01"/>
                    <pic:cNvPicPr>
                      <a:picLocks noChangeAspect="1"/>
                    </pic:cNvPicPr>
                  </pic:nvPicPr>
                  <pic:blipFill>
                    <a:blip r:embed="rId32"/>
                    <a:stretch>
                      <a:fillRect/>
                    </a:stretch>
                  </pic:blipFill>
                  <pic:spPr>
                    <a:xfrm>
                      <a:off x="0" y="0"/>
                      <a:ext cx="5273040" cy="7450455"/>
                    </a:xfrm>
                    <a:prstGeom prst="rect">
                      <a:avLst/>
                    </a:prstGeom>
                  </pic:spPr>
                </pic:pic>
              </a:graphicData>
            </a:graphic>
          </wp:inline>
        </w:drawing>
      </w:r>
    </w:p>
    <w:p>
      <w:pPr>
        <w:pStyle w:val="78"/>
        <w:spacing w:line="240" w:lineRule="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5273040" cy="7450455"/>
            <wp:effectExtent l="0" t="0" r="10160" b="4445"/>
            <wp:docPr id="48" name="图片 48" descr="厂房租赁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厂房租赁合同_02"/>
                    <pic:cNvPicPr>
                      <a:picLocks noChangeAspect="1"/>
                    </pic:cNvPicPr>
                  </pic:nvPicPr>
                  <pic:blipFill>
                    <a:blip r:embed="rId33"/>
                    <a:stretch>
                      <a:fillRect/>
                    </a:stretch>
                  </pic:blipFill>
                  <pic:spPr>
                    <a:xfrm>
                      <a:off x="0" y="0"/>
                      <a:ext cx="5273040" cy="7450455"/>
                    </a:xfrm>
                    <a:prstGeom prst="rect">
                      <a:avLst/>
                    </a:prstGeom>
                  </pic:spPr>
                </pic:pic>
              </a:graphicData>
            </a:graphic>
          </wp:inline>
        </w:drawing>
      </w:r>
    </w:p>
    <w:p>
      <w:pPr>
        <w:pStyle w:val="78"/>
        <w:spacing w:line="240" w:lineRule="auto"/>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0" distR="0">
            <wp:extent cx="5274310" cy="8122920"/>
            <wp:effectExtent l="0" t="0" r="0" b="0"/>
            <wp:docPr id="15" name="图片 15" descr="F:\项目资料\吉木萨尔县北庭物流园第二批专项基金申报材料\新建文件夹\环评文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项目资料\吉木萨尔县北庭物流园第二批专项基金申报材料\新建文件夹\环评文件.JPG"/>
                    <pic:cNvPicPr>
                      <a:picLocks noChangeAspect="1" noChangeArrowheads="1"/>
                    </pic:cNvPicPr>
                  </pic:nvPicPr>
                  <pic:blipFill>
                    <a:blip r:embed="rId34" cstate="print"/>
                    <a:srcRect t="6338" b="7049"/>
                    <a:stretch>
                      <a:fillRect/>
                    </a:stretch>
                  </pic:blipFill>
                  <pic:spPr>
                    <a:xfrm>
                      <a:off x="0" y="0"/>
                      <a:ext cx="5274310" cy="8122920"/>
                    </a:xfrm>
                    <a:prstGeom prst="rect">
                      <a:avLst/>
                    </a:prstGeom>
                    <a:noFill/>
                    <a:ln w="9525">
                      <a:noFill/>
                      <a:miter lim="800000"/>
                      <a:headEnd/>
                      <a:tailEnd/>
                    </a:ln>
                  </pic:spPr>
                </pic:pic>
              </a:graphicData>
            </a:graphic>
          </wp:inline>
        </w:drawing>
      </w:r>
    </w:p>
    <w:p>
      <w:pPr>
        <w:pStyle w:val="78"/>
        <w:spacing w:line="240" w:lineRule="auto"/>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0" distR="0">
            <wp:extent cx="5274310" cy="7425690"/>
            <wp:effectExtent l="0" t="0" r="0" b="0"/>
            <wp:docPr id="16" name="图片 16" descr="F:\项目资料\吉木萨尔县北庭物流园第二批专项基金申报材料\新建文件夹\环评文件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项目资料\吉木萨尔县北庭物流园第二批专项基金申报材料\新建文件夹\环评文件 (2).jpg"/>
                    <pic:cNvPicPr>
                      <a:picLocks noChangeAspect="1" noChangeArrowheads="1"/>
                    </pic:cNvPicPr>
                  </pic:nvPicPr>
                  <pic:blipFill>
                    <a:blip r:embed="rId35" cstate="print"/>
                    <a:srcRect t="1316"/>
                    <a:stretch>
                      <a:fillRect/>
                    </a:stretch>
                  </pic:blipFill>
                  <pic:spPr>
                    <a:xfrm>
                      <a:off x="0" y="0"/>
                      <a:ext cx="5274310" cy="7425690"/>
                    </a:xfrm>
                    <a:prstGeom prst="rect">
                      <a:avLst/>
                    </a:prstGeom>
                    <a:noFill/>
                    <a:ln w="9525">
                      <a:noFill/>
                      <a:miter lim="800000"/>
                      <a:headEnd/>
                      <a:tailEnd/>
                    </a:ln>
                  </pic:spPr>
                </pic:pic>
              </a:graphicData>
            </a:graphic>
          </wp:inline>
        </w:drawing>
      </w:r>
    </w:p>
    <w:p>
      <w:pPr>
        <w:pStyle w:val="78"/>
        <w:spacing w:line="240" w:lineRule="auto"/>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0" distR="0">
            <wp:extent cx="5274310" cy="7524750"/>
            <wp:effectExtent l="0" t="0" r="8890" b="6350"/>
            <wp:docPr id="17" name="图片 17" descr="F:\项目资料\吉木萨尔县北庭物流园第二批专项基金申报材料\新建文件夹\环评文件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F:\项目资料\吉木萨尔县北庭物流园第二批专项基金申报材料\新建文件夹\环评文件 (4).jpg"/>
                    <pic:cNvPicPr>
                      <a:picLocks noChangeAspect="1" noChangeArrowheads="1"/>
                    </pic:cNvPicPr>
                  </pic:nvPicPr>
                  <pic:blipFill>
                    <a:blip r:embed="rId36" cstate="print"/>
                    <a:srcRect/>
                    <a:stretch>
                      <a:fillRect/>
                    </a:stretch>
                  </pic:blipFill>
                  <pic:spPr>
                    <a:xfrm>
                      <a:off x="0" y="0"/>
                      <a:ext cx="5274310" cy="7524956"/>
                    </a:xfrm>
                    <a:prstGeom prst="rect">
                      <a:avLst/>
                    </a:prstGeom>
                    <a:noFill/>
                    <a:ln w="9525">
                      <a:noFill/>
                      <a:miter lim="800000"/>
                      <a:headEnd/>
                      <a:tailEnd/>
                    </a:ln>
                  </pic:spPr>
                </pic:pic>
              </a:graphicData>
            </a:graphic>
          </wp:inline>
        </w:drawing>
      </w:r>
    </w:p>
    <w:p>
      <w:pPr>
        <w:pStyle w:val="78"/>
        <w:spacing w:line="240" w:lineRule="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0" distR="0">
            <wp:extent cx="5274310" cy="7524750"/>
            <wp:effectExtent l="0" t="0" r="8890" b="6350"/>
            <wp:docPr id="18" name="图片 18" descr="F:\项目资料\吉木萨尔县北庭物流园第二批专项基金申报材料\新建文件夹\环评文件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项目资料\吉木萨尔县北庭物流园第二批专项基金申报材料\新建文件夹\环评文件 (3).jpg"/>
                    <pic:cNvPicPr>
                      <a:picLocks noChangeAspect="1" noChangeArrowheads="1"/>
                    </pic:cNvPicPr>
                  </pic:nvPicPr>
                  <pic:blipFill>
                    <a:blip r:embed="rId37" cstate="print"/>
                    <a:srcRect/>
                    <a:stretch>
                      <a:fillRect/>
                    </a:stretch>
                  </pic:blipFill>
                  <pic:spPr>
                    <a:xfrm>
                      <a:off x="0" y="0"/>
                      <a:ext cx="5274310" cy="7524956"/>
                    </a:xfrm>
                    <a:prstGeom prst="rect">
                      <a:avLst/>
                    </a:prstGeom>
                    <a:noFill/>
                    <a:ln w="9525">
                      <a:noFill/>
                      <a:miter lim="800000"/>
                      <a:headEnd/>
                      <a:tailEnd/>
                    </a:ln>
                  </pic:spPr>
                </pic:pic>
              </a:graphicData>
            </a:graphic>
          </wp:inline>
        </w:drawing>
      </w:r>
    </w:p>
    <w:p>
      <w:pPr>
        <w:pStyle w:val="78"/>
        <w:spacing w:line="240" w:lineRule="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5261610" cy="8107045"/>
            <wp:effectExtent l="0" t="0" r="8890" b="8255"/>
            <wp:docPr id="53" name="图片 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3"/>
                    <pic:cNvPicPr>
                      <a:picLocks noChangeAspect="1"/>
                    </pic:cNvPicPr>
                  </pic:nvPicPr>
                  <pic:blipFill>
                    <a:blip r:embed="rId38"/>
                    <a:stretch>
                      <a:fillRect/>
                    </a:stretch>
                  </pic:blipFill>
                  <pic:spPr>
                    <a:xfrm>
                      <a:off x="0" y="0"/>
                      <a:ext cx="5261610" cy="8107045"/>
                    </a:xfrm>
                    <a:prstGeom prst="rect">
                      <a:avLst/>
                    </a:prstGeom>
                  </pic:spPr>
                </pic:pic>
              </a:graphicData>
            </a:graphic>
          </wp:inline>
        </w:drawing>
      </w:r>
    </w:p>
    <w:p>
      <w:pPr>
        <w:pStyle w:val="78"/>
        <w:spacing w:line="240" w:lineRule="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5270500" cy="7449185"/>
            <wp:effectExtent l="0" t="0" r="0" b="5715"/>
            <wp:docPr id="4" name="图片 4" descr="专家复核意见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专家复核意见表_00"/>
                    <pic:cNvPicPr>
                      <a:picLocks noChangeAspect="1"/>
                    </pic:cNvPicPr>
                  </pic:nvPicPr>
                  <pic:blipFill>
                    <a:blip r:embed="rId39"/>
                    <a:stretch>
                      <a:fillRect/>
                    </a:stretch>
                  </pic:blipFill>
                  <pic:spPr>
                    <a:xfrm>
                      <a:off x="0" y="0"/>
                      <a:ext cx="5270500" cy="7449185"/>
                    </a:xfrm>
                    <a:prstGeom prst="rect">
                      <a:avLst/>
                    </a:prstGeom>
                  </pic:spPr>
                </pic:pic>
              </a:graphicData>
            </a:graphic>
          </wp:inline>
        </w:drawing>
      </w:r>
    </w:p>
    <w:p>
      <w:pPr>
        <w:pStyle w:val="78"/>
        <w:spacing w:line="240" w:lineRule="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5270500" cy="7449185"/>
            <wp:effectExtent l="0" t="0" r="0" b="5715"/>
            <wp:docPr id="10" name="图片 10" descr="专家复核意见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专家复核意见表_01"/>
                    <pic:cNvPicPr>
                      <a:picLocks noChangeAspect="1"/>
                    </pic:cNvPicPr>
                  </pic:nvPicPr>
                  <pic:blipFill>
                    <a:blip r:embed="rId40"/>
                    <a:stretch>
                      <a:fillRect/>
                    </a:stretch>
                  </pic:blipFill>
                  <pic:spPr>
                    <a:xfrm>
                      <a:off x="0" y="0"/>
                      <a:ext cx="5270500" cy="7449185"/>
                    </a:xfrm>
                    <a:prstGeom prst="rect">
                      <a:avLst/>
                    </a:prstGeom>
                  </pic:spPr>
                </pic:pic>
              </a:graphicData>
            </a:graphic>
          </wp:inline>
        </w:drawing>
      </w:r>
    </w:p>
    <w:p>
      <w:pPr>
        <w:pStyle w:val="78"/>
        <w:spacing w:line="240" w:lineRule="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5273040" cy="7459980"/>
            <wp:effectExtent l="0" t="0" r="10160" b="7620"/>
            <wp:docPr id="21" name="图片 21" descr="专家复核意见-何飞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专家复核意见-何飞_00"/>
                    <pic:cNvPicPr>
                      <a:picLocks noChangeAspect="1"/>
                    </pic:cNvPicPr>
                  </pic:nvPicPr>
                  <pic:blipFill>
                    <a:blip r:embed="rId41"/>
                    <a:stretch>
                      <a:fillRect/>
                    </a:stretch>
                  </pic:blipFill>
                  <pic:spPr>
                    <a:xfrm>
                      <a:off x="0" y="0"/>
                      <a:ext cx="5273040" cy="7459980"/>
                    </a:xfrm>
                    <a:prstGeom prst="rect">
                      <a:avLst/>
                    </a:prstGeom>
                  </pic:spPr>
                </pic:pic>
              </a:graphicData>
            </a:graphic>
          </wp:inline>
        </w:drawing>
      </w:r>
    </w:p>
    <w:p>
      <w:pPr>
        <w:pStyle w:val="78"/>
        <w:spacing w:line="240" w:lineRule="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5273040" cy="7459980"/>
            <wp:effectExtent l="0" t="0" r="10160" b="7620"/>
            <wp:docPr id="22" name="图片 22" descr="专家复核意见-何飞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专家复核意见-何飞_01"/>
                    <pic:cNvPicPr>
                      <a:picLocks noChangeAspect="1"/>
                    </pic:cNvPicPr>
                  </pic:nvPicPr>
                  <pic:blipFill>
                    <a:blip r:embed="rId42"/>
                    <a:stretch>
                      <a:fillRect/>
                    </a:stretch>
                  </pic:blipFill>
                  <pic:spPr>
                    <a:xfrm>
                      <a:off x="0" y="0"/>
                      <a:ext cx="5273040" cy="7459980"/>
                    </a:xfrm>
                    <a:prstGeom prst="rect">
                      <a:avLst/>
                    </a:prstGeom>
                  </pic:spPr>
                </pic:pic>
              </a:graphicData>
            </a:graphic>
          </wp:inline>
        </w:drawing>
      </w:r>
    </w:p>
    <w:p>
      <w:pPr>
        <w:pStyle w:val="78"/>
        <w:spacing w:line="240" w:lineRule="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5273040" cy="7459980"/>
            <wp:effectExtent l="0" t="0" r="10160" b="7620"/>
            <wp:docPr id="23" name="图片 23" descr="复核意见表（2023.1.19）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复核意见表（2023.1.19）_00"/>
                    <pic:cNvPicPr>
                      <a:picLocks noChangeAspect="1"/>
                    </pic:cNvPicPr>
                  </pic:nvPicPr>
                  <pic:blipFill>
                    <a:blip r:embed="rId43"/>
                    <a:stretch>
                      <a:fillRect/>
                    </a:stretch>
                  </pic:blipFill>
                  <pic:spPr>
                    <a:xfrm>
                      <a:off x="0" y="0"/>
                      <a:ext cx="5273040" cy="7459980"/>
                    </a:xfrm>
                    <a:prstGeom prst="rect">
                      <a:avLst/>
                    </a:prstGeom>
                  </pic:spPr>
                </pic:pic>
              </a:graphicData>
            </a:graphic>
          </wp:inline>
        </w:drawing>
      </w:r>
    </w:p>
    <w:p>
      <w:pPr>
        <w:pStyle w:val="78"/>
        <w:spacing w:line="240" w:lineRule="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5273040" cy="7459980"/>
            <wp:effectExtent l="0" t="0" r="10160" b="7620"/>
            <wp:docPr id="24" name="图片 24" descr="复核意见表（2023.1.1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复核意见表（2023.1.19）_01"/>
                    <pic:cNvPicPr>
                      <a:picLocks noChangeAspect="1"/>
                    </pic:cNvPicPr>
                  </pic:nvPicPr>
                  <pic:blipFill>
                    <a:blip r:embed="rId44"/>
                    <a:stretch>
                      <a:fillRect/>
                    </a:stretch>
                  </pic:blipFill>
                  <pic:spPr>
                    <a:xfrm>
                      <a:off x="0" y="0"/>
                      <a:ext cx="5273040" cy="7459980"/>
                    </a:xfrm>
                    <a:prstGeom prst="rect">
                      <a:avLst/>
                    </a:prstGeom>
                  </pic:spPr>
                </pic:pic>
              </a:graphicData>
            </a:graphic>
          </wp:inline>
        </w:drawing>
      </w:r>
    </w:p>
    <w:p>
      <w:pPr>
        <w:pStyle w:val="78"/>
        <w:spacing w:line="240" w:lineRule="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5270500" cy="7449185"/>
            <wp:effectExtent l="0" t="0" r="0" b="5715"/>
            <wp:docPr id="25" name="图片 25" descr="吉木萨尔县绿色洗消中心项目    复核意见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吉木萨尔县绿色洗消中心项目    复核意见表_00"/>
                    <pic:cNvPicPr>
                      <a:picLocks noChangeAspect="1"/>
                    </pic:cNvPicPr>
                  </pic:nvPicPr>
                  <pic:blipFill>
                    <a:blip r:embed="rId45"/>
                    <a:stretch>
                      <a:fillRect/>
                    </a:stretch>
                  </pic:blipFill>
                  <pic:spPr>
                    <a:xfrm>
                      <a:off x="0" y="0"/>
                      <a:ext cx="5270500" cy="7449185"/>
                    </a:xfrm>
                    <a:prstGeom prst="rect">
                      <a:avLst/>
                    </a:prstGeom>
                  </pic:spPr>
                </pic:pic>
              </a:graphicData>
            </a:graphic>
          </wp:inline>
        </w:drawing>
      </w:r>
    </w:p>
    <w:p>
      <w:pPr>
        <w:pStyle w:val="78"/>
        <w:spacing w:line="240" w:lineRule="auto"/>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5270500" cy="7449185"/>
            <wp:effectExtent l="0" t="0" r="0" b="5715"/>
            <wp:docPr id="27" name="图片 27" descr="吉木萨尔县绿色洗消中心项目    复核意见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吉木萨尔县绿色洗消中心项目    复核意见表_01"/>
                    <pic:cNvPicPr>
                      <a:picLocks noChangeAspect="1"/>
                    </pic:cNvPicPr>
                  </pic:nvPicPr>
                  <pic:blipFill>
                    <a:blip r:embed="rId46"/>
                    <a:stretch>
                      <a:fillRect/>
                    </a:stretch>
                  </pic:blipFill>
                  <pic:spPr>
                    <a:xfrm>
                      <a:off x="0" y="0"/>
                      <a:ext cx="5270500" cy="7449185"/>
                    </a:xfrm>
                    <a:prstGeom prst="rect">
                      <a:avLst/>
                    </a:prstGeom>
                  </pic:spPr>
                </pic:pic>
              </a:graphicData>
            </a:graphic>
          </wp:inline>
        </w:drawing>
      </w:r>
    </w:p>
    <w:p>
      <w:pPr>
        <w:spacing w:line="560" w:lineRule="exact"/>
        <w:jc w:val="center"/>
        <w:rPr>
          <w:rFonts w:hint="eastAsia" w:ascii="黑体" w:hAnsi="黑体" w:eastAsia="黑体" w:cs="黑体"/>
          <w:b/>
          <w:sz w:val="44"/>
          <w:szCs w:val="44"/>
        </w:rPr>
      </w:pPr>
      <w:r>
        <w:rPr>
          <w:rFonts w:hint="eastAsia" w:ascii="黑体" w:hAnsi="黑体" w:eastAsia="黑体" w:cs="黑体"/>
          <w:b/>
          <w:sz w:val="44"/>
          <w:szCs w:val="44"/>
        </w:rPr>
        <w:t>《</w:t>
      </w:r>
      <w:r>
        <w:rPr>
          <w:rFonts w:hint="eastAsia" w:ascii="黑体" w:hAnsi="黑体" w:eastAsia="黑体" w:cs="黑体"/>
          <w:b/>
          <w:sz w:val="44"/>
          <w:szCs w:val="44"/>
          <w:lang w:eastAsia="zh-CN"/>
        </w:rPr>
        <w:t>吉木萨尔县绿色洗消中心提升改造项目</w:t>
      </w:r>
      <w:r>
        <w:rPr>
          <w:rFonts w:hint="eastAsia" w:ascii="黑体" w:hAnsi="黑体" w:eastAsia="黑体" w:cs="黑体"/>
          <w:b/>
          <w:sz w:val="44"/>
          <w:szCs w:val="44"/>
        </w:rPr>
        <w:t>环境影响报告</w:t>
      </w:r>
      <w:r>
        <w:rPr>
          <w:rFonts w:hint="eastAsia" w:ascii="黑体" w:hAnsi="黑体" w:eastAsia="黑体" w:cs="黑体"/>
          <w:b/>
          <w:sz w:val="44"/>
          <w:szCs w:val="44"/>
          <w:lang w:val="en-US" w:eastAsia="zh-CN"/>
        </w:rPr>
        <w:t>表</w:t>
      </w:r>
      <w:r>
        <w:rPr>
          <w:rFonts w:hint="eastAsia" w:ascii="黑体" w:hAnsi="黑体" w:eastAsia="黑体" w:cs="黑体"/>
          <w:b/>
          <w:sz w:val="44"/>
          <w:szCs w:val="44"/>
        </w:rPr>
        <w:t>》技术审查会会议纪要</w:t>
      </w:r>
    </w:p>
    <w:p>
      <w:pPr>
        <w:widowControl/>
        <w:spacing w:line="240" w:lineRule="exact"/>
        <w:ind w:firstLine="640" w:firstLineChars="200"/>
        <w:jc w:val="left"/>
        <w:rPr>
          <w:rFonts w:hint="eastAsia" w:ascii="宋体" w:hAnsi="宋体" w:eastAsia="等线" w:cs="宋体"/>
          <w:b w:val="0"/>
          <w:bCs/>
          <w:sz w:val="32"/>
          <w:szCs w:val="32"/>
        </w:rPr>
      </w:pPr>
    </w:p>
    <w:p>
      <w:pPr>
        <w:keepNext w:val="0"/>
        <w:keepLines w:val="0"/>
        <w:widowControl/>
        <w:suppressLineNumbers w:val="0"/>
        <w:ind w:firstLine="640" w:firstLineChars="200"/>
        <w:jc w:val="left"/>
        <w:rPr>
          <w:rFonts w:hint="eastAsia" w:ascii="仿宋" w:hAnsi="仿宋" w:eastAsia="仿宋" w:cs="仿宋"/>
          <w:b w:val="0"/>
          <w:bCs/>
          <w:sz w:val="32"/>
          <w:szCs w:val="32"/>
          <w:lang w:val="en-US" w:eastAsia="zh-CN"/>
        </w:rPr>
      </w:pPr>
      <w:r>
        <w:rPr>
          <w:rFonts w:hint="eastAsia" w:ascii="仿宋" w:hAnsi="仿宋" w:eastAsia="仿宋" w:cs="仿宋"/>
          <w:b w:val="0"/>
          <w:bCs/>
          <w:sz w:val="32"/>
          <w:szCs w:val="32"/>
          <w:lang w:val="en-US" w:eastAsia="zh-CN"/>
        </w:rPr>
        <w:t>2023年12月31日，昌吉州生态环境局以视频会议的形式主持召开了《吉木萨尔县绿色洗消中心提升改造项目环境影响报告表》技术评审会。参加会议的有：昌吉州生态环境局、昌吉州生态环境局吉木萨尔县分局的相关代表，相关评审专家，建设单位吉木萨尔县鸿至兴洗涤服务有限公司、环评文件编制单位新疆东方信海环境科技研究院有限公司的代表，共计9人参加了视频会议，会议成立了由4人组成的专家评审组（名单附后）。</w:t>
      </w:r>
    </w:p>
    <w:p>
      <w:pPr>
        <w:widowControl/>
        <w:ind w:firstLine="640" w:firstLineChars="200"/>
        <w:jc w:val="both"/>
        <w:rPr>
          <w:rFonts w:hint="eastAsia" w:ascii="仿宋" w:hAnsi="仿宋" w:eastAsia="仿宋" w:cs="仿宋"/>
          <w:b w:val="0"/>
          <w:bCs/>
          <w:sz w:val="32"/>
          <w:szCs w:val="32"/>
        </w:rPr>
      </w:pPr>
      <w:r>
        <w:rPr>
          <w:rFonts w:hint="eastAsia" w:ascii="仿宋" w:hAnsi="仿宋" w:eastAsia="仿宋" w:cs="仿宋"/>
          <w:b w:val="0"/>
          <w:bCs/>
          <w:sz w:val="32"/>
          <w:szCs w:val="32"/>
        </w:rPr>
        <w:t>与会人员在听取了建设单位对项目背景情况介绍、环评文件编制单位对环境影响报告</w:t>
      </w:r>
      <w:r>
        <w:rPr>
          <w:rFonts w:hint="eastAsia" w:ascii="仿宋" w:hAnsi="仿宋" w:eastAsia="仿宋" w:cs="仿宋"/>
          <w:b w:val="0"/>
          <w:bCs/>
          <w:sz w:val="32"/>
          <w:szCs w:val="32"/>
          <w:lang w:val="en-US" w:eastAsia="zh-CN"/>
        </w:rPr>
        <w:t>表</w:t>
      </w:r>
      <w:r>
        <w:rPr>
          <w:rFonts w:hint="eastAsia" w:ascii="仿宋" w:hAnsi="仿宋" w:eastAsia="仿宋" w:cs="仿宋"/>
          <w:b w:val="0"/>
          <w:bCs/>
          <w:sz w:val="32"/>
          <w:szCs w:val="32"/>
        </w:rPr>
        <w:t>内容的汇报后，进行了认真讨论和评审，形成会议纪要如下：</w:t>
      </w:r>
    </w:p>
    <w:p>
      <w:pPr>
        <w:widowControl/>
        <w:ind w:firstLine="640" w:firstLineChars="200"/>
        <w:jc w:val="both"/>
        <w:rPr>
          <w:rFonts w:hint="eastAsia" w:ascii="宋体" w:hAnsi="宋体" w:eastAsia="等线" w:cs="宋体"/>
          <w:b/>
          <w:bCs/>
          <w:sz w:val="32"/>
          <w:szCs w:val="32"/>
        </w:rPr>
      </w:pPr>
      <w:r>
        <w:rPr>
          <w:rFonts w:hint="eastAsia" w:ascii="宋体" w:hAnsi="宋体" w:eastAsia="等线" w:cs="宋体"/>
          <w:b/>
          <w:bCs/>
          <w:sz w:val="32"/>
          <w:szCs w:val="32"/>
        </w:rPr>
        <w:t>一、环评文件编制质量：</w:t>
      </w:r>
    </w:p>
    <w:p>
      <w:pPr>
        <w:keepNext w:val="0"/>
        <w:keepLines w:val="0"/>
        <w:widowControl/>
        <w:suppressLineNumbers w:val="0"/>
        <w:ind w:firstLine="640" w:firstLineChars="200"/>
        <w:jc w:val="left"/>
        <w:rPr>
          <w:rFonts w:hint="eastAsia" w:ascii="仿宋" w:hAnsi="仿宋" w:eastAsia="仿宋" w:cs="仿宋"/>
          <w:b w:val="0"/>
          <w:bCs/>
          <w:sz w:val="32"/>
          <w:szCs w:val="32"/>
          <w:lang w:val="en-US" w:eastAsia="zh-CN"/>
        </w:rPr>
      </w:pPr>
      <w:r>
        <w:rPr>
          <w:rFonts w:hint="eastAsia" w:ascii="仿宋" w:hAnsi="仿宋" w:eastAsia="仿宋" w:cs="仿宋"/>
          <w:b w:val="0"/>
          <w:bCs/>
          <w:sz w:val="32"/>
          <w:szCs w:val="32"/>
          <w:lang w:val="en-US" w:eastAsia="zh-CN"/>
        </w:rPr>
        <w:t>环评文件编制基本规范，内容较全面，提出的污染防治措施具有一定的针对性，评价结论总体可信。</w:t>
      </w:r>
    </w:p>
    <w:p>
      <w:pPr>
        <w:keepNext w:val="0"/>
        <w:keepLines w:val="0"/>
        <w:pageBreakBefore w:val="0"/>
        <w:widowControl/>
        <w:kinsoku/>
        <w:wordWrap/>
        <w:overflowPunct/>
        <w:topLinePunct w:val="0"/>
        <w:autoSpaceDE/>
        <w:autoSpaceDN/>
        <w:bidi w:val="0"/>
        <w:adjustRightInd/>
        <w:snapToGrid/>
        <w:spacing w:line="480" w:lineRule="exact"/>
        <w:ind w:firstLine="640" w:firstLineChars="200"/>
        <w:jc w:val="both"/>
        <w:textAlignment w:val="auto"/>
        <w:rPr>
          <w:rFonts w:hint="eastAsia" w:ascii="宋体" w:hAnsi="宋体" w:eastAsia="等线" w:cs="宋体"/>
          <w:b/>
          <w:bCs/>
          <w:sz w:val="32"/>
          <w:szCs w:val="32"/>
        </w:rPr>
      </w:pPr>
      <w:r>
        <w:rPr>
          <w:rFonts w:hint="eastAsia" w:ascii="宋体" w:hAnsi="宋体" w:eastAsia="等线" w:cs="宋体"/>
          <w:b/>
          <w:bCs/>
          <w:sz w:val="32"/>
          <w:szCs w:val="32"/>
        </w:rPr>
        <w:t>二、环评文件需进一步修改的问题：</w:t>
      </w:r>
    </w:p>
    <w:p>
      <w:pPr>
        <w:keepNext w:val="0"/>
        <w:keepLines w:val="0"/>
        <w:widowControl/>
        <w:suppressLineNumbers w:val="0"/>
        <w:ind w:firstLine="640" w:firstLineChars="200"/>
        <w:jc w:val="left"/>
        <w:rPr>
          <w:rFonts w:hint="eastAsia" w:ascii="仿宋" w:hAnsi="仿宋" w:eastAsia="仿宋" w:cs="仿宋"/>
          <w:b w:val="0"/>
          <w:bCs/>
          <w:sz w:val="32"/>
          <w:szCs w:val="32"/>
          <w:lang w:val="en-US" w:eastAsia="zh-CN"/>
        </w:rPr>
      </w:pPr>
      <w:r>
        <w:rPr>
          <w:rFonts w:hint="eastAsia" w:ascii="仿宋" w:hAnsi="仿宋" w:eastAsia="仿宋" w:cs="仿宋"/>
          <w:b w:val="0"/>
          <w:bCs/>
          <w:sz w:val="32"/>
          <w:szCs w:val="32"/>
          <w:lang w:val="en-US" w:eastAsia="zh-CN"/>
        </w:rPr>
        <w:t xml:space="preserve">1、完善项目建设与《关于开展大气污染防治冬病夏治工作的通知》符合性分析。补充吉木萨尔县北庭综合物流园规划情况，完善项目建设与物流园规划及规划环评的相符性。 </w:t>
      </w:r>
    </w:p>
    <w:p>
      <w:pPr>
        <w:keepNext w:val="0"/>
        <w:keepLines w:val="0"/>
        <w:widowControl/>
        <w:suppressLineNumbers w:val="0"/>
        <w:ind w:firstLine="640" w:firstLineChars="200"/>
        <w:jc w:val="left"/>
        <w:rPr>
          <w:rFonts w:hint="eastAsia" w:ascii="仿宋" w:hAnsi="仿宋" w:eastAsia="仿宋" w:cs="仿宋"/>
          <w:b w:val="0"/>
          <w:bCs/>
          <w:sz w:val="32"/>
          <w:szCs w:val="32"/>
          <w:lang w:val="en-US" w:eastAsia="zh-CN"/>
        </w:rPr>
      </w:pPr>
      <w:r>
        <w:rPr>
          <w:rFonts w:hint="eastAsia" w:ascii="仿宋" w:hAnsi="仿宋" w:eastAsia="仿宋" w:cs="仿宋"/>
          <w:b w:val="0"/>
          <w:bCs/>
          <w:sz w:val="32"/>
          <w:szCs w:val="32"/>
          <w:lang w:val="en-US" w:eastAsia="zh-CN"/>
        </w:rPr>
        <w:t>2、完善工程组成内容，核实蒸汽使用量，补充软化水装置纯水制备率，核实各类洗衣液使用量，核实新鲜水使用量，核实锅炉供排水数据，完善水平衡图。完善工程分析内容，参考《排污许可证申请与核发技术规范 锅炉(HJ953-2018)》核订运营期“三废”排放数据，核实污染物总量指标。</w:t>
      </w:r>
    </w:p>
    <w:p>
      <w:pPr>
        <w:keepNext w:val="0"/>
        <w:keepLines w:val="0"/>
        <w:widowControl/>
        <w:suppressLineNumbers w:val="0"/>
        <w:ind w:firstLine="640" w:firstLineChars="200"/>
        <w:jc w:val="left"/>
        <w:rPr>
          <w:rFonts w:hint="default" w:ascii="仿宋" w:hAnsi="仿宋" w:eastAsia="仿宋" w:cs="仿宋"/>
          <w:b w:val="0"/>
          <w:bCs/>
          <w:sz w:val="32"/>
          <w:szCs w:val="32"/>
          <w:lang w:val="en-US" w:eastAsia="zh-CN"/>
        </w:rPr>
      </w:pPr>
      <w:r>
        <w:rPr>
          <w:rFonts w:hint="eastAsia" w:ascii="仿宋" w:hAnsi="仿宋" w:eastAsia="仿宋" w:cs="仿宋"/>
          <w:b w:val="0"/>
          <w:bCs/>
          <w:sz w:val="32"/>
          <w:szCs w:val="32"/>
          <w:lang w:val="en-US" w:eastAsia="zh-CN"/>
        </w:rPr>
        <w:t>3、根据《自治区大气污染防治行动计划实施方案》对本地区的要求，进一步细化大气污染防治措施，细化废水治理工艺技术可行性分析。简要描述依托的污水处理厂环保手续执行情况，是否通过“三同时”环保验收，完善依托可行性分析。</w:t>
      </w:r>
    </w:p>
    <w:p>
      <w:pPr>
        <w:keepNext w:val="0"/>
        <w:keepLines w:val="0"/>
        <w:widowControl/>
        <w:suppressLineNumbers w:val="0"/>
        <w:ind w:firstLine="640" w:firstLineChars="200"/>
        <w:jc w:val="left"/>
        <w:rPr>
          <w:rFonts w:hint="default" w:ascii="仿宋" w:hAnsi="仿宋" w:eastAsia="仿宋" w:cs="仿宋"/>
          <w:b w:val="0"/>
          <w:bCs/>
          <w:sz w:val="32"/>
          <w:szCs w:val="32"/>
          <w:lang w:val="en-US" w:eastAsia="zh-CN"/>
        </w:rPr>
      </w:pPr>
      <w:r>
        <w:rPr>
          <w:rFonts w:hint="eastAsia" w:ascii="仿宋" w:hAnsi="仿宋" w:eastAsia="仿宋" w:cs="仿宋"/>
          <w:b w:val="0"/>
          <w:bCs/>
          <w:sz w:val="32"/>
          <w:szCs w:val="32"/>
          <w:lang w:val="en-US" w:eastAsia="zh-CN"/>
        </w:rPr>
        <w:t>4、按风险评价导则要求，核实风险物质识别，核实Q值，完善环境风险评价内容及风险防范措施。</w:t>
      </w:r>
    </w:p>
    <w:p>
      <w:pPr>
        <w:keepNext w:val="0"/>
        <w:keepLines w:val="0"/>
        <w:widowControl/>
        <w:suppressLineNumbers w:val="0"/>
        <w:ind w:firstLine="640" w:firstLineChars="200"/>
        <w:jc w:val="left"/>
        <w:rPr>
          <w:rFonts w:hint="eastAsia" w:ascii="仿宋" w:hAnsi="仿宋" w:eastAsia="仿宋" w:cs="仿宋"/>
          <w:b w:val="0"/>
          <w:bCs/>
          <w:sz w:val="32"/>
          <w:szCs w:val="32"/>
          <w:lang w:val="en-US" w:eastAsia="zh-CN"/>
        </w:rPr>
      </w:pPr>
      <w:r>
        <w:rPr>
          <w:rFonts w:hint="eastAsia" w:ascii="仿宋" w:hAnsi="仿宋" w:eastAsia="仿宋" w:cs="仿宋"/>
          <w:b w:val="0"/>
          <w:bCs/>
          <w:sz w:val="32"/>
          <w:szCs w:val="32"/>
          <w:lang w:val="en-US" w:eastAsia="zh-CN"/>
        </w:rPr>
        <w:t>5、核实环保投资。结合《排污企业自行监测技术规范》完善环境监测计划，完善“三同时”一览表，规范图件。</w:t>
      </w:r>
    </w:p>
    <w:p>
      <w:pPr>
        <w:widowControl/>
        <w:ind w:firstLine="640" w:firstLineChars="200"/>
        <w:jc w:val="left"/>
        <w:rPr>
          <w:rFonts w:hint="eastAsia" w:ascii="宋体" w:hAnsi="宋体" w:eastAsia="等线" w:cs="宋体"/>
          <w:b w:val="0"/>
          <w:bCs/>
          <w:sz w:val="32"/>
          <w:szCs w:val="32"/>
        </w:rPr>
      </w:pPr>
    </w:p>
    <w:p>
      <w:pPr>
        <w:widowControl/>
        <w:ind w:firstLine="640" w:firstLineChars="200"/>
        <w:jc w:val="left"/>
        <w:rPr>
          <w:rFonts w:hint="eastAsia" w:ascii="宋体" w:hAnsi="宋体" w:eastAsia="等线" w:cs="宋体"/>
          <w:b w:val="0"/>
          <w:bCs/>
          <w:sz w:val="32"/>
          <w:szCs w:val="32"/>
        </w:rPr>
      </w:pPr>
    </w:p>
    <w:p>
      <w:pPr>
        <w:widowControl/>
        <w:ind w:firstLine="640" w:firstLineChars="200"/>
        <w:jc w:val="left"/>
        <w:rPr>
          <w:rFonts w:hint="eastAsia" w:ascii="仿宋" w:hAnsi="仿宋" w:eastAsia="仿宋" w:cs="仿宋"/>
          <w:b w:val="0"/>
          <w:bCs/>
          <w:sz w:val="32"/>
          <w:szCs w:val="32"/>
        </w:rPr>
      </w:pPr>
      <w:r>
        <w:rPr>
          <w:rFonts w:hint="eastAsia" w:ascii="仿宋" w:hAnsi="仿宋" w:eastAsia="仿宋" w:cs="仿宋"/>
          <w:b w:val="0"/>
          <w:bCs/>
          <w:sz w:val="32"/>
          <w:szCs w:val="32"/>
        </w:rPr>
        <w:t xml:space="preserve">专家评审组：     </w:t>
      </w:r>
    </w:p>
    <w:p>
      <w:pPr>
        <w:widowControl/>
        <w:ind w:firstLine="640" w:firstLineChars="200"/>
        <w:jc w:val="left"/>
        <w:rPr>
          <w:rFonts w:hint="eastAsia" w:ascii="仿宋" w:hAnsi="仿宋" w:eastAsia="仿宋" w:cs="仿宋"/>
          <w:b w:val="0"/>
          <w:bCs/>
          <w:sz w:val="32"/>
          <w:szCs w:val="32"/>
        </w:rPr>
      </w:pPr>
      <w:r>
        <w:rPr>
          <w:rFonts w:hint="eastAsia" w:ascii="仿宋" w:hAnsi="仿宋" w:eastAsia="仿宋" w:cs="仿宋"/>
          <w:b w:val="0"/>
          <w:bCs/>
          <w:sz w:val="32"/>
          <w:szCs w:val="32"/>
        </w:rPr>
        <w:t xml:space="preserve">                   </w:t>
      </w:r>
    </w:p>
    <w:p>
      <w:pPr>
        <w:widowControl/>
        <w:ind w:firstLine="640" w:firstLineChars="200"/>
        <w:jc w:val="left"/>
        <w:rPr>
          <w:rFonts w:hint="eastAsia" w:ascii="仿宋" w:hAnsi="仿宋" w:eastAsia="仿宋" w:cs="仿宋"/>
          <w:b w:val="0"/>
          <w:sz w:val="21"/>
          <w:szCs w:val="22"/>
        </w:rPr>
      </w:pPr>
      <w:r>
        <w:rPr>
          <w:rFonts w:hint="eastAsia" w:ascii="仿宋" w:hAnsi="仿宋" w:eastAsia="仿宋" w:cs="仿宋"/>
          <w:b w:val="0"/>
          <w:bCs/>
          <w:sz w:val="32"/>
          <w:szCs w:val="32"/>
        </w:rPr>
        <w:t xml:space="preserve">            </w:t>
      </w:r>
      <w:r>
        <w:rPr>
          <w:rFonts w:hint="eastAsia" w:ascii="仿宋" w:hAnsi="仿宋" w:eastAsia="仿宋" w:cs="仿宋"/>
          <w:b w:val="0"/>
          <w:sz w:val="21"/>
          <w:szCs w:val="22"/>
        </w:rPr>
        <w:t xml:space="preserve">               </w:t>
      </w:r>
    </w:p>
    <w:p>
      <w:pPr>
        <w:pStyle w:val="78"/>
        <w:spacing w:line="240" w:lineRule="auto"/>
        <w:rPr>
          <w:rFonts w:hint="eastAsia" w:ascii="仿宋" w:hAnsi="仿宋" w:eastAsia="仿宋" w:cs="仿宋"/>
          <w:b w:val="0"/>
          <w:bCs/>
          <w:sz w:val="32"/>
          <w:szCs w:val="32"/>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仿宋" w:hAnsi="仿宋" w:eastAsia="仿宋" w:cs="仿宋"/>
          <w:b w:val="0"/>
          <w:sz w:val="21"/>
          <w:szCs w:val="22"/>
        </w:rPr>
        <w:t xml:space="preserve"> </w:t>
      </w:r>
      <w:r>
        <w:rPr>
          <w:rFonts w:hint="eastAsia" w:ascii="仿宋" w:hAnsi="仿宋" w:eastAsia="仿宋" w:cs="仿宋"/>
          <w:b w:val="0"/>
          <w:bCs/>
          <w:sz w:val="32"/>
          <w:szCs w:val="32"/>
        </w:rPr>
        <w:t>202</w:t>
      </w:r>
      <w:r>
        <w:rPr>
          <w:rFonts w:hint="eastAsia" w:ascii="仿宋" w:hAnsi="仿宋" w:eastAsia="仿宋" w:cs="仿宋"/>
          <w:b w:val="0"/>
          <w:bCs/>
          <w:sz w:val="32"/>
          <w:szCs w:val="32"/>
          <w:lang w:val="en-US" w:eastAsia="zh-CN"/>
        </w:rPr>
        <w:t>3</w:t>
      </w:r>
      <w:r>
        <w:rPr>
          <w:rFonts w:hint="eastAsia" w:ascii="仿宋" w:hAnsi="仿宋" w:eastAsia="仿宋" w:cs="仿宋"/>
          <w:b w:val="0"/>
          <w:bCs/>
          <w:sz w:val="32"/>
          <w:szCs w:val="32"/>
        </w:rPr>
        <w:t>年</w:t>
      </w:r>
      <w:r>
        <w:rPr>
          <w:rFonts w:hint="eastAsia" w:ascii="仿宋" w:hAnsi="仿宋" w:eastAsia="仿宋" w:cs="仿宋"/>
          <w:b w:val="0"/>
          <w:bCs/>
          <w:sz w:val="32"/>
          <w:szCs w:val="32"/>
          <w:lang w:val="en-US" w:eastAsia="zh-CN"/>
        </w:rPr>
        <w:t>12</w:t>
      </w:r>
      <w:r>
        <w:rPr>
          <w:rFonts w:hint="eastAsia" w:ascii="仿宋" w:hAnsi="仿宋" w:eastAsia="仿宋" w:cs="仿宋"/>
          <w:b w:val="0"/>
          <w:bCs/>
          <w:sz w:val="32"/>
          <w:szCs w:val="32"/>
        </w:rPr>
        <w:t>月</w:t>
      </w:r>
      <w:r>
        <w:rPr>
          <w:rFonts w:hint="eastAsia" w:ascii="仿宋" w:hAnsi="仿宋" w:eastAsia="仿宋" w:cs="仿宋"/>
          <w:b w:val="0"/>
          <w:bCs/>
          <w:sz w:val="32"/>
          <w:szCs w:val="32"/>
          <w:lang w:val="en-US" w:eastAsia="zh-CN"/>
        </w:rPr>
        <w:t>31</w:t>
      </w:r>
      <w:r>
        <w:rPr>
          <w:rFonts w:hint="eastAsia" w:ascii="仿宋" w:hAnsi="仿宋" w:eastAsia="仿宋" w:cs="仿宋"/>
          <w:b w:val="0"/>
          <w:bCs/>
          <w:sz w:val="32"/>
          <w:szCs w:val="32"/>
        </w:rPr>
        <w:t>日</w:t>
      </w:r>
    </w:p>
    <w:p>
      <w:pPr>
        <w:spacing w:line="660" w:lineRule="exact"/>
        <w:jc w:val="center"/>
        <w:rPr>
          <w:rFonts w:ascii="Times New Roman" w:hAnsi="Times New Roman" w:eastAsia="宋体" w:cs="Times New Roman"/>
          <w:b/>
          <w:sz w:val="36"/>
          <w:szCs w:val="36"/>
        </w:rPr>
      </w:pPr>
    </w:p>
    <w:p>
      <w:pPr>
        <w:spacing w:line="660" w:lineRule="exact"/>
        <w:jc w:val="center"/>
        <w:rPr>
          <w:rFonts w:ascii="Times New Roman" w:hAnsi="Times New Roman" w:eastAsia="宋体" w:cs="Times New Roman"/>
          <w:b/>
          <w:sz w:val="36"/>
          <w:szCs w:val="36"/>
        </w:rPr>
      </w:pPr>
    </w:p>
    <w:p>
      <w:pPr>
        <w:spacing w:line="660" w:lineRule="exact"/>
        <w:jc w:val="center"/>
        <w:rPr>
          <w:rFonts w:ascii="Times New Roman" w:hAnsi="Times New Roman" w:eastAsia="宋体" w:cs="Times New Roman"/>
          <w:b/>
          <w:sz w:val="36"/>
          <w:szCs w:val="36"/>
        </w:rPr>
      </w:pPr>
      <w:r>
        <w:rPr>
          <w:rFonts w:hint="eastAsia" w:ascii="Times New Roman" w:hAnsi="Times New Roman" w:eastAsia="宋体" w:cs="Times New Roman"/>
          <w:b/>
          <w:sz w:val="36"/>
          <w:szCs w:val="36"/>
        </w:rPr>
        <w:t>建设项目环评文件</w:t>
      </w:r>
    </w:p>
    <w:p>
      <w:pPr>
        <w:spacing w:line="660" w:lineRule="exact"/>
        <w:jc w:val="center"/>
        <w:rPr>
          <w:rFonts w:ascii="Times New Roman" w:hAnsi="Times New Roman" w:eastAsia="宋体" w:cs="Times New Roman"/>
          <w:b/>
          <w:sz w:val="44"/>
          <w:szCs w:val="44"/>
        </w:rPr>
      </w:pPr>
      <w:r>
        <w:rPr>
          <w:rFonts w:hint="eastAsia" w:ascii="Times New Roman" w:hAnsi="Times New Roman" w:eastAsia="宋体" w:cs="Times New Roman"/>
          <w:b/>
          <w:sz w:val="36"/>
          <w:szCs w:val="36"/>
        </w:rPr>
        <w:t>日 常 考 核 表</w:t>
      </w:r>
    </w:p>
    <w:p>
      <w:pPr>
        <w:spacing w:line="660" w:lineRule="exact"/>
        <w:jc w:val="both"/>
        <w:rPr>
          <w:rFonts w:ascii="Times New Roman" w:hAnsi="Times New Roman" w:eastAsia="宋体" w:cs="Times New Roman"/>
          <w:b w:val="0"/>
          <w:sz w:val="30"/>
          <w:szCs w:val="30"/>
        </w:rPr>
      </w:pPr>
    </w:p>
    <w:p>
      <w:pPr>
        <w:spacing w:line="660" w:lineRule="exact"/>
        <w:ind w:firstLine="426" w:firstLineChars="142"/>
        <w:jc w:val="both"/>
        <w:rPr>
          <w:rFonts w:ascii="Times New Roman" w:hAnsi="Times New Roman" w:eastAsia="宋体" w:cs="Times New Roman"/>
          <w:b w:val="0"/>
          <w:snapToGrid w:val="0"/>
          <w:kern w:val="0"/>
          <w:sz w:val="30"/>
          <w:szCs w:val="30"/>
          <w:u w:val="single"/>
        </w:rPr>
      </w:pPr>
      <w:r>
        <w:rPr>
          <w:rFonts w:hint="eastAsia" w:ascii="Times New Roman" w:hAnsi="Times New Roman" w:eastAsia="宋体" w:cs="Times New Roman"/>
          <w:b w:val="0"/>
          <w:snapToGrid w:val="0"/>
          <w:kern w:val="0"/>
          <w:sz w:val="30"/>
          <w:szCs w:val="30"/>
        </w:rPr>
        <w:t>项目名称：</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吉木萨尔县绿色洗消中心提升改造项目环境影响报告表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p>
    <w:p>
      <w:pPr>
        <w:spacing w:line="660" w:lineRule="exact"/>
        <w:ind w:firstLine="426" w:firstLineChars="142"/>
        <w:jc w:val="both"/>
        <w:rPr>
          <w:rFonts w:ascii="Times New Roman" w:hAnsi="Times New Roman" w:eastAsia="宋体" w:cs="Times New Roman"/>
          <w:b w:val="0"/>
          <w:snapToGrid w:val="0"/>
          <w:kern w:val="0"/>
          <w:sz w:val="30"/>
          <w:szCs w:val="30"/>
        </w:rPr>
      </w:pPr>
      <w:r>
        <w:rPr>
          <w:rFonts w:hint="eastAsia" w:ascii="Times New Roman" w:hAnsi="Times New Roman" w:eastAsia="宋体" w:cs="Times New Roman"/>
          <w:b w:val="0"/>
          <w:snapToGrid w:val="0"/>
          <w:kern w:val="0"/>
          <w:sz w:val="30"/>
          <w:szCs w:val="30"/>
        </w:rPr>
        <w:t>建设单位：</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吉木萨尔县鸿至兴洗涤服务有限公司</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p>
    <w:p>
      <w:pPr>
        <w:spacing w:line="660" w:lineRule="exact"/>
        <w:ind w:firstLine="426" w:firstLineChars="142"/>
        <w:jc w:val="both"/>
        <w:rPr>
          <w:rFonts w:ascii="Times New Roman" w:hAnsi="Times New Roman" w:eastAsia="宋体" w:cs="Times New Roman"/>
          <w:b w:val="0"/>
          <w:snapToGrid w:val="0"/>
          <w:kern w:val="0"/>
          <w:sz w:val="30"/>
          <w:szCs w:val="30"/>
          <w:u w:val="single"/>
        </w:rPr>
      </w:pPr>
      <w:r>
        <w:rPr>
          <w:rFonts w:hint="eastAsia" w:ascii="Times New Roman" w:hAnsi="Times New Roman" w:eastAsia="宋体" w:cs="Times New Roman"/>
          <w:b w:val="0"/>
          <w:snapToGrid w:val="0"/>
          <w:kern w:val="0"/>
          <w:sz w:val="30"/>
          <w:szCs w:val="30"/>
        </w:rPr>
        <w:t>编制单位：</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新疆东方信海环境科技研究院有限公司</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p>
    <w:p>
      <w:pPr>
        <w:spacing w:line="660" w:lineRule="exact"/>
        <w:ind w:firstLine="426" w:firstLineChars="142"/>
        <w:jc w:val="both"/>
        <w:rPr>
          <w:rFonts w:ascii="Times New Roman" w:hAnsi="Times New Roman" w:eastAsia="宋体" w:cs="Times New Roman"/>
          <w:b w:val="0"/>
          <w:snapToGrid w:val="0"/>
          <w:kern w:val="0"/>
          <w:sz w:val="30"/>
          <w:szCs w:val="30"/>
        </w:rPr>
      </w:pPr>
      <w:r>
        <w:rPr>
          <w:rFonts w:hint="eastAsia" w:ascii="Times New Roman" w:hAnsi="Times New Roman" w:eastAsia="宋体" w:cs="Times New Roman"/>
          <w:b w:val="0"/>
          <w:snapToGrid w:val="0"/>
          <w:kern w:val="0"/>
          <w:sz w:val="30"/>
          <w:szCs w:val="30"/>
        </w:rPr>
        <w:t>编制主持人：</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刘艳</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p>
    <w:p>
      <w:pPr>
        <w:spacing w:line="660" w:lineRule="exact"/>
        <w:ind w:firstLine="426" w:firstLineChars="142"/>
        <w:jc w:val="both"/>
        <w:rPr>
          <w:rFonts w:ascii="Times New Roman" w:hAnsi="Times New Roman" w:eastAsia="宋体" w:cs="Times New Roman"/>
          <w:b w:val="0"/>
          <w:snapToGrid w:val="0"/>
          <w:kern w:val="0"/>
          <w:sz w:val="30"/>
          <w:szCs w:val="30"/>
          <w:u w:val="single"/>
        </w:rPr>
      </w:pPr>
      <w:r>
        <w:rPr>
          <w:rFonts w:hint="eastAsia" w:ascii="Times New Roman" w:hAnsi="Times New Roman" w:eastAsia="宋体" w:cs="Times New Roman"/>
          <w:b w:val="0"/>
          <w:snapToGrid w:val="0"/>
          <w:kern w:val="0"/>
          <w:sz w:val="30"/>
          <w:szCs w:val="30"/>
        </w:rPr>
        <w:t>评审考核人：</w:t>
      </w:r>
      <w:r>
        <w:rPr>
          <w:rFonts w:hint="eastAsia" w:ascii="Times New Roman" w:hAnsi="Times New Roman" w:eastAsia="宋体" w:cs="Times New Roman"/>
          <w:b w:val="0"/>
          <w:snapToGrid w:val="0"/>
          <w:kern w:val="0"/>
          <w:sz w:val="30"/>
          <w:szCs w:val="30"/>
          <w:u w:val="single"/>
        </w:rPr>
        <w:t xml:space="preserve">   陈国亮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p>
    <w:p>
      <w:pPr>
        <w:spacing w:line="660" w:lineRule="exact"/>
        <w:ind w:firstLine="426" w:firstLineChars="142"/>
        <w:jc w:val="both"/>
        <w:rPr>
          <w:rFonts w:ascii="Times New Roman" w:hAnsi="Times New Roman" w:eastAsia="宋体" w:cs="Times New Roman"/>
          <w:b w:val="0"/>
          <w:snapToGrid w:val="0"/>
          <w:kern w:val="0"/>
          <w:sz w:val="30"/>
          <w:szCs w:val="30"/>
        </w:rPr>
      </w:pPr>
      <w:r>
        <w:rPr>
          <w:rFonts w:hint="eastAsia" w:ascii="Times New Roman" w:hAnsi="Times New Roman" w:eastAsia="宋体" w:cs="Times New Roman"/>
          <w:b w:val="0"/>
          <w:snapToGrid w:val="0"/>
          <w:kern w:val="0"/>
          <w:sz w:val="30"/>
          <w:szCs w:val="30"/>
        </w:rPr>
        <w:t>职务/职称：</w:t>
      </w:r>
      <w:r>
        <w:rPr>
          <w:rFonts w:hint="eastAsia" w:ascii="Times New Roman" w:hAnsi="Times New Roman" w:eastAsia="宋体" w:cs="Times New Roman"/>
          <w:b w:val="0"/>
          <w:snapToGrid w:val="0"/>
          <w:kern w:val="0"/>
          <w:sz w:val="30"/>
          <w:szCs w:val="30"/>
          <w:u w:val="single"/>
        </w:rPr>
        <w:t xml:space="preserve">    高级工程师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p>
    <w:p>
      <w:pPr>
        <w:spacing w:line="660" w:lineRule="exact"/>
        <w:ind w:firstLine="426" w:firstLineChars="142"/>
        <w:jc w:val="both"/>
        <w:rPr>
          <w:rFonts w:ascii="Times New Roman" w:hAnsi="Times New Roman" w:eastAsia="宋体" w:cs="Times New Roman"/>
          <w:b w:val="0"/>
          <w:snapToGrid w:val="0"/>
          <w:kern w:val="0"/>
          <w:sz w:val="30"/>
          <w:szCs w:val="30"/>
        </w:rPr>
      </w:pPr>
      <w:r>
        <w:rPr>
          <w:rFonts w:hint="eastAsia" w:ascii="Times New Roman" w:hAnsi="Times New Roman" w:eastAsia="宋体" w:cs="Times New Roman"/>
          <w:b w:val="0"/>
          <w:snapToGrid w:val="0"/>
          <w:kern w:val="0"/>
          <w:sz w:val="30"/>
          <w:szCs w:val="30"/>
        </w:rPr>
        <w:t>所在单位：</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新疆博衍水利水电环境科技有限公司</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tabs>
          <w:tab w:val="center" w:pos="4395"/>
          <w:tab w:val="left" w:pos="7305"/>
        </w:tabs>
        <w:jc w:val="left"/>
        <w:rPr>
          <w:rFonts w:ascii="Times New Roman" w:hAnsi="Times New Roman" w:eastAsia="宋体" w:cs="Times New Roman"/>
          <w:b w:val="0"/>
          <w:sz w:val="30"/>
          <w:szCs w:val="30"/>
        </w:rPr>
      </w:pPr>
      <w:r>
        <w:rPr>
          <w:rFonts w:ascii="Times New Roman" w:hAnsi="Times New Roman" w:eastAsia="宋体" w:cs="Times New Roman"/>
          <w:b w:val="0"/>
          <w:sz w:val="30"/>
          <w:szCs w:val="30"/>
        </w:rPr>
        <w:tab/>
      </w:r>
      <w:r>
        <w:rPr>
          <w:rFonts w:hint="eastAsia" w:ascii="Times New Roman" w:hAnsi="Times New Roman" w:eastAsia="宋体" w:cs="Times New Roman"/>
          <w:b w:val="0"/>
          <w:sz w:val="30"/>
          <w:szCs w:val="30"/>
        </w:rPr>
        <w:t>评审日期：2</w:t>
      </w:r>
      <w:r>
        <w:rPr>
          <w:rFonts w:ascii="Times New Roman" w:hAnsi="Times New Roman" w:eastAsia="宋体" w:cs="Times New Roman"/>
          <w:b w:val="0"/>
          <w:sz w:val="30"/>
          <w:szCs w:val="30"/>
        </w:rPr>
        <w:t>023</w:t>
      </w:r>
      <w:r>
        <w:rPr>
          <w:rFonts w:hint="eastAsia" w:ascii="Times New Roman" w:hAnsi="Times New Roman" w:eastAsia="宋体" w:cs="Times New Roman"/>
          <w:b w:val="0"/>
          <w:sz w:val="30"/>
          <w:szCs w:val="30"/>
        </w:rPr>
        <w:t>年</w:t>
      </w:r>
      <w:r>
        <w:rPr>
          <w:rFonts w:ascii="Times New Roman" w:hAnsi="Times New Roman" w:eastAsia="宋体" w:cs="Times New Roman"/>
          <w:b w:val="0"/>
          <w:sz w:val="30"/>
          <w:szCs w:val="30"/>
        </w:rPr>
        <w:t>12</w:t>
      </w:r>
      <w:r>
        <w:rPr>
          <w:rFonts w:hint="eastAsia" w:ascii="Times New Roman" w:hAnsi="Times New Roman" w:eastAsia="宋体" w:cs="Times New Roman"/>
          <w:b w:val="0"/>
          <w:sz w:val="30"/>
          <w:szCs w:val="30"/>
        </w:rPr>
        <w:t>月</w:t>
      </w:r>
      <w:r>
        <w:rPr>
          <w:rFonts w:ascii="Times New Roman" w:hAnsi="Times New Roman" w:eastAsia="宋体" w:cs="Times New Roman"/>
          <w:b w:val="0"/>
          <w:sz w:val="30"/>
          <w:szCs w:val="30"/>
        </w:rPr>
        <w:t>31</w:t>
      </w:r>
      <w:r>
        <w:rPr>
          <w:rFonts w:hint="eastAsia" w:ascii="Times New Roman" w:hAnsi="Times New Roman" w:eastAsia="宋体" w:cs="Times New Roman"/>
          <w:b w:val="0"/>
          <w:sz w:val="30"/>
          <w:szCs w:val="30"/>
        </w:rPr>
        <w:t>日</w:t>
      </w:r>
    </w:p>
    <w:p>
      <w:pPr>
        <w:jc w:val="center"/>
        <w:rPr>
          <w:rFonts w:ascii="Times New Roman" w:hAnsi="Times New Roman" w:eastAsia="宋体" w:cs="Times New Roman"/>
          <w:b w:val="0"/>
          <w:sz w:val="30"/>
          <w:szCs w:val="30"/>
        </w:rPr>
      </w:pPr>
    </w:p>
    <w:p>
      <w:pPr>
        <w:jc w:val="both"/>
        <w:rPr>
          <w:rFonts w:ascii="Times New Roman" w:hAnsi="Times New Roman" w:eastAsia="宋体" w:cs="Times New Roman"/>
          <w:b w:val="0"/>
          <w:sz w:val="30"/>
          <w:szCs w:val="30"/>
        </w:rPr>
      </w:pPr>
    </w:p>
    <w:p>
      <w:pPr>
        <w:rPr>
          <w:sz w:val="30"/>
          <w:szCs w:val="30"/>
        </w:rPr>
        <w:sectPr>
          <w:footerReference r:id="rId5" w:type="default"/>
          <w:pgSz w:w="11906" w:h="16838"/>
          <w:pgMar w:top="1440" w:right="1531" w:bottom="1440" w:left="1531" w:header="851" w:footer="992" w:gutter="0"/>
          <w:cols w:space="425" w:num="1"/>
          <w:docGrid w:type="lines" w:linePitch="381" w:charSpace="0"/>
        </w:sectPr>
      </w:pPr>
    </w:p>
    <w:p>
      <w:pPr>
        <w:jc w:val="center"/>
        <w:rPr>
          <w:rFonts w:ascii="Times New Roman" w:hAnsi="Times New Roman" w:eastAsia="宋体" w:cs="Times New Roman"/>
          <w:b/>
          <w:sz w:val="36"/>
          <w:szCs w:val="36"/>
        </w:rPr>
      </w:pPr>
      <w:bookmarkStart w:id="3" w:name="_Hlk50373164"/>
      <w:r>
        <w:rPr>
          <w:rFonts w:hint="eastAsia" w:ascii="Times New Roman" w:hAnsi="Times New Roman" w:eastAsia="宋体" w:cs="Times New Roman"/>
          <w:b/>
          <w:sz w:val="36"/>
          <w:szCs w:val="36"/>
        </w:rPr>
        <w:t>建设项目环评文件日常考核表</w:t>
      </w:r>
      <w:bookmarkEnd w:id="3"/>
    </w:p>
    <w:p>
      <w:pPr>
        <w:jc w:val="center"/>
        <w:rPr>
          <w:rFonts w:ascii="Times New Roman" w:hAnsi="Times New Roman" w:eastAsia="宋体" w:cs="Times New Roman"/>
          <w:b/>
          <w:sz w:val="28"/>
          <w:szCs w:val="28"/>
        </w:rPr>
      </w:pPr>
    </w:p>
    <w:tbl>
      <w:tblPr>
        <w:tblStyle w:val="26"/>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0"/>
        <w:gridCol w:w="898"/>
        <w:gridCol w:w="8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考 核 内 容</w:t>
            </w:r>
          </w:p>
        </w:tc>
        <w:tc>
          <w:tcPr>
            <w:tcW w:w="898" w:type="dxa"/>
            <w:vAlign w:val="center"/>
          </w:tcPr>
          <w:p>
            <w:pPr>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满分</w:t>
            </w:r>
          </w:p>
        </w:tc>
        <w:tc>
          <w:tcPr>
            <w:tcW w:w="898" w:type="dxa"/>
            <w:vAlign w:val="center"/>
          </w:tcPr>
          <w:p>
            <w:pPr>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tcPr>
          <w:p>
            <w:pPr>
              <w:spacing w:line="400" w:lineRule="exact"/>
              <w:jc w:val="left"/>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1.确定的评价等级是否恰当，评价标准是否正确，评价范围是否符合要求</w:t>
            </w:r>
          </w:p>
        </w:tc>
        <w:tc>
          <w:tcPr>
            <w:tcW w:w="898" w:type="dxa"/>
            <w:vAlign w:val="center"/>
          </w:tcPr>
          <w:p>
            <w:pPr>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10</w:t>
            </w:r>
          </w:p>
        </w:tc>
        <w:tc>
          <w:tcPr>
            <w:tcW w:w="898" w:type="dxa"/>
            <w:vAlign w:val="center"/>
          </w:tcPr>
          <w:p>
            <w:pPr>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2.项目工程概况描述是否全面、准确，生态环境保护目标及与项目位置关系描述是否清楚</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10</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3.生态环境影响因素分析（含污染源强核算）是否全面、准确，改扩建项目现有污染问题是否查明</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10</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4.环境现状评价是否符合实际，主要环境问题是否阐明</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10</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5.生态环境要素、环境风险预测与评价是否全面，影响预测与评价方法、结果是否准确</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15</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6</w:t>
            </w:r>
            <w:r>
              <w:rPr>
                <w:rFonts w:ascii="Times New Roman" w:hAnsi="Times New Roman" w:eastAsia="宋体" w:cs="Times New Roman"/>
                <w:b w:val="0"/>
                <w:sz w:val="28"/>
                <w:szCs w:val="28"/>
              </w:rPr>
              <w:t>.</w:t>
            </w:r>
            <w:r>
              <w:rPr>
                <w:rFonts w:hint="eastAsia" w:ascii="Times New Roman" w:hAnsi="Times New Roman" w:eastAsia="宋体" w:cs="Times New Roman"/>
                <w:b w:val="0"/>
                <w:sz w:val="28"/>
                <w:szCs w:val="28"/>
              </w:rPr>
              <w:t>生态环境保护措施针对性、有效性、可行性，环境监测、环境管理措施的针对性，环保投资的合理性</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w:t>
            </w:r>
            <w:r>
              <w:rPr>
                <w:rFonts w:ascii="Times New Roman" w:hAnsi="Times New Roman" w:eastAsia="宋体" w:cs="Times New Roman"/>
                <w:b w:val="0"/>
                <w:sz w:val="28"/>
                <w:szCs w:val="28"/>
              </w:rPr>
              <w:t>5</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7.评价结论的综合性、客观性和可信性</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10</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8.重点专题和关键问题回答是否清楚、正确</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5</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ascii="Times New Roman" w:hAnsi="Times New Roman" w:eastAsia="宋体" w:cs="Times New Roman"/>
                <w:b w:val="0"/>
                <w:sz w:val="28"/>
                <w:szCs w:val="28"/>
              </w:rPr>
              <w:t>9</w:t>
            </w:r>
            <w:r>
              <w:rPr>
                <w:rFonts w:hint="eastAsia" w:ascii="Times New Roman" w:hAnsi="Times New Roman" w:eastAsia="宋体" w:cs="Times New Roman"/>
                <w:b w:val="0"/>
                <w:sz w:val="28"/>
                <w:szCs w:val="28"/>
              </w:rPr>
              <w:t>.附件、图表、化物计量单位是否规范，篇幅文字是否简练</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5</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w:t>
            </w:r>
            <w:r>
              <w:rPr>
                <w:rFonts w:ascii="Times New Roman" w:hAnsi="Times New Roman" w:eastAsia="宋体" w:cs="Times New Roman"/>
                <w:b w:val="0"/>
                <w:sz w:val="28"/>
                <w:szCs w:val="28"/>
              </w:rPr>
              <w:t>0</w:t>
            </w:r>
            <w:r>
              <w:rPr>
                <w:rFonts w:hint="eastAsia" w:ascii="Times New Roman" w:hAnsi="Times New Roman" w:eastAsia="宋体" w:cs="Times New Roman"/>
                <w:b w:val="0"/>
                <w:sz w:val="28"/>
                <w:szCs w:val="28"/>
              </w:rPr>
              <w:t>.环评工作是否有特色</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5</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w:t>
            </w:r>
            <w:r>
              <w:rPr>
                <w:rFonts w:ascii="Times New Roman" w:hAnsi="Times New Roman" w:eastAsia="宋体" w:cs="Times New Roman"/>
                <w:b w:val="0"/>
                <w:sz w:val="28"/>
                <w:szCs w:val="28"/>
              </w:rPr>
              <w:t>1</w:t>
            </w:r>
            <w:r>
              <w:rPr>
                <w:rFonts w:hint="eastAsia" w:ascii="Times New Roman" w:hAnsi="Times New Roman" w:eastAsia="宋体" w:cs="Times New Roman"/>
                <w:b w:val="0"/>
                <w:sz w:val="28"/>
                <w:szCs w:val="28"/>
              </w:rPr>
              <w:t>.环评工作的复杂程度</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5</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总    分</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100</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8</w:t>
            </w:r>
            <w:r>
              <w:rPr>
                <w:rFonts w:ascii="Times New Roman" w:hAnsi="Times New Roman" w:eastAsia="宋体" w:cs="Times New Roman"/>
                <w:b w:val="0"/>
                <w:sz w:val="28"/>
                <w:szCs w:val="2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8296" w:type="dxa"/>
            <w:gridSpan w:val="3"/>
            <w:vAlign w:val="center"/>
          </w:tcPr>
          <w:p>
            <w:pPr>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评审考核人对环评文件是否具备审批条件的具体意见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8296" w:type="dxa"/>
            <w:gridSpan w:val="3"/>
          </w:tcPr>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r>
              <w:rPr>
                <w:rFonts w:hint="eastAsia" w:ascii="Times New Roman" w:hAnsi="Times New Roman" w:eastAsia="宋体" w:cs="Times New Roman"/>
                <w:caps w:val="0"/>
                <w:kern w:val="2"/>
                <w:sz w:val="24"/>
                <w:szCs w:val="24"/>
                <w:lang w:val="en-US" w:eastAsia="zh-CN" w:bidi="ar-SA"/>
              </w:rPr>
              <w:t>报告表编制较为规范，评价范围及等级合理，工程及环境基本情况介绍较清楚，评价结论总体可行。</w:t>
            </w: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r>
              <w:rPr>
                <w:rFonts w:hint="eastAsia" w:ascii="Times New Roman" w:hAnsi="Times New Roman" w:eastAsia="宋体" w:cs="Times New Roman"/>
                <w:caps w:val="0"/>
                <w:kern w:val="2"/>
                <w:sz w:val="24"/>
                <w:szCs w:val="24"/>
                <w:lang w:val="en-US" w:eastAsia="zh-CN" w:bidi="ar-SA"/>
              </w:rPr>
              <w:t>报告书应补充或完善一下内容：</w:t>
            </w:r>
          </w:p>
          <w:p>
            <w:pPr>
              <w:widowControl w:val="0"/>
              <w:spacing w:line="360" w:lineRule="auto"/>
              <w:ind w:firstLine="403" w:firstLineChars="0"/>
              <w:jc w:val="both"/>
              <w:rPr>
                <w:rFonts w:ascii="Times New Roman" w:hAnsi="Times New Roman" w:eastAsia="宋体" w:cs="Times New Roman"/>
                <w:caps w:val="0"/>
                <w:kern w:val="2"/>
                <w:sz w:val="24"/>
                <w:szCs w:val="24"/>
                <w:lang w:val="en-US" w:eastAsia="zh-CN" w:bidi="ar-SA"/>
              </w:rPr>
            </w:pPr>
            <w:r>
              <w:rPr>
                <w:rFonts w:hint="eastAsia" w:ascii="Times New Roman" w:hAnsi="Times New Roman" w:eastAsia="宋体" w:cs="Times New Roman"/>
                <w:caps w:val="0"/>
                <w:kern w:val="2"/>
                <w:sz w:val="24"/>
                <w:szCs w:val="24"/>
                <w:lang w:val="en-US" w:eastAsia="zh-CN" w:bidi="ar-SA"/>
              </w:rPr>
              <w:t>（1）补充北庭综合物流园规划、环评以及目前建设情况，补充分析本项目与物流园规划及规划环评的相符性，明确物流园给排水情况；</w:t>
            </w:r>
          </w:p>
          <w:p>
            <w:pPr>
              <w:widowControl w:val="0"/>
              <w:spacing w:line="360" w:lineRule="auto"/>
              <w:ind w:firstLine="403" w:firstLineChars="0"/>
              <w:jc w:val="both"/>
              <w:rPr>
                <w:rFonts w:ascii="Times New Roman" w:hAnsi="Times New Roman" w:eastAsia="宋体" w:cs="Times New Roman"/>
                <w:caps w:val="0"/>
                <w:kern w:val="2"/>
                <w:sz w:val="24"/>
                <w:szCs w:val="24"/>
                <w:lang w:val="en-US" w:eastAsia="zh-CN" w:bidi="ar-SA"/>
              </w:rPr>
            </w:pPr>
            <w:r>
              <w:rPr>
                <w:rFonts w:hint="eastAsia" w:ascii="Times New Roman" w:hAnsi="Times New Roman" w:eastAsia="宋体" w:cs="Times New Roman"/>
                <w:caps w:val="0"/>
                <w:kern w:val="2"/>
                <w:sz w:val="24"/>
                <w:szCs w:val="24"/>
                <w:lang w:val="en-US" w:eastAsia="zh-CN" w:bidi="ar-SA"/>
              </w:rPr>
              <w:t>（2）完善本项目与三线一单符合性；</w:t>
            </w:r>
          </w:p>
          <w:p>
            <w:pPr>
              <w:widowControl w:val="0"/>
              <w:spacing w:line="360" w:lineRule="auto"/>
              <w:ind w:firstLine="403" w:firstLineChars="0"/>
              <w:jc w:val="both"/>
              <w:rPr>
                <w:rFonts w:ascii="Times New Roman" w:hAnsi="Times New Roman" w:eastAsia="宋体" w:cs="Times New Roman"/>
                <w:caps w:val="0"/>
                <w:kern w:val="2"/>
                <w:sz w:val="24"/>
                <w:szCs w:val="24"/>
                <w:lang w:val="en-US" w:eastAsia="zh-CN" w:bidi="ar-SA"/>
              </w:rPr>
            </w:pPr>
            <w:r>
              <w:rPr>
                <w:rFonts w:hint="eastAsia" w:ascii="Times New Roman" w:hAnsi="Times New Roman" w:eastAsia="宋体" w:cs="Times New Roman"/>
                <w:caps w:val="0"/>
                <w:kern w:val="2"/>
                <w:sz w:val="24"/>
                <w:szCs w:val="24"/>
                <w:lang w:val="en-US" w:eastAsia="zh-CN" w:bidi="ar-SA"/>
              </w:rPr>
              <w:t>（3）进一步明确本项目自身是否设置污水处理站，明确吉木萨尔县第二污水处理厂运行情况及能否具备接纳本项目污水的能力；</w:t>
            </w:r>
          </w:p>
          <w:p>
            <w:pPr>
              <w:widowControl w:val="0"/>
              <w:spacing w:line="360" w:lineRule="auto"/>
              <w:ind w:firstLine="403" w:firstLineChars="0"/>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p>
          <w:p>
            <w:pPr>
              <w:widowControl w:val="0"/>
              <w:spacing w:line="360" w:lineRule="auto"/>
              <w:ind w:left="0" w:leftChars="0" w:firstLine="0" w:firstLineChars="0"/>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490" w:firstLineChars="1871"/>
              <w:jc w:val="both"/>
              <w:rPr>
                <w:rFonts w:ascii="Times New Roman" w:hAnsi="Times New Roman" w:eastAsia="宋体" w:cs="Times New Roman"/>
                <w:caps/>
                <w:kern w:val="2"/>
                <w:sz w:val="24"/>
                <w:szCs w:val="24"/>
                <w:lang w:val="en-US" w:eastAsia="zh-CN" w:bidi="ar-SA"/>
              </w:rPr>
            </w:pPr>
            <w:r>
              <w:rPr>
                <w:rFonts w:hint="eastAsia" w:ascii="Times New Roman" w:hAnsi="Times New Roman" w:eastAsia="宋体" w:cs="Times New Roman"/>
                <w:caps/>
                <w:kern w:val="2"/>
                <w:sz w:val="24"/>
                <w:szCs w:val="24"/>
                <w:lang w:val="en-US" w:eastAsia="zh-CN" w:bidi="ar-SA"/>
              </w:rPr>
              <w:t>专家签字：</w:t>
            </w:r>
          </w:p>
          <w:p>
            <w:pPr>
              <w:widowControl w:val="0"/>
              <w:spacing w:line="360" w:lineRule="auto"/>
              <w:ind w:firstLine="6000" w:firstLineChars="2500"/>
              <w:jc w:val="both"/>
              <w:rPr>
                <w:rFonts w:ascii="Times New Roman" w:hAnsi="Times New Roman" w:eastAsia="宋体" w:cs="Times New Roman"/>
                <w:caps/>
                <w:kern w:val="2"/>
                <w:sz w:val="24"/>
                <w:szCs w:val="24"/>
                <w:lang w:val="en-US" w:eastAsia="zh-CN" w:bidi="ar-SA"/>
              </w:rPr>
            </w:pPr>
            <w:r>
              <w:rPr>
                <w:rFonts w:hint="eastAsia" w:ascii="Times New Roman" w:hAnsi="Times New Roman" w:eastAsia="宋体" w:cs="Times New Roman"/>
                <w:caps/>
                <w:kern w:val="2"/>
                <w:sz w:val="24"/>
                <w:szCs w:val="24"/>
                <w:lang w:val="en-US" w:eastAsia="zh-CN" w:bidi="ar-SA"/>
              </w:rPr>
              <w:t>年  月   日</w:t>
            </w:r>
          </w:p>
          <w:p>
            <w:pPr>
              <w:widowControl w:val="0"/>
              <w:spacing w:line="360" w:lineRule="auto"/>
              <w:ind w:firstLine="6000" w:firstLineChars="2500"/>
              <w:jc w:val="both"/>
              <w:rPr>
                <w:rFonts w:ascii="Times New Roman" w:hAnsi="Times New Roman" w:eastAsia="宋体" w:cs="Times New Roman"/>
                <w:caps/>
                <w:kern w:val="2"/>
                <w:sz w:val="24"/>
                <w:szCs w:val="24"/>
                <w:lang w:val="en-US" w:eastAsia="zh-CN" w:bidi="ar-SA"/>
              </w:rPr>
            </w:pPr>
          </w:p>
        </w:tc>
      </w:tr>
    </w:tbl>
    <w:p>
      <w:pPr>
        <w:jc w:val="both"/>
        <w:rPr>
          <w:rFonts w:ascii="Times New Roman" w:hAnsi="Times New Roman" w:eastAsia="宋体" w:cs="Times New Roman"/>
          <w:b w:val="0"/>
          <w:sz w:val="21"/>
        </w:rPr>
      </w:pPr>
    </w:p>
    <w:p>
      <w:pPr>
        <w:pStyle w:val="78"/>
        <w:spacing w:line="240" w:lineRule="auto"/>
        <w:rPr>
          <w:rFonts w:hint="default" w:ascii="仿宋" w:hAnsi="仿宋" w:eastAsia="仿宋" w:cs="仿宋"/>
          <w:b w:val="0"/>
          <w:bCs/>
          <w:sz w:val="32"/>
          <w:szCs w:val="32"/>
          <w:lang w:val="en-US" w:eastAsia="zh-CN"/>
        </w:rPr>
        <w:sectPr>
          <w:pgSz w:w="11906" w:h="16838"/>
          <w:pgMar w:top="1440" w:right="1800" w:bottom="1440" w:left="1800" w:header="851" w:footer="992" w:gutter="0"/>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w w:val="98"/>
          <w:sz w:val="32"/>
          <w:szCs w:val="28"/>
          <w:lang w:val="en-US" w:eastAsia="zh-CN"/>
        </w:rPr>
      </w:pPr>
      <w:r>
        <w:rPr>
          <w:rFonts w:hint="eastAsia" w:ascii="Times New Roman" w:hAnsi="Times New Roman" w:eastAsia="宋体" w:cs="Times New Roman"/>
          <w:b/>
          <w:bCs/>
          <w:w w:val="98"/>
          <w:sz w:val="32"/>
          <w:szCs w:val="28"/>
          <w:lang w:val="en-US" w:eastAsia="zh-CN"/>
        </w:rPr>
        <w:t>吉木萨尔县绿色洗消中心提升改造项目</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w w:val="98"/>
          <w:sz w:val="32"/>
          <w:szCs w:val="28"/>
          <w:lang w:val="en-US" w:eastAsia="zh-CN"/>
        </w:rPr>
      </w:pPr>
      <w:r>
        <w:rPr>
          <w:rFonts w:hint="default" w:ascii="Times New Roman" w:hAnsi="Times New Roman" w:eastAsia="宋体" w:cs="Times New Roman"/>
          <w:b/>
          <w:bCs/>
          <w:w w:val="98"/>
          <w:sz w:val="32"/>
          <w:szCs w:val="28"/>
          <w:lang w:val="en-US" w:eastAsia="zh-CN"/>
        </w:rPr>
        <w:t>环境影响报告表修改意见</w:t>
      </w:r>
    </w:p>
    <w:p>
      <w:pPr>
        <w:widowControl w:val="0"/>
        <w:spacing w:after="120" w:afterLines="0" w:afterAutospacing="0"/>
        <w:ind w:left="480" w:leftChars="200" w:firstLine="420" w:firstLineChars="200"/>
        <w:jc w:val="both"/>
        <w:rPr>
          <w:rFonts w:hint="default" w:asciiTheme="minorHAnsi" w:hAnsiTheme="minorHAnsi" w:eastAsiaTheme="minorEastAsia" w:cstheme="minorBidi"/>
          <w:kern w:val="2"/>
          <w:sz w:val="21"/>
          <w:szCs w:val="24"/>
          <w:lang w:val="en-US" w:eastAsia="zh-CN" w:bidi="ar-SA"/>
        </w:rPr>
      </w:pP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补充北庭综合物流园规划、环评以及目前建设情况，补充分析本项目与物流园规划及规划环评的相符性，明确物流园给排水情况；</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b w:val="0"/>
          <w:bCs/>
          <w:kern w:val="0"/>
          <w:sz w:val="24"/>
          <w:szCs w:val="24"/>
          <w:lang w:val="en-US" w:eastAsia="zh-CN" w:bidi="ar-SA"/>
        </w:rPr>
      </w:pPr>
      <w:r>
        <w:rPr>
          <w:rFonts w:hint="eastAsia" w:ascii="Times New Roman" w:hAnsi="Times New Roman" w:eastAsia="宋体" w:cstheme="minorBidi"/>
          <w:kern w:val="2"/>
          <w:sz w:val="24"/>
          <w:szCs w:val="24"/>
          <w:lang w:val="en-US" w:eastAsia="zh-CN" w:bidi="ar-SA"/>
        </w:rPr>
        <w:t>修改说明：已补充，P2</w:t>
      </w:r>
      <w:r>
        <w:rPr>
          <w:rFonts w:hint="eastAsia" w:ascii="Times New Roman" w:hAnsi="Times New Roman" w:eastAsia="宋体" w:cstheme="minorBidi"/>
          <w:b w:val="0"/>
          <w:bCs/>
          <w:kern w:val="0"/>
          <w:sz w:val="24"/>
          <w:szCs w:val="24"/>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与《吉木萨尔县县城总体规划（2012-2030年）》符合性分析</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吉木萨尔县位于天山山脉东段北麓，准葛尔盆地东南缘。地处东经88°30′-89°30′，北纬43°30′-45°30′，东临奇台县，西接阜康市，南以天山分水岭与吐鲁番及乌鲁木齐县为界，北越卡拉麦岭山与富蕴县交接。</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吉木萨尔县城西距自治区首府乌鲁木齐165公里，距昌吉回族自治州首府昌吉市206公里，东距奇台县40公里，距哈密市550公里。</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（1）给水</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吉木萨尔县县城现有水厂一座，水源采用地下水，供水能力为4500m³/日。水厂建有水源井3眼，1眼备用，800m³清水池1座，新修建2400m³清水池1座。水厂处理工艺为消毒杀菌—清水池—二次消毒—送往用户。根据城镇地形特点，城区采用重力供水，管网成树状分布。输配水管网主要分布在中心路、乌奇公路、满城路、文化路、文明路、北庭路等路段。管径从DN400mm到DN100mm，总长度为11km，采用管材为铸铁管，胶圈接口。</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（2）排水</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吉木萨尔县县城，共修建排水管道（d400mm，d600mm）5050.4m。现状排水量约为3500m³/d，排水系统采用不完全分流式。</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项目用水由已建市政供水管道供给，生活污水经物流园排水管网最终进入吉木萨尔县第二污水处理厂，项目污染物排放量较少，且采取了严格的治理和处理、处置措施，在一定程度上减少了污染物的排放，污染物均能达标排放。项目完成后，综合排污水平低且综合效益好，属于鼓励发展的产业，符合环保准入门槛要求。</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综上，本项目的建设符合《吉木萨尔县县城总体规划（2012-2030年）》的相关要求。</w:t>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完善本项目与三线一单符合性。</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修改说明：P5-6。</w:t>
      </w:r>
    </w:p>
    <w:p>
      <w:pPr>
        <w:widowControl w:val="0"/>
        <w:numPr>
          <w:ilvl w:val="0"/>
          <w:numId w:val="5"/>
        </w:numPr>
        <w:spacing w:line="360" w:lineRule="auto"/>
        <w:ind w:firstLine="480" w:firstLineChars="200"/>
        <w:jc w:val="both"/>
        <w:rPr>
          <w:rFonts w:ascii="Times New Roman" w:hAnsi="Times New Roman" w:eastAsia="宋体" w:cstheme="minorBidi"/>
          <w:b w:val="0"/>
          <w:kern w:val="2"/>
          <w:sz w:val="24"/>
          <w:szCs w:val="24"/>
          <w:lang w:val="en-US" w:eastAsia="zh-CN" w:bidi="ar-SA"/>
        </w:rPr>
      </w:pPr>
      <w:r>
        <w:rPr>
          <w:rFonts w:ascii="Times New Roman" w:hAnsi="Times New Roman" w:eastAsia="宋体" w:cstheme="minorBidi"/>
          <w:b w:val="0"/>
          <w:kern w:val="2"/>
          <w:sz w:val="24"/>
          <w:szCs w:val="24"/>
          <w:lang w:val="en-US" w:eastAsia="zh-CN" w:bidi="ar-SA"/>
        </w:rPr>
        <w:t>本项目建设与</w:t>
      </w:r>
      <w:r>
        <w:rPr>
          <w:rFonts w:hint="eastAsia" w:ascii="Times New Roman" w:hAnsi="Times New Roman" w:eastAsia="宋体" w:cstheme="minorBidi"/>
          <w:b w:val="0"/>
          <w:kern w:val="2"/>
          <w:sz w:val="24"/>
          <w:szCs w:val="24"/>
          <w:lang w:val="en-US" w:eastAsia="zh-CN" w:bidi="ar-SA"/>
        </w:rPr>
        <w:t>《昌吉回族自治州“三线一单”生态环境分区管控方案及生态环境准入清单》符合性分析</w:t>
      </w:r>
    </w:p>
    <w:p>
      <w:pPr>
        <w:widowControl w:val="0"/>
        <w:spacing w:line="360" w:lineRule="auto"/>
        <w:ind w:firstLine="480" w:firstLineChars="200"/>
        <w:jc w:val="both"/>
        <w:rPr>
          <w:rFonts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本项目位于</w:t>
      </w:r>
      <w:r>
        <w:rPr>
          <w:rFonts w:hint="eastAsia" w:ascii="Times New Roman" w:hAnsi="Times New Roman" w:eastAsia="宋体" w:cstheme="minorBidi"/>
          <w:b w:val="0"/>
          <w:bCs/>
          <w:kern w:val="2"/>
          <w:sz w:val="24"/>
          <w:szCs w:val="24"/>
          <w:lang w:val="en-US" w:eastAsia="zh-CN" w:bidi="ar-SA"/>
        </w:rPr>
        <w:t>吉木萨尔县北庭综合物流园内</w:t>
      </w:r>
      <w:r>
        <w:rPr>
          <w:rFonts w:hint="eastAsia" w:ascii="Times New Roman" w:hAnsi="Times New Roman" w:eastAsia="宋体" w:cstheme="minorBidi"/>
          <w:b w:val="0"/>
          <w:kern w:val="2"/>
          <w:sz w:val="24"/>
          <w:szCs w:val="24"/>
          <w:lang w:val="en-US" w:eastAsia="zh-CN" w:bidi="ar-SA"/>
        </w:rPr>
        <w:t>，根据《昌吉回族自治州“三线一单”生态环境分区管控方案及生态环境准入清单》本项目所属为文件中“吉木萨尔县中心城区”中的重点管控单元</w:t>
      </w:r>
      <w:r>
        <w:rPr>
          <w:rFonts w:ascii="Times New Roman" w:hAnsi="Times New Roman" w:eastAsia="仿宋" w:cs="Times New Roman"/>
          <w:b w:val="0"/>
          <w:kern w:val="0"/>
          <w:sz w:val="24"/>
          <w:szCs w:val="24"/>
          <w:lang w:val="en-US" w:eastAsia="zh-CN" w:bidi="ar-SA"/>
        </w:rPr>
        <w:t>ZH65232720001</w:t>
      </w:r>
      <w:r>
        <w:rPr>
          <w:rFonts w:hint="eastAsia" w:ascii="Times New Roman" w:hAnsi="Times New Roman" w:eastAsia="宋体" w:cstheme="minorBidi"/>
          <w:b w:val="0"/>
          <w:kern w:val="2"/>
          <w:sz w:val="24"/>
          <w:szCs w:val="24"/>
          <w:lang w:val="en-US" w:eastAsia="zh-CN" w:bidi="ar-SA"/>
        </w:rPr>
        <w:t>。</w:t>
      </w:r>
      <w:r>
        <w:rPr>
          <w:rFonts w:hint="eastAsia" w:ascii="Times New Roman" w:hAnsi="Times New Roman" w:eastAsia="宋体" w:cs="Times New Roman"/>
          <w:b w:val="0"/>
          <w:kern w:val="2"/>
          <w:sz w:val="24"/>
          <w:szCs w:val="24"/>
          <w:lang w:val="en-US" w:eastAsia="zh-CN" w:bidi="ar-SA"/>
        </w:rPr>
        <w:t>本项目与其符合情况见下表1-3。</w:t>
      </w:r>
    </w:p>
    <w:p>
      <w:pPr>
        <w:widowControl w:val="0"/>
        <w:spacing w:line="360" w:lineRule="auto"/>
        <w:jc w:val="center"/>
        <w:rPr>
          <w:rFonts w:ascii="Times New Roman" w:hAnsi="Times New Roman" w:eastAsia="宋体" w:cstheme="minorBidi"/>
          <w:b/>
          <w:kern w:val="2"/>
          <w:sz w:val="24"/>
          <w:szCs w:val="24"/>
          <w:lang w:val="en-US" w:eastAsia="zh-CN" w:bidi="ar-SA"/>
        </w:rPr>
      </w:pPr>
      <w:r>
        <w:rPr>
          <w:rFonts w:ascii="Times New Roman" w:hAnsi="Times New Roman" w:eastAsia="宋体" w:cstheme="minorBidi"/>
          <w:b/>
          <w:kern w:val="2"/>
          <w:sz w:val="24"/>
          <w:szCs w:val="24"/>
          <w:lang w:val="en-US" w:eastAsia="zh-CN" w:bidi="ar-SA"/>
        </w:rPr>
        <w:t>表</w:t>
      </w:r>
      <w:r>
        <w:rPr>
          <w:rFonts w:hint="eastAsia" w:ascii="Times New Roman" w:hAnsi="Times New Roman" w:eastAsia="宋体" w:cstheme="minorBidi"/>
          <w:b/>
          <w:kern w:val="2"/>
          <w:sz w:val="24"/>
          <w:szCs w:val="24"/>
          <w:lang w:val="en-US" w:eastAsia="zh-CN" w:bidi="ar-SA"/>
        </w:rPr>
        <w:t>1-3</w:t>
      </w:r>
      <w:r>
        <w:rPr>
          <w:rFonts w:ascii="Times New Roman" w:hAnsi="Times New Roman" w:eastAsia="宋体" w:cstheme="minorBidi"/>
          <w:b/>
          <w:kern w:val="2"/>
          <w:sz w:val="24"/>
          <w:szCs w:val="24"/>
          <w:lang w:val="en-US" w:eastAsia="zh-CN" w:bidi="ar-SA"/>
        </w:rPr>
        <w:t xml:space="preserve">   昌吉回族自治州“三线一单”符合性分析一览表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7"/>
        <w:gridCol w:w="3964"/>
        <w:gridCol w:w="2623"/>
        <w:gridCol w:w="9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76" w:type="pct"/>
            <w:gridSpan w:val="2"/>
            <w:tcBorders>
              <w:bottom w:val="single" w:color="auto" w:sz="12" w:space="0"/>
            </w:tcBorders>
            <w:vAlign w:val="center"/>
          </w:tcPr>
          <w:p>
            <w:pPr>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管控要求</w:t>
            </w:r>
          </w:p>
        </w:tc>
        <w:tc>
          <w:tcPr>
            <w:tcW w:w="1539" w:type="pct"/>
            <w:tcBorders>
              <w:bottom w:val="single" w:color="auto" w:sz="12" w:space="0"/>
            </w:tcBorders>
            <w:vAlign w:val="center"/>
          </w:tcPr>
          <w:p>
            <w:pPr>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本项目工程概况</w:t>
            </w:r>
          </w:p>
        </w:tc>
        <w:tc>
          <w:tcPr>
            <w:tcW w:w="584" w:type="pct"/>
            <w:tcBorders>
              <w:bottom w:val="single" w:color="auto" w:sz="12" w:space="0"/>
            </w:tcBorders>
            <w:vAlign w:val="center"/>
          </w:tcPr>
          <w:p>
            <w:pPr>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0" w:type="pct"/>
            <w:tcBorders>
              <w:top w:val="single" w:color="auto" w:sz="12" w:space="0"/>
            </w:tcBorders>
            <w:vAlign w:val="center"/>
          </w:tcPr>
          <w:p>
            <w:pPr>
              <w:jc w:val="left"/>
              <w:rPr>
                <w:rFonts w:ascii="Times New Roman" w:hAnsi="Times New Roman" w:eastAsia="宋体" w:cs="Times New Roman"/>
                <w:b w:val="0"/>
                <w:kern w:val="2"/>
                <w:sz w:val="21"/>
                <w:szCs w:val="24"/>
                <w:lang w:val="zh-TW" w:eastAsia="zh-TW" w:bidi="ar-SA"/>
              </w:rPr>
            </w:pPr>
            <w:r>
              <w:rPr>
                <w:rFonts w:ascii="Times New Roman" w:hAnsi="Times New Roman" w:eastAsia="宋体" w:cs="Times New Roman"/>
                <w:b w:val="0"/>
                <w:kern w:val="2"/>
                <w:sz w:val="21"/>
                <w:szCs w:val="24"/>
                <w:lang w:val="zh-TW" w:eastAsia="zh-TW" w:bidi="ar-SA"/>
              </w:rPr>
              <w:t>空间布局约束</w:t>
            </w:r>
          </w:p>
        </w:tc>
        <w:tc>
          <w:tcPr>
            <w:tcW w:w="2326" w:type="pct"/>
            <w:tcBorders>
              <w:top w:val="single" w:color="auto" w:sz="12" w:space="0"/>
            </w:tcBorders>
            <w:vAlign w:val="center"/>
          </w:tcPr>
          <w:p>
            <w:pPr>
              <w:jc w:val="left"/>
              <w:rPr>
                <w:rFonts w:ascii="Times New Roman" w:hAnsi="Times New Roman" w:eastAsia="宋体" w:cs="Times New Roman"/>
                <w:b w:val="0"/>
                <w:kern w:val="2"/>
                <w:sz w:val="21"/>
                <w:szCs w:val="24"/>
                <w:lang w:val="zh-TW" w:eastAsia="zh-TW" w:bidi="ar-SA"/>
              </w:rPr>
            </w:pPr>
            <w:r>
              <w:rPr>
                <w:rFonts w:ascii="Times New Roman" w:hAnsi="Times New Roman" w:eastAsia="宋体" w:cs="Times New Roman"/>
                <w:b w:val="0"/>
                <w:kern w:val="2"/>
                <w:sz w:val="21"/>
                <w:szCs w:val="24"/>
                <w:lang w:val="zh-TW" w:eastAsia="zh-TW" w:bidi="ar-SA"/>
              </w:rPr>
              <w:t>1、执行自治区总体准入要求中关于重点管控单元空间布局约束的准入要求。</w:t>
            </w:r>
          </w:p>
          <w:p>
            <w:pPr>
              <w:jc w:val="left"/>
              <w:rPr>
                <w:rFonts w:ascii="Times New Roman" w:hAnsi="Times New Roman" w:eastAsia="宋体" w:cs="Times New Roman"/>
                <w:b w:val="0"/>
                <w:kern w:val="2"/>
                <w:sz w:val="21"/>
                <w:szCs w:val="24"/>
                <w:lang w:val="zh-TW" w:eastAsia="zh-TW" w:bidi="ar-SA"/>
              </w:rPr>
            </w:pPr>
            <w:r>
              <w:rPr>
                <w:rFonts w:ascii="Times New Roman" w:hAnsi="Times New Roman" w:eastAsia="宋体" w:cs="Times New Roman"/>
                <w:b w:val="0"/>
                <w:kern w:val="2"/>
                <w:sz w:val="21"/>
                <w:szCs w:val="24"/>
                <w:lang w:val="zh-TW" w:eastAsia="zh-TW" w:bidi="ar-SA"/>
              </w:rPr>
              <w:t>2、禁止在建成区新建每小时35蒸吨以下燃煤锅炉。</w:t>
            </w:r>
          </w:p>
          <w:p>
            <w:pPr>
              <w:jc w:val="left"/>
              <w:rPr>
                <w:rFonts w:ascii="Times New Roman" w:hAnsi="Times New Roman" w:eastAsia="宋体" w:cs="Times New Roman"/>
                <w:b w:val="0"/>
                <w:kern w:val="2"/>
                <w:sz w:val="21"/>
                <w:szCs w:val="24"/>
                <w:lang w:val="zh-TW" w:eastAsia="zh-TW" w:bidi="ar-SA"/>
              </w:rPr>
            </w:pPr>
            <w:r>
              <w:rPr>
                <w:rFonts w:hint="eastAsia" w:ascii="Times New Roman" w:hAnsi="Times New Roman" w:eastAsia="宋体" w:cs="Times New Roman"/>
                <w:b w:val="0"/>
                <w:kern w:val="2"/>
                <w:sz w:val="21"/>
                <w:szCs w:val="24"/>
                <w:lang w:val="zh-TW" w:eastAsia="zh-TW" w:bidi="ar-SA"/>
              </w:rPr>
              <w:t>3</w:t>
            </w:r>
            <w:r>
              <w:rPr>
                <w:rFonts w:ascii="Times New Roman" w:hAnsi="Times New Roman" w:eastAsia="宋体" w:cs="Times New Roman"/>
                <w:b w:val="0"/>
                <w:kern w:val="2"/>
                <w:sz w:val="21"/>
                <w:szCs w:val="24"/>
                <w:lang w:val="zh-TW" w:eastAsia="zh-TW" w:bidi="ar-SA"/>
              </w:rPr>
              <w:t>、禁止在居民住宅区等人口密集区域和机关、医院、学校、幼儿园、养老院等其他需要特殊保护的区域及其周边，新建、改建和扩建石化、焦化、制药、油漆、塑料、橡胶、造纸、饲料等易产生恶臭气体的生产项目，或者从事其他产生恶臭气体的生产经营活动。</w:t>
            </w:r>
          </w:p>
          <w:p>
            <w:pPr>
              <w:jc w:val="left"/>
              <w:rPr>
                <w:rFonts w:ascii="Times New Roman" w:hAnsi="Times New Roman" w:eastAsia="宋体" w:cs="Times New Roman"/>
                <w:b w:val="0"/>
                <w:kern w:val="2"/>
                <w:sz w:val="21"/>
                <w:szCs w:val="24"/>
                <w:lang w:val="zh-TW" w:eastAsia="zh-TW" w:bidi="ar-SA"/>
              </w:rPr>
            </w:pPr>
            <w:r>
              <w:rPr>
                <w:rFonts w:hint="eastAsia" w:ascii="Times New Roman" w:hAnsi="Times New Roman" w:eastAsia="宋体" w:cs="Times New Roman"/>
                <w:b w:val="0"/>
                <w:kern w:val="2"/>
                <w:sz w:val="21"/>
                <w:szCs w:val="24"/>
                <w:lang w:val="zh-TW" w:eastAsia="zh-TW" w:bidi="ar-SA"/>
              </w:rPr>
              <w:t>4</w:t>
            </w:r>
            <w:r>
              <w:rPr>
                <w:rFonts w:ascii="Times New Roman" w:hAnsi="Times New Roman" w:eastAsia="宋体" w:cs="Times New Roman"/>
                <w:b w:val="0"/>
                <w:kern w:val="2"/>
                <w:sz w:val="21"/>
                <w:szCs w:val="24"/>
                <w:lang w:val="zh-TW" w:eastAsia="zh-TW" w:bidi="ar-SA"/>
              </w:rPr>
              <w:t>、禁止在集中供热管网覆盖地区新建、扩建分散燃煤供热锅炉。</w:t>
            </w:r>
          </w:p>
          <w:p>
            <w:pPr>
              <w:jc w:val="left"/>
              <w:rPr>
                <w:rFonts w:ascii="Times New Roman" w:hAnsi="Times New Roman" w:eastAsia="宋体" w:cs="Times New Roman"/>
                <w:b w:val="0"/>
                <w:kern w:val="2"/>
                <w:sz w:val="21"/>
                <w:szCs w:val="24"/>
                <w:lang w:val="zh-TW" w:eastAsia="zh-TW" w:bidi="ar-SA"/>
              </w:rPr>
            </w:pPr>
            <w:r>
              <w:rPr>
                <w:rFonts w:hint="eastAsia" w:ascii="Times New Roman" w:hAnsi="Times New Roman" w:eastAsia="宋体" w:cs="Times New Roman"/>
                <w:b w:val="0"/>
                <w:kern w:val="2"/>
                <w:sz w:val="21"/>
                <w:szCs w:val="24"/>
                <w:lang w:val="zh-TW" w:eastAsia="zh-TW" w:bidi="ar-SA"/>
              </w:rPr>
              <w:t>5</w:t>
            </w:r>
            <w:r>
              <w:rPr>
                <w:rFonts w:ascii="Times New Roman" w:hAnsi="Times New Roman" w:eastAsia="宋体" w:cs="Times New Roman"/>
                <w:b w:val="0"/>
                <w:kern w:val="2"/>
                <w:sz w:val="21"/>
                <w:szCs w:val="24"/>
                <w:lang w:val="zh-TW" w:eastAsia="zh-TW" w:bidi="ar-SA"/>
              </w:rPr>
              <w:t>、高污染燃料禁燃区内的单位、个体经营户和个人禁止新建、扩建使用高污染燃料的设施，禁止生产、销售、燃用高污染燃料。</w:t>
            </w:r>
          </w:p>
          <w:p>
            <w:pPr>
              <w:jc w:val="left"/>
              <w:rPr>
                <w:rFonts w:ascii="Times New Roman" w:hAnsi="Times New Roman" w:eastAsia="宋体" w:cs="Times New Roman"/>
                <w:b w:val="0"/>
                <w:kern w:val="2"/>
                <w:sz w:val="21"/>
                <w:szCs w:val="24"/>
                <w:lang w:val="zh-TW" w:eastAsia="zh-TW" w:bidi="ar-SA"/>
              </w:rPr>
            </w:pPr>
            <w:r>
              <w:rPr>
                <w:rFonts w:hint="eastAsia" w:ascii="Times New Roman" w:hAnsi="Times New Roman" w:eastAsia="宋体" w:cs="Times New Roman"/>
                <w:b w:val="0"/>
                <w:kern w:val="2"/>
                <w:sz w:val="21"/>
                <w:szCs w:val="24"/>
                <w:lang w:val="zh-TW" w:eastAsia="zh-TW" w:bidi="ar-SA"/>
              </w:rPr>
              <w:t>6</w:t>
            </w:r>
            <w:r>
              <w:rPr>
                <w:rFonts w:ascii="Times New Roman" w:hAnsi="Times New Roman" w:eastAsia="宋体" w:cs="Times New Roman"/>
                <w:b w:val="0"/>
                <w:kern w:val="2"/>
                <w:sz w:val="21"/>
                <w:szCs w:val="24"/>
                <w:lang w:val="zh-TW" w:eastAsia="zh-TW" w:bidi="ar-SA"/>
              </w:rPr>
              <w:t>、在高污染燃料禁燃区内已建成的使用高污染燃料的设施，应当在县人民政府规定的期限内停止燃用高污染燃料，改用天然气、页岩气、液化气、油气、电等清洁能源或者在规定的期限内拆除。</w:t>
            </w:r>
          </w:p>
          <w:p>
            <w:pPr>
              <w:jc w:val="left"/>
              <w:rPr>
                <w:rFonts w:ascii="Times New Roman" w:hAnsi="Times New Roman" w:eastAsia="宋体" w:cs="Times New Roman"/>
                <w:b w:val="0"/>
                <w:kern w:val="2"/>
                <w:sz w:val="21"/>
                <w:szCs w:val="24"/>
                <w:lang w:val="zh-TW" w:eastAsia="zh-TW" w:bidi="ar-SA"/>
              </w:rPr>
            </w:pPr>
            <w:r>
              <w:rPr>
                <w:rFonts w:hint="eastAsia" w:ascii="Times New Roman" w:hAnsi="Times New Roman" w:eastAsia="宋体" w:cs="Times New Roman"/>
                <w:b w:val="0"/>
                <w:kern w:val="2"/>
                <w:sz w:val="21"/>
                <w:szCs w:val="24"/>
                <w:lang w:val="zh-TW" w:eastAsia="zh-TW" w:bidi="ar-SA"/>
              </w:rPr>
              <w:t>7</w:t>
            </w:r>
            <w:r>
              <w:rPr>
                <w:rFonts w:ascii="Times New Roman" w:hAnsi="Times New Roman" w:eastAsia="宋体" w:cs="Times New Roman"/>
                <w:b w:val="0"/>
                <w:kern w:val="2"/>
                <w:sz w:val="21"/>
                <w:szCs w:val="24"/>
                <w:lang w:val="zh-TW" w:eastAsia="zh-TW" w:bidi="ar-SA"/>
              </w:rPr>
              <w:t>、坚决取缔热电联产或集中供热管网覆盖区域内的燃煤设施，实施管网供热替代散煤。</w:t>
            </w:r>
          </w:p>
        </w:tc>
        <w:tc>
          <w:tcPr>
            <w:tcW w:w="1539" w:type="pct"/>
            <w:tcBorders>
              <w:top w:val="single" w:color="auto" w:sz="12" w:space="0"/>
            </w:tcBorders>
            <w:vAlign w:val="center"/>
          </w:tcPr>
          <w:p>
            <w:pPr>
              <w:jc w:val="left"/>
              <w:rPr>
                <w:rFonts w:hint="eastAsia" w:ascii="Times New Roman" w:hAnsi="Times New Roman" w:eastAsia="宋体" w:cs="Times New Roman"/>
                <w:b w:val="0"/>
                <w:kern w:val="2"/>
                <w:sz w:val="21"/>
                <w:szCs w:val="24"/>
                <w:lang w:val="zh-TW" w:eastAsia="zh-TW" w:bidi="ar-SA"/>
              </w:rPr>
            </w:pPr>
            <w:r>
              <w:rPr>
                <w:rFonts w:hint="eastAsia" w:ascii="Times New Roman" w:hAnsi="Times New Roman" w:eastAsia="宋体" w:cs="Times New Roman"/>
                <w:b w:val="0"/>
                <w:kern w:val="2"/>
                <w:sz w:val="21"/>
                <w:szCs w:val="24"/>
                <w:lang w:val="zh-TW" w:eastAsia="zh-TW" w:bidi="ar-SA"/>
              </w:rPr>
              <w:t>1、本项目</w:t>
            </w:r>
            <w:r>
              <w:rPr>
                <w:rFonts w:hint="eastAsia" w:ascii="Times New Roman" w:hAnsi="Times New Roman" w:eastAsia="宋体" w:cs="Times New Roman"/>
                <w:b w:val="0"/>
                <w:kern w:val="2"/>
                <w:sz w:val="21"/>
                <w:szCs w:val="24"/>
                <w:lang w:val="en-US" w:eastAsia="zh-CN" w:bidi="ar-SA"/>
              </w:rPr>
              <w:t>严格执行</w:t>
            </w:r>
            <w:r>
              <w:rPr>
                <w:rFonts w:ascii="Times New Roman" w:hAnsi="Times New Roman" w:eastAsia="宋体" w:cs="Times New Roman"/>
                <w:b w:val="0"/>
                <w:kern w:val="2"/>
                <w:sz w:val="21"/>
                <w:szCs w:val="24"/>
                <w:lang w:val="zh-TW" w:eastAsia="zh-TW" w:bidi="ar-SA"/>
              </w:rPr>
              <w:t>自治区总体准入要求中关于重点管控单元空间布局约束的准入要求</w:t>
            </w:r>
            <w:r>
              <w:rPr>
                <w:rFonts w:hint="eastAsia" w:ascii="Times New Roman" w:hAnsi="Times New Roman" w:eastAsia="宋体" w:cs="Times New Roman"/>
                <w:b w:val="0"/>
                <w:kern w:val="2"/>
                <w:sz w:val="21"/>
                <w:szCs w:val="24"/>
                <w:lang w:val="zh-TW" w:eastAsia="zh-TW" w:bidi="ar-SA"/>
              </w:rPr>
              <w:t>。</w:t>
            </w:r>
          </w:p>
          <w:p>
            <w:pPr>
              <w:bidi w:val="0"/>
              <w:jc w:val="left"/>
              <w:rPr>
                <w:rFonts w:hint="eastAsia" w:ascii="Times New Roman" w:hAnsi="Times New Roman" w:eastAsia="宋体" w:cs="Times New Roman"/>
                <w:b w:val="0"/>
                <w:kern w:val="2"/>
                <w:sz w:val="21"/>
                <w:szCs w:val="24"/>
                <w:lang w:val="en-US" w:eastAsia="zh-CN" w:bidi="ar-SA"/>
              </w:rPr>
            </w:pPr>
            <w:r>
              <w:rPr>
                <w:rFonts w:hint="eastAsia" w:ascii="Times New Roman" w:hAnsi="Times New Roman" w:eastAsia="宋体" w:cs="Times New Roman"/>
                <w:b w:val="0"/>
                <w:kern w:val="2"/>
                <w:sz w:val="21"/>
                <w:szCs w:val="24"/>
                <w:lang w:val="en-US" w:eastAsia="zh-CN" w:bidi="ar-SA"/>
              </w:rPr>
              <w:t>2、本项目建设1台2t/h燃气锅炉；</w:t>
            </w:r>
          </w:p>
          <w:p>
            <w:pPr>
              <w:bidi w:val="0"/>
              <w:jc w:val="left"/>
              <w:rPr>
                <w:rFonts w:hint="eastAsia" w:ascii="Times New Roman" w:hAnsi="Times New Roman" w:eastAsia="宋体" w:cs="Times New Roman"/>
                <w:b w:val="0"/>
                <w:kern w:val="2"/>
                <w:sz w:val="21"/>
                <w:szCs w:val="24"/>
                <w:lang w:val="en-US" w:eastAsia="zh-CN" w:bidi="ar-SA"/>
              </w:rPr>
            </w:pPr>
            <w:r>
              <w:rPr>
                <w:rFonts w:hint="eastAsia" w:ascii="Times New Roman" w:hAnsi="Times New Roman" w:eastAsia="宋体" w:cs="Times New Roman"/>
                <w:b w:val="0"/>
                <w:kern w:val="2"/>
                <w:sz w:val="21"/>
                <w:szCs w:val="24"/>
                <w:lang w:val="en-US" w:eastAsia="zh-CN" w:bidi="ar-SA"/>
              </w:rPr>
              <w:t>3、本项目属于</w:t>
            </w:r>
            <w:r>
              <w:rPr>
                <w:rFonts w:hint="eastAsia" w:ascii="Times New Roman" w:hAnsi="Times New Roman" w:eastAsia="宋体" w:cs="Times New Roman"/>
                <w:b w:val="0"/>
                <w:color w:val="auto"/>
                <w:kern w:val="2"/>
                <w:sz w:val="21"/>
                <w:szCs w:val="24"/>
                <w:lang w:val="en-US" w:eastAsia="zh-CN" w:bidi="ar-SA"/>
              </w:rPr>
              <w:t>洗染服务业</w:t>
            </w:r>
            <w:r>
              <w:rPr>
                <w:rFonts w:hint="eastAsia" w:ascii="Times New Roman" w:hAnsi="Times New Roman" w:eastAsia="宋体" w:cs="Times New Roman"/>
                <w:b w:val="0"/>
                <w:kern w:val="2"/>
                <w:sz w:val="21"/>
                <w:szCs w:val="24"/>
                <w:lang w:val="en-US" w:eastAsia="zh-CN" w:bidi="ar-SA"/>
              </w:rPr>
              <w:t>配套的燃气供热锅炉建设项目，不属于</w:t>
            </w:r>
            <w:r>
              <w:rPr>
                <w:rFonts w:ascii="Times New Roman" w:hAnsi="Times New Roman" w:eastAsia="宋体" w:cs="Times New Roman"/>
                <w:b w:val="0"/>
                <w:kern w:val="2"/>
                <w:sz w:val="21"/>
                <w:szCs w:val="24"/>
                <w:lang w:val="zh-TW" w:eastAsia="zh-TW" w:bidi="ar-SA"/>
              </w:rPr>
              <w:t>石化、焦化、制药、油漆、塑料、橡胶、造纸、饲料等易产生恶臭气体的生产项目</w:t>
            </w:r>
            <w:r>
              <w:rPr>
                <w:rFonts w:hint="eastAsia" w:ascii="Times New Roman" w:hAnsi="Times New Roman" w:eastAsia="宋体" w:cs="Times New Roman"/>
                <w:b w:val="0"/>
                <w:kern w:val="2"/>
                <w:sz w:val="21"/>
                <w:szCs w:val="24"/>
                <w:lang w:val="en-US" w:eastAsia="zh-CN" w:bidi="ar-SA"/>
              </w:rPr>
              <w:t>；</w:t>
            </w:r>
          </w:p>
          <w:p>
            <w:pPr>
              <w:bidi w:val="0"/>
              <w:jc w:val="left"/>
              <w:rPr>
                <w:rFonts w:hint="eastAsia" w:ascii="Times New Roman" w:hAnsi="Times New Roman" w:eastAsia="宋体" w:cs="Times New Roman"/>
                <w:b w:val="0"/>
                <w:kern w:val="2"/>
                <w:sz w:val="21"/>
                <w:szCs w:val="24"/>
                <w:lang w:val="en-US" w:eastAsia="zh-CN" w:bidi="ar-SA"/>
              </w:rPr>
            </w:pPr>
            <w:r>
              <w:rPr>
                <w:rFonts w:hint="eastAsia" w:ascii="Times New Roman" w:hAnsi="Times New Roman" w:eastAsia="宋体" w:cs="Times New Roman"/>
                <w:b w:val="0"/>
                <w:kern w:val="2"/>
                <w:sz w:val="21"/>
                <w:szCs w:val="24"/>
                <w:lang w:val="en-US" w:eastAsia="zh-CN" w:bidi="ar-SA"/>
              </w:rPr>
              <w:t>4、本项目新建1台2t/h燃气锅炉；</w:t>
            </w:r>
          </w:p>
          <w:p>
            <w:pPr>
              <w:bidi w:val="0"/>
              <w:jc w:val="left"/>
              <w:rPr>
                <w:rFonts w:hint="eastAsia" w:ascii="Times New Roman" w:hAnsi="Times New Roman" w:eastAsia="宋体" w:cs="Times New Roman"/>
                <w:b w:val="0"/>
                <w:kern w:val="2"/>
                <w:sz w:val="21"/>
                <w:szCs w:val="24"/>
                <w:lang w:val="en-US" w:eastAsia="zh-CN" w:bidi="ar-SA"/>
              </w:rPr>
            </w:pPr>
            <w:r>
              <w:rPr>
                <w:rFonts w:hint="eastAsia" w:ascii="Times New Roman" w:hAnsi="Times New Roman" w:eastAsia="宋体" w:cs="Times New Roman"/>
                <w:b w:val="0"/>
                <w:kern w:val="2"/>
                <w:sz w:val="21"/>
                <w:szCs w:val="24"/>
                <w:lang w:val="en-US" w:eastAsia="zh-CN" w:bidi="ar-SA"/>
              </w:rPr>
              <w:t>5、本项目燃料为清洁能源天然气，不属于高排放、高污染、高耗能项目，符合国家和自治区环境保护标准的项目要求。</w:t>
            </w:r>
          </w:p>
          <w:p>
            <w:pPr>
              <w:bidi w:val="0"/>
              <w:jc w:val="left"/>
              <w:rPr>
                <w:rFonts w:hint="default" w:ascii="Times New Roman" w:hAnsi="Times New Roman" w:eastAsia="宋体" w:cs="Times New Roman"/>
                <w:b w:val="0"/>
                <w:kern w:val="2"/>
                <w:sz w:val="21"/>
                <w:szCs w:val="24"/>
                <w:lang w:val="en-US" w:eastAsia="zh-CN" w:bidi="ar-SA"/>
              </w:rPr>
            </w:pPr>
            <w:r>
              <w:rPr>
                <w:rFonts w:hint="eastAsia" w:ascii="Times New Roman" w:hAnsi="Times New Roman" w:eastAsia="宋体" w:cs="Times New Roman"/>
                <w:b w:val="0"/>
                <w:kern w:val="2"/>
                <w:sz w:val="21"/>
                <w:szCs w:val="24"/>
                <w:lang w:val="en-US" w:eastAsia="zh-CN" w:bidi="ar-SA"/>
              </w:rPr>
              <w:t>6、本项目属于配套的燃气供热锅炉建设项目。</w:t>
            </w:r>
          </w:p>
        </w:tc>
        <w:tc>
          <w:tcPr>
            <w:tcW w:w="584" w:type="pct"/>
            <w:tcBorders>
              <w:top w:val="single" w:color="auto" w:sz="12" w:space="0"/>
            </w:tcBorders>
            <w:vAlign w:val="center"/>
          </w:tcPr>
          <w:p>
            <w:pPr>
              <w:jc w:val="center"/>
              <w:rPr>
                <w:rFonts w:ascii="Times New Roman" w:hAnsi="Times New Roman" w:eastAsia="宋体" w:cs="Times New Roman"/>
                <w:b w:val="0"/>
                <w:kern w:val="2"/>
                <w:sz w:val="21"/>
                <w:szCs w:val="24"/>
                <w:lang w:val="zh-TW" w:eastAsia="zh-TW" w:bidi="ar-SA"/>
              </w:rPr>
            </w:pPr>
            <w:r>
              <w:rPr>
                <w:rFonts w:ascii="Times New Roman" w:hAnsi="Times New Roman" w:eastAsia="宋体" w:cs="Times New Roman"/>
                <w:b w:val="0"/>
                <w:kern w:val="2"/>
                <w:sz w:val="21"/>
                <w:szCs w:val="24"/>
                <w:lang w:val="zh-TW" w:eastAsia="zh-TW"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0" w:type="pct"/>
            <w:tcBorders>
              <w:tl2br w:val="nil"/>
              <w:tr2bl w:val="nil"/>
            </w:tcBorders>
            <w:vAlign w:val="center"/>
          </w:tcPr>
          <w:p>
            <w:pPr>
              <w:jc w:val="left"/>
              <w:rPr>
                <w:rFonts w:ascii="Times New Roman" w:hAnsi="Times New Roman" w:eastAsia="宋体" w:cs="Times New Roman"/>
                <w:b w:val="0"/>
                <w:kern w:val="2"/>
                <w:sz w:val="21"/>
                <w:szCs w:val="24"/>
                <w:lang w:val="zh-TW" w:eastAsia="zh-TW" w:bidi="ar-SA"/>
              </w:rPr>
            </w:pPr>
            <w:r>
              <w:rPr>
                <w:rFonts w:ascii="Times New Roman" w:hAnsi="Times New Roman" w:eastAsia="宋体" w:cs="Times New Roman"/>
                <w:b w:val="0"/>
                <w:kern w:val="2"/>
                <w:sz w:val="21"/>
                <w:szCs w:val="24"/>
                <w:lang w:val="zh-TW" w:eastAsia="zh-TW" w:bidi="ar-SA"/>
              </w:rPr>
              <w:t>污染物排放管控</w:t>
            </w:r>
          </w:p>
        </w:tc>
        <w:tc>
          <w:tcPr>
            <w:tcW w:w="2326" w:type="pct"/>
            <w:tcBorders>
              <w:tl2br w:val="nil"/>
              <w:tr2bl w:val="nil"/>
            </w:tcBorders>
            <w:vAlign w:val="center"/>
          </w:tcPr>
          <w:p>
            <w:pPr>
              <w:jc w:val="left"/>
              <w:rPr>
                <w:rFonts w:ascii="Times New Roman" w:hAnsi="Times New Roman" w:eastAsia="宋体" w:cs="Times New Roman"/>
                <w:b w:val="0"/>
                <w:kern w:val="2"/>
                <w:sz w:val="21"/>
                <w:szCs w:val="24"/>
                <w:lang w:val="zh-TW" w:eastAsia="zh-TW" w:bidi="ar-SA"/>
              </w:rPr>
            </w:pPr>
            <w:r>
              <w:rPr>
                <w:rFonts w:ascii="Times New Roman" w:hAnsi="Times New Roman" w:eastAsia="宋体" w:cs="Times New Roman"/>
                <w:b w:val="0"/>
                <w:kern w:val="2"/>
                <w:sz w:val="21"/>
                <w:szCs w:val="24"/>
                <w:lang w:val="zh-TW" w:eastAsia="zh-TW" w:bidi="ar-SA"/>
              </w:rPr>
              <w:t>1、执行自治区总体准入要求中关于重点管控单元污染物排放管控的准入要求。</w:t>
            </w:r>
          </w:p>
        </w:tc>
        <w:tc>
          <w:tcPr>
            <w:tcW w:w="1539" w:type="pct"/>
            <w:tcBorders>
              <w:tl2br w:val="nil"/>
              <w:tr2bl w:val="nil"/>
            </w:tcBorders>
            <w:vAlign w:val="center"/>
          </w:tcPr>
          <w:p>
            <w:pPr>
              <w:jc w:val="left"/>
              <w:rPr>
                <w:rFonts w:hint="default" w:ascii="Times New Roman" w:hAnsi="Times New Roman" w:eastAsia="宋体" w:cs="Times New Roman"/>
                <w:b w:val="0"/>
                <w:kern w:val="2"/>
                <w:sz w:val="21"/>
                <w:szCs w:val="24"/>
                <w:lang w:val="en-US" w:eastAsia="zh-CN" w:bidi="ar-SA"/>
              </w:rPr>
            </w:pPr>
            <w:r>
              <w:rPr>
                <w:rFonts w:ascii="Times New Roman" w:hAnsi="Times New Roman" w:eastAsia="宋体" w:cs="Times New Roman"/>
                <w:b w:val="0"/>
                <w:kern w:val="2"/>
                <w:sz w:val="21"/>
                <w:szCs w:val="24"/>
                <w:lang w:val="zh-TW" w:eastAsia="zh-TW" w:bidi="ar-SA"/>
              </w:rPr>
              <w:t>1、本项目执行自治区总体准入要求中关于重点管控单元污染物排放管控的准入要求。</w:t>
            </w:r>
          </w:p>
        </w:tc>
        <w:tc>
          <w:tcPr>
            <w:tcW w:w="584" w:type="pct"/>
            <w:tcBorders>
              <w:tl2br w:val="nil"/>
              <w:tr2bl w:val="nil"/>
            </w:tcBorders>
            <w:vAlign w:val="center"/>
          </w:tcPr>
          <w:p>
            <w:pPr>
              <w:jc w:val="center"/>
              <w:rPr>
                <w:rFonts w:ascii="Times New Roman" w:hAnsi="Times New Roman" w:eastAsia="宋体" w:cs="Times New Roman"/>
                <w:b w:val="0"/>
                <w:kern w:val="2"/>
                <w:sz w:val="21"/>
                <w:szCs w:val="24"/>
                <w:lang w:val="zh-TW" w:eastAsia="zh-TW" w:bidi="ar-SA"/>
              </w:rPr>
            </w:pPr>
            <w:r>
              <w:rPr>
                <w:rFonts w:ascii="Times New Roman" w:hAnsi="Times New Roman" w:eastAsia="宋体" w:cs="Times New Roman"/>
                <w:b w:val="0"/>
                <w:kern w:val="2"/>
                <w:sz w:val="21"/>
                <w:szCs w:val="24"/>
                <w:lang w:val="zh-TW" w:eastAsia="zh-TW"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0" w:type="pct"/>
            <w:tcBorders>
              <w:tl2br w:val="nil"/>
              <w:tr2bl w:val="nil"/>
            </w:tcBorders>
            <w:vAlign w:val="center"/>
          </w:tcPr>
          <w:p>
            <w:pPr>
              <w:jc w:val="left"/>
              <w:rPr>
                <w:rFonts w:ascii="Times New Roman" w:hAnsi="Times New Roman" w:eastAsia="宋体" w:cs="Times New Roman"/>
                <w:b w:val="0"/>
                <w:kern w:val="2"/>
                <w:sz w:val="21"/>
                <w:szCs w:val="24"/>
                <w:lang w:val="zh-TW" w:eastAsia="zh-TW" w:bidi="ar-SA"/>
              </w:rPr>
            </w:pPr>
            <w:r>
              <w:rPr>
                <w:rFonts w:ascii="Times New Roman" w:hAnsi="Times New Roman" w:eastAsia="宋体" w:cs="Times New Roman"/>
                <w:b w:val="0"/>
                <w:kern w:val="2"/>
                <w:sz w:val="21"/>
                <w:szCs w:val="24"/>
                <w:lang w:val="zh-TW" w:eastAsia="zh-TW" w:bidi="ar-SA"/>
              </w:rPr>
              <w:t>环境风险防控</w:t>
            </w:r>
          </w:p>
        </w:tc>
        <w:tc>
          <w:tcPr>
            <w:tcW w:w="2326" w:type="pct"/>
            <w:tcBorders>
              <w:tl2br w:val="nil"/>
              <w:tr2bl w:val="nil"/>
            </w:tcBorders>
            <w:vAlign w:val="center"/>
          </w:tcPr>
          <w:p>
            <w:pPr>
              <w:jc w:val="left"/>
              <w:rPr>
                <w:rFonts w:ascii="Times New Roman" w:hAnsi="Times New Roman" w:eastAsia="宋体" w:cs="Times New Roman"/>
                <w:b w:val="0"/>
                <w:kern w:val="2"/>
                <w:sz w:val="21"/>
                <w:szCs w:val="24"/>
                <w:lang w:val="zh-TW" w:eastAsia="zh-TW" w:bidi="ar-SA"/>
              </w:rPr>
            </w:pPr>
            <w:r>
              <w:rPr>
                <w:rFonts w:ascii="Times New Roman" w:hAnsi="Times New Roman" w:eastAsia="宋体" w:cs="Times New Roman"/>
                <w:b w:val="0"/>
                <w:kern w:val="2"/>
                <w:sz w:val="21"/>
                <w:szCs w:val="24"/>
                <w:lang w:val="zh-TW" w:eastAsia="zh-TW" w:bidi="ar-SA"/>
              </w:rPr>
              <w:t>1、执行自治区总体准入要求中关于重点管控单元环境风险防控的准入要求。</w:t>
            </w:r>
          </w:p>
        </w:tc>
        <w:tc>
          <w:tcPr>
            <w:tcW w:w="1539" w:type="pct"/>
            <w:tcBorders>
              <w:tl2br w:val="nil"/>
              <w:tr2bl w:val="nil"/>
            </w:tcBorders>
            <w:vAlign w:val="center"/>
          </w:tcPr>
          <w:p>
            <w:pPr>
              <w:bidi w:val="0"/>
              <w:jc w:val="left"/>
              <w:rPr>
                <w:rFonts w:hint="default" w:ascii="Times New Roman" w:hAnsi="Times New Roman" w:eastAsia="宋体" w:cs="Times New Roman"/>
                <w:b w:val="0"/>
                <w:kern w:val="2"/>
                <w:sz w:val="21"/>
                <w:szCs w:val="24"/>
                <w:lang w:val="en-US" w:eastAsia="zh-CN" w:bidi="ar-SA"/>
              </w:rPr>
            </w:pPr>
            <w:r>
              <w:rPr>
                <w:rFonts w:ascii="Times New Roman" w:hAnsi="Times New Roman" w:eastAsia="宋体" w:cs="Times New Roman"/>
                <w:b w:val="0"/>
                <w:kern w:val="2"/>
                <w:sz w:val="21"/>
                <w:szCs w:val="24"/>
                <w:lang w:val="en-US" w:eastAsia="zh-CN" w:bidi="ar-SA"/>
              </w:rPr>
              <w:t>1、项目不</w:t>
            </w:r>
            <w:r>
              <w:rPr>
                <w:rFonts w:ascii="Times New Roman" w:hAnsi="Times New Roman" w:eastAsia="宋体" w:cs="Times New Roman"/>
                <w:b w:val="0"/>
                <w:kern w:val="2"/>
                <w:sz w:val="21"/>
                <w:szCs w:val="24"/>
                <w:lang w:val="zh-TW" w:eastAsia="zh-TW" w:bidi="ar-SA"/>
              </w:rPr>
              <w:t>执行自治区总体准入要求中关于重点管控单元环境风险防控的准入要求</w:t>
            </w:r>
          </w:p>
        </w:tc>
        <w:tc>
          <w:tcPr>
            <w:tcW w:w="584" w:type="pct"/>
            <w:tcBorders>
              <w:tl2br w:val="nil"/>
              <w:tr2bl w:val="nil"/>
            </w:tcBorders>
            <w:vAlign w:val="center"/>
          </w:tcPr>
          <w:p>
            <w:pPr>
              <w:jc w:val="center"/>
              <w:rPr>
                <w:rFonts w:ascii="Times New Roman" w:hAnsi="Times New Roman" w:eastAsia="宋体" w:cs="Times New Roman"/>
                <w:b w:val="0"/>
                <w:kern w:val="2"/>
                <w:sz w:val="21"/>
                <w:szCs w:val="24"/>
                <w:lang w:val="zh-TW" w:eastAsia="zh-TW" w:bidi="ar-SA"/>
              </w:rPr>
            </w:pPr>
            <w:r>
              <w:rPr>
                <w:rFonts w:ascii="Times New Roman" w:hAnsi="Times New Roman" w:eastAsia="宋体" w:cs="Times New Roman"/>
                <w:b w:val="0"/>
                <w:kern w:val="2"/>
                <w:sz w:val="21"/>
                <w:szCs w:val="24"/>
                <w:lang w:val="zh-TW" w:eastAsia="zh-TW"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50" w:type="pct"/>
            <w:tcBorders>
              <w:tl2br w:val="nil"/>
              <w:tr2bl w:val="nil"/>
            </w:tcBorders>
            <w:vAlign w:val="center"/>
          </w:tcPr>
          <w:p>
            <w:pPr>
              <w:jc w:val="left"/>
              <w:rPr>
                <w:rFonts w:ascii="Times New Roman" w:hAnsi="Times New Roman" w:eastAsia="宋体" w:cs="Times New Roman"/>
                <w:b w:val="0"/>
                <w:kern w:val="2"/>
                <w:sz w:val="21"/>
                <w:szCs w:val="24"/>
                <w:lang w:val="zh-TW" w:eastAsia="zh-TW" w:bidi="ar-SA"/>
              </w:rPr>
            </w:pPr>
            <w:r>
              <w:rPr>
                <w:rFonts w:ascii="Times New Roman" w:hAnsi="Times New Roman" w:eastAsia="宋体" w:cs="Times New Roman"/>
                <w:b w:val="0"/>
                <w:kern w:val="2"/>
                <w:sz w:val="21"/>
                <w:szCs w:val="24"/>
                <w:lang w:val="zh-TW" w:eastAsia="zh-TW" w:bidi="ar-SA"/>
              </w:rPr>
              <w:t>资源利用效率要求</w:t>
            </w:r>
          </w:p>
        </w:tc>
        <w:tc>
          <w:tcPr>
            <w:tcW w:w="2326" w:type="pct"/>
            <w:tcBorders>
              <w:tl2br w:val="nil"/>
              <w:tr2bl w:val="nil"/>
            </w:tcBorders>
            <w:vAlign w:val="center"/>
          </w:tcPr>
          <w:p>
            <w:pPr>
              <w:jc w:val="left"/>
              <w:rPr>
                <w:rFonts w:ascii="Times New Roman" w:hAnsi="Times New Roman" w:eastAsia="宋体" w:cs="Times New Roman"/>
                <w:b w:val="0"/>
                <w:kern w:val="2"/>
                <w:sz w:val="21"/>
                <w:szCs w:val="24"/>
                <w:lang w:val="zh-TW" w:eastAsia="zh-TW" w:bidi="ar-SA"/>
              </w:rPr>
            </w:pPr>
            <w:r>
              <w:rPr>
                <w:rFonts w:ascii="Times New Roman" w:hAnsi="Times New Roman" w:eastAsia="宋体" w:cs="Times New Roman"/>
                <w:b w:val="0"/>
                <w:kern w:val="2"/>
                <w:sz w:val="21"/>
                <w:szCs w:val="24"/>
                <w:lang w:val="zh-TW" w:eastAsia="zh-TW" w:bidi="ar-SA"/>
              </w:rPr>
              <w:t>1、执行自治区总体准入要求中关于重点管控单元资源利用效率的准入要求。</w:t>
            </w:r>
          </w:p>
        </w:tc>
        <w:tc>
          <w:tcPr>
            <w:tcW w:w="1539" w:type="pct"/>
            <w:tcBorders>
              <w:tl2br w:val="nil"/>
              <w:tr2bl w:val="nil"/>
            </w:tcBorders>
            <w:vAlign w:val="center"/>
          </w:tcPr>
          <w:p>
            <w:pPr>
              <w:bidi w:val="0"/>
              <w:jc w:val="left"/>
              <w:rPr>
                <w:rFonts w:hint="default" w:ascii="Times New Roman" w:hAnsi="Times New Roman" w:eastAsia="宋体" w:cs="Times New Roman"/>
                <w:b w:val="0"/>
                <w:kern w:val="2"/>
                <w:sz w:val="21"/>
                <w:szCs w:val="24"/>
                <w:lang w:val="en-US" w:eastAsia="zh-CN" w:bidi="ar-SA"/>
              </w:rPr>
            </w:pPr>
            <w:r>
              <w:rPr>
                <w:rFonts w:hint="eastAsia" w:ascii="Times New Roman" w:hAnsi="Times New Roman" w:eastAsia="宋体" w:cs="Times New Roman"/>
                <w:b w:val="0"/>
                <w:kern w:val="2"/>
                <w:sz w:val="21"/>
                <w:szCs w:val="24"/>
                <w:lang w:val="zh-TW" w:eastAsia="zh-TW" w:bidi="ar-SA"/>
              </w:rPr>
              <w:t>1、本项目符合</w:t>
            </w:r>
            <w:r>
              <w:rPr>
                <w:rFonts w:ascii="Times New Roman" w:hAnsi="Times New Roman" w:eastAsia="宋体" w:cs="Times New Roman"/>
                <w:b w:val="0"/>
                <w:kern w:val="2"/>
                <w:sz w:val="21"/>
                <w:szCs w:val="24"/>
                <w:lang w:val="zh-TW" w:eastAsia="zh-TW" w:bidi="ar-SA"/>
              </w:rPr>
              <w:t>自治区总体准入要求中关于重点管控单元资源利用要求的准入要求</w:t>
            </w:r>
            <w:r>
              <w:rPr>
                <w:rFonts w:hint="eastAsia" w:ascii="Times New Roman" w:hAnsi="Times New Roman" w:eastAsia="宋体" w:cs="Times New Roman"/>
                <w:b w:val="0"/>
                <w:kern w:val="2"/>
                <w:sz w:val="21"/>
                <w:szCs w:val="24"/>
                <w:lang w:val="zh-TW" w:eastAsia="zh-CN" w:bidi="ar-SA"/>
              </w:rPr>
              <w:t>；</w:t>
            </w:r>
          </w:p>
        </w:tc>
        <w:tc>
          <w:tcPr>
            <w:tcW w:w="584" w:type="pct"/>
            <w:tcBorders>
              <w:tl2br w:val="nil"/>
              <w:tr2bl w:val="nil"/>
            </w:tcBorders>
            <w:vAlign w:val="center"/>
          </w:tcPr>
          <w:p>
            <w:pPr>
              <w:jc w:val="center"/>
              <w:rPr>
                <w:rFonts w:ascii="Times New Roman" w:hAnsi="Times New Roman" w:eastAsia="宋体" w:cs="Times New Roman"/>
                <w:b w:val="0"/>
                <w:kern w:val="2"/>
                <w:sz w:val="21"/>
                <w:szCs w:val="24"/>
                <w:lang w:val="zh-TW" w:eastAsia="zh-TW" w:bidi="ar-SA"/>
              </w:rPr>
            </w:pPr>
            <w:r>
              <w:rPr>
                <w:rFonts w:ascii="Times New Roman" w:hAnsi="Times New Roman" w:eastAsia="宋体" w:cs="Times New Roman"/>
                <w:b w:val="0"/>
                <w:kern w:val="2"/>
                <w:sz w:val="21"/>
                <w:szCs w:val="24"/>
                <w:lang w:val="zh-TW" w:eastAsia="zh-TW" w:bidi="ar-SA"/>
              </w:rPr>
              <w:t>符合</w:t>
            </w:r>
          </w:p>
        </w:tc>
      </w:tr>
    </w:tbl>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进一步明确本项目自身是否设置污水处理站，明确吉木萨尔县第二污水处理厂运行情况及能否具备接纳本项目污水的能力。</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修改说明：已修改并补充，P8、P25</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color w:val="auto"/>
          <w:kern w:val="2"/>
          <w:sz w:val="24"/>
          <w:szCs w:val="24"/>
          <w:lang w:val="en-US" w:eastAsia="zh-CN" w:bidi="ar-SA"/>
        </w:rPr>
        <w:t>洗涤废水经污水处理站处理后与锅炉排污水及软水制备废水一并排入市政污水管网。</w:t>
      </w:r>
    </w:p>
    <w:p>
      <w:pPr>
        <w:widowControl w:val="0"/>
        <w:bidi w:val="0"/>
        <w:spacing w:line="360" w:lineRule="auto"/>
        <w:ind w:firstLine="480" w:firstLineChars="200"/>
        <w:jc w:val="both"/>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吉木萨尔县污水处理厂目前运行中实际处理量在0.6~0.7万m</w:t>
      </w:r>
      <w:r>
        <w:rPr>
          <w:rFonts w:hint="eastAsia" w:ascii="Times New Roman" w:hAnsi="Times New Roman" w:eastAsia="宋体" w:cstheme="minorBidi"/>
          <w:kern w:val="2"/>
          <w:sz w:val="24"/>
          <w:szCs w:val="24"/>
          <w:vertAlign w:val="superscript"/>
          <w:lang w:val="en-US" w:eastAsia="zh-CN" w:bidi="ar-SA"/>
        </w:rPr>
        <w:t>3</w:t>
      </w:r>
      <w:r>
        <w:rPr>
          <w:rFonts w:hint="eastAsia" w:ascii="Times New Roman" w:hAnsi="Times New Roman" w:eastAsia="宋体" w:cstheme="minorBidi"/>
          <w:kern w:val="2"/>
          <w:sz w:val="24"/>
          <w:szCs w:val="24"/>
          <w:lang w:val="en-US" w:eastAsia="zh-CN" w:bidi="ar-SA"/>
        </w:rPr>
        <w:t>/d，剩余处理量0.3~0.4万m</w:t>
      </w:r>
      <w:r>
        <w:rPr>
          <w:rFonts w:hint="eastAsia" w:ascii="Times New Roman" w:hAnsi="Times New Roman" w:eastAsia="宋体" w:cstheme="minorBidi"/>
          <w:kern w:val="2"/>
          <w:sz w:val="24"/>
          <w:szCs w:val="24"/>
          <w:vertAlign w:val="superscript"/>
          <w:lang w:val="en-US" w:eastAsia="zh-CN" w:bidi="ar-SA"/>
        </w:rPr>
        <w:t>3</w:t>
      </w:r>
      <w:r>
        <w:rPr>
          <w:rFonts w:hint="eastAsia" w:ascii="Times New Roman" w:hAnsi="Times New Roman" w:eastAsia="宋体" w:cstheme="minorBidi"/>
          <w:kern w:val="2"/>
          <w:sz w:val="24"/>
          <w:szCs w:val="24"/>
          <w:lang w:val="en-US" w:eastAsia="zh-CN" w:bidi="ar-SA"/>
        </w:rPr>
        <w:t>/d，本项目废水排放量为180.624m³/d（54187.2m³/a），小于其设计污水剩余处理能力。</w:t>
      </w:r>
    </w:p>
    <w:p>
      <w:pPr>
        <w:widowControl w:val="0"/>
        <w:bidi w:val="0"/>
        <w:spacing w:line="360" w:lineRule="auto"/>
        <w:ind w:firstLine="480" w:firstLineChars="200"/>
        <w:jc w:val="both"/>
        <w:rPr>
          <w:rFonts w:hint="eastAsia" w:ascii="Times New Roman" w:hAnsi="Times New Roman" w:eastAsia="宋体" w:cstheme="minorBidi"/>
          <w:kern w:val="2"/>
          <w:sz w:val="24"/>
          <w:szCs w:val="24"/>
          <w:lang w:val="en-US" w:eastAsia="zh-CN" w:bidi="ar-SA"/>
        </w:rPr>
      </w:pPr>
      <w:r>
        <w:rPr>
          <w:rFonts w:hint="default" w:ascii="Times New Roman" w:hAnsi="Times New Roman" w:eastAsia="宋体" w:cstheme="minorBidi"/>
          <w:kern w:val="2"/>
          <w:sz w:val="24"/>
          <w:szCs w:val="24"/>
          <w:lang w:val="en-US" w:eastAsia="zh-CN" w:bidi="ar-SA"/>
        </w:rPr>
        <w:t>综上，本项目水质、水量、管网建设情况都满足纳管要求，且本项目废水纳管后不会影响污水处理厂的正常运行。</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p>
    <w:p>
      <w:pPr>
        <w:pStyle w:val="78"/>
        <w:spacing w:line="240" w:lineRule="auto"/>
        <w:rPr>
          <w:rFonts w:hint="default" w:ascii="仿宋" w:hAnsi="仿宋" w:eastAsia="仿宋" w:cs="仿宋"/>
          <w:b w:val="0"/>
          <w:bCs/>
          <w:sz w:val="32"/>
          <w:szCs w:val="32"/>
          <w:lang w:val="en-US" w:eastAsia="zh-CN"/>
        </w:rPr>
        <w:sectPr>
          <w:footerReference r:id="rId6" w:type="default"/>
          <w:pgSz w:w="11906" w:h="16838"/>
          <w:pgMar w:top="1440" w:right="1800" w:bottom="1440" w:left="1800" w:header="851" w:footer="992" w:gutter="0"/>
          <w:cols w:space="425" w:num="1"/>
          <w:docGrid w:type="lines" w:linePitch="312" w:charSpace="0"/>
        </w:sectPr>
      </w:pPr>
    </w:p>
    <w:p>
      <w:pPr>
        <w:pStyle w:val="78"/>
        <w:spacing w:line="240" w:lineRule="auto"/>
        <w:rPr>
          <w:rFonts w:hint="default" w:ascii="仿宋" w:hAnsi="仿宋" w:eastAsia="仿宋" w:cs="仿宋"/>
          <w:b w:val="0"/>
          <w:bCs/>
          <w:sz w:val="32"/>
          <w:szCs w:val="32"/>
          <w:lang w:val="en-US" w:eastAsia="zh-CN"/>
        </w:rPr>
        <w:sectPr>
          <w:pgSz w:w="11906" w:h="16838"/>
          <w:pgMar w:top="1440" w:right="1800" w:bottom="1440" w:left="1800" w:header="851" w:footer="992" w:gutter="0"/>
          <w:cols w:space="425" w:num="1"/>
          <w:docGrid w:type="lines" w:linePitch="312" w:charSpace="0"/>
        </w:sectPr>
      </w:pPr>
      <w:r>
        <w:rPr>
          <w:rFonts w:hint="default" w:ascii="仿宋" w:hAnsi="仿宋" w:eastAsia="仿宋" w:cs="仿宋"/>
          <w:b w:val="0"/>
          <w:bCs/>
          <w:sz w:val="32"/>
          <w:szCs w:val="32"/>
          <w:lang w:val="en-US" w:eastAsia="zh-CN"/>
        </w:rPr>
        <w:drawing>
          <wp:inline distT="0" distB="0" distL="114300" distR="114300">
            <wp:extent cx="5273040" cy="7459980"/>
            <wp:effectExtent l="0" t="0" r="10160" b="7620"/>
            <wp:docPr id="31" name="图片 31" descr="吉木萨尔县绿色洗消中心提升改造项目环评文件日常考核表-何飞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吉木萨尔县绿色洗消中心提升改造项目环评文件日常考核表-何飞_00"/>
                    <pic:cNvPicPr>
                      <a:picLocks noChangeAspect="1"/>
                    </pic:cNvPicPr>
                  </pic:nvPicPr>
                  <pic:blipFill>
                    <a:blip r:embed="rId47"/>
                    <a:stretch>
                      <a:fillRect/>
                    </a:stretch>
                  </pic:blipFill>
                  <pic:spPr>
                    <a:xfrm>
                      <a:off x="0" y="0"/>
                      <a:ext cx="5273040" cy="7459980"/>
                    </a:xfrm>
                    <a:prstGeom prst="rect">
                      <a:avLst/>
                    </a:prstGeom>
                  </pic:spPr>
                </pic:pic>
              </a:graphicData>
            </a:graphic>
          </wp:inline>
        </w:drawing>
      </w:r>
    </w:p>
    <w:p>
      <w:pPr>
        <w:pStyle w:val="78"/>
        <w:spacing w:line="240" w:lineRule="auto"/>
        <w:rPr>
          <w:rFonts w:hint="default" w:ascii="仿宋" w:hAnsi="仿宋" w:eastAsia="仿宋" w:cs="仿宋"/>
          <w:b w:val="0"/>
          <w:bCs/>
          <w:sz w:val="32"/>
          <w:szCs w:val="32"/>
          <w:lang w:val="en-US" w:eastAsia="zh-CN"/>
        </w:rPr>
        <w:sectPr>
          <w:pgSz w:w="11906" w:h="16838"/>
          <w:pgMar w:top="1440" w:right="1800" w:bottom="1440" w:left="1800" w:header="851" w:footer="992" w:gutter="0"/>
          <w:cols w:space="425" w:num="1"/>
          <w:docGrid w:type="lines" w:linePitch="312" w:charSpace="0"/>
        </w:sectPr>
      </w:pPr>
      <w:r>
        <w:rPr>
          <w:rFonts w:hint="default" w:ascii="仿宋" w:hAnsi="仿宋" w:eastAsia="仿宋" w:cs="仿宋"/>
          <w:b w:val="0"/>
          <w:bCs/>
          <w:sz w:val="32"/>
          <w:szCs w:val="32"/>
          <w:lang w:val="en-US" w:eastAsia="zh-CN"/>
        </w:rPr>
        <w:drawing>
          <wp:inline distT="0" distB="0" distL="114300" distR="114300">
            <wp:extent cx="5273040" cy="7459980"/>
            <wp:effectExtent l="0" t="0" r="10160" b="7620"/>
            <wp:docPr id="32" name="图片 32" descr="吉木萨尔县绿色洗消中心提升改造项目环评文件日常考核表-何飞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吉木萨尔县绿色洗消中心提升改造项目环评文件日常考核表-何飞_01"/>
                    <pic:cNvPicPr>
                      <a:picLocks noChangeAspect="1"/>
                    </pic:cNvPicPr>
                  </pic:nvPicPr>
                  <pic:blipFill>
                    <a:blip r:embed="rId48"/>
                    <a:stretch>
                      <a:fillRect/>
                    </a:stretch>
                  </pic:blipFill>
                  <pic:spPr>
                    <a:xfrm>
                      <a:off x="0" y="0"/>
                      <a:ext cx="5273040" cy="7459980"/>
                    </a:xfrm>
                    <a:prstGeom prst="rect">
                      <a:avLst/>
                    </a:prstGeom>
                  </pic:spPr>
                </pic:pic>
              </a:graphicData>
            </a:graphic>
          </wp:inline>
        </w:drawing>
      </w:r>
    </w:p>
    <w:p>
      <w:pPr>
        <w:pStyle w:val="78"/>
        <w:spacing w:line="240" w:lineRule="auto"/>
        <w:rPr>
          <w:rFonts w:hint="default" w:ascii="仿宋" w:hAnsi="仿宋" w:eastAsia="仿宋" w:cs="仿宋"/>
          <w:b w:val="0"/>
          <w:bCs/>
          <w:sz w:val="32"/>
          <w:szCs w:val="32"/>
          <w:lang w:val="en-US" w:eastAsia="zh-CN"/>
        </w:rPr>
        <w:sectPr>
          <w:pgSz w:w="11906" w:h="16838"/>
          <w:pgMar w:top="1440" w:right="1800" w:bottom="1440" w:left="1800" w:header="851" w:footer="992" w:gutter="0"/>
          <w:cols w:space="425" w:num="1"/>
          <w:docGrid w:type="lines" w:linePitch="312" w:charSpace="0"/>
        </w:sectPr>
      </w:pPr>
      <w:r>
        <w:rPr>
          <w:rFonts w:hint="default" w:ascii="仿宋" w:hAnsi="仿宋" w:eastAsia="仿宋" w:cs="仿宋"/>
          <w:b w:val="0"/>
          <w:bCs/>
          <w:sz w:val="32"/>
          <w:szCs w:val="32"/>
          <w:lang w:val="en-US" w:eastAsia="zh-CN"/>
        </w:rPr>
        <w:drawing>
          <wp:inline distT="0" distB="0" distL="114300" distR="114300">
            <wp:extent cx="5273040" cy="7459980"/>
            <wp:effectExtent l="0" t="0" r="10160" b="7620"/>
            <wp:docPr id="33" name="图片 33" descr="吉木萨尔县绿色洗消中心提升改造项目环评文件日常考核表-何飞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吉木萨尔县绿色洗消中心提升改造项目环评文件日常考核表-何飞_02"/>
                    <pic:cNvPicPr>
                      <a:picLocks noChangeAspect="1"/>
                    </pic:cNvPicPr>
                  </pic:nvPicPr>
                  <pic:blipFill>
                    <a:blip r:embed="rId49"/>
                    <a:stretch>
                      <a:fillRect/>
                    </a:stretch>
                  </pic:blipFill>
                  <pic:spPr>
                    <a:xfrm>
                      <a:off x="0" y="0"/>
                      <a:ext cx="5273040" cy="74599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w w:val="98"/>
          <w:sz w:val="32"/>
          <w:szCs w:val="28"/>
          <w:lang w:val="en-US" w:eastAsia="zh-CN"/>
        </w:rPr>
      </w:pPr>
      <w:r>
        <w:rPr>
          <w:rFonts w:hint="eastAsia" w:ascii="Times New Roman" w:hAnsi="Times New Roman" w:eastAsia="宋体" w:cs="Times New Roman"/>
          <w:b/>
          <w:bCs/>
          <w:w w:val="98"/>
          <w:sz w:val="32"/>
          <w:szCs w:val="28"/>
          <w:lang w:val="en-US" w:eastAsia="zh-CN"/>
        </w:rPr>
        <w:t>吉木萨尔县绿色洗消中心提升改造项目</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w w:val="98"/>
          <w:sz w:val="32"/>
          <w:szCs w:val="28"/>
          <w:lang w:val="en-US" w:eastAsia="zh-CN"/>
        </w:rPr>
      </w:pPr>
      <w:r>
        <w:rPr>
          <w:rFonts w:hint="default" w:ascii="Times New Roman" w:hAnsi="Times New Roman" w:eastAsia="宋体" w:cs="Times New Roman"/>
          <w:b/>
          <w:bCs/>
          <w:w w:val="98"/>
          <w:sz w:val="32"/>
          <w:szCs w:val="28"/>
          <w:lang w:val="en-US" w:eastAsia="zh-CN"/>
        </w:rPr>
        <w:t>环境影响报告表修改意见</w:t>
      </w:r>
    </w:p>
    <w:p>
      <w:pPr>
        <w:widowControl w:val="0"/>
        <w:spacing w:after="120" w:afterLines="0" w:afterAutospacing="0"/>
        <w:ind w:left="480" w:leftChars="200" w:firstLine="420" w:firstLineChars="200"/>
        <w:jc w:val="both"/>
        <w:rPr>
          <w:rFonts w:hint="default" w:asciiTheme="minorHAnsi" w:hAnsiTheme="minorHAnsi" w:eastAsiaTheme="minorEastAsia" w:cstheme="minorBidi"/>
          <w:kern w:val="2"/>
          <w:sz w:val="21"/>
          <w:szCs w:val="24"/>
          <w:lang w:val="en-US" w:eastAsia="zh-CN" w:bidi="ar-SA"/>
        </w:rPr>
      </w:pP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完善项目建设与《关于开展大气污染防治冬病夏治工作的通知》符合性分析。补充吉木萨尔县北庭综合物流园规划情况，完善项目建设与物流园规划及规划环评的相符性。</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修改说明：P7、P2</w:t>
      </w:r>
    </w:p>
    <w:p>
      <w:pPr>
        <w:keepNext/>
        <w:keepLines/>
        <w:widowControl w:val="0"/>
        <w:numPr>
          <w:ilvl w:val="0"/>
          <w:numId w:val="0"/>
        </w:numPr>
        <w:spacing w:line="360" w:lineRule="auto"/>
        <w:jc w:val="both"/>
        <w:outlineLvl w:val="1"/>
        <w:rPr>
          <w:rFonts w:ascii="Times New Roman" w:hAnsi="Times New Roman" w:eastAsia="宋体" w:cstheme="minorBidi"/>
          <w:b/>
          <w:kern w:val="2"/>
          <w:sz w:val="24"/>
          <w:szCs w:val="22"/>
          <w:lang w:val="en-US" w:eastAsia="zh-CN" w:bidi="ar-SA"/>
        </w:rPr>
      </w:pPr>
      <w:r>
        <w:rPr>
          <w:rFonts w:hint="eastAsia" w:ascii="Times New Roman" w:hAnsi="Times New Roman" w:eastAsia="宋体" w:cstheme="minorBidi"/>
          <w:b/>
          <w:kern w:val="2"/>
          <w:sz w:val="24"/>
          <w:szCs w:val="22"/>
          <w:lang w:val="en-US" w:eastAsia="zh-CN" w:bidi="ar-SA"/>
        </w:rPr>
        <w:t>与《吉木萨尔县2022年度夏秋季大气污染防治“冬病夏治”工作方案》的符合性分析</w:t>
      </w:r>
    </w:p>
    <w:p>
      <w:pPr>
        <w:widowControl w:val="0"/>
        <w:bidi w:val="0"/>
        <w:spacing w:line="360" w:lineRule="auto"/>
        <w:ind w:firstLine="480" w:firstLineChars="200"/>
        <w:jc w:val="both"/>
        <w:rPr>
          <w:rFonts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根据《吉木萨尔县2022年度夏秋季大气污染防治“冬病夏治”工作方案》“</w:t>
      </w:r>
      <w:r>
        <w:rPr>
          <w:rFonts w:ascii="Times New Roman" w:hAnsi="Times New Roman" w:eastAsia="宋体" w:cstheme="minorBidi"/>
          <w:b w:val="0"/>
          <w:kern w:val="2"/>
          <w:sz w:val="24"/>
          <w:szCs w:val="24"/>
          <w:lang w:val="en-US" w:eastAsia="zh-CN" w:bidi="ar-SA"/>
        </w:rPr>
        <w:t>加大燃料清洁低碳化替代，加大工业炉窑综合治理工作。大力推进电能替代煤炭，积极稳妥推进以气代煤，因地制宜推进生物质等能源代煤，开展氢能源代煤示范。新建、改建、扩建加热炉、热处理炉、干燥炉、熔化炉采用清洁低碳能源，不得使用煤炭等高污染燃料</w:t>
      </w:r>
      <w:r>
        <w:rPr>
          <w:rFonts w:hint="eastAsia" w:ascii="Times New Roman" w:hAnsi="Times New Roman" w:eastAsia="宋体" w:cstheme="minorBidi"/>
          <w:b w:val="0"/>
          <w:kern w:val="2"/>
          <w:sz w:val="24"/>
          <w:szCs w:val="24"/>
          <w:lang w:val="en-US" w:eastAsia="zh-CN" w:bidi="ar-SA"/>
        </w:rPr>
        <w:t>；</w:t>
      </w:r>
      <w:r>
        <w:rPr>
          <w:rFonts w:ascii="Times New Roman" w:hAnsi="Times New Roman" w:eastAsia="宋体" w:cstheme="minorBidi"/>
          <w:b w:val="0"/>
          <w:kern w:val="2"/>
          <w:sz w:val="24"/>
          <w:szCs w:val="24"/>
          <w:lang w:val="en-US" w:eastAsia="zh-CN" w:bidi="ar-SA"/>
        </w:rPr>
        <w:t>现有使用高污染燃料的工业炉窑改用工业余热、电能、天然气等</w:t>
      </w:r>
      <w:r>
        <w:rPr>
          <w:rFonts w:hint="eastAsia" w:ascii="Times New Roman" w:hAnsi="Times New Roman" w:eastAsia="宋体" w:cstheme="minorBidi"/>
          <w:b w:val="0"/>
          <w:kern w:val="2"/>
          <w:sz w:val="24"/>
          <w:szCs w:val="24"/>
          <w:lang w:val="en-US" w:eastAsia="zh-CN" w:bidi="ar-SA"/>
        </w:rPr>
        <w:t>；</w:t>
      </w:r>
      <w:r>
        <w:rPr>
          <w:rFonts w:ascii="Times New Roman" w:hAnsi="Times New Roman" w:eastAsia="宋体" w:cstheme="minorBidi"/>
          <w:b w:val="0"/>
          <w:kern w:val="2"/>
          <w:sz w:val="24"/>
          <w:szCs w:val="24"/>
          <w:lang w:val="en-US" w:eastAsia="zh-CN" w:bidi="ar-SA"/>
        </w:rPr>
        <w:t>使用煤气发生炉的企业采用清洁能源替代，或者采取园区（集群）集中供气、分散使用的方式，全面淘汰间歇式固定床煤气发生炉。</w:t>
      </w:r>
      <w:r>
        <w:rPr>
          <w:rFonts w:hint="eastAsia" w:ascii="Times New Roman" w:hAnsi="Times New Roman" w:eastAsia="宋体" w:cstheme="minorBidi"/>
          <w:b w:val="0"/>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本项目供热采用1台2t/h的天然气锅炉，天然气属于</w:t>
      </w:r>
      <w:r>
        <w:rPr>
          <w:rFonts w:ascii="Times New Roman" w:hAnsi="Times New Roman" w:eastAsia="宋体" w:cstheme="minorBidi"/>
          <w:b w:val="0"/>
          <w:kern w:val="2"/>
          <w:sz w:val="24"/>
          <w:szCs w:val="24"/>
          <w:lang w:val="en-US" w:eastAsia="zh-CN" w:bidi="ar-SA"/>
        </w:rPr>
        <w:t>清洁能源</w:t>
      </w:r>
      <w:r>
        <w:rPr>
          <w:rFonts w:hint="eastAsia" w:ascii="Times New Roman" w:hAnsi="Times New Roman" w:eastAsia="宋体" w:cstheme="minorBidi"/>
          <w:b w:val="0"/>
          <w:kern w:val="2"/>
          <w:sz w:val="24"/>
          <w:szCs w:val="24"/>
          <w:lang w:val="en-US" w:eastAsia="zh-CN" w:bidi="ar-SA"/>
        </w:rPr>
        <w:t>，符合《吉木萨尔县2022年度夏秋季大气污染防治“冬病夏治”工作方案》管理要求。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Times New Roman" w:hAnsi="Times New Roman" w:eastAsia="宋体" w:cstheme="minorBidi"/>
          <w:b/>
          <w:kern w:val="2"/>
          <w:sz w:val="24"/>
          <w:szCs w:val="22"/>
          <w:lang w:val="en-US" w:eastAsia="zh-CN" w:bidi="ar-SA"/>
        </w:rPr>
      </w:pPr>
      <w:r>
        <w:rPr>
          <w:rFonts w:hint="eastAsia" w:ascii="Times New Roman" w:hAnsi="Times New Roman" w:eastAsia="宋体" w:cstheme="minorBidi"/>
          <w:b/>
          <w:kern w:val="2"/>
          <w:sz w:val="24"/>
          <w:szCs w:val="22"/>
          <w:lang w:val="en-US" w:eastAsia="zh-CN" w:bidi="ar-SA"/>
        </w:rPr>
        <w:t>与《吉木萨尔县县城总体规划（2012-2030年）》符合性分析</w:t>
      </w:r>
    </w:p>
    <w:p>
      <w:pPr>
        <w:widowControl w:val="0"/>
        <w:bidi w:val="0"/>
        <w:spacing w:line="360" w:lineRule="auto"/>
        <w:ind w:firstLine="480" w:firstLineChars="200"/>
        <w:jc w:val="both"/>
        <w:rPr>
          <w:rFonts w:hint="default" w:ascii="Times New Roman" w:hAnsi="Times New Roman" w:eastAsia="宋体" w:cs="Times New Roman"/>
          <w:b w:val="0"/>
          <w:kern w:val="2"/>
          <w:sz w:val="24"/>
          <w:szCs w:val="24"/>
          <w:lang w:val="en-US" w:eastAsia="zh-CN" w:bidi="ar-SA"/>
        </w:rPr>
      </w:pPr>
      <w:r>
        <w:rPr>
          <w:rFonts w:hint="default" w:ascii="Times New Roman" w:hAnsi="Times New Roman" w:eastAsia="宋体" w:cs="Times New Roman"/>
          <w:b w:val="0"/>
          <w:kern w:val="2"/>
          <w:sz w:val="24"/>
          <w:szCs w:val="24"/>
          <w:lang w:val="en-US" w:eastAsia="zh-CN" w:bidi="ar-SA"/>
        </w:rPr>
        <w:t>吉木萨尔县位于天山山脉东段北麓，准葛尔盆地东南缘。地处东经88°30</w:t>
      </w:r>
      <w:r>
        <w:rPr>
          <w:rFonts w:hint="eastAsia" w:ascii="Times New Roman" w:hAnsi="Times New Roman" w:eastAsia="宋体" w:cs="Times New Roman"/>
          <w:b w:val="0"/>
          <w:kern w:val="2"/>
          <w:sz w:val="24"/>
          <w:szCs w:val="24"/>
          <w:lang w:val="en-US" w:eastAsia="zh-CN" w:bidi="ar-SA"/>
        </w:rPr>
        <w:t>′</w:t>
      </w:r>
      <w:r>
        <w:rPr>
          <w:rFonts w:hint="default" w:ascii="Times New Roman" w:hAnsi="Times New Roman" w:eastAsia="宋体" w:cs="Times New Roman"/>
          <w:b w:val="0"/>
          <w:kern w:val="2"/>
          <w:sz w:val="24"/>
          <w:szCs w:val="24"/>
          <w:lang w:val="en-US" w:eastAsia="zh-CN" w:bidi="ar-SA"/>
        </w:rPr>
        <w:t>-89°30</w:t>
      </w:r>
      <w:r>
        <w:rPr>
          <w:rFonts w:hint="eastAsia" w:ascii="Times New Roman" w:hAnsi="Times New Roman" w:eastAsia="宋体" w:cs="Times New Roman"/>
          <w:b w:val="0"/>
          <w:kern w:val="2"/>
          <w:sz w:val="24"/>
          <w:szCs w:val="24"/>
          <w:lang w:val="en-US" w:eastAsia="zh-CN" w:bidi="ar-SA"/>
        </w:rPr>
        <w:t>′</w:t>
      </w:r>
      <w:r>
        <w:rPr>
          <w:rFonts w:hint="default" w:ascii="Times New Roman" w:hAnsi="Times New Roman" w:eastAsia="宋体" w:cs="Times New Roman"/>
          <w:b w:val="0"/>
          <w:kern w:val="2"/>
          <w:sz w:val="24"/>
          <w:szCs w:val="24"/>
          <w:lang w:val="en-US" w:eastAsia="zh-CN" w:bidi="ar-SA"/>
        </w:rPr>
        <w:t>，北纬43°30′-45°30′，东临奇台县，西接阜康市，南以天山分水岭与吐鲁番及乌鲁木齐县为界，北越卡拉麦岭山与富蕴县交接。</w:t>
      </w:r>
    </w:p>
    <w:p>
      <w:pPr>
        <w:widowControl w:val="0"/>
        <w:bidi w:val="0"/>
        <w:spacing w:line="360" w:lineRule="auto"/>
        <w:ind w:firstLine="480" w:firstLineChars="200"/>
        <w:jc w:val="both"/>
        <w:rPr>
          <w:rFonts w:hint="eastAsia" w:ascii="Times New Roman" w:hAnsi="Times New Roman" w:eastAsia="宋体" w:cstheme="minorBidi"/>
          <w:b/>
          <w:kern w:val="2"/>
          <w:sz w:val="24"/>
          <w:szCs w:val="24"/>
          <w:lang w:val="en-US" w:eastAsia="zh-CN" w:bidi="ar-SA"/>
        </w:rPr>
      </w:pPr>
      <w:r>
        <w:rPr>
          <w:rFonts w:hint="default" w:ascii="Times New Roman" w:hAnsi="Times New Roman" w:eastAsia="宋体" w:cs="Times New Roman"/>
          <w:b w:val="0"/>
          <w:kern w:val="2"/>
          <w:sz w:val="24"/>
          <w:szCs w:val="24"/>
          <w:lang w:val="en-US" w:eastAsia="zh-CN" w:bidi="ar-SA"/>
        </w:rPr>
        <w:t>吉木萨尔县城西距自治区首府乌鲁木齐165公里，距昌吉回族自治州首府昌吉市206公里，东距奇台县40公里，距哈密市550公里。</w:t>
      </w:r>
    </w:p>
    <w:p>
      <w:pPr>
        <w:widowControl w:val="0"/>
        <w:bidi w:val="0"/>
        <w:spacing w:line="360" w:lineRule="auto"/>
        <w:ind w:firstLine="480" w:firstLineChars="200"/>
        <w:jc w:val="both"/>
        <w:rPr>
          <w:rFonts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（1）给水</w:t>
      </w:r>
    </w:p>
    <w:p>
      <w:pPr>
        <w:widowControl w:val="0"/>
        <w:bidi w:val="0"/>
        <w:spacing w:line="360" w:lineRule="auto"/>
        <w:ind w:firstLine="480" w:firstLineChars="200"/>
        <w:jc w:val="both"/>
        <w:rPr>
          <w:rFonts w:hint="eastAsia"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吉木萨尔县县城现有水厂一座，水源采用地下水，供水能力为4500m³/日。水厂建有水源井3眼，1眼备用，800m³清水池1座，新修建2400m³清水池1座。水厂处理工艺为消毒杀菌—清水池—二次消毒—送往用户。根据城镇地形特点，城区采用重力供水，管网成树状分布。输配水管网主要分布在中心路、乌奇公路、满城路、文化路、文明路、北庭路等路段。管径从DN400mm到DN100mm，总长度为11km，采用管材为铸铁管，胶圈接口。</w:t>
      </w:r>
    </w:p>
    <w:p>
      <w:pPr>
        <w:widowControl w:val="0"/>
        <w:bidi w:val="0"/>
        <w:spacing w:line="360" w:lineRule="auto"/>
        <w:ind w:firstLine="480" w:firstLineChars="200"/>
        <w:jc w:val="both"/>
        <w:rPr>
          <w:rFonts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（2）排水</w:t>
      </w:r>
    </w:p>
    <w:p>
      <w:pPr>
        <w:widowControl w:val="0"/>
        <w:bidi w:val="0"/>
        <w:spacing w:line="360" w:lineRule="auto"/>
        <w:ind w:firstLine="480" w:firstLineChars="200"/>
        <w:jc w:val="both"/>
        <w:rPr>
          <w:rFonts w:hint="eastAsia"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吉木萨尔县县城，共修建排水管道（d400mm，d600mm）5050.4m。现状排水量约为3500m³/d，排水系统采用不完全分流式。</w:t>
      </w:r>
    </w:p>
    <w:p>
      <w:pPr>
        <w:widowControl w:val="0"/>
        <w:bidi w:val="0"/>
        <w:spacing w:line="360" w:lineRule="auto"/>
        <w:ind w:firstLine="480" w:firstLineChars="200"/>
        <w:jc w:val="both"/>
        <w:rPr>
          <w:rFonts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项目用水由已建市政供水管道供给，生活污水经物流园排水管网最终进入吉木萨尔县第二污水处理厂，项目污染物排放量较少，且采取了严格的治理和处理、处置措施，在一定程度上减少了污染物的排放，污染物均能达标排放。项目完成后，综合排污水平低且综合效益好，属于鼓励发展的产业，符合环保准入门槛要求。</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综上，本项目的建设符合《吉木萨尔县县城总体规划（2012-2030年）》的相关要求。</w:t>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完善工程组成内容，核实蒸汽使用量，补充软化水装置纯水制备率，核实各类洗衣液使用量，核实新鲜水使用量，核实锅炉供排水数据，完善水平衡图。</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修改说明：P8、P11</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0"/>
        <w:gridCol w:w="1193"/>
        <w:gridCol w:w="5190"/>
        <w:gridCol w:w="8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51" w:type="pct"/>
            <w:tcBorders>
              <w:bottom w:val="single" w:color="auto" w:sz="12" w:space="0"/>
            </w:tcBorders>
            <w:vAlign w:val="center"/>
          </w:tcPr>
          <w:p>
            <w:pPr>
              <w:widowControl w:val="0"/>
              <w:bidi w:val="0"/>
              <w:spacing w:line="240" w:lineRule="auto"/>
              <w:ind w:firstLine="0" w:firstLineChars="0"/>
              <w:jc w:val="center"/>
              <w:rPr>
                <w:rFonts w:hint="default" w:ascii="Times New Roman" w:hAnsi="Times New Roman" w:eastAsia="宋体" w:cs="Times New Roman"/>
                <w:b/>
                <w:bCs/>
                <w:color w:val="auto"/>
                <w:kern w:val="2"/>
                <w:sz w:val="21"/>
                <w:szCs w:val="24"/>
                <w:lang w:val="en-US" w:eastAsia="zh-CN" w:bidi="ar-SA"/>
              </w:rPr>
            </w:pPr>
            <w:r>
              <w:rPr>
                <w:rFonts w:hint="eastAsia" w:ascii="Times New Roman" w:hAnsi="Times New Roman" w:eastAsia="宋体" w:cs="Times New Roman"/>
                <w:b/>
                <w:bCs/>
                <w:color w:val="auto"/>
                <w:kern w:val="2"/>
                <w:sz w:val="21"/>
                <w:szCs w:val="24"/>
                <w:lang w:val="en-US" w:eastAsia="zh-CN" w:bidi="ar-SA"/>
              </w:rPr>
              <w:t>工程类型</w:t>
            </w:r>
          </w:p>
        </w:tc>
        <w:tc>
          <w:tcPr>
            <w:tcW w:w="700" w:type="pct"/>
            <w:tcBorders>
              <w:bottom w:val="single" w:color="auto" w:sz="12" w:space="0"/>
            </w:tcBorders>
            <w:vAlign w:val="center"/>
          </w:tcPr>
          <w:p>
            <w:pPr>
              <w:widowControl w:val="0"/>
              <w:bidi w:val="0"/>
              <w:spacing w:line="240" w:lineRule="auto"/>
              <w:ind w:firstLine="0" w:firstLineChars="0"/>
              <w:jc w:val="center"/>
              <w:rPr>
                <w:rFonts w:hint="default" w:ascii="Times New Roman" w:hAnsi="Times New Roman" w:eastAsia="宋体" w:cs="Times New Roman"/>
                <w:b/>
                <w:bCs/>
                <w:color w:val="auto"/>
                <w:kern w:val="2"/>
                <w:sz w:val="21"/>
                <w:szCs w:val="24"/>
                <w:lang w:val="en-US" w:eastAsia="zh-CN" w:bidi="ar-SA"/>
              </w:rPr>
            </w:pPr>
            <w:r>
              <w:rPr>
                <w:rFonts w:hint="eastAsia" w:ascii="Times New Roman" w:hAnsi="Times New Roman" w:eastAsia="宋体" w:cs="Times New Roman"/>
                <w:b/>
                <w:bCs/>
                <w:color w:val="auto"/>
                <w:kern w:val="2"/>
                <w:sz w:val="21"/>
                <w:szCs w:val="24"/>
                <w:lang w:val="en-US" w:eastAsia="zh-CN" w:bidi="ar-SA"/>
              </w:rPr>
              <w:t>工程名称</w:t>
            </w:r>
          </w:p>
        </w:tc>
        <w:tc>
          <w:tcPr>
            <w:tcW w:w="3045" w:type="pct"/>
            <w:tcBorders>
              <w:bottom w:val="single" w:color="auto" w:sz="12" w:space="0"/>
            </w:tcBorders>
            <w:vAlign w:val="center"/>
          </w:tcPr>
          <w:p>
            <w:pPr>
              <w:widowControl w:val="0"/>
              <w:bidi w:val="0"/>
              <w:spacing w:line="240" w:lineRule="auto"/>
              <w:ind w:firstLine="0" w:firstLineChars="0"/>
              <w:jc w:val="center"/>
              <w:rPr>
                <w:rFonts w:hint="default" w:ascii="Times New Roman" w:hAnsi="Times New Roman" w:eastAsia="宋体" w:cs="Times New Roman"/>
                <w:b/>
                <w:bCs/>
                <w:color w:val="auto"/>
                <w:kern w:val="2"/>
                <w:sz w:val="21"/>
                <w:szCs w:val="24"/>
                <w:lang w:val="en-US" w:eastAsia="zh-CN" w:bidi="ar-SA"/>
              </w:rPr>
            </w:pPr>
            <w:r>
              <w:rPr>
                <w:rFonts w:hint="eastAsia" w:ascii="Times New Roman" w:hAnsi="Times New Roman" w:eastAsia="宋体" w:cs="Times New Roman"/>
                <w:b/>
                <w:bCs/>
                <w:color w:val="auto"/>
                <w:kern w:val="2"/>
                <w:sz w:val="21"/>
                <w:szCs w:val="24"/>
                <w:lang w:val="en-US" w:eastAsia="zh-CN" w:bidi="ar-SA"/>
              </w:rPr>
              <w:t>建设内容</w:t>
            </w:r>
          </w:p>
        </w:tc>
        <w:tc>
          <w:tcPr>
            <w:tcW w:w="502" w:type="pct"/>
            <w:tcBorders>
              <w:bottom w:val="single" w:color="auto" w:sz="12" w:space="0"/>
            </w:tcBorders>
            <w:vAlign w:val="center"/>
          </w:tcPr>
          <w:p>
            <w:pPr>
              <w:widowControl w:val="0"/>
              <w:bidi w:val="0"/>
              <w:spacing w:line="240" w:lineRule="auto"/>
              <w:ind w:firstLine="0" w:firstLineChars="0"/>
              <w:jc w:val="center"/>
              <w:rPr>
                <w:rFonts w:hint="default" w:ascii="Times New Roman" w:hAnsi="Times New Roman" w:eastAsia="宋体" w:cs="Times New Roman"/>
                <w:b/>
                <w:bCs/>
                <w:color w:val="auto"/>
                <w:kern w:val="2"/>
                <w:sz w:val="21"/>
                <w:szCs w:val="24"/>
                <w:lang w:val="en-US" w:eastAsia="zh-CN" w:bidi="ar-SA"/>
              </w:rPr>
            </w:pPr>
            <w:r>
              <w:rPr>
                <w:rFonts w:hint="eastAsia" w:ascii="Times New Roman" w:hAnsi="Times New Roman" w:eastAsia="宋体" w:cs="Times New Roman"/>
                <w:b/>
                <w:bCs/>
                <w:color w:val="auto"/>
                <w:kern w:val="2"/>
                <w:sz w:val="21"/>
                <w:szCs w:val="24"/>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restart"/>
            <w:tcBorders>
              <w:top w:val="single" w:color="auto" w:sz="12" w:space="0"/>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主体工程</w:t>
            </w:r>
          </w:p>
        </w:tc>
        <w:tc>
          <w:tcPr>
            <w:tcW w:w="700" w:type="pct"/>
            <w:tcBorders>
              <w:top w:val="single" w:color="auto" w:sz="12" w:space="0"/>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生产车间</w:t>
            </w:r>
          </w:p>
        </w:tc>
        <w:tc>
          <w:tcPr>
            <w:tcW w:w="3045" w:type="pct"/>
            <w:tcBorders>
              <w:top w:val="single" w:color="auto" w:sz="12" w:space="0"/>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占地面积770平方米，位于项目区西侧</w:t>
            </w:r>
          </w:p>
        </w:tc>
        <w:tc>
          <w:tcPr>
            <w:tcW w:w="502" w:type="pct"/>
            <w:tcBorders>
              <w:top w:val="single" w:color="auto" w:sz="12" w:space="0"/>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color w:val="auto"/>
                <w:kern w:val="2"/>
                <w:sz w:val="21"/>
                <w:szCs w:val="24"/>
                <w:lang w:val="en-US" w:eastAsia="zh-CN" w:bidi="ar-SA"/>
              </w:rPr>
            </w:pPr>
          </w:p>
        </w:tc>
        <w:tc>
          <w:tcPr>
            <w:tcW w:w="700"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锅炉房</w:t>
            </w:r>
          </w:p>
        </w:tc>
        <w:tc>
          <w:tcPr>
            <w:tcW w:w="3045" w:type="pct"/>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占地面积30平方米，位于项目区南侧</w:t>
            </w:r>
          </w:p>
        </w:tc>
        <w:tc>
          <w:tcPr>
            <w:tcW w:w="502"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restar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公用工程</w:t>
            </w:r>
          </w:p>
        </w:tc>
        <w:tc>
          <w:tcPr>
            <w:tcW w:w="700"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供水工程</w:t>
            </w:r>
          </w:p>
        </w:tc>
        <w:tc>
          <w:tcPr>
            <w:tcW w:w="304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市政供水管网</w:t>
            </w:r>
          </w:p>
        </w:tc>
        <w:tc>
          <w:tcPr>
            <w:tcW w:w="502" w:type="pct"/>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p>
        </w:tc>
        <w:tc>
          <w:tcPr>
            <w:tcW w:w="700"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供电工程</w:t>
            </w:r>
          </w:p>
        </w:tc>
        <w:tc>
          <w:tcPr>
            <w:tcW w:w="304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市政电网</w:t>
            </w:r>
          </w:p>
        </w:tc>
        <w:tc>
          <w:tcPr>
            <w:tcW w:w="502" w:type="pct"/>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p>
        </w:tc>
        <w:tc>
          <w:tcPr>
            <w:tcW w:w="700"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供气</w:t>
            </w:r>
          </w:p>
        </w:tc>
        <w:tc>
          <w:tcPr>
            <w:tcW w:w="304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天然气管网</w:t>
            </w:r>
          </w:p>
        </w:tc>
        <w:tc>
          <w:tcPr>
            <w:tcW w:w="502" w:type="pct"/>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p>
        </w:tc>
        <w:tc>
          <w:tcPr>
            <w:tcW w:w="700"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供热工程</w:t>
            </w:r>
          </w:p>
        </w:tc>
        <w:tc>
          <w:tcPr>
            <w:tcW w:w="304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新建1台2t/h天然气蒸汽锅炉</w:t>
            </w:r>
          </w:p>
        </w:tc>
        <w:tc>
          <w:tcPr>
            <w:tcW w:w="502" w:type="pct"/>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p>
        </w:tc>
        <w:tc>
          <w:tcPr>
            <w:tcW w:w="700"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供暖</w:t>
            </w:r>
          </w:p>
        </w:tc>
        <w:tc>
          <w:tcPr>
            <w:tcW w:w="304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冬季值班人员采用电采暖</w:t>
            </w:r>
          </w:p>
        </w:tc>
        <w:tc>
          <w:tcPr>
            <w:tcW w:w="502" w:type="pct"/>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p>
        </w:tc>
        <w:tc>
          <w:tcPr>
            <w:tcW w:w="700"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排水工程</w:t>
            </w:r>
          </w:p>
        </w:tc>
        <w:tc>
          <w:tcPr>
            <w:tcW w:w="304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洗涤废水经污水处理站处理后与锅炉排污水及软水制备废水一并排入市政污水管网</w:t>
            </w:r>
          </w:p>
        </w:tc>
        <w:tc>
          <w:tcPr>
            <w:tcW w:w="502" w:type="pct"/>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restar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环保工程</w:t>
            </w:r>
          </w:p>
        </w:tc>
        <w:tc>
          <w:tcPr>
            <w:tcW w:w="700"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废气治理</w:t>
            </w:r>
          </w:p>
        </w:tc>
        <w:tc>
          <w:tcPr>
            <w:tcW w:w="304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default" w:ascii="Times New Roman" w:hAnsi="Times New Roman" w:eastAsia="宋体" w:cs="Times New Roman"/>
                <w:bCs/>
                <w:color w:val="auto"/>
                <w:kern w:val="2"/>
                <w:sz w:val="21"/>
                <w:szCs w:val="24"/>
                <w:lang w:val="en-US" w:eastAsia="zh-CN" w:bidi="ar-SA"/>
              </w:rPr>
              <w:t>低氮燃烧</w:t>
            </w:r>
            <w:r>
              <w:rPr>
                <w:rFonts w:hint="eastAsia" w:ascii="Times New Roman" w:hAnsi="Times New Roman" w:eastAsia="宋体" w:cs="Times New Roman"/>
                <w:bCs/>
                <w:color w:val="auto"/>
                <w:kern w:val="2"/>
                <w:sz w:val="21"/>
                <w:szCs w:val="24"/>
                <w:lang w:val="en-US" w:eastAsia="zh-CN" w:bidi="ar-SA"/>
              </w:rPr>
              <w:t>技术+烟气再循环工艺</w:t>
            </w:r>
            <w:r>
              <w:rPr>
                <w:rFonts w:hint="default" w:ascii="Times New Roman" w:hAnsi="Times New Roman" w:eastAsia="宋体" w:cs="Times New Roman"/>
                <w:bCs/>
                <w:color w:val="auto"/>
                <w:kern w:val="2"/>
                <w:sz w:val="21"/>
                <w:szCs w:val="24"/>
                <w:lang w:val="en-US" w:eastAsia="zh-CN" w:bidi="ar-SA"/>
              </w:rPr>
              <w:t>，</w:t>
            </w:r>
            <w:r>
              <w:rPr>
                <w:rFonts w:hint="eastAsia" w:ascii="Times New Roman" w:hAnsi="Times New Roman" w:eastAsia="宋体" w:cs="Times New Roman"/>
                <w:bCs/>
                <w:color w:val="auto"/>
                <w:kern w:val="2"/>
                <w:sz w:val="21"/>
                <w:szCs w:val="24"/>
                <w:lang w:val="en-US" w:eastAsia="zh-CN" w:bidi="ar-SA"/>
              </w:rPr>
              <w:t>1</w:t>
            </w:r>
            <w:r>
              <w:rPr>
                <w:rFonts w:hint="default" w:ascii="Times New Roman" w:hAnsi="Times New Roman" w:eastAsia="宋体" w:cs="Times New Roman"/>
                <w:bCs/>
                <w:color w:val="auto"/>
                <w:kern w:val="2"/>
                <w:sz w:val="21"/>
                <w:szCs w:val="24"/>
                <w:lang w:val="en-US" w:eastAsia="zh-CN" w:bidi="ar-SA"/>
              </w:rPr>
              <w:t>根</w:t>
            </w:r>
            <w:r>
              <w:rPr>
                <w:rFonts w:hint="eastAsia" w:ascii="Times New Roman" w:hAnsi="Times New Roman" w:eastAsia="宋体" w:cs="Times New Roman"/>
                <w:bCs/>
                <w:color w:val="auto"/>
                <w:kern w:val="2"/>
                <w:sz w:val="21"/>
                <w:szCs w:val="24"/>
                <w:lang w:val="en-US" w:eastAsia="zh-CN" w:bidi="ar-SA"/>
              </w:rPr>
              <w:t>8</w:t>
            </w:r>
            <w:r>
              <w:rPr>
                <w:rFonts w:hint="default" w:ascii="Times New Roman" w:hAnsi="Times New Roman" w:eastAsia="宋体" w:cs="Times New Roman"/>
                <w:bCs/>
                <w:color w:val="auto"/>
                <w:kern w:val="2"/>
                <w:sz w:val="21"/>
                <w:szCs w:val="24"/>
                <w:lang w:val="en-US" w:eastAsia="zh-CN" w:bidi="ar-SA"/>
              </w:rPr>
              <w:t>m的烟囱</w:t>
            </w:r>
          </w:p>
        </w:tc>
        <w:tc>
          <w:tcPr>
            <w:tcW w:w="502"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p>
        </w:tc>
        <w:tc>
          <w:tcPr>
            <w:tcW w:w="700"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废水治理</w:t>
            </w:r>
          </w:p>
        </w:tc>
        <w:tc>
          <w:tcPr>
            <w:tcW w:w="304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洗涤废水经污水处理站处理后与锅炉排污水及软水制备废水一并排入市政污水管网</w:t>
            </w:r>
          </w:p>
        </w:tc>
        <w:tc>
          <w:tcPr>
            <w:tcW w:w="502" w:type="pct"/>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p>
        </w:tc>
        <w:tc>
          <w:tcPr>
            <w:tcW w:w="700"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噪声治理</w:t>
            </w:r>
          </w:p>
        </w:tc>
        <w:tc>
          <w:tcPr>
            <w:tcW w:w="304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厂房隔声、基础减震</w:t>
            </w:r>
          </w:p>
        </w:tc>
        <w:tc>
          <w:tcPr>
            <w:tcW w:w="502" w:type="pct"/>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1" w:type="pct"/>
            <w:vMerge w:val="continue"/>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p>
        </w:tc>
        <w:tc>
          <w:tcPr>
            <w:tcW w:w="700"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固废治理</w:t>
            </w:r>
          </w:p>
        </w:tc>
        <w:tc>
          <w:tcPr>
            <w:tcW w:w="304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废包装物集中收集后外售；废离子交换树脂由厂家定期更换回收；污水处理站污泥定期清掏，委托环卫部门清运处置</w:t>
            </w:r>
          </w:p>
        </w:tc>
        <w:tc>
          <w:tcPr>
            <w:tcW w:w="502" w:type="pct"/>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color w:val="auto"/>
                <w:kern w:val="2"/>
                <w:sz w:val="21"/>
                <w:szCs w:val="24"/>
                <w:lang w:val="en-US" w:eastAsia="zh-CN" w:bidi="ar-SA"/>
              </w:rPr>
            </w:pPr>
            <w:r>
              <w:rPr>
                <w:rFonts w:hint="eastAsia" w:ascii="Times New Roman" w:hAnsi="Times New Roman" w:eastAsia="宋体" w:cs="Times New Roman"/>
                <w:bCs/>
                <w:color w:val="auto"/>
                <w:kern w:val="2"/>
                <w:sz w:val="21"/>
                <w:szCs w:val="24"/>
                <w:lang w:val="en-US" w:eastAsia="zh-CN" w:bidi="ar-SA"/>
              </w:rPr>
              <w:t>新建</w:t>
            </w:r>
          </w:p>
        </w:tc>
      </w:tr>
    </w:tbl>
    <w:p>
      <w:pPr>
        <w:widowControl w:val="0"/>
        <w:numPr>
          <w:ilvl w:val="0"/>
          <w:numId w:val="7"/>
        </w:numPr>
        <w:bidi w:val="0"/>
        <w:spacing w:line="360" w:lineRule="auto"/>
        <w:ind w:left="0" w:leftChars="0" w:firstLine="480" w:firstLineChars="200"/>
        <w:jc w:val="both"/>
        <w:rPr>
          <w:rFonts w:hint="eastAsia" w:ascii="Times New Roman" w:hAnsi="Times New Roman" w:eastAsia="宋体" w:cs="Times New Roman"/>
          <w:color w:val="auto"/>
          <w:kern w:val="2"/>
          <w:sz w:val="24"/>
          <w:szCs w:val="32"/>
          <w:lang w:val="en-US" w:eastAsia="zh-CN" w:bidi="ar-SA"/>
        </w:rPr>
      </w:pPr>
      <w:r>
        <w:rPr>
          <w:rFonts w:hint="eastAsia" w:ascii="Times New Roman" w:hAnsi="Times New Roman" w:eastAsia="宋体" w:cs="Times New Roman"/>
          <w:color w:val="auto"/>
          <w:kern w:val="2"/>
          <w:sz w:val="24"/>
          <w:szCs w:val="32"/>
          <w:lang w:val="en-US" w:eastAsia="zh-CN" w:bidi="ar-SA"/>
        </w:rPr>
        <w:t>蒸汽用水</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本项目建设一台2</w:t>
      </w:r>
      <w:r>
        <w:rPr>
          <w:rFonts w:ascii="Times New Roman" w:hAnsi="Times New Roman" w:eastAsia="宋体" w:cstheme="minorBidi"/>
          <w:kern w:val="2"/>
          <w:sz w:val="24"/>
          <w:szCs w:val="24"/>
          <w:lang w:val="en-US" w:eastAsia="zh-CN" w:bidi="ar-SA"/>
        </w:rPr>
        <w:t>t/h</w:t>
      </w:r>
      <w:r>
        <w:rPr>
          <w:rFonts w:hint="eastAsia" w:ascii="Times New Roman" w:hAnsi="Times New Roman" w:eastAsia="宋体" w:cstheme="minorBidi"/>
          <w:kern w:val="2"/>
          <w:sz w:val="24"/>
          <w:szCs w:val="24"/>
          <w:lang w:val="en-US" w:eastAsia="zh-CN" w:bidi="ar-SA"/>
        </w:rPr>
        <w:t>燃气蒸汽锅炉，为烘干、烫平工序提供蒸汽。锅炉一天工作8小时，用水量为16</w:t>
      </w:r>
      <w:r>
        <w:rPr>
          <w:rFonts w:ascii="Times New Roman" w:hAnsi="Times New Roman" w:eastAsia="宋体" w:cstheme="minorBidi"/>
          <w:kern w:val="2"/>
          <w:sz w:val="24"/>
          <w:szCs w:val="24"/>
          <w:lang w:val="en-US" w:eastAsia="zh-CN" w:bidi="ar-SA"/>
        </w:rPr>
        <w:t>m</w:t>
      </w:r>
      <w:r>
        <w:rPr>
          <w:rFonts w:ascii="Times New Roman" w:hAnsi="Times New Roman" w:eastAsia="宋体" w:cstheme="minorBidi"/>
          <w:kern w:val="2"/>
          <w:sz w:val="24"/>
          <w:szCs w:val="24"/>
          <w:vertAlign w:val="superscript"/>
          <w:lang w:val="en-US" w:eastAsia="zh-CN" w:bidi="ar-SA"/>
        </w:rPr>
        <w:t>3</w:t>
      </w:r>
      <w:r>
        <w:rPr>
          <w:rFonts w:ascii="Times New Roman" w:hAnsi="Times New Roman" w:eastAsia="宋体" w:cstheme="minorBidi"/>
          <w:kern w:val="2"/>
          <w:sz w:val="24"/>
          <w:szCs w:val="24"/>
          <w:lang w:val="en-US" w:eastAsia="zh-CN" w:bidi="ar-SA"/>
        </w:rPr>
        <w:t>/</w:t>
      </w:r>
      <w:r>
        <w:rPr>
          <w:rFonts w:hint="eastAsia" w:ascii="Times New Roman" w:hAnsi="Times New Roman" w:eastAsia="宋体" w:cstheme="minorBidi"/>
          <w:kern w:val="2"/>
          <w:sz w:val="24"/>
          <w:szCs w:val="24"/>
          <w:lang w:val="en-US" w:eastAsia="zh-CN" w:bidi="ar-SA"/>
        </w:rPr>
        <w:t>d，则年用水量约4800</w:t>
      </w:r>
      <w:r>
        <w:rPr>
          <w:rFonts w:ascii="Times New Roman" w:hAnsi="Times New Roman" w:eastAsia="宋体" w:cstheme="minorBidi"/>
          <w:kern w:val="2"/>
          <w:sz w:val="24"/>
          <w:szCs w:val="24"/>
          <w:lang w:val="en-US" w:eastAsia="zh-CN" w:bidi="ar-SA"/>
        </w:rPr>
        <w:t>m</w:t>
      </w:r>
      <w:r>
        <w:rPr>
          <w:rFonts w:ascii="Times New Roman" w:hAnsi="Times New Roman" w:eastAsia="宋体" w:cstheme="minorBidi"/>
          <w:kern w:val="2"/>
          <w:sz w:val="24"/>
          <w:szCs w:val="24"/>
          <w:vertAlign w:val="superscript"/>
          <w:lang w:val="en-US" w:eastAsia="zh-CN" w:bidi="ar-SA"/>
        </w:rPr>
        <w:t>3</w:t>
      </w:r>
      <w:r>
        <w:rPr>
          <w:rFonts w:ascii="Times New Roman" w:hAnsi="Times New Roman" w:eastAsia="宋体" w:cstheme="minorBidi"/>
          <w:kern w:val="2"/>
          <w:sz w:val="24"/>
          <w:szCs w:val="24"/>
          <w:lang w:val="en-US" w:eastAsia="zh-CN" w:bidi="ar-SA"/>
        </w:rPr>
        <w:t>/a</w:t>
      </w:r>
      <w:r>
        <w:rPr>
          <w:rFonts w:hint="eastAsia" w:ascii="Times New Roman" w:hAnsi="Times New Roman" w:eastAsia="宋体" w:cstheme="minorBidi"/>
          <w:kern w:val="2"/>
          <w:sz w:val="24"/>
          <w:szCs w:val="24"/>
          <w:lang w:val="en-US" w:eastAsia="zh-CN" w:bidi="ar-SA"/>
        </w:rPr>
        <w:t>，全部损耗；由软水制备系统提供，软水制备率为95%，</w:t>
      </w:r>
      <w:r>
        <w:rPr>
          <w:rFonts w:hint="default" w:ascii="Times New Roman" w:hAnsi="Times New Roman" w:eastAsia="宋体" w:cstheme="minorBidi"/>
          <w:kern w:val="2"/>
          <w:sz w:val="24"/>
          <w:szCs w:val="24"/>
          <w:lang w:val="en-US" w:eastAsia="zh-CN" w:bidi="ar-SA"/>
        </w:rPr>
        <w:t>新鲜水用量为</w:t>
      </w:r>
      <w:r>
        <w:rPr>
          <w:rFonts w:hint="eastAsia" w:ascii="Times New Roman" w:hAnsi="Times New Roman" w:eastAsia="宋体" w:cstheme="minorBidi"/>
          <w:kern w:val="2"/>
          <w:sz w:val="24"/>
          <w:szCs w:val="24"/>
          <w:lang w:val="en-US" w:eastAsia="zh-CN" w:bidi="ar-SA"/>
        </w:rPr>
        <w:t>16.84</w:t>
      </w:r>
      <w:r>
        <w:rPr>
          <w:rFonts w:hint="default" w:ascii="Times New Roman" w:hAnsi="Times New Roman" w:eastAsia="宋体" w:cstheme="minorBidi"/>
          <w:kern w:val="2"/>
          <w:sz w:val="24"/>
          <w:szCs w:val="24"/>
          <w:lang w:val="en-US" w:eastAsia="zh-CN" w:bidi="ar-SA"/>
        </w:rPr>
        <w:t>m</w:t>
      </w:r>
      <w:r>
        <w:rPr>
          <w:rFonts w:hint="default" w:ascii="Times New Roman" w:hAnsi="Times New Roman" w:eastAsia="宋体" w:cstheme="minorBidi"/>
          <w:kern w:val="2"/>
          <w:sz w:val="24"/>
          <w:szCs w:val="24"/>
          <w:vertAlign w:val="superscript"/>
          <w:lang w:val="en-US" w:eastAsia="zh-CN" w:bidi="ar-SA"/>
        </w:rPr>
        <w:t>3</w:t>
      </w:r>
      <w:r>
        <w:rPr>
          <w:rFonts w:hint="default" w:ascii="Times New Roman" w:hAnsi="Times New Roman" w:eastAsia="宋体" w:cstheme="minorBidi"/>
          <w:kern w:val="2"/>
          <w:sz w:val="24"/>
          <w:szCs w:val="24"/>
          <w:lang w:val="en-US" w:eastAsia="zh-CN" w:bidi="ar-SA"/>
        </w:rPr>
        <w:t>/d（</w:t>
      </w:r>
      <w:r>
        <w:rPr>
          <w:rFonts w:hint="eastAsia" w:ascii="Times New Roman" w:hAnsi="Times New Roman" w:eastAsia="宋体" w:cstheme="minorBidi"/>
          <w:kern w:val="2"/>
          <w:sz w:val="24"/>
          <w:szCs w:val="24"/>
          <w:lang w:val="en-US" w:eastAsia="zh-CN" w:bidi="ar-SA"/>
        </w:rPr>
        <w:t>5052</w:t>
      </w:r>
      <w:r>
        <w:rPr>
          <w:rFonts w:hint="default" w:ascii="Times New Roman" w:hAnsi="Times New Roman" w:eastAsia="宋体" w:cstheme="minorBidi"/>
          <w:kern w:val="2"/>
          <w:sz w:val="24"/>
          <w:szCs w:val="24"/>
          <w:lang w:val="en-US" w:eastAsia="zh-CN" w:bidi="ar-SA"/>
        </w:rPr>
        <w:t>m</w:t>
      </w:r>
      <w:r>
        <w:rPr>
          <w:rFonts w:hint="default" w:ascii="Times New Roman" w:hAnsi="Times New Roman" w:eastAsia="宋体" w:cstheme="minorBidi"/>
          <w:kern w:val="2"/>
          <w:sz w:val="24"/>
          <w:szCs w:val="24"/>
          <w:vertAlign w:val="superscript"/>
          <w:lang w:val="en-US" w:eastAsia="zh-CN" w:bidi="ar-SA"/>
        </w:rPr>
        <w:t>3</w:t>
      </w:r>
      <w:r>
        <w:rPr>
          <w:rFonts w:hint="default" w:ascii="Times New Roman" w:hAnsi="Times New Roman" w:eastAsia="宋体" w:cstheme="minorBidi"/>
          <w:kern w:val="2"/>
          <w:sz w:val="24"/>
          <w:szCs w:val="24"/>
          <w:lang w:val="en-US" w:eastAsia="zh-CN" w:bidi="ar-SA"/>
        </w:rPr>
        <w:t>/a）。</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heme="minorBidi"/>
          <w:kern w:val="2"/>
          <w:sz w:val="24"/>
          <w:szCs w:val="24"/>
          <w:lang w:val="en-US" w:eastAsia="zh-CN" w:bidi="ar-SA"/>
        </w:rPr>
      </w:pPr>
      <w:r>
        <w:rPr>
          <w:rFonts w:hint="default" w:ascii="Times New Roman" w:hAnsi="Times New Roman" w:eastAsia="宋体" w:cstheme="minorBidi"/>
          <w:color w:val="auto"/>
          <w:kern w:val="2"/>
          <w:sz w:val="24"/>
          <w:szCs w:val="24"/>
          <w:lang w:val="en-US" w:eastAsia="zh-CN" w:bidi="ar-SA"/>
        </w:rPr>
        <w:drawing>
          <wp:inline distT="0" distB="0" distL="114300" distR="114300">
            <wp:extent cx="4980940" cy="3210560"/>
            <wp:effectExtent l="0" t="0" r="10160" b="2540"/>
            <wp:docPr id="36" name="图片 36" descr="吉木萨尔洗衣房水平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吉木萨尔洗衣房水平衡"/>
                    <pic:cNvPicPr>
                      <a:picLocks noChangeAspect="1"/>
                    </pic:cNvPicPr>
                  </pic:nvPicPr>
                  <pic:blipFill>
                    <a:blip r:embed="rId13"/>
                    <a:stretch>
                      <a:fillRect/>
                    </a:stretch>
                  </pic:blipFill>
                  <pic:spPr>
                    <a:xfrm>
                      <a:off x="0" y="0"/>
                      <a:ext cx="4980940" cy="3210560"/>
                    </a:xfrm>
                    <a:prstGeom prst="rect">
                      <a:avLst/>
                    </a:prstGeom>
                  </pic:spPr>
                </pic:pic>
              </a:graphicData>
            </a:graphic>
          </wp:inline>
        </w:drawing>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完善工程分析内容，参考《排污许可证申请与核发技术规范 锅炉 (HJ953-2018)》核订运营期“三废”排放数据，核实污染物总量指标。</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修改说明：P24-34、P22</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kern w:val="2"/>
          <w:sz w:val="24"/>
          <w:szCs w:val="24"/>
          <w:lang w:val="en-US" w:eastAsia="zh-CN" w:bidi="ar-SA"/>
        </w:rPr>
      </w:pPr>
      <w:r>
        <w:rPr>
          <w:rFonts w:hint="default" w:ascii="Times New Roman" w:hAnsi="Times New Roman" w:eastAsia="宋体" w:cstheme="minorBidi"/>
          <w:kern w:val="2"/>
          <w:sz w:val="24"/>
          <w:szCs w:val="24"/>
          <w:lang w:val="en-US" w:eastAsia="zh-CN" w:bidi="ar-SA"/>
        </w:rPr>
        <w:t>锅炉排污水</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kern w:val="2"/>
          <w:sz w:val="24"/>
          <w:szCs w:val="24"/>
          <w:lang w:val="en-US" w:eastAsia="zh-CN" w:bidi="ar-SA"/>
        </w:rPr>
      </w:pPr>
      <w:r>
        <w:rPr>
          <w:rFonts w:hint="default" w:ascii="Times New Roman" w:hAnsi="Times New Roman" w:eastAsia="宋体" w:cstheme="minorBidi"/>
          <w:kern w:val="2"/>
          <w:sz w:val="24"/>
          <w:szCs w:val="24"/>
          <w:lang w:val="en-US" w:eastAsia="zh-CN" w:bidi="ar-SA"/>
        </w:rPr>
        <w:t>锅炉排污量约为额定蒸发量的0.5%，锅炉排污</w:t>
      </w:r>
      <w:r>
        <w:rPr>
          <w:rFonts w:hint="eastAsia" w:ascii="Times New Roman" w:hAnsi="Times New Roman" w:eastAsia="宋体" w:cstheme="minorBidi"/>
          <w:kern w:val="2"/>
          <w:sz w:val="24"/>
          <w:szCs w:val="24"/>
          <w:lang w:val="en-US" w:eastAsia="zh-CN" w:bidi="ar-SA"/>
        </w:rPr>
        <w:t>水量为0.01</w:t>
      </w:r>
      <w:r>
        <w:rPr>
          <w:rFonts w:hint="default" w:ascii="Times New Roman" w:hAnsi="Times New Roman" w:eastAsia="宋体" w:cstheme="minorBidi"/>
          <w:kern w:val="2"/>
          <w:sz w:val="24"/>
          <w:szCs w:val="24"/>
          <w:lang w:val="en-US" w:eastAsia="zh-CN" w:bidi="ar-SA"/>
        </w:rPr>
        <w:t>m3/d（</w:t>
      </w:r>
      <w:r>
        <w:rPr>
          <w:rFonts w:hint="eastAsia" w:ascii="Times New Roman" w:hAnsi="Times New Roman" w:eastAsia="宋体" w:cstheme="minorBidi"/>
          <w:kern w:val="2"/>
          <w:sz w:val="24"/>
          <w:szCs w:val="24"/>
          <w:lang w:val="en-US" w:eastAsia="zh-CN" w:bidi="ar-SA"/>
        </w:rPr>
        <w:t>3</w:t>
      </w:r>
      <w:r>
        <w:rPr>
          <w:rFonts w:hint="default" w:ascii="Times New Roman" w:hAnsi="Times New Roman" w:eastAsia="宋体" w:cstheme="minorBidi"/>
          <w:kern w:val="2"/>
          <w:sz w:val="24"/>
          <w:szCs w:val="24"/>
          <w:lang w:val="en-US" w:eastAsia="zh-CN" w:bidi="ar-SA"/>
        </w:rPr>
        <w:t>m</w:t>
      </w:r>
      <w:r>
        <w:rPr>
          <w:rFonts w:hint="default" w:ascii="Times New Roman" w:hAnsi="Times New Roman" w:eastAsia="宋体" w:cstheme="minorBidi"/>
          <w:kern w:val="2"/>
          <w:sz w:val="24"/>
          <w:szCs w:val="24"/>
          <w:vertAlign w:val="superscript"/>
          <w:lang w:val="en-US" w:eastAsia="zh-CN" w:bidi="ar-SA"/>
        </w:rPr>
        <w:t>3</w:t>
      </w:r>
      <w:r>
        <w:rPr>
          <w:rFonts w:hint="default" w:ascii="Times New Roman" w:hAnsi="Times New Roman" w:eastAsia="宋体" w:cstheme="minorBidi"/>
          <w:kern w:val="2"/>
          <w:sz w:val="24"/>
          <w:szCs w:val="24"/>
          <w:lang w:val="en-US" w:eastAsia="zh-CN" w:bidi="ar-SA"/>
        </w:rPr>
        <w:t>/a）</w:t>
      </w:r>
      <w:r>
        <w:rPr>
          <w:rFonts w:hint="eastAsia" w:ascii="Times New Roman" w:hAnsi="Times New Roman" w:eastAsia="宋体" w:cstheme="minorBidi"/>
          <w:kern w:val="2"/>
          <w:sz w:val="24"/>
          <w:szCs w:val="24"/>
          <w:lang w:val="en-US" w:eastAsia="zh-CN" w:bidi="ar-SA"/>
        </w:rPr>
        <w:t>，排入园区污水管网；</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软水制备废水</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kern w:val="2"/>
          <w:sz w:val="24"/>
          <w:szCs w:val="24"/>
          <w:lang w:val="en-US" w:eastAsia="zh-CN" w:bidi="ar-SA"/>
        </w:rPr>
      </w:pPr>
      <w:r>
        <w:rPr>
          <w:rFonts w:hint="default" w:ascii="Times New Roman" w:hAnsi="Times New Roman" w:eastAsia="宋体" w:cstheme="minorBidi"/>
          <w:kern w:val="2"/>
          <w:sz w:val="24"/>
          <w:szCs w:val="24"/>
          <w:lang w:val="en-US" w:eastAsia="zh-CN" w:bidi="ar-SA"/>
        </w:rPr>
        <w:t>项目离子交换树脂约1周进行1次反冲洗，耗水量为软水制备量的5%，则</w:t>
      </w:r>
      <w:r>
        <w:rPr>
          <w:rFonts w:hint="eastAsia" w:ascii="Times New Roman" w:hAnsi="Times New Roman" w:eastAsia="宋体" w:cstheme="minorBidi"/>
          <w:kern w:val="2"/>
          <w:sz w:val="24"/>
          <w:szCs w:val="24"/>
          <w:lang w:val="en-US" w:eastAsia="zh-CN" w:bidi="ar-SA"/>
        </w:rPr>
        <w:t>软水制备废水</w:t>
      </w:r>
      <w:r>
        <w:rPr>
          <w:rFonts w:hint="default" w:ascii="Times New Roman" w:hAnsi="Times New Roman" w:eastAsia="宋体" w:cstheme="minorBidi"/>
          <w:kern w:val="2"/>
          <w:sz w:val="24"/>
          <w:szCs w:val="24"/>
          <w:lang w:val="en-US" w:eastAsia="zh-CN" w:bidi="ar-SA"/>
        </w:rPr>
        <w:t>为</w:t>
      </w:r>
      <w:r>
        <w:rPr>
          <w:rFonts w:hint="eastAsia" w:ascii="Times New Roman" w:hAnsi="Times New Roman" w:eastAsia="宋体" w:cstheme="minorBidi"/>
          <w:kern w:val="2"/>
          <w:sz w:val="24"/>
          <w:szCs w:val="24"/>
          <w:lang w:val="en-US" w:eastAsia="zh-CN" w:bidi="ar-SA"/>
        </w:rPr>
        <w:t>0.84</w:t>
      </w:r>
      <w:r>
        <w:rPr>
          <w:rFonts w:hint="default" w:ascii="Times New Roman" w:hAnsi="Times New Roman" w:eastAsia="宋体" w:cstheme="minorBidi"/>
          <w:kern w:val="2"/>
          <w:sz w:val="24"/>
          <w:szCs w:val="24"/>
          <w:lang w:val="en-US" w:eastAsia="zh-CN" w:bidi="ar-SA"/>
        </w:rPr>
        <w:t>m</w:t>
      </w:r>
      <w:r>
        <w:rPr>
          <w:rFonts w:hint="default" w:ascii="Times New Roman" w:hAnsi="Times New Roman" w:eastAsia="宋体" w:cstheme="minorBidi"/>
          <w:kern w:val="2"/>
          <w:sz w:val="24"/>
          <w:szCs w:val="24"/>
          <w:vertAlign w:val="superscript"/>
          <w:lang w:val="en-US" w:eastAsia="zh-CN" w:bidi="ar-SA"/>
        </w:rPr>
        <w:t>3</w:t>
      </w:r>
      <w:r>
        <w:rPr>
          <w:rFonts w:hint="default" w:ascii="Times New Roman" w:hAnsi="Times New Roman" w:eastAsia="宋体" w:cstheme="minorBidi"/>
          <w:kern w:val="2"/>
          <w:sz w:val="24"/>
          <w:szCs w:val="24"/>
          <w:lang w:val="en-US" w:eastAsia="zh-CN" w:bidi="ar-SA"/>
        </w:rPr>
        <w:t>/d（</w:t>
      </w:r>
      <w:r>
        <w:rPr>
          <w:rFonts w:hint="eastAsia" w:ascii="Times New Roman" w:hAnsi="Times New Roman" w:eastAsia="宋体" w:cstheme="minorBidi"/>
          <w:kern w:val="2"/>
          <w:sz w:val="24"/>
          <w:szCs w:val="24"/>
          <w:lang w:val="en-US" w:eastAsia="zh-CN" w:bidi="ar-SA"/>
        </w:rPr>
        <w:t>252.758</w:t>
      </w:r>
      <w:r>
        <w:rPr>
          <w:rFonts w:hint="default" w:ascii="Times New Roman" w:hAnsi="Times New Roman" w:eastAsia="宋体" w:cstheme="minorBidi"/>
          <w:kern w:val="2"/>
          <w:sz w:val="24"/>
          <w:szCs w:val="24"/>
          <w:lang w:val="en-US" w:eastAsia="zh-CN" w:bidi="ar-SA"/>
        </w:rPr>
        <w:t>m</w:t>
      </w:r>
      <w:r>
        <w:rPr>
          <w:rFonts w:hint="default" w:ascii="Times New Roman" w:hAnsi="Times New Roman" w:eastAsia="宋体" w:cstheme="minorBidi"/>
          <w:kern w:val="2"/>
          <w:sz w:val="24"/>
          <w:szCs w:val="24"/>
          <w:vertAlign w:val="superscript"/>
          <w:lang w:val="en-US" w:eastAsia="zh-CN" w:bidi="ar-SA"/>
        </w:rPr>
        <w:t>3</w:t>
      </w:r>
      <w:r>
        <w:rPr>
          <w:rFonts w:hint="default" w:ascii="Times New Roman" w:hAnsi="Times New Roman" w:eastAsia="宋体" w:cstheme="minorBidi"/>
          <w:kern w:val="2"/>
          <w:sz w:val="24"/>
          <w:szCs w:val="24"/>
          <w:lang w:val="en-US" w:eastAsia="zh-CN" w:bidi="ar-SA"/>
        </w:rPr>
        <w:t>/a）</w:t>
      </w:r>
      <w:r>
        <w:rPr>
          <w:rFonts w:hint="eastAsia" w:ascii="Times New Roman" w:hAnsi="Times New Roman" w:eastAsia="宋体" w:cstheme="minorBidi"/>
          <w:kern w:val="2"/>
          <w:sz w:val="24"/>
          <w:szCs w:val="24"/>
          <w:lang w:val="en-US" w:eastAsia="zh-CN" w:bidi="ar-SA"/>
        </w:rPr>
        <w:t>，排入园区污水管网；</w:t>
      </w:r>
    </w:p>
    <w:p>
      <w:pPr>
        <w:widowControl w:val="0"/>
        <w:bidi w:val="0"/>
        <w:spacing w:line="360" w:lineRule="auto"/>
        <w:ind w:firstLine="480" w:firstLineChars="200"/>
        <w:jc w:val="left"/>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污水处理站恶臭</w:t>
      </w:r>
    </w:p>
    <w:p>
      <w:pPr>
        <w:widowControl w:val="0"/>
        <w:bidi w:val="0"/>
        <w:spacing w:line="360" w:lineRule="auto"/>
        <w:ind w:firstLine="480" w:firstLineChars="200"/>
        <w:jc w:val="left"/>
        <w:rPr>
          <w:rFonts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项目在生产区不会产生异味，但污泥池会产生轻微的异味，污水处理设施接纳项目洗涤废水，其中富含蛋白质等有机物质，极易腐败，其产生源主要为底泥中含硫有机物在厌氧发酵过程中转化产生的氨、硫化氢、臭气浓度等恶臭污染物所致。项目污水主要以洗涤废水为主，有机污染物含量较低，故本项目污水站运行过程中产生的异味不明显。项目污泥产生量较少，且经压滤后及时清运，减少在项目区停留时间，本次环评建议建设单位对污水处理站加盖密闭，定期检修时减少敞露时间，并加强污水处理站周边绿化，通过以上方式，异味经大气自然扩散稀释后，对周围环境影响较小，因此</w:t>
      </w:r>
      <w:r>
        <w:rPr>
          <w:rFonts w:hint="eastAsia" w:ascii="Times New Roman" w:hAnsi="Times New Roman" w:eastAsia="宋体" w:cstheme="minorBidi"/>
          <w:kern w:val="2"/>
          <w:sz w:val="24"/>
          <w:szCs w:val="24"/>
          <w:highlight w:val="none"/>
          <w:lang w:val="en-US" w:eastAsia="zh-CN" w:bidi="ar-SA"/>
        </w:rPr>
        <w:t>本项目定性分析</w:t>
      </w:r>
      <w:r>
        <w:rPr>
          <w:rFonts w:hint="default" w:ascii="Times New Roman" w:hAnsi="Times New Roman" w:eastAsia="宋体" w:cstheme="minorBidi"/>
          <w:kern w:val="2"/>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highlight w:val="none"/>
          <w:lang w:val="en-US" w:eastAsia="zh-CN" w:bidi="ar-SA"/>
        </w:rPr>
        <w:t>项目污水处理站废气（</w:t>
      </w:r>
      <w:r>
        <w:rPr>
          <w:rFonts w:hint="default" w:ascii="Times New Roman" w:hAnsi="Times New Roman" w:eastAsia="宋体" w:cs="Times New Roman"/>
          <w:color w:val="auto"/>
          <w:spacing w:val="0"/>
          <w:w w:val="100"/>
          <w:kern w:val="2"/>
          <w:position w:val="0"/>
          <w:sz w:val="24"/>
          <w:szCs w:val="24"/>
          <w:lang w:val="en-US" w:eastAsia="zh-CN" w:bidi="ar-SA"/>
        </w:rPr>
        <w:t>氨、硫化氢及</w:t>
      </w:r>
      <w:r>
        <w:rPr>
          <w:rFonts w:hint="eastAsia" w:ascii="Times New Roman" w:hAnsi="Times New Roman" w:eastAsia="宋体" w:cs="Times New Roman"/>
          <w:color w:val="auto"/>
          <w:spacing w:val="0"/>
          <w:w w:val="100"/>
          <w:kern w:val="2"/>
          <w:position w:val="0"/>
          <w:sz w:val="24"/>
          <w:szCs w:val="24"/>
          <w:lang w:val="en-US" w:eastAsia="zh-CN" w:bidi="ar-SA"/>
        </w:rPr>
        <w:t>臭气浓度）</w:t>
      </w:r>
      <w:r>
        <w:rPr>
          <w:rFonts w:hint="eastAsia" w:ascii="Times New Roman" w:hAnsi="Times New Roman" w:eastAsia="宋体" w:cstheme="minorBidi"/>
          <w:kern w:val="2"/>
          <w:sz w:val="24"/>
          <w:szCs w:val="24"/>
          <w:highlight w:val="none"/>
          <w:lang w:val="en-US" w:eastAsia="zh-CN" w:bidi="ar-SA"/>
        </w:rPr>
        <w:t>无组织排放浓度满足</w:t>
      </w:r>
      <w:r>
        <w:rPr>
          <w:rFonts w:hint="eastAsia" w:ascii="Times New Roman" w:hAnsi="Times New Roman" w:eastAsia="宋体" w:cstheme="minorBidi"/>
          <w:kern w:val="2"/>
          <w:sz w:val="24"/>
          <w:szCs w:val="24"/>
          <w:lang w:val="en-US" w:eastAsia="zh-CN" w:bidi="ar-SA"/>
        </w:rPr>
        <w:t>《恶臭污染物排放标准》（GB14554-93）表1中二级新建项目排放限值；</w:t>
      </w:r>
    </w:p>
    <w:p>
      <w:pPr>
        <w:widowControl w:val="0"/>
        <w:bidi w:val="0"/>
        <w:spacing w:line="360" w:lineRule="auto"/>
        <w:ind w:firstLine="480" w:firstLineChars="200"/>
        <w:jc w:val="both"/>
        <w:rPr>
          <w:rFonts w:hint="default" w:ascii="Times New Roman" w:hAnsi="Times New Roman" w:eastAsia="宋体" w:cstheme="minorBidi"/>
          <w:color w:val="auto"/>
          <w:kern w:val="2"/>
          <w:sz w:val="24"/>
          <w:szCs w:val="24"/>
          <w:lang w:val="en-US" w:eastAsia="zh-CN" w:bidi="ar-SA"/>
        </w:rPr>
      </w:pPr>
      <w:r>
        <w:rPr>
          <w:rFonts w:hint="eastAsia" w:ascii="Times New Roman" w:hAnsi="Times New Roman" w:eastAsia="宋体" w:cstheme="minorBidi"/>
          <w:color w:val="auto"/>
          <w:kern w:val="2"/>
          <w:sz w:val="24"/>
          <w:szCs w:val="24"/>
          <w:lang w:val="en-US" w:eastAsia="zh-CN" w:bidi="ar-SA"/>
        </w:rPr>
        <w:t>本项目废水经厂区污水处理站预处理达标后排入吉木萨尔县第二污水处理厂处理，废水排放总量纳入吉木萨尔县第二污水处理厂管理，本项目不设总量控制指标。</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color w:val="auto"/>
          <w:kern w:val="2"/>
          <w:sz w:val="24"/>
          <w:szCs w:val="24"/>
          <w:lang w:val="en-US" w:eastAsia="zh-CN" w:bidi="ar-SA"/>
        </w:rPr>
        <w:t>本项目废气总量控制指标为：</w:t>
      </w:r>
      <w:r>
        <w:rPr>
          <w:rFonts w:hint="eastAsia" w:ascii="Times New Roman" w:hAnsi="Times New Roman" w:eastAsia="宋体" w:cs="Times New Roman"/>
          <w:color w:val="auto"/>
          <w:kern w:val="2"/>
          <w:sz w:val="24"/>
          <w:szCs w:val="24"/>
          <w:highlight w:val="none"/>
          <w:lang w:val="en-US" w:eastAsia="zh-CN" w:bidi="ar-SA"/>
        </w:rPr>
        <w:t>颗粒物为0.168t/a；SO</w:t>
      </w:r>
      <w:r>
        <w:rPr>
          <w:rFonts w:hint="eastAsia" w:ascii="Times New Roman" w:hAnsi="Times New Roman" w:eastAsia="宋体" w:cs="Times New Roman"/>
          <w:color w:val="auto"/>
          <w:kern w:val="2"/>
          <w:sz w:val="24"/>
          <w:szCs w:val="24"/>
          <w:highlight w:val="none"/>
          <w:vertAlign w:val="subscript"/>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为0.005t/a；NOx为0.418/a。</w:t>
      </w:r>
      <w:r>
        <w:rPr>
          <w:rFonts w:hint="eastAsia" w:ascii="Times New Roman" w:hAnsi="Times New Roman" w:eastAsia="宋体" w:cstheme="minorBidi"/>
          <w:color w:val="auto"/>
          <w:kern w:val="2"/>
          <w:sz w:val="24"/>
          <w:szCs w:val="24"/>
          <w:lang w:val="en-US" w:eastAsia="zh-CN" w:bidi="ar-SA"/>
        </w:rPr>
        <w:t>因吉木萨尔县为不达标区，本项目实行倍量替代，替代量为</w:t>
      </w:r>
      <w:r>
        <w:rPr>
          <w:rFonts w:hint="eastAsia" w:ascii="Times New Roman" w:hAnsi="Times New Roman" w:eastAsia="宋体" w:cs="Times New Roman"/>
          <w:color w:val="auto"/>
          <w:kern w:val="2"/>
          <w:sz w:val="24"/>
          <w:szCs w:val="24"/>
          <w:highlight w:val="none"/>
          <w:lang w:val="en-US" w:eastAsia="zh-CN" w:bidi="ar-SA"/>
        </w:rPr>
        <w:t>颗粒物为0.336t/a；SO</w:t>
      </w:r>
      <w:r>
        <w:rPr>
          <w:rFonts w:hint="eastAsia" w:ascii="Times New Roman" w:hAnsi="Times New Roman" w:eastAsia="宋体" w:cs="Times New Roman"/>
          <w:color w:val="auto"/>
          <w:kern w:val="2"/>
          <w:sz w:val="24"/>
          <w:szCs w:val="24"/>
          <w:highlight w:val="none"/>
          <w:vertAlign w:val="subscript"/>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为0.01t/a；NOx为0.836/a。</w:t>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根据《自治区大气污染防治行动计划实施方案》对本地区的要求，进一步细化大气污染防治措施。</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修改说明：P6</w:t>
      </w:r>
    </w:p>
    <w:p>
      <w:pPr>
        <w:keepNext/>
        <w:keepLines/>
        <w:widowControl w:val="0"/>
        <w:numPr>
          <w:ilvl w:val="0"/>
          <w:numId w:val="0"/>
        </w:numPr>
        <w:spacing w:beforeLines="0" w:beforeAutospacing="0" w:afterLines="0" w:afterAutospacing="0" w:line="360" w:lineRule="auto"/>
        <w:jc w:val="both"/>
        <w:outlineLvl w:val="1"/>
        <w:rPr>
          <w:rFonts w:ascii="Times New Roman" w:hAnsi="Times New Roman" w:eastAsiaTheme="minorEastAsia" w:cstheme="minorBidi"/>
          <w:b/>
          <w:bCs/>
          <w:kern w:val="2"/>
          <w:sz w:val="24"/>
          <w:szCs w:val="22"/>
          <w:lang w:val="en-US" w:eastAsia="zh-CN" w:bidi="ar-SA"/>
        </w:rPr>
      </w:pPr>
      <w:r>
        <w:rPr>
          <w:rFonts w:hint="eastAsia" w:ascii="Times New Roman" w:hAnsi="Times New Roman" w:eastAsiaTheme="minorEastAsia" w:cstheme="minorBidi"/>
          <w:b/>
          <w:bCs/>
          <w:kern w:val="2"/>
          <w:sz w:val="24"/>
          <w:szCs w:val="22"/>
          <w:lang w:val="en-US" w:eastAsia="zh-CN" w:bidi="ar-SA"/>
        </w:rPr>
        <w:t>与</w:t>
      </w:r>
      <w:r>
        <w:rPr>
          <w:rFonts w:hint="eastAsia" w:ascii="Times New Roman" w:hAnsi="Times New Roman" w:eastAsiaTheme="minorEastAsia" w:cstheme="minorBidi"/>
          <w:b/>
          <w:bCs/>
          <w:color w:val="auto"/>
          <w:kern w:val="2"/>
          <w:sz w:val="24"/>
          <w:szCs w:val="22"/>
          <w:lang w:val="en-US" w:eastAsia="zh-CN" w:bidi="ar-SA"/>
        </w:rPr>
        <w:t>《自治区大气污染防治行动计划实施方案》新政发〔2014〕35号</w:t>
      </w:r>
      <w:r>
        <w:rPr>
          <w:rFonts w:hint="eastAsia" w:ascii="Times New Roman" w:hAnsi="Times New Roman" w:eastAsiaTheme="minorEastAsia" w:cstheme="minorBidi"/>
          <w:b/>
          <w:bCs/>
          <w:kern w:val="2"/>
          <w:sz w:val="24"/>
          <w:szCs w:val="22"/>
          <w:lang w:val="en-US" w:eastAsia="zh-CN" w:bidi="ar-SA"/>
        </w:rPr>
        <w:t>符合性分析</w:t>
      </w:r>
    </w:p>
    <w:p>
      <w:pPr>
        <w:widowControl w:val="0"/>
        <w:bidi w:val="0"/>
        <w:spacing w:line="360" w:lineRule="auto"/>
        <w:ind w:firstLine="480" w:firstLineChars="200"/>
        <w:jc w:val="left"/>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自治区大气污染防治行动计划实施方案中提出：实施燃煤锅炉整治。加快热力和燃气管网建设，通过热电联产、集中供热等工程建设，到2017年底，除必要保留的以外，全区城市建成区基本淘汰每小时10蒸吨及以下燃煤锅炉，禁止新建每小时20蒸吨以下燃煤锅炉......加快清洁能源替代利用。在满足最严格的环保和水资源管理要求的前提下，加快煤制天然气产业化和规模化步伐。加大天然气勘探开发力度。积极开发利用风能、太阳能、生物质能。加快煤层气开发步伐，科学有序发展水电。提高清洁能源、可再生能源在能源结构中的比例。新增天然气应优先保障居民生活或用于替代燃煤。</w:t>
      </w:r>
    </w:p>
    <w:p>
      <w:pPr>
        <w:widowControl w:val="0"/>
        <w:bidi w:val="0"/>
        <w:spacing w:line="360" w:lineRule="auto"/>
        <w:ind w:firstLine="480" w:firstLineChars="200"/>
        <w:jc w:val="left"/>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本项目采用天然气为燃料为生产供热，天然气属于清洁能源，锅炉废气采用</w:t>
      </w:r>
      <w:r>
        <w:rPr>
          <w:rFonts w:hint="eastAsia" w:ascii="Times New Roman" w:hAnsi="Times New Roman" w:eastAsia="宋体" w:cstheme="minorBidi"/>
          <w:color w:val="auto"/>
          <w:kern w:val="2"/>
          <w:sz w:val="24"/>
          <w:szCs w:val="24"/>
          <w:lang w:val="en-US" w:eastAsia="zh-CN" w:bidi="ar-SA"/>
        </w:rPr>
        <w:t>低氮燃烧器工艺+烟气再循环技术</w:t>
      </w:r>
      <w:r>
        <w:rPr>
          <w:rFonts w:hint="eastAsia" w:ascii="Times New Roman" w:hAnsi="Times New Roman" w:eastAsia="宋体" w:cstheme="minorBidi"/>
          <w:kern w:val="2"/>
          <w:sz w:val="24"/>
          <w:szCs w:val="24"/>
          <w:lang w:val="en-US" w:eastAsia="zh-CN" w:bidi="ar-SA"/>
        </w:rPr>
        <w:t>，烟气可达标排放；符合《自治区大气污染防治行动计划实施方案》新政发〔2014〕35号的要求。</w:t>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细化废水治理工艺技术可行性分析。简要描述依托的污水处理厂环保手续执行情况，是否通过“三同时”环保验收，完善依托可行性分析。</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修改说明：P27-29</w:t>
      </w:r>
    </w:p>
    <w:p>
      <w:pPr>
        <w:keepNext/>
        <w:keepLines/>
        <w:widowControl w:val="0"/>
        <w:bidi w:val="0"/>
        <w:spacing w:beforeLines="0" w:beforeAutospacing="0" w:afterLines="0" w:afterAutospacing="0" w:line="360" w:lineRule="auto"/>
        <w:jc w:val="both"/>
        <w:outlineLvl w:val="2"/>
        <w:rPr>
          <w:rFonts w:hint="eastAsia" w:ascii="Times New Roman" w:hAnsi="Times New Roman" w:eastAsia="宋体" w:cstheme="minorBidi"/>
          <w:kern w:val="2"/>
          <w:sz w:val="21"/>
          <w:szCs w:val="24"/>
          <w:lang w:val="en-US" w:eastAsia="zh-CN" w:bidi="ar-SA"/>
        </w:rPr>
      </w:pPr>
      <w:r>
        <w:rPr>
          <w:rFonts w:hint="eastAsia" w:ascii="Times New Roman" w:hAnsi="Times New Roman" w:eastAsia="宋体" w:cstheme="minorBidi"/>
          <w:kern w:val="2"/>
          <w:sz w:val="21"/>
          <w:szCs w:val="24"/>
          <w:lang w:val="en-US" w:eastAsia="zh-CN" w:bidi="ar-SA"/>
        </w:rPr>
        <w:t>生产废水处理的可行性</w:t>
      </w:r>
    </w:p>
    <w:p>
      <w:pPr>
        <w:widowControl w:val="0"/>
        <w:bidi w:val="0"/>
        <w:spacing w:line="360" w:lineRule="auto"/>
        <w:ind w:firstLine="480" w:firstLineChars="200"/>
        <w:jc w:val="left"/>
        <w:rPr>
          <w:rFonts w:hint="default" w:ascii="Times New Roman" w:hAnsi="Times New Roman" w:eastAsia="宋体" w:cstheme="minorBidi"/>
          <w:kern w:val="2"/>
          <w:sz w:val="24"/>
          <w:szCs w:val="24"/>
          <w:lang w:val="en-US" w:eastAsia="zh-CN" w:bidi="ar-SA"/>
        </w:rPr>
      </w:pPr>
      <w:r>
        <w:rPr>
          <w:rFonts w:hint="default" w:ascii="Times New Roman" w:hAnsi="Times New Roman" w:eastAsia="宋体" w:cstheme="minorBidi"/>
          <w:kern w:val="2"/>
          <w:sz w:val="24"/>
          <w:szCs w:val="24"/>
          <w:lang w:val="en-US" w:eastAsia="zh-CN" w:bidi="ar-SA"/>
        </w:rPr>
        <w:t>根据《排污许可证申请与核发技术规范 总则》、《排污许可证申请与核发技术规范 水处理（试行）》（HJ978-2018），具体废水污染治理设施技术如下表：</w:t>
      </w:r>
    </w:p>
    <w:p>
      <w:pPr>
        <w:widowControl w:val="0"/>
        <w:bidi w:val="0"/>
        <w:spacing w:line="360" w:lineRule="auto"/>
        <w:ind w:firstLine="0" w:firstLineChars="0"/>
        <w:jc w:val="center"/>
        <w:rPr>
          <w:rFonts w:hint="default" w:ascii="Times New Roman" w:hAnsi="Times New Roman" w:eastAsia="宋体" w:cs="Times New Roman"/>
          <w:b/>
          <w:bCs/>
          <w:kern w:val="2"/>
          <w:sz w:val="22"/>
          <w:szCs w:val="28"/>
          <w:highlight w:val="none"/>
          <w:lang w:val="en-US" w:eastAsia="zh-CN" w:bidi="ar-SA"/>
        </w:rPr>
      </w:pPr>
      <w:r>
        <w:rPr>
          <w:rFonts w:hint="default" w:ascii="Times New Roman" w:hAnsi="Times New Roman" w:eastAsia="宋体" w:cs="Times New Roman"/>
          <w:b/>
          <w:bCs/>
          <w:kern w:val="2"/>
          <w:sz w:val="22"/>
          <w:szCs w:val="28"/>
          <w:highlight w:val="none"/>
          <w:lang w:val="en-US" w:eastAsia="zh-CN" w:bidi="ar-SA"/>
        </w:rPr>
        <w:t>表4-6  项目废水污染治理设施技术可行性分析</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Layout w:type="fixed"/>
        <w:tblCellMar>
          <w:top w:w="57" w:type="dxa"/>
          <w:left w:w="108" w:type="dxa"/>
          <w:bottom w:w="57" w:type="dxa"/>
          <w:right w:w="108" w:type="dxa"/>
        </w:tblCellMar>
      </w:tblPr>
      <w:tblGrid>
        <w:gridCol w:w="399"/>
        <w:gridCol w:w="457"/>
        <w:gridCol w:w="1144"/>
        <w:gridCol w:w="719"/>
        <w:gridCol w:w="3095"/>
        <w:gridCol w:w="1850"/>
        <w:gridCol w:w="856"/>
      </w:tblGrid>
      <w:tr>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57" w:type="dxa"/>
            <w:left w:w="108" w:type="dxa"/>
            <w:bottom w:w="57" w:type="dxa"/>
            <w:right w:w="108" w:type="dxa"/>
          </w:tblCellMar>
        </w:tblPrEx>
        <w:trPr>
          <w:trHeight w:val="0" w:hRule="atLeast"/>
          <w:jc w:val="center"/>
        </w:trPr>
        <w:tc>
          <w:tcPr>
            <w:tcW w:w="502" w:type="pct"/>
            <w:gridSpan w:val="2"/>
            <w:vMerge w:val="restart"/>
            <w:noWrap w:val="0"/>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highlight w:val="none"/>
                <w:lang w:val="zh-TW" w:eastAsia="zh-TW" w:bidi="ar-SA"/>
              </w:rPr>
            </w:pPr>
            <w:r>
              <w:rPr>
                <w:rFonts w:hint="default" w:ascii="Times New Roman" w:hAnsi="Times New Roman" w:eastAsia="宋体" w:cs="Times New Roman"/>
                <w:b/>
                <w:bCs/>
                <w:kern w:val="2"/>
                <w:sz w:val="21"/>
                <w:szCs w:val="24"/>
                <w:highlight w:val="none"/>
                <w:lang w:val="en-US" w:eastAsia="zh-CN" w:bidi="ar-SA"/>
              </w:rPr>
              <w:t>废水类别</w:t>
            </w:r>
          </w:p>
        </w:tc>
        <w:tc>
          <w:tcPr>
            <w:tcW w:w="671" w:type="pct"/>
            <w:vMerge w:val="restart"/>
            <w:noWrap w:val="0"/>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highlight w:val="none"/>
                <w:lang w:val="en-US" w:eastAsia="zh-CN" w:bidi="ar-SA"/>
              </w:rPr>
            </w:pPr>
            <w:r>
              <w:rPr>
                <w:rFonts w:hint="default" w:ascii="Times New Roman" w:hAnsi="Times New Roman" w:eastAsia="宋体" w:cs="Times New Roman"/>
                <w:b/>
                <w:bCs/>
                <w:kern w:val="2"/>
                <w:sz w:val="21"/>
                <w:szCs w:val="24"/>
                <w:highlight w:val="none"/>
                <w:lang w:val="en-US" w:eastAsia="zh-CN" w:bidi="ar-SA"/>
              </w:rPr>
              <w:t>主要污染物项目</w:t>
            </w:r>
          </w:p>
        </w:tc>
        <w:tc>
          <w:tcPr>
            <w:tcW w:w="422" w:type="pct"/>
            <w:vMerge w:val="restart"/>
            <w:noWrap w:val="0"/>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highlight w:val="none"/>
                <w:lang w:val="en-US" w:eastAsia="zh-CN" w:bidi="ar-SA"/>
              </w:rPr>
            </w:pPr>
            <w:r>
              <w:rPr>
                <w:rFonts w:hint="default" w:ascii="Times New Roman" w:hAnsi="Times New Roman" w:eastAsia="宋体" w:cs="Times New Roman"/>
                <w:b/>
                <w:bCs/>
                <w:kern w:val="2"/>
                <w:sz w:val="21"/>
                <w:szCs w:val="24"/>
                <w:highlight w:val="none"/>
                <w:lang w:val="en-US" w:eastAsia="zh-CN" w:bidi="ar-SA"/>
              </w:rPr>
              <w:t>废水排放去向</w:t>
            </w:r>
          </w:p>
        </w:tc>
        <w:tc>
          <w:tcPr>
            <w:tcW w:w="1816" w:type="pct"/>
            <w:noWrap w:val="0"/>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highlight w:val="none"/>
                <w:lang w:val="zh-TW" w:eastAsia="zh-TW" w:bidi="ar-SA"/>
              </w:rPr>
            </w:pPr>
            <w:r>
              <w:rPr>
                <w:rFonts w:hint="default" w:ascii="Times New Roman" w:hAnsi="Times New Roman" w:eastAsia="宋体" w:cs="Times New Roman"/>
                <w:b/>
                <w:bCs/>
                <w:kern w:val="2"/>
                <w:sz w:val="21"/>
                <w:szCs w:val="24"/>
                <w:highlight w:val="none"/>
                <w:lang w:val="zh-TW" w:eastAsia="zh-TW" w:bidi="ar-SA"/>
              </w:rPr>
              <w:t>可行技术依据</w:t>
            </w:r>
          </w:p>
        </w:tc>
        <w:tc>
          <w:tcPr>
            <w:tcW w:w="1085" w:type="pct"/>
            <w:vMerge w:val="restart"/>
            <w:noWrap w:val="0"/>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highlight w:val="none"/>
                <w:lang w:val="zh-TW" w:eastAsia="zh-TW" w:bidi="ar-SA"/>
              </w:rPr>
            </w:pPr>
            <w:r>
              <w:rPr>
                <w:rFonts w:hint="default" w:ascii="Times New Roman" w:hAnsi="Times New Roman" w:eastAsia="宋体" w:cs="Times New Roman"/>
                <w:b/>
                <w:bCs/>
                <w:kern w:val="2"/>
                <w:sz w:val="21"/>
                <w:szCs w:val="24"/>
                <w:highlight w:val="none"/>
                <w:lang w:val="zh-TW" w:eastAsia="zh-TW" w:bidi="ar-SA"/>
              </w:rPr>
              <w:t>本项目污染治理设施</w:t>
            </w:r>
          </w:p>
        </w:tc>
        <w:tc>
          <w:tcPr>
            <w:tcW w:w="502" w:type="pct"/>
            <w:vMerge w:val="restart"/>
            <w:noWrap w:val="0"/>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highlight w:val="none"/>
                <w:lang w:val="zh-TW" w:eastAsia="zh-TW" w:bidi="ar-SA"/>
              </w:rPr>
            </w:pPr>
            <w:r>
              <w:rPr>
                <w:rFonts w:hint="default" w:ascii="Times New Roman" w:hAnsi="Times New Roman" w:eastAsia="宋体" w:cs="Times New Roman"/>
                <w:b/>
                <w:bCs/>
                <w:kern w:val="2"/>
                <w:sz w:val="21"/>
                <w:szCs w:val="24"/>
                <w:highlight w:val="none"/>
                <w:lang w:val="zh-TW" w:eastAsia="zh-TW" w:bidi="ar-SA"/>
              </w:rPr>
              <w:t>可行性分析</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57" w:type="dxa"/>
            <w:left w:w="108" w:type="dxa"/>
            <w:bottom w:w="57" w:type="dxa"/>
            <w:right w:w="108" w:type="dxa"/>
          </w:tblCellMar>
        </w:tblPrEx>
        <w:trPr>
          <w:trHeight w:val="0" w:hRule="atLeast"/>
          <w:jc w:val="center"/>
        </w:trPr>
        <w:tc>
          <w:tcPr>
            <w:tcW w:w="502" w:type="pct"/>
            <w:gridSpan w:val="2"/>
            <w:vMerge w:val="continue"/>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val="0"/>
                <w:kern w:val="2"/>
                <w:sz w:val="21"/>
                <w:szCs w:val="24"/>
                <w:highlight w:val="none"/>
                <w:lang w:val="zh-TW" w:eastAsia="zh-TW" w:bidi="ar-SA"/>
              </w:rPr>
            </w:pPr>
          </w:p>
        </w:tc>
        <w:tc>
          <w:tcPr>
            <w:tcW w:w="671" w:type="pct"/>
            <w:vMerge w:val="continue"/>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val="0"/>
                <w:kern w:val="2"/>
                <w:sz w:val="21"/>
                <w:szCs w:val="24"/>
                <w:highlight w:val="none"/>
                <w:lang w:val="zh-TW" w:eastAsia="zh-TW" w:bidi="ar-SA"/>
              </w:rPr>
            </w:pPr>
          </w:p>
        </w:tc>
        <w:tc>
          <w:tcPr>
            <w:tcW w:w="422" w:type="pct"/>
            <w:vMerge w:val="continue"/>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val="0"/>
                <w:kern w:val="2"/>
                <w:sz w:val="21"/>
                <w:szCs w:val="24"/>
                <w:highlight w:val="none"/>
                <w:lang w:val="zh-TW" w:eastAsia="zh-TW" w:bidi="ar-SA"/>
              </w:rPr>
            </w:pPr>
          </w:p>
        </w:tc>
        <w:tc>
          <w:tcPr>
            <w:tcW w:w="1816" w:type="pct"/>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val="0"/>
                <w:kern w:val="2"/>
                <w:sz w:val="21"/>
                <w:szCs w:val="24"/>
                <w:highlight w:val="none"/>
                <w:lang w:val="zh-TW" w:eastAsia="zh-TW" w:bidi="ar-SA"/>
              </w:rPr>
            </w:pPr>
            <w:r>
              <w:rPr>
                <w:rFonts w:hint="default" w:ascii="Times New Roman" w:hAnsi="Times New Roman" w:eastAsia="宋体" w:cs="Times New Roman"/>
                <w:b/>
                <w:bCs/>
                <w:kern w:val="2"/>
                <w:sz w:val="21"/>
                <w:szCs w:val="24"/>
                <w:highlight w:val="none"/>
                <w:lang w:val="zh-TW" w:eastAsia="zh-TW" w:bidi="ar-SA"/>
              </w:rPr>
              <w:t>污染治理设施名称</w:t>
            </w:r>
          </w:p>
        </w:tc>
        <w:tc>
          <w:tcPr>
            <w:tcW w:w="1085" w:type="pct"/>
            <w:vMerge w:val="continue"/>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val="0"/>
                <w:kern w:val="2"/>
                <w:sz w:val="21"/>
                <w:szCs w:val="24"/>
                <w:highlight w:val="none"/>
                <w:lang w:val="zh-TW" w:eastAsia="zh-TW" w:bidi="ar-SA"/>
              </w:rPr>
            </w:pPr>
          </w:p>
        </w:tc>
        <w:tc>
          <w:tcPr>
            <w:tcW w:w="502" w:type="pct"/>
            <w:vMerge w:val="continue"/>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val="0"/>
                <w:kern w:val="2"/>
                <w:sz w:val="21"/>
                <w:szCs w:val="24"/>
                <w:highlight w:val="none"/>
                <w:lang w:val="zh-TW" w:eastAsia="zh-TW" w:bidi="ar-SA"/>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2" w:space="0"/>
          </w:tblBorders>
          <w:tblCellMar>
            <w:top w:w="57" w:type="dxa"/>
            <w:left w:w="108" w:type="dxa"/>
            <w:bottom w:w="57" w:type="dxa"/>
            <w:right w:w="108" w:type="dxa"/>
          </w:tblCellMar>
        </w:tblPrEx>
        <w:trPr>
          <w:trHeight w:val="0" w:hRule="atLeast"/>
          <w:jc w:val="center"/>
        </w:trPr>
        <w:tc>
          <w:tcPr>
            <w:tcW w:w="234" w:type="pct"/>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val="0"/>
                <w:kern w:val="2"/>
                <w:sz w:val="21"/>
                <w:szCs w:val="24"/>
                <w:highlight w:val="none"/>
                <w:lang w:val="en-US" w:eastAsia="zh-CN" w:bidi="ar-SA"/>
              </w:rPr>
            </w:pPr>
            <w:r>
              <w:rPr>
                <w:rFonts w:hint="default" w:ascii="Times New Roman" w:hAnsi="Times New Roman" w:eastAsia="宋体" w:cs="Times New Roman"/>
                <w:b w:val="0"/>
                <w:bCs w:val="0"/>
                <w:kern w:val="2"/>
                <w:sz w:val="21"/>
                <w:szCs w:val="24"/>
                <w:highlight w:val="none"/>
                <w:lang w:val="en-US" w:eastAsia="zh-CN" w:bidi="ar-SA"/>
              </w:rPr>
              <w:t>生产废水</w:t>
            </w:r>
          </w:p>
        </w:tc>
        <w:tc>
          <w:tcPr>
            <w:tcW w:w="268" w:type="pct"/>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val="0"/>
                <w:kern w:val="2"/>
                <w:sz w:val="21"/>
                <w:szCs w:val="24"/>
                <w:highlight w:val="none"/>
                <w:lang w:val="en-US" w:eastAsia="zh-CN" w:bidi="ar-SA"/>
              </w:rPr>
            </w:pPr>
            <w:r>
              <w:rPr>
                <w:rFonts w:hint="default" w:ascii="Times New Roman" w:hAnsi="Times New Roman" w:eastAsia="宋体" w:cs="Times New Roman"/>
                <w:b w:val="0"/>
                <w:bCs w:val="0"/>
                <w:kern w:val="2"/>
                <w:sz w:val="21"/>
                <w:szCs w:val="24"/>
                <w:highlight w:val="none"/>
                <w:lang w:val="en-US" w:eastAsia="zh-CN" w:bidi="ar-SA"/>
              </w:rPr>
              <w:t>洗涤废水</w:t>
            </w:r>
          </w:p>
        </w:tc>
        <w:tc>
          <w:tcPr>
            <w:tcW w:w="671" w:type="pct"/>
            <w:noWrap w:val="0"/>
            <w:vAlign w:val="center"/>
          </w:tcPr>
          <w:p>
            <w:pPr>
              <w:widowControl w:val="0"/>
              <w:bidi w:val="0"/>
              <w:spacing w:line="240" w:lineRule="auto"/>
              <w:ind w:firstLine="0" w:firstLineChars="0"/>
              <w:jc w:val="left"/>
              <w:rPr>
                <w:rFonts w:hint="default" w:ascii="Times New Roman" w:hAnsi="Times New Roman" w:eastAsia="宋体" w:cs="Times New Roman"/>
                <w:b w:val="0"/>
                <w:bCs w:val="0"/>
                <w:kern w:val="2"/>
                <w:sz w:val="21"/>
                <w:szCs w:val="24"/>
                <w:highlight w:val="none"/>
                <w:lang w:val="en-US" w:eastAsia="zh-CN" w:bidi="ar-SA"/>
              </w:rPr>
            </w:pPr>
            <w:r>
              <w:rPr>
                <w:rFonts w:hint="default" w:ascii="Times New Roman" w:hAnsi="Times New Roman" w:eastAsia="宋体" w:cs="Times New Roman"/>
                <w:b w:val="0"/>
                <w:bCs w:val="0"/>
                <w:kern w:val="2"/>
                <w:sz w:val="21"/>
                <w:szCs w:val="24"/>
                <w:highlight w:val="none"/>
                <w:lang w:val="en-US" w:eastAsia="zh-CN" w:bidi="ar-SA"/>
              </w:rPr>
              <w:t>CODCr、BOD</w:t>
            </w:r>
            <w:r>
              <w:rPr>
                <w:rFonts w:hint="default" w:ascii="Times New Roman" w:hAnsi="Times New Roman" w:eastAsia="宋体" w:cs="Times New Roman"/>
                <w:b w:val="0"/>
                <w:bCs w:val="0"/>
                <w:kern w:val="2"/>
                <w:sz w:val="21"/>
                <w:szCs w:val="24"/>
                <w:highlight w:val="none"/>
                <w:vertAlign w:val="subscript"/>
                <w:lang w:val="en-US" w:eastAsia="zh-CN" w:bidi="ar-SA"/>
              </w:rPr>
              <w:t>5</w:t>
            </w:r>
            <w:r>
              <w:rPr>
                <w:rFonts w:hint="default" w:ascii="Times New Roman" w:hAnsi="Times New Roman" w:eastAsia="宋体" w:cs="Times New Roman"/>
                <w:b w:val="0"/>
                <w:bCs w:val="0"/>
                <w:kern w:val="2"/>
                <w:sz w:val="21"/>
                <w:szCs w:val="24"/>
                <w:highlight w:val="none"/>
                <w:lang w:val="en-US" w:eastAsia="zh-CN" w:bidi="ar-SA"/>
              </w:rPr>
              <w:t>、SS、NH</w:t>
            </w:r>
            <w:r>
              <w:rPr>
                <w:rFonts w:hint="default" w:ascii="Times New Roman" w:hAnsi="Times New Roman" w:eastAsia="宋体" w:cs="Times New Roman"/>
                <w:b w:val="0"/>
                <w:bCs w:val="0"/>
                <w:kern w:val="2"/>
                <w:sz w:val="21"/>
                <w:szCs w:val="24"/>
                <w:highlight w:val="none"/>
                <w:vertAlign w:val="subscript"/>
                <w:lang w:val="en-US" w:eastAsia="zh-CN" w:bidi="ar-SA"/>
              </w:rPr>
              <w:t>3</w:t>
            </w:r>
            <w:r>
              <w:rPr>
                <w:rFonts w:hint="default" w:ascii="Times New Roman" w:hAnsi="Times New Roman" w:eastAsia="宋体" w:cs="Times New Roman"/>
                <w:b w:val="0"/>
                <w:bCs w:val="0"/>
                <w:kern w:val="2"/>
                <w:sz w:val="21"/>
                <w:szCs w:val="24"/>
                <w:highlight w:val="none"/>
                <w:lang w:val="en-US" w:eastAsia="zh-CN" w:bidi="ar-SA"/>
              </w:rPr>
              <w:t>-N、TP、LAS</w:t>
            </w:r>
          </w:p>
        </w:tc>
        <w:tc>
          <w:tcPr>
            <w:tcW w:w="422" w:type="pct"/>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val="0"/>
                <w:kern w:val="2"/>
                <w:sz w:val="21"/>
                <w:szCs w:val="24"/>
                <w:highlight w:val="none"/>
                <w:lang w:val="en-US" w:eastAsia="zh-CN" w:bidi="ar-SA"/>
              </w:rPr>
            </w:pPr>
            <w:r>
              <w:rPr>
                <w:rFonts w:hint="default" w:ascii="Times New Roman" w:hAnsi="Times New Roman" w:eastAsia="宋体" w:cs="Times New Roman"/>
                <w:b w:val="0"/>
                <w:bCs w:val="0"/>
                <w:kern w:val="2"/>
                <w:sz w:val="21"/>
                <w:szCs w:val="24"/>
                <w:highlight w:val="none"/>
                <w:lang w:val="en-US" w:eastAsia="zh-CN" w:bidi="ar-SA"/>
              </w:rPr>
              <w:t>间接排放</w:t>
            </w:r>
          </w:p>
        </w:tc>
        <w:tc>
          <w:tcPr>
            <w:tcW w:w="1816" w:type="pct"/>
            <w:noWrap w:val="0"/>
            <w:vAlign w:val="center"/>
          </w:tcPr>
          <w:p>
            <w:pPr>
              <w:widowControl w:val="0"/>
              <w:bidi w:val="0"/>
              <w:spacing w:line="240" w:lineRule="auto"/>
              <w:ind w:firstLine="0" w:firstLineChars="0"/>
              <w:jc w:val="left"/>
              <w:rPr>
                <w:rFonts w:hint="default" w:ascii="Times New Roman" w:hAnsi="Times New Roman" w:eastAsia="宋体" w:cs="Times New Roman"/>
                <w:b w:val="0"/>
                <w:bCs w:val="0"/>
                <w:kern w:val="2"/>
                <w:sz w:val="21"/>
                <w:szCs w:val="24"/>
                <w:highlight w:val="none"/>
                <w:lang w:val="en-US" w:eastAsia="zh-CN" w:bidi="ar-SA"/>
              </w:rPr>
            </w:pPr>
            <w:r>
              <w:rPr>
                <w:rFonts w:hint="default" w:ascii="Times New Roman" w:hAnsi="Times New Roman" w:eastAsia="宋体" w:cs="Times New Roman"/>
                <w:b w:val="0"/>
                <w:bCs w:val="0"/>
                <w:kern w:val="2"/>
                <w:sz w:val="21"/>
                <w:szCs w:val="24"/>
                <w:highlight w:val="none"/>
                <w:lang w:val="en-US" w:eastAsia="zh-CN" w:bidi="ar-SA"/>
              </w:rPr>
              <w:t>预处理：沉淀、调节、气浮、水解酸化；</w:t>
            </w:r>
          </w:p>
          <w:p>
            <w:pPr>
              <w:widowControl w:val="0"/>
              <w:bidi w:val="0"/>
              <w:spacing w:line="240" w:lineRule="auto"/>
              <w:ind w:firstLine="0" w:firstLineChars="0"/>
              <w:jc w:val="left"/>
              <w:rPr>
                <w:rFonts w:hint="default" w:ascii="Times New Roman" w:hAnsi="Times New Roman" w:eastAsia="宋体" w:cs="Times New Roman"/>
                <w:b w:val="0"/>
                <w:bCs w:val="0"/>
                <w:kern w:val="2"/>
                <w:sz w:val="21"/>
                <w:szCs w:val="24"/>
                <w:highlight w:val="none"/>
                <w:lang w:val="en-US" w:eastAsia="zh-CN" w:bidi="ar-SA"/>
              </w:rPr>
            </w:pPr>
            <w:r>
              <w:rPr>
                <w:rFonts w:hint="default" w:ascii="Times New Roman" w:hAnsi="Times New Roman" w:eastAsia="宋体" w:cs="Times New Roman"/>
                <w:b w:val="0"/>
                <w:bCs w:val="0"/>
                <w:kern w:val="2"/>
                <w:sz w:val="21"/>
                <w:szCs w:val="24"/>
                <w:highlight w:val="none"/>
                <w:lang w:val="en-US" w:eastAsia="zh-CN" w:bidi="ar-SA"/>
              </w:rPr>
              <w:t>生化处理：好氧、缺氧好氧、厌氧缺氧好氧、序批式活性污泥、氧化沟、移动生物床反应器、膜生物反应器；</w:t>
            </w:r>
          </w:p>
          <w:p>
            <w:pPr>
              <w:widowControl w:val="0"/>
              <w:bidi w:val="0"/>
              <w:spacing w:line="240" w:lineRule="auto"/>
              <w:ind w:firstLine="0" w:firstLineChars="0"/>
              <w:jc w:val="left"/>
              <w:rPr>
                <w:rFonts w:hint="default" w:ascii="Times New Roman" w:hAnsi="Times New Roman" w:eastAsia="宋体" w:cs="Times New Roman"/>
                <w:b w:val="0"/>
                <w:bCs w:val="0"/>
                <w:kern w:val="2"/>
                <w:sz w:val="21"/>
                <w:szCs w:val="24"/>
                <w:highlight w:val="none"/>
                <w:lang w:val="en-US" w:eastAsia="zh-CN" w:bidi="ar-SA"/>
              </w:rPr>
            </w:pPr>
            <w:r>
              <w:rPr>
                <w:rFonts w:hint="default" w:ascii="Times New Roman" w:hAnsi="Times New Roman" w:eastAsia="宋体" w:cs="Times New Roman"/>
                <w:b w:val="0"/>
                <w:bCs w:val="0"/>
                <w:kern w:val="2"/>
                <w:sz w:val="21"/>
                <w:szCs w:val="24"/>
                <w:highlight w:val="none"/>
                <w:lang w:val="en-US" w:eastAsia="zh-CN" w:bidi="ar-SA"/>
              </w:rPr>
              <w:t>深度处理：反硝化滤池、化学沉淀、过滤、高级氧化、曝气生物滤池、生物接触氧化、膜分离、离子交换</w:t>
            </w:r>
          </w:p>
        </w:tc>
        <w:tc>
          <w:tcPr>
            <w:tcW w:w="1085" w:type="pct"/>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val="0"/>
                <w:kern w:val="2"/>
                <w:sz w:val="21"/>
                <w:szCs w:val="24"/>
                <w:highlight w:val="none"/>
                <w:lang w:val="en-US" w:eastAsia="zh-CN" w:bidi="ar-SA"/>
              </w:rPr>
            </w:pPr>
            <w:r>
              <w:rPr>
                <w:rFonts w:hint="default" w:ascii="Times New Roman" w:hAnsi="Times New Roman" w:eastAsia="宋体" w:cs="Times New Roman"/>
                <w:b w:val="0"/>
                <w:bCs w:val="0"/>
                <w:kern w:val="2"/>
                <w:sz w:val="21"/>
                <w:szCs w:val="24"/>
                <w:highlight w:val="none"/>
                <w:lang w:val="en-US" w:eastAsia="zh-CN" w:bidi="ar-SA"/>
              </w:rPr>
              <w:t>预处理采用“</w:t>
            </w:r>
            <w:r>
              <w:rPr>
                <w:rFonts w:hint="eastAsia" w:ascii="Times New Roman" w:hAnsi="Times New Roman" w:eastAsia="宋体" w:cs="Times New Roman"/>
                <w:b w:val="0"/>
                <w:bCs w:val="0"/>
                <w:kern w:val="2"/>
                <w:sz w:val="21"/>
                <w:szCs w:val="24"/>
                <w:highlight w:val="none"/>
                <w:lang w:val="en-US" w:eastAsia="zh-CN" w:bidi="ar-SA"/>
              </w:rPr>
              <w:t>过滤、初沉调节</w:t>
            </w:r>
            <w:r>
              <w:rPr>
                <w:rFonts w:hint="default" w:ascii="Times New Roman" w:hAnsi="Times New Roman" w:eastAsia="宋体" w:cs="Times New Roman"/>
                <w:b w:val="0"/>
                <w:bCs w:val="0"/>
                <w:kern w:val="2"/>
                <w:sz w:val="21"/>
                <w:szCs w:val="24"/>
                <w:highlight w:val="none"/>
                <w:lang w:val="en-US" w:eastAsia="zh-CN" w:bidi="ar-SA"/>
              </w:rPr>
              <w:t>”处理；生化处理采用“</w:t>
            </w:r>
            <w:r>
              <w:rPr>
                <w:rFonts w:hint="eastAsia" w:ascii="Times New Roman" w:hAnsi="Times New Roman" w:eastAsia="宋体" w:cs="Times New Roman"/>
                <w:b w:val="0"/>
                <w:bCs w:val="0"/>
                <w:kern w:val="2"/>
                <w:sz w:val="21"/>
                <w:szCs w:val="24"/>
                <w:highlight w:val="none"/>
                <w:lang w:val="en-US" w:eastAsia="zh-CN" w:bidi="ar-SA"/>
              </w:rPr>
              <w:t>厌氧、</w:t>
            </w:r>
            <w:r>
              <w:rPr>
                <w:rFonts w:hint="default" w:ascii="Times New Roman" w:hAnsi="Times New Roman" w:eastAsia="宋体" w:cs="Times New Roman"/>
                <w:b w:val="0"/>
                <w:bCs w:val="0"/>
                <w:kern w:val="2"/>
                <w:sz w:val="21"/>
                <w:szCs w:val="24"/>
                <w:highlight w:val="none"/>
                <w:lang w:val="en-US" w:eastAsia="zh-CN" w:bidi="ar-SA"/>
              </w:rPr>
              <w:t>缺氧</w:t>
            </w:r>
            <w:r>
              <w:rPr>
                <w:rFonts w:hint="eastAsia" w:ascii="Times New Roman" w:hAnsi="Times New Roman" w:eastAsia="宋体" w:cs="Times New Roman"/>
                <w:b w:val="0"/>
                <w:bCs w:val="0"/>
                <w:kern w:val="2"/>
                <w:sz w:val="21"/>
                <w:szCs w:val="24"/>
                <w:highlight w:val="none"/>
                <w:lang w:val="en-US" w:eastAsia="zh-CN" w:bidi="ar-SA"/>
              </w:rPr>
              <w:t>、</w:t>
            </w:r>
            <w:r>
              <w:rPr>
                <w:rFonts w:hint="default" w:ascii="Times New Roman" w:hAnsi="Times New Roman" w:eastAsia="宋体" w:cs="Times New Roman"/>
                <w:b w:val="0"/>
                <w:bCs w:val="0"/>
                <w:kern w:val="2"/>
                <w:sz w:val="21"/>
                <w:szCs w:val="24"/>
                <w:highlight w:val="none"/>
                <w:lang w:val="en-US" w:eastAsia="zh-CN" w:bidi="ar-SA"/>
              </w:rPr>
              <w:t>好氧池”、深度处理采用“</w:t>
            </w:r>
            <w:r>
              <w:rPr>
                <w:rFonts w:hint="eastAsia" w:ascii="Times New Roman" w:hAnsi="Times New Roman" w:eastAsia="宋体" w:cs="Times New Roman"/>
                <w:b w:val="0"/>
                <w:bCs w:val="0"/>
                <w:kern w:val="2"/>
                <w:sz w:val="21"/>
                <w:szCs w:val="24"/>
                <w:highlight w:val="none"/>
                <w:lang w:val="en-US" w:eastAsia="zh-CN" w:bidi="ar-SA"/>
              </w:rPr>
              <w:t>MBR生物池</w:t>
            </w:r>
            <w:r>
              <w:rPr>
                <w:rFonts w:hint="default" w:ascii="Times New Roman" w:hAnsi="Times New Roman" w:eastAsia="宋体" w:cs="Times New Roman"/>
                <w:b w:val="0"/>
                <w:bCs w:val="0"/>
                <w:kern w:val="2"/>
                <w:sz w:val="21"/>
                <w:szCs w:val="24"/>
                <w:highlight w:val="none"/>
                <w:lang w:val="en-US" w:eastAsia="zh-CN" w:bidi="ar-SA"/>
              </w:rPr>
              <w:t>”处理，满足预处理、生化处理、深度处理的要求</w:t>
            </w:r>
          </w:p>
        </w:tc>
        <w:tc>
          <w:tcPr>
            <w:tcW w:w="502" w:type="pct"/>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val="0"/>
                <w:kern w:val="2"/>
                <w:sz w:val="21"/>
                <w:szCs w:val="24"/>
                <w:highlight w:val="none"/>
                <w:lang w:val="en-US" w:eastAsia="zh-CN" w:bidi="ar-SA"/>
              </w:rPr>
            </w:pPr>
            <w:r>
              <w:rPr>
                <w:rFonts w:hint="default" w:ascii="Times New Roman" w:hAnsi="Times New Roman" w:eastAsia="宋体" w:cs="Times New Roman"/>
                <w:b w:val="0"/>
                <w:bCs w:val="0"/>
                <w:kern w:val="2"/>
                <w:sz w:val="21"/>
                <w:szCs w:val="24"/>
                <w:highlight w:val="none"/>
                <w:lang w:val="en-US" w:eastAsia="zh-CN" w:bidi="ar-SA"/>
              </w:rPr>
              <w:t>可行</w:t>
            </w:r>
          </w:p>
        </w:tc>
      </w:tr>
    </w:tbl>
    <w:p>
      <w:pPr>
        <w:widowControl w:val="0"/>
        <w:bidi w:val="0"/>
        <w:spacing w:line="360" w:lineRule="auto"/>
        <w:ind w:firstLine="480" w:firstLineChars="200"/>
        <w:jc w:val="left"/>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本项目污水处理站日处理200m</w:t>
      </w:r>
      <w:r>
        <w:rPr>
          <w:rFonts w:hint="eastAsia" w:ascii="Times New Roman" w:hAnsi="Times New Roman" w:eastAsia="宋体" w:cstheme="minorBidi"/>
          <w:kern w:val="2"/>
          <w:sz w:val="24"/>
          <w:szCs w:val="24"/>
          <w:vertAlign w:val="superscript"/>
          <w:lang w:val="en-US" w:eastAsia="zh-CN" w:bidi="ar-SA"/>
        </w:rPr>
        <w:t>3</w:t>
      </w:r>
      <w:r>
        <w:rPr>
          <w:rFonts w:hint="eastAsia" w:ascii="Times New Roman" w:hAnsi="Times New Roman" w:eastAsia="宋体" w:cstheme="minorBidi"/>
          <w:kern w:val="2"/>
          <w:sz w:val="24"/>
          <w:szCs w:val="24"/>
          <w:lang w:val="en-US" w:eastAsia="zh-CN" w:bidi="ar-SA"/>
        </w:rPr>
        <w:t>/d，</w:t>
      </w:r>
      <w:r>
        <w:rPr>
          <w:rFonts w:hint="default" w:ascii="Times New Roman" w:hAnsi="Times New Roman" w:eastAsia="宋体" w:cs="Times New Roman"/>
          <w:color w:val="auto"/>
          <w:kern w:val="2"/>
          <w:sz w:val="24"/>
          <w:szCs w:val="24"/>
          <w:lang w:val="en-US" w:eastAsia="zh-CN" w:bidi="ar-SA"/>
        </w:rPr>
        <w:t>满足废水处理满负荷要求，完全能接纳本项目废水。预处理采用“</w:t>
      </w:r>
      <w:r>
        <w:rPr>
          <w:rFonts w:hint="eastAsia" w:ascii="Times New Roman" w:hAnsi="Times New Roman" w:eastAsia="宋体" w:cs="Times New Roman"/>
          <w:b w:val="0"/>
          <w:bCs w:val="0"/>
          <w:kern w:val="2"/>
          <w:sz w:val="24"/>
          <w:szCs w:val="24"/>
          <w:highlight w:val="none"/>
          <w:lang w:val="en-US" w:eastAsia="zh-CN" w:bidi="ar-SA"/>
        </w:rPr>
        <w:t>过滤、初沉调节</w:t>
      </w:r>
      <w:r>
        <w:rPr>
          <w:rFonts w:hint="default" w:ascii="Times New Roman" w:hAnsi="Times New Roman" w:eastAsia="宋体" w:cs="Times New Roman"/>
          <w:color w:val="auto"/>
          <w:kern w:val="2"/>
          <w:sz w:val="24"/>
          <w:szCs w:val="24"/>
          <w:lang w:val="en-US" w:eastAsia="zh-CN" w:bidi="ar-SA"/>
        </w:rPr>
        <w:t>”，生化处理采用“</w:t>
      </w:r>
      <w:r>
        <w:rPr>
          <w:rFonts w:hint="eastAsia" w:ascii="Times New Roman" w:hAnsi="Times New Roman" w:eastAsia="宋体" w:cs="Times New Roman"/>
          <w:b w:val="0"/>
          <w:bCs w:val="0"/>
          <w:kern w:val="2"/>
          <w:sz w:val="24"/>
          <w:szCs w:val="24"/>
          <w:highlight w:val="none"/>
          <w:lang w:val="en-US" w:eastAsia="zh-CN" w:bidi="ar-SA"/>
        </w:rPr>
        <w:t>厌氧、</w:t>
      </w:r>
      <w:r>
        <w:rPr>
          <w:rFonts w:hint="default" w:ascii="Times New Roman" w:hAnsi="Times New Roman" w:eastAsia="宋体" w:cs="Times New Roman"/>
          <w:b w:val="0"/>
          <w:bCs w:val="0"/>
          <w:kern w:val="2"/>
          <w:sz w:val="24"/>
          <w:szCs w:val="24"/>
          <w:highlight w:val="none"/>
          <w:lang w:val="en-US" w:eastAsia="zh-CN" w:bidi="ar-SA"/>
        </w:rPr>
        <w:t>缺氧</w:t>
      </w:r>
      <w:r>
        <w:rPr>
          <w:rFonts w:hint="eastAsia" w:ascii="Times New Roman" w:hAnsi="Times New Roman" w:eastAsia="宋体" w:cs="Times New Roman"/>
          <w:b w:val="0"/>
          <w:bCs w:val="0"/>
          <w:kern w:val="2"/>
          <w:sz w:val="24"/>
          <w:szCs w:val="24"/>
          <w:highlight w:val="none"/>
          <w:lang w:val="en-US" w:eastAsia="zh-CN" w:bidi="ar-SA"/>
        </w:rPr>
        <w:t>、</w:t>
      </w:r>
      <w:r>
        <w:rPr>
          <w:rFonts w:hint="default" w:ascii="Times New Roman" w:hAnsi="Times New Roman" w:eastAsia="宋体" w:cs="Times New Roman"/>
          <w:b w:val="0"/>
          <w:bCs w:val="0"/>
          <w:kern w:val="2"/>
          <w:sz w:val="24"/>
          <w:szCs w:val="24"/>
          <w:highlight w:val="none"/>
          <w:lang w:val="en-US" w:eastAsia="zh-CN" w:bidi="ar-SA"/>
        </w:rPr>
        <w:t>好氧池</w:t>
      </w:r>
      <w:r>
        <w:rPr>
          <w:rFonts w:hint="default" w:ascii="Times New Roman" w:hAnsi="Times New Roman" w:eastAsia="宋体" w:cs="Times New Roman"/>
          <w:color w:val="auto"/>
          <w:kern w:val="2"/>
          <w:sz w:val="24"/>
          <w:szCs w:val="24"/>
          <w:lang w:val="en-US" w:eastAsia="zh-CN" w:bidi="ar-SA"/>
        </w:rPr>
        <w:t>”，深度处理采用“</w:t>
      </w:r>
      <w:r>
        <w:rPr>
          <w:rFonts w:hint="eastAsia" w:ascii="Times New Roman" w:hAnsi="Times New Roman" w:eastAsia="宋体" w:cs="Times New Roman"/>
          <w:b w:val="0"/>
          <w:bCs w:val="0"/>
          <w:kern w:val="2"/>
          <w:sz w:val="24"/>
          <w:szCs w:val="24"/>
          <w:highlight w:val="none"/>
          <w:lang w:val="en-US" w:eastAsia="zh-CN" w:bidi="ar-SA"/>
        </w:rPr>
        <w:t>MBR生物池</w:t>
      </w:r>
      <w:r>
        <w:rPr>
          <w:rFonts w:hint="default" w:ascii="Times New Roman" w:hAnsi="Times New Roman" w:eastAsia="宋体" w:cs="Times New Roman"/>
          <w:color w:val="auto"/>
          <w:kern w:val="2"/>
          <w:sz w:val="24"/>
          <w:szCs w:val="24"/>
          <w:lang w:val="en-US" w:eastAsia="zh-CN" w:bidi="ar-SA"/>
        </w:rPr>
        <w:t>”，满足《排污许可证申请与核发技术规范 水处理（试行）》（HJ978-2018）污染防治可行技术，属于可行性技术。</w:t>
      </w:r>
    </w:p>
    <w:p>
      <w:pPr>
        <w:jc w:val="both"/>
        <w:rPr>
          <w:rFonts w:hint="default" w:asciiTheme="minorHAnsi" w:hAnsiTheme="minorHAnsi" w:eastAsiaTheme="minorEastAsia"/>
          <w:b w:val="0"/>
          <w:sz w:val="21"/>
          <w:lang w:val="en-US" w:eastAsia="zh-CN"/>
        </w:rPr>
      </w:pPr>
      <w:r>
        <w:rPr>
          <w:rFonts w:hint="eastAsia" w:ascii="Times New Roman" w:hAnsi="Times New Roman" w:eastAsia="宋体"/>
          <w:b w:val="0"/>
          <w:sz w:val="21"/>
          <w:lang w:val="en-US" w:eastAsia="zh-CN"/>
        </w:rPr>
        <w:t>1.2.2</w:t>
      </w:r>
      <w:r>
        <w:rPr>
          <w:rFonts w:hint="eastAsia" w:asciiTheme="minorHAnsi" w:hAnsiTheme="minorHAnsi" w:eastAsiaTheme="minorEastAsia"/>
          <w:b w:val="0"/>
          <w:sz w:val="21"/>
          <w:highlight w:val="none"/>
        </w:rPr>
        <w:t>废水处理依托</w:t>
      </w:r>
      <w:r>
        <w:rPr>
          <w:rFonts w:hint="eastAsia" w:asciiTheme="minorHAnsi" w:hAnsiTheme="minorHAnsi" w:eastAsiaTheme="minorEastAsia"/>
          <w:b w:val="0"/>
          <w:sz w:val="21"/>
          <w:lang w:val="en-US" w:eastAsia="zh-CN"/>
        </w:rPr>
        <w:t>吉木萨尔县污水处理厂</w:t>
      </w:r>
      <w:r>
        <w:rPr>
          <w:rFonts w:asciiTheme="minorHAnsi" w:hAnsiTheme="minorHAnsi" w:eastAsiaTheme="minorEastAsia"/>
          <w:b w:val="0"/>
          <w:sz w:val="21"/>
          <w:highlight w:val="none"/>
        </w:rPr>
        <w:t>的可行性</w:t>
      </w:r>
    </w:p>
    <w:p>
      <w:pPr>
        <w:widowControl w:val="0"/>
        <w:bidi w:val="0"/>
        <w:spacing w:line="360" w:lineRule="auto"/>
        <w:ind w:firstLine="480" w:firstLineChars="200"/>
        <w:jc w:val="both"/>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（1）环保手续</w:t>
      </w:r>
    </w:p>
    <w:p>
      <w:pPr>
        <w:widowControl w:val="0"/>
        <w:bidi w:val="0"/>
        <w:spacing w:line="360" w:lineRule="auto"/>
        <w:ind w:firstLine="480" w:firstLineChars="200"/>
        <w:jc w:val="left"/>
        <w:rPr>
          <w:rFonts w:ascii="Times New Roman" w:hAnsi="Times New Roman" w:eastAsia="宋体" w:cstheme="minorBidi"/>
          <w:kern w:val="2"/>
          <w:sz w:val="24"/>
          <w:szCs w:val="24"/>
          <w:lang w:val="en-US" w:eastAsia="zh-CN" w:bidi="ar-SA"/>
        </w:rPr>
      </w:pPr>
      <w:r>
        <w:rPr>
          <w:rFonts w:hint="default" w:ascii="Times New Roman" w:hAnsi="Times New Roman" w:eastAsia="宋体" w:cstheme="minorBidi"/>
          <w:kern w:val="2"/>
          <w:sz w:val="24"/>
          <w:szCs w:val="24"/>
          <w:lang w:val="en-US" w:eastAsia="zh-CN" w:bidi="ar-SA"/>
        </w:rPr>
        <w:t>2015</w:t>
      </w:r>
      <w:r>
        <w:rPr>
          <w:rFonts w:hint="eastAsia" w:ascii="Times New Roman" w:hAnsi="Times New Roman" w:eastAsia="宋体" w:cstheme="minorBidi"/>
          <w:kern w:val="2"/>
          <w:sz w:val="24"/>
          <w:szCs w:val="24"/>
          <w:lang w:val="en-US" w:eastAsia="zh-CN" w:bidi="ar-SA"/>
        </w:rPr>
        <w:t>年</w:t>
      </w:r>
      <w:r>
        <w:rPr>
          <w:rFonts w:hint="default" w:ascii="Times New Roman" w:hAnsi="Times New Roman" w:eastAsia="宋体" w:cstheme="minorBidi"/>
          <w:kern w:val="2"/>
          <w:sz w:val="24"/>
          <w:szCs w:val="24"/>
          <w:lang w:val="en-US" w:eastAsia="zh-CN" w:bidi="ar-SA"/>
        </w:rPr>
        <w:t>4</w:t>
      </w:r>
      <w:r>
        <w:rPr>
          <w:rFonts w:hint="eastAsia" w:ascii="Times New Roman" w:hAnsi="Times New Roman" w:eastAsia="宋体" w:cstheme="minorBidi"/>
          <w:kern w:val="2"/>
          <w:sz w:val="24"/>
          <w:szCs w:val="24"/>
          <w:lang w:val="en-US" w:eastAsia="zh-CN" w:bidi="ar-SA"/>
        </w:rPr>
        <w:t>月《吉木萨尔县污水处理厂工程环境影响报告书》编制完成，</w:t>
      </w:r>
      <w:r>
        <w:rPr>
          <w:rFonts w:hint="default" w:ascii="Times New Roman" w:hAnsi="Times New Roman" w:eastAsia="宋体" w:cstheme="minorBidi"/>
          <w:kern w:val="2"/>
          <w:sz w:val="24"/>
          <w:szCs w:val="24"/>
          <w:lang w:val="en-US" w:eastAsia="zh-CN" w:bidi="ar-SA"/>
        </w:rPr>
        <w:t>2015</w:t>
      </w:r>
      <w:r>
        <w:rPr>
          <w:rFonts w:hint="eastAsia" w:ascii="Times New Roman" w:hAnsi="Times New Roman" w:eastAsia="宋体" w:cstheme="minorBidi"/>
          <w:kern w:val="2"/>
          <w:sz w:val="24"/>
          <w:szCs w:val="24"/>
          <w:lang w:val="en-US" w:eastAsia="zh-CN" w:bidi="ar-SA"/>
        </w:rPr>
        <w:t>年</w:t>
      </w:r>
      <w:r>
        <w:rPr>
          <w:rFonts w:hint="default" w:ascii="Times New Roman" w:hAnsi="Times New Roman" w:eastAsia="宋体" w:cstheme="minorBidi"/>
          <w:kern w:val="2"/>
          <w:sz w:val="24"/>
          <w:szCs w:val="24"/>
          <w:lang w:val="en-US" w:eastAsia="zh-CN" w:bidi="ar-SA"/>
        </w:rPr>
        <w:t>4</w:t>
      </w:r>
      <w:r>
        <w:rPr>
          <w:rFonts w:hint="eastAsia" w:ascii="Times New Roman" w:hAnsi="Times New Roman" w:eastAsia="宋体" w:cstheme="minorBidi"/>
          <w:kern w:val="2"/>
          <w:sz w:val="24"/>
          <w:szCs w:val="24"/>
          <w:lang w:val="en-US" w:eastAsia="zh-CN" w:bidi="ar-SA"/>
        </w:rPr>
        <w:t>月</w:t>
      </w:r>
      <w:r>
        <w:rPr>
          <w:rFonts w:hint="default" w:ascii="Times New Roman" w:hAnsi="Times New Roman" w:eastAsia="宋体" w:cstheme="minorBidi"/>
          <w:kern w:val="2"/>
          <w:sz w:val="24"/>
          <w:szCs w:val="24"/>
          <w:lang w:val="en-US" w:eastAsia="zh-CN" w:bidi="ar-SA"/>
        </w:rPr>
        <w:t>13</w:t>
      </w:r>
      <w:r>
        <w:rPr>
          <w:rFonts w:hint="eastAsia" w:ascii="Times New Roman" w:hAnsi="Times New Roman" w:eastAsia="宋体" w:cstheme="minorBidi"/>
          <w:kern w:val="2"/>
          <w:sz w:val="24"/>
          <w:szCs w:val="24"/>
          <w:lang w:val="en-US" w:eastAsia="zh-CN" w:bidi="ar-SA"/>
        </w:rPr>
        <w:t>日吉木萨尔县环境保护局以吉环项发〔</w:t>
      </w:r>
      <w:r>
        <w:rPr>
          <w:rFonts w:hint="default" w:ascii="Times New Roman" w:hAnsi="Times New Roman" w:eastAsia="宋体" w:cstheme="minorBidi"/>
          <w:kern w:val="2"/>
          <w:sz w:val="24"/>
          <w:szCs w:val="24"/>
          <w:lang w:val="en-US" w:eastAsia="zh-CN" w:bidi="ar-SA"/>
        </w:rPr>
        <w:t>2015</w:t>
      </w:r>
      <w:r>
        <w:rPr>
          <w:rFonts w:hint="eastAsia" w:ascii="Times New Roman" w:hAnsi="Times New Roman" w:eastAsia="宋体" w:cstheme="minorBidi"/>
          <w:kern w:val="2"/>
          <w:sz w:val="24"/>
          <w:szCs w:val="24"/>
          <w:lang w:val="en-US" w:eastAsia="zh-CN" w:bidi="ar-SA"/>
        </w:rPr>
        <w:t>〕</w:t>
      </w:r>
      <w:r>
        <w:rPr>
          <w:rFonts w:hint="default" w:ascii="Times New Roman" w:hAnsi="Times New Roman" w:eastAsia="宋体" w:cstheme="minorBidi"/>
          <w:kern w:val="2"/>
          <w:sz w:val="24"/>
          <w:szCs w:val="24"/>
          <w:lang w:val="en-US" w:eastAsia="zh-CN" w:bidi="ar-SA"/>
        </w:rPr>
        <w:t>19</w:t>
      </w:r>
      <w:r>
        <w:rPr>
          <w:rFonts w:hint="eastAsia" w:ascii="Times New Roman" w:hAnsi="Times New Roman" w:eastAsia="宋体" w:cstheme="minorBidi"/>
          <w:kern w:val="2"/>
          <w:sz w:val="24"/>
          <w:szCs w:val="24"/>
          <w:lang w:val="en-US" w:eastAsia="zh-CN" w:bidi="ar-SA"/>
        </w:rPr>
        <w:t>号文对该项目环评提出了审查意见，该环评于</w:t>
      </w:r>
      <w:r>
        <w:rPr>
          <w:rFonts w:hint="default" w:ascii="Times New Roman" w:hAnsi="Times New Roman" w:eastAsia="宋体" w:cstheme="minorBidi"/>
          <w:kern w:val="2"/>
          <w:sz w:val="24"/>
          <w:szCs w:val="24"/>
          <w:lang w:val="en-US" w:eastAsia="zh-CN" w:bidi="ar-SA"/>
        </w:rPr>
        <w:t>2015</w:t>
      </w:r>
      <w:r>
        <w:rPr>
          <w:rFonts w:hint="eastAsia" w:ascii="Times New Roman" w:hAnsi="Times New Roman" w:eastAsia="宋体" w:cstheme="minorBidi"/>
          <w:kern w:val="2"/>
          <w:sz w:val="24"/>
          <w:szCs w:val="24"/>
          <w:lang w:val="en-US" w:eastAsia="zh-CN" w:bidi="ar-SA"/>
        </w:rPr>
        <w:t>年</w:t>
      </w:r>
      <w:r>
        <w:rPr>
          <w:rFonts w:hint="default" w:ascii="Times New Roman" w:hAnsi="Times New Roman" w:eastAsia="宋体" w:cstheme="minorBidi"/>
          <w:kern w:val="2"/>
          <w:sz w:val="24"/>
          <w:szCs w:val="24"/>
          <w:lang w:val="en-US" w:eastAsia="zh-CN" w:bidi="ar-SA"/>
        </w:rPr>
        <w:t>6</w:t>
      </w:r>
      <w:r>
        <w:rPr>
          <w:rFonts w:hint="eastAsia" w:ascii="Times New Roman" w:hAnsi="Times New Roman" w:eastAsia="宋体" w:cstheme="minorBidi"/>
          <w:kern w:val="2"/>
          <w:sz w:val="24"/>
          <w:szCs w:val="24"/>
          <w:lang w:val="en-US" w:eastAsia="zh-CN" w:bidi="ar-SA"/>
        </w:rPr>
        <w:t>月</w:t>
      </w:r>
      <w:r>
        <w:rPr>
          <w:rFonts w:hint="default" w:ascii="Times New Roman" w:hAnsi="Times New Roman" w:eastAsia="宋体" w:cstheme="minorBidi"/>
          <w:kern w:val="2"/>
          <w:sz w:val="24"/>
          <w:szCs w:val="24"/>
          <w:lang w:val="en-US" w:eastAsia="zh-CN" w:bidi="ar-SA"/>
        </w:rPr>
        <w:t>1</w:t>
      </w:r>
      <w:r>
        <w:rPr>
          <w:rFonts w:hint="eastAsia" w:ascii="Times New Roman" w:hAnsi="Times New Roman" w:eastAsia="宋体" w:cstheme="minorBidi"/>
          <w:kern w:val="2"/>
          <w:sz w:val="24"/>
          <w:szCs w:val="24"/>
          <w:lang w:val="en-US" w:eastAsia="zh-CN" w:bidi="ar-SA"/>
        </w:rPr>
        <w:t>日取得原新疆昌吉州环境保护局的批复（昌州环评〔</w:t>
      </w:r>
      <w:r>
        <w:rPr>
          <w:rFonts w:hint="default" w:ascii="Times New Roman" w:hAnsi="Times New Roman" w:eastAsia="宋体" w:cstheme="minorBidi"/>
          <w:kern w:val="2"/>
          <w:sz w:val="24"/>
          <w:szCs w:val="24"/>
          <w:lang w:val="en-US" w:eastAsia="zh-CN" w:bidi="ar-SA"/>
        </w:rPr>
        <w:t>2015</w:t>
      </w:r>
      <w:r>
        <w:rPr>
          <w:rFonts w:hint="eastAsia" w:ascii="Times New Roman" w:hAnsi="Times New Roman" w:eastAsia="宋体" w:cstheme="minorBidi"/>
          <w:kern w:val="2"/>
          <w:sz w:val="24"/>
          <w:szCs w:val="24"/>
          <w:lang w:val="en-US" w:eastAsia="zh-CN" w:bidi="ar-SA"/>
        </w:rPr>
        <w:t>〕</w:t>
      </w:r>
      <w:r>
        <w:rPr>
          <w:rFonts w:hint="default" w:ascii="Times New Roman" w:hAnsi="Times New Roman" w:eastAsia="宋体" w:cstheme="minorBidi"/>
          <w:kern w:val="2"/>
          <w:sz w:val="24"/>
          <w:szCs w:val="24"/>
          <w:lang w:val="en-US" w:eastAsia="zh-CN" w:bidi="ar-SA"/>
        </w:rPr>
        <w:t>48</w:t>
      </w:r>
      <w:r>
        <w:rPr>
          <w:rFonts w:hint="eastAsia" w:ascii="Times New Roman" w:hAnsi="Times New Roman" w:eastAsia="宋体" w:cstheme="minorBidi"/>
          <w:kern w:val="2"/>
          <w:sz w:val="24"/>
          <w:szCs w:val="24"/>
          <w:lang w:val="en-US" w:eastAsia="zh-CN" w:bidi="ar-SA"/>
        </w:rPr>
        <w:t>号），工程于</w:t>
      </w:r>
      <w:r>
        <w:rPr>
          <w:rFonts w:hint="default" w:ascii="Times New Roman" w:hAnsi="Times New Roman" w:eastAsia="宋体" w:cstheme="minorBidi"/>
          <w:kern w:val="2"/>
          <w:sz w:val="24"/>
          <w:szCs w:val="24"/>
          <w:lang w:val="en-US" w:eastAsia="zh-CN" w:bidi="ar-SA"/>
        </w:rPr>
        <w:t>2015</w:t>
      </w:r>
      <w:r>
        <w:rPr>
          <w:rFonts w:hint="eastAsia" w:ascii="Times New Roman" w:hAnsi="Times New Roman" w:eastAsia="宋体" w:cstheme="minorBidi"/>
          <w:kern w:val="2"/>
          <w:sz w:val="24"/>
          <w:szCs w:val="24"/>
          <w:lang w:val="en-US" w:eastAsia="zh-CN" w:bidi="ar-SA"/>
        </w:rPr>
        <w:t>年</w:t>
      </w:r>
      <w:r>
        <w:rPr>
          <w:rFonts w:hint="default" w:ascii="Times New Roman" w:hAnsi="Times New Roman" w:eastAsia="宋体" w:cstheme="minorBidi"/>
          <w:kern w:val="2"/>
          <w:sz w:val="24"/>
          <w:szCs w:val="24"/>
          <w:lang w:val="en-US" w:eastAsia="zh-CN" w:bidi="ar-SA"/>
        </w:rPr>
        <w:t>6</w:t>
      </w:r>
      <w:r>
        <w:rPr>
          <w:rFonts w:hint="eastAsia" w:ascii="Times New Roman" w:hAnsi="Times New Roman" w:eastAsia="宋体" w:cstheme="minorBidi"/>
          <w:kern w:val="2"/>
          <w:sz w:val="24"/>
          <w:szCs w:val="24"/>
          <w:lang w:val="en-US" w:eastAsia="zh-CN" w:bidi="ar-SA"/>
        </w:rPr>
        <w:t>月动工开建，</w:t>
      </w:r>
      <w:r>
        <w:rPr>
          <w:rFonts w:hint="default" w:ascii="Times New Roman" w:hAnsi="Times New Roman" w:eastAsia="宋体" w:cstheme="minorBidi"/>
          <w:kern w:val="2"/>
          <w:sz w:val="24"/>
          <w:szCs w:val="24"/>
          <w:lang w:val="en-US" w:eastAsia="zh-CN" w:bidi="ar-SA"/>
        </w:rPr>
        <w:t>2017</w:t>
      </w:r>
      <w:r>
        <w:rPr>
          <w:rFonts w:hint="eastAsia" w:ascii="Times New Roman" w:hAnsi="Times New Roman" w:eastAsia="宋体" w:cstheme="minorBidi"/>
          <w:kern w:val="2"/>
          <w:sz w:val="24"/>
          <w:szCs w:val="24"/>
          <w:lang w:val="en-US" w:eastAsia="zh-CN" w:bidi="ar-SA"/>
        </w:rPr>
        <w:t>年</w:t>
      </w:r>
      <w:r>
        <w:rPr>
          <w:rFonts w:hint="default" w:ascii="Times New Roman" w:hAnsi="Times New Roman" w:eastAsia="宋体" w:cstheme="minorBidi"/>
          <w:kern w:val="2"/>
          <w:sz w:val="24"/>
          <w:szCs w:val="24"/>
          <w:lang w:val="en-US" w:eastAsia="zh-CN" w:bidi="ar-SA"/>
        </w:rPr>
        <w:t>10</w:t>
      </w:r>
      <w:r>
        <w:rPr>
          <w:rFonts w:hint="eastAsia" w:ascii="Times New Roman" w:hAnsi="Times New Roman" w:eastAsia="宋体" w:cstheme="minorBidi"/>
          <w:kern w:val="2"/>
          <w:sz w:val="24"/>
          <w:szCs w:val="24"/>
          <w:lang w:val="en-US" w:eastAsia="zh-CN" w:bidi="ar-SA"/>
        </w:rPr>
        <w:t>月建成并投入试运行，并于</w:t>
      </w:r>
      <w:r>
        <w:rPr>
          <w:rFonts w:hint="default" w:ascii="Times New Roman" w:hAnsi="Times New Roman" w:eastAsia="宋体" w:cstheme="minorBidi"/>
          <w:kern w:val="2"/>
          <w:sz w:val="24"/>
          <w:szCs w:val="24"/>
          <w:lang w:val="en-US" w:eastAsia="zh-CN" w:bidi="ar-SA"/>
        </w:rPr>
        <w:t>2018</w:t>
      </w:r>
      <w:r>
        <w:rPr>
          <w:rFonts w:hint="eastAsia" w:ascii="Times New Roman" w:hAnsi="Times New Roman" w:eastAsia="宋体" w:cstheme="minorBidi"/>
          <w:kern w:val="2"/>
          <w:sz w:val="24"/>
          <w:szCs w:val="24"/>
          <w:lang w:val="en-US" w:eastAsia="zh-CN" w:bidi="ar-SA"/>
        </w:rPr>
        <w:t>年</w:t>
      </w:r>
      <w:r>
        <w:rPr>
          <w:rFonts w:hint="default" w:ascii="Times New Roman" w:hAnsi="Times New Roman" w:eastAsia="宋体" w:cstheme="minorBidi"/>
          <w:kern w:val="2"/>
          <w:sz w:val="24"/>
          <w:szCs w:val="24"/>
          <w:lang w:val="en-US" w:eastAsia="zh-CN" w:bidi="ar-SA"/>
        </w:rPr>
        <w:t>9</w:t>
      </w:r>
      <w:r>
        <w:rPr>
          <w:rFonts w:hint="eastAsia" w:ascii="Times New Roman" w:hAnsi="Times New Roman" w:eastAsia="宋体" w:cstheme="minorBidi"/>
          <w:kern w:val="2"/>
          <w:sz w:val="24"/>
          <w:szCs w:val="24"/>
          <w:lang w:val="en-US" w:eastAsia="zh-CN" w:bidi="ar-SA"/>
        </w:rPr>
        <w:t>月通过了原昌吉州环境保护局的竣工环境保护验收。</w:t>
      </w:r>
    </w:p>
    <w:p>
      <w:pPr>
        <w:widowControl w:val="0"/>
        <w:bidi w:val="0"/>
        <w:spacing w:line="360" w:lineRule="auto"/>
        <w:ind w:firstLine="480" w:firstLineChars="200"/>
        <w:jc w:val="both"/>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（2）污水处理厂概况</w:t>
      </w:r>
    </w:p>
    <w:p>
      <w:pPr>
        <w:widowControl w:val="0"/>
        <w:bidi w:val="0"/>
        <w:spacing w:line="360" w:lineRule="auto"/>
        <w:ind w:firstLine="480" w:firstLineChars="200"/>
        <w:jc w:val="both"/>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吉木萨尔县第二污水处理厂位于县城东北15公里，占地面积200多亩。</w:t>
      </w:r>
      <w:r>
        <w:rPr>
          <w:rFonts w:hint="default" w:ascii="Times New Roman" w:hAnsi="Times New Roman" w:eastAsia="宋体" w:cstheme="minorBidi"/>
          <w:kern w:val="2"/>
          <w:sz w:val="24"/>
          <w:szCs w:val="24"/>
          <w:lang w:val="de-DE" w:eastAsia="zh-CN" w:bidi="ar-SA"/>
        </w:rPr>
        <w:t>处理规模为</w:t>
      </w:r>
      <w:r>
        <w:rPr>
          <w:rFonts w:hint="eastAsia" w:ascii="Times New Roman" w:hAnsi="Times New Roman" w:eastAsia="宋体" w:cstheme="minorBidi"/>
          <w:kern w:val="2"/>
          <w:sz w:val="24"/>
          <w:szCs w:val="24"/>
          <w:lang w:val="en-US" w:eastAsia="zh-CN" w:bidi="ar-SA"/>
        </w:rPr>
        <w:t>3</w:t>
      </w:r>
      <w:r>
        <w:rPr>
          <w:rFonts w:hint="default" w:ascii="Times New Roman" w:hAnsi="Times New Roman" w:eastAsia="宋体" w:cstheme="minorBidi"/>
          <w:kern w:val="2"/>
          <w:sz w:val="24"/>
          <w:szCs w:val="24"/>
          <w:lang w:val="de-DE" w:eastAsia="zh-CN" w:bidi="ar-SA"/>
        </w:rPr>
        <w:t>万立方米每日</w:t>
      </w:r>
      <w:r>
        <w:rPr>
          <w:rFonts w:hint="default" w:ascii="Times New Roman" w:hAnsi="Times New Roman" w:eastAsia="宋体" w:cstheme="minorBidi"/>
          <w:kern w:val="2"/>
          <w:sz w:val="24"/>
          <w:szCs w:val="24"/>
          <w:lang w:val="en-US" w:eastAsia="zh-CN" w:bidi="ar-SA"/>
        </w:rPr>
        <w:t>，实际建设规模为处理污水量1万m</w:t>
      </w:r>
      <w:r>
        <w:rPr>
          <w:rFonts w:hint="default" w:ascii="Times New Roman" w:hAnsi="Times New Roman" w:eastAsia="宋体" w:cstheme="minorBidi"/>
          <w:kern w:val="2"/>
          <w:sz w:val="24"/>
          <w:szCs w:val="24"/>
          <w:vertAlign w:val="superscript"/>
          <w:lang w:val="en-US" w:eastAsia="zh-CN" w:bidi="ar-SA"/>
        </w:rPr>
        <w:t>3</w:t>
      </w:r>
      <w:r>
        <w:rPr>
          <w:rFonts w:hint="default" w:ascii="Times New Roman" w:hAnsi="Times New Roman" w:eastAsia="宋体" w:cstheme="minorBidi"/>
          <w:kern w:val="2"/>
          <w:sz w:val="24"/>
          <w:szCs w:val="24"/>
          <w:lang w:val="en-US" w:eastAsia="zh-CN" w:bidi="ar-SA"/>
        </w:rPr>
        <w:t>/d。</w:t>
      </w:r>
      <w:r>
        <w:rPr>
          <w:rFonts w:hint="eastAsia" w:ascii="Times New Roman" w:hAnsi="Times New Roman" w:eastAsia="宋体" w:cstheme="minorBidi"/>
          <w:kern w:val="2"/>
          <w:sz w:val="24"/>
          <w:szCs w:val="24"/>
          <w:lang w:val="en-US" w:eastAsia="zh-CN" w:bidi="ar-SA"/>
        </w:rPr>
        <w:t>项目总投资</w:t>
      </w:r>
      <w:r>
        <w:rPr>
          <w:rFonts w:hint="default" w:ascii="Times New Roman" w:hAnsi="Times New Roman" w:eastAsia="宋体" w:cstheme="minorBidi"/>
          <w:kern w:val="2"/>
          <w:sz w:val="24"/>
          <w:szCs w:val="24"/>
          <w:lang w:val="en-US" w:eastAsia="zh-CN" w:bidi="ar-SA"/>
        </w:rPr>
        <w:t>12628.47</w:t>
      </w:r>
      <w:r>
        <w:rPr>
          <w:rFonts w:hint="eastAsia" w:ascii="Times New Roman" w:hAnsi="Times New Roman" w:eastAsia="宋体" w:cstheme="minorBidi"/>
          <w:kern w:val="2"/>
          <w:sz w:val="24"/>
          <w:szCs w:val="24"/>
          <w:lang w:val="en-US" w:eastAsia="zh-CN" w:bidi="ar-SA"/>
        </w:rPr>
        <w:t>万元，该污水处理厂采用“强化脱氮改良</w:t>
      </w:r>
      <w:r>
        <w:rPr>
          <w:rFonts w:hint="default" w:ascii="Times New Roman" w:hAnsi="Times New Roman" w:eastAsia="宋体" w:cstheme="minorBidi"/>
          <w:kern w:val="2"/>
          <w:sz w:val="24"/>
          <w:szCs w:val="24"/>
          <w:lang w:val="en-US" w:eastAsia="zh-CN" w:bidi="ar-SA"/>
        </w:rPr>
        <w:t>A</w:t>
      </w:r>
      <w:r>
        <w:rPr>
          <w:rFonts w:hint="default" w:ascii="Times New Roman" w:hAnsi="Times New Roman" w:eastAsia="宋体" w:cstheme="minorBidi"/>
          <w:kern w:val="2"/>
          <w:sz w:val="24"/>
          <w:szCs w:val="24"/>
          <w:vertAlign w:val="superscript"/>
          <w:lang w:val="en-US" w:eastAsia="zh-CN" w:bidi="ar-SA"/>
        </w:rPr>
        <w:t>2</w:t>
      </w:r>
      <w:r>
        <w:rPr>
          <w:rFonts w:hint="default" w:ascii="Times New Roman" w:hAnsi="Times New Roman" w:eastAsia="宋体" w:cstheme="minorBidi"/>
          <w:kern w:val="2"/>
          <w:sz w:val="24"/>
          <w:szCs w:val="24"/>
          <w:lang w:val="en-US" w:eastAsia="zh-CN" w:bidi="ar-SA"/>
        </w:rPr>
        <w:t>/O</w:t>
      </w:r>
      <w:r>
        <w:rPr>
          <w:rFonts w:hint="eastAsia" w:ascii="Times New Roman" w:hAnsi="Times New Roman" w:eastAsia="宋体" w:cstheme="minorBidi"/>
          <w:kern w:val="2"/>
          <w:sz w:val="24"/>
          <w:szCs w:val="24"/>
          <w:lang w:val="en-US" w:eastAsia="zh-CN" w:bidi="ar-SA"/>
        </w:rPr>
        <w:t>工艺</w:t>
      </w:r>
      <w:r>
        <w:rPr>
          <w:rFonts w:hint="default" w:ascii="Times New Roman" w:hAnsi="Times New Roman" w:eastAsia="宋体" w:cstheme="minorBidi"/>
          <w:kern w:val="2"/>
          <w:sz w:val="24"/>
          <w:szCs w:val="24"/>
          <w:lang w:val="en-US" w:eastAsia="zh-CN" w:bidi="ar-SA"/>
        </w:rPr>
        <w:t>+</w:t>
      </w:r>
      <w:r>
        <w:rPr>
          <w:rFonts w:hint="eastAsia" w:ascii="Times New Roman" w:hAnsi="Times New Roman" w:eastAsia="宋体" w:cstheme="minorBidi"/>
          <w:kern w:val="2"/>
          <w:sz w:val="24"/>
          <w:szCs w:val="24"/>
          <w:lang w:val="en-US" w:eastAsia="zh-CN" w:bidi="ar-SA"/>
        </w:rPr>
        <w:t>絮凝沉淀滤布滤池”工艺处理后废水达到《城镇污水处理厂污染物排放标准》（</w:t>
      </w:r>
      <w:r>
        <w:rPr>
          <w:rFonts w:hint="default" w:ascii="Times New Roman" w:hAnsi="Times New Roman" w:eastAsia="宋体" w:cstheme="minorBidi"/>
          <w:kern w:val="2"/>
          <w:sz w:val="24"/>
          <w:szCs w:val="24"/>
          <w:lang w:val="en-US" w:eastAsia="zh-CN" w:bidi="ar-SA"/>
        </w:rPr>
        <w:t>GB18918-2002</w:t>
      </w:r>
      <w:r>
        <w:rPr>
          <w:rFonts w:hint="eastAsia" w:ascii="Times New Roman" w:hAnsi="Times New Roman" w:eastAsia="宋体" w:cstheme="minorBidi"/>
          <w:kern w:val="2"/>
          <w:sz w:val="24"/>
          <w:szCs w:val="24"/>
          <w:lang w:val="en-US" w:eastAsia="zh-CN" w:bidi="ar-SA"/>
        </w:rPr>
        <w:t>）中一级</w:t>
      </w:r>
      <w:r>
        <w:rPr>
          <w:rFonts w:hint="default" w:ascii="Times New Roman" w:hAnsi="Times New Roman" w:eastAsia="宋体" w:cstheme="minorBidi"/>
          <w:kern w:val="2"/>
          <w:sz w:val="24"/>
          <w:szCs w:val="24"/>
          <w:lang w:val="en-US" w:eastAsia="zh-CN" w:bidi="ar-SA"/>
        </w:rPr>
        <w:t>A</w:t>
      </w:r>
      <w:r>
        <w:rPr>
          <w:rFonts w:hint="eastAsia" w:ascii="Times New Roman" w:hAnsi="Times New Roman" w:eastAsia="宋体" w:cstheme="minorBidi"/>
          <w:kern w:val="2"/>
          <w:sz w:val="24"/>
          <w:szCs w:val="24"/>
          <w:lang w:val="en-US" w:eastAsia="zh-CN" w:bidi="ar-SA"/>
        </w:rPr>
        <w:t>标准后，排水回用于下游生态林建设及电解铝厂的生产用水。</w:t>
      </w:r>
    </w:p>
    <w:p>
      <w:pPr>
        <w:widowControl w:val="0"/>
        <w:bidi w:val="0"/>
        <w:spacing w:line="360" w:lineRule="auto"/>
        <w:ind w:firstLine="480" w:firstLineChars="200"/>
        <w:jc w:val="both"/>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吉木萨尔县污水处理厂目前运行中实际处理量在0.6~0.7万m</w:t>
      </w:r>
      <w:r>
        <w:rPr>
          <w:rFonts w:hint="eastAsia" w:ascii="Times New Roman" w:hAnsi="Times New Roman" w:eastAsia="宋体" w:cstheme="minorBidi"/>
          <w:kern w:val="2"/>
          <w:sz w:val="24"/>
          <w:szCs w:val="24"/>
          <w:vertAlign w:val="superscript"/>
          <w:lang w:val="en-US" w:eastAsia="zh-CN" w:bidi="ar-SA"/>
        </w:rPr>
        <w:t>3</w:t>
      </w:r>
      <w:r>
        <w:rPr>
          <w:rFonts w:hint="eastAsia" w:ascii="Times New Roman" w:hAnsi="Times New Roman" w:eastAsia="宋体" w:cstheme="minorBidi"/>
          <w:kern w:val="2"/>
          <w:sz w:val="24"/>
          <w:szCs w:val="24"/>
          <w:lang w:val="en-US" w:eastAsia="zh-CN" w:bidi="ar-SA"/>
        </w:rPr>
        <w:t>/d，剩余处理量0.3~0.4万m</w:t>
      </w:r>
      <w:r>
        <w:rPr>
          <w:rFonts w:hint="eastAsia" w:ascii="Times New Roman" w:hAnsi="Times New Roman" w:eastAsia="宋体" w:cstheme="minorBidi"/>
          <w:kern w:val="2"/>
          <w:sz w:val="24"/>
          <w:szCs w:val="24"/>
          <w:vertAlign w:val="superscript"/>
          <w:lang w:val="en-US" w:eastAsia="zh-CN" w:bidi="ar-SA"/>
        </w:rPr>
        <w:t>3</w:t>
      </w:r>
      <w:r>
        <w:rPr>
          <w:rFonts w:hint="eastAsia" w:ascii="Times New Roman" w:hAnsi="Times New Roman" w:eastAsia="宋体" w:cstheme="minorBidi"/>
          <w:kern w:val="2"/>
          <w:sz w:val="24"/>
          <w:szCs w:val="24"/>
          <w:lang w:val="en-US" w:eastAsia="zh-CN" w:bidi="ar-SA"/>
        </w:rPr>
        <w:t>/d，本项目废水排放量为180.624m³/d（54187.2m³/a），小于其设计污水剩余处理能力。</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default" w:ascii="Times New Roman" w:hAnsi="Times New Roman" w:eastAsia="宋体" w:cstheme="minorBidi"/>
          <w:kern w:val="2"/>
          <w:sz w:val="24"/>
          <w:szCs w:val="24"/>
          <w:lang w:val="en-US" w:eastAsia="zh-CN" w:bidi="ar-SA"/>
        </w:rPr>
        <w:t>综上，本项目水质、水量、管网建设情况都满足纳管要求，且本项目废水纳管后不会影响污水处理厂的正常运行。</w:t>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按风险评价导则要求，核实风险物质识别，核实Q值，完善环境风险评价内容及风险防范措施；</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修改说明：P38</w:t>
      </w:r>
    </w:p>
    <w:p>
      <w:pPr>
        <w:widowControl w:val="0"/>
        <w:spacing w:line="360" w:lineRule="auto"/>
        <w:ind w:firstLine="480" w:firstLineChars="200"/>
        <w:jc w:val="both"/>
        <w:rPr>
          <w:rFonts w:hint="eastAsia" w:ascii="Times New Roman" w:hAnsi="Times New Roman" w:eastAsia="宋体" w:cstheme="minorBidi"/>
          <w:color w:val="auto"/>
          <w:kern w:val="2"/>
          <w:sz w:val="24"/>
          <w:szCs w:val="24"/>
          <w:lang w:val="en-US" w:eastAsia="zh-CN" w:bidi="ar-SA"/>
        </w:rPr>
      </w:pPr>
      <w:r>
        <w:rPr>
          <w:rFonts w:ascii="Times New Roman" w:hAnsi="Times New Roman" w:eastAsia="宋体" w:cstheme="minorBidi"/>
          <w:color w:val="auto"/>
          <w:kern w:val="2"/>
          <w:sz w:val="24"/>
          <w:szCs w:val="24"/>
          <w:lang w:val="en-US" w:eastAsia="zh-CN" w:bidi="ar-SA"/>
        </w:rPr>
        <w:t>根据《建设项目环境风险评价技术导则》（HJ169-2018）附录B</w:t>
      </w:r>
      <w:r>
        <w:rPr>
          <w:rFonts w:hint="eastAsia" w:ascii="Times New Roman" w:hAnsi="Times New Roman" w:eastAsia="宋体" w:cstheme="minorBidi"/>
          <w:color w:val="auto"/>
          <w:kern w:val="2"/>
          <w:sz w:val="24"/>
          <w:szCs w:val="24"/>
          <w:lang w:val="en-US" w:eastAsia="zh-CN" w:bidi="ar-SA"/>
        </w:rPr>
        <w:t>重点</w:t>
      </w:r>
      <w:r>
        <w:rPr>
          <w:rFonts w:hint="default" w:ascii="Times New Roman" w:hAnsi="Times New Roman" w:eastAsia="宋体" w:cstheme="minorBidi"/>
          <w:color w:val="auto"/>
          <w:kern w:val="2"/>
          <w:sz w:val="24"/>
          <w:szCs w:val="24"/>
          <w:highlight w:val="none"/>
          <w:u w:val="none"/>
          <w:lang w:val="en-US" w:eastAsia="zh-CN" w:bidi="ar-SA"/>
        </w:rPr>
        <w:t>以及《危险化学品重大危险源辨识》（GB18218-2018），本项目</w:t>
      </w:r>
      <w:r>
        <w:rPr>
          <w:rFonts w:hint="eastAsia" w:ascii="Times New Roman" w:hAnsi="Times New Roman" w:eastAsia="宋体" w:cstheme="minorBidi"/>
          <w:color w:val="auto"/>
          <w:kern w:val="2"/>
          <w:sz w:val="24"/>
          <w:szCs w:val="24"/>
          <w:highlight w:val="none"/>
          <w:u w:val="none"/>
          <w:lang w:val="en-US" w:eastAsia="zh-CN" w:bidi="ar-SA"/>
        </w:rPr>
        <w:t>使用的材料有机氯漂液中含有的氯酸钾为</w:t>
      </w:r>
      <w:r>
        <w:rPr>
          <w:rFonts w:hint="default" w:ascii="Times New Roman" w:hAnsi="Times New Roman" w:eastAsia="宋体" w:cstheme="minorBidi"/>
          <w:color w:val="auto"/>
          <w:kern w:val="2"/>
          <w:sz w:val="24"/>
          <w:szCs w:val="24"/>
          <w:highlight w:val="none"/>
          <w:u w:val="none"/>
          <w:lang w:val="en-US" w:eastAsia="zh-CN" w:bidi="ar-SA"/>
        </w:rPr>
        <w:t>风险物质</w:t>
      </w:r>
      <w:r>
        <w:rPr>
          <w:rFonts w:hint="eastAsia" w:ascii="Times New Roman" w:hAnsi="Times New Roman" w:eastAsia="宋体" w:cstheme="minorBidi"/>
          <w:color w:val="auto"/>
          <w:kern w:val="2"/>
          <w:sz w:val="24"/>
          <w:szCs w:val="24"/>
          <w:highlight w:val="none"/>
          <w:u w:val="none"/>
          <w:lang w:val="en-US" w:eastAsia="zh-CN" w:bidi="ar-SA"/>
        </w:rPr>
        <w:t>，</w:t>
      </w:r>
      <w:r>
        <w:rPr>
          <w:rFonts w:hint="eastAsia" w:ascii="Times New Roman" w:hAnsi="Times New Roman" w:eastAsia="宋体" w:cstheme="minorBidi"/>
          <w:color w:val="auto"/>
          <w:kern w:val="2"/>
          <w:sz w:val="24"/>
          <w:szCs w:val="24"/>
          <w:lang w:val="en-US" w:eastAsia="zh-CN" w:bidi="ar-SA"/>
        </w:rPr>
        <w:t>本项目所涉及的风险物质及其临界量见下表：</w:t>
      </w:r>
    </w:p>
    <w:p>
      <w:pPr>
        <w:widowControl w:val="0"/>
        <w:bidi w:val="0"/>
        <w:spacing w:line="360" w:lineRule="auto"/>
        <w:jc w:val="center"/>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t>表4-11    建设项目</w:t>
      </w:r>
      <w:r>
        <w:rPr>
          <w:rFonts w:hint="eastAsia" w:asciiTheme="minorHAnsi" w:hAnsiTheme="minorHAnsi" w:eastAsiaTheme="minorEastAsia" w:cstheme="minorBidi"/>
          <w:color w:val="auto"/>
          <w:kern w:val="2"/>
          <w:sz w:val="21"/>
          <w:szCs w:val="24"/>
          <w:lang w:val="en-US" w:eastAsia="zh-CN" w:bidi="ar-SA"/>
        </w:rPr>
        <w:t>所涉及的风险物质及其临界量一览</w:t>
      </w:r>
      <w:r>
        <w:rPr>
          <w:rFonts w:hint="eastAsia" w:asciiTheme="minorHAnsi" w:hAnsiTheme="minorHAnsi" w:eastAsiaTheme="minorEastAsia" w:cstheme="minorBidi"/>
          <w:kern w:val="2"/>
          <w:sz w:val="21"/>
          <w:szCs w:val="24"/>
          <w:lang w:val="en-US" w:eastAsia="zh-CN" w:bidi="ar-SA"/>
        </w:rPr>
        <w:t>表</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1335"/>
        <w:gridCol w:w="1911"/>
        <w:gridCol w:w="2344"/>
        <w:gridCol w:w="968"/>
        <w:gridCol w:w="12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6" w:type="pct"/>
            <w:tcBorders>
              <w:bottom w:val="single" w:color="000000" w:sz="12" w:space="0"/>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序号</w:t>
            </w:r>
          </w:p>
        </w:tc>
        <w:tc>
          <w:tcPr>
            <w:tcW w:w="783" w:type="pct"/>
            <w:tcBorders>
              <w:bottom w:val="single" w:color="000000" w:sz="12" w:space="0"/>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危险物质名称</w:t>
            </w:r>
          </w:p>
        </w:tc>
        <w:tc>
          <w:tcPr>
            <w:tcW w:w="1121" w:type="pct"/>
            <w:tcBorders>
              <w:bottom w:val="single" w:color="000000" w:sz="12" w:space="0"/>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CAS号</w:t>
            </w:r>
          </w:p>
        </w:tc>
        <w:tc>
          <w:tcPr>
            <w:tcW w:w="1375" w:type="pct"/>
            <w:tcBorders>
              <w:bottom w:val="single" w:color="000000" w:sz="12" w:space="0"/>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最大存在总量</w:t>
            </w:r>
          </w:p>
        </w:tc>
        <w:tc>
          <w:tcPr>
            <w:tcW w:w="568" w:type="pct"/>
            <w:tcBorders>
              <w:bottom w:val="single" w:color="000000" w:sz="12" w:space="0"/>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临界量</w:t>
            </w:r>
          </w:p>
        </w:tc>
        <w:tc>
          <w:tcPr>
            <w:tcW w:w="745" w:type="pct"/>
            <w:tcBorders>
              <w:bottom w:val="single" w:color="000000" w:sz="12" w:space="0"/>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该种危险物质Q值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6"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1</w:t>
            </w:r>
          </w:p>
        </w:tc>
        <w:tc>
          <w:tcPr>
            <w:tcW w:w="783" w:type="pct"/>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天然气</w:t>
            </w:r>
          </w:p>
        </w:tc>
        <w:tc>
          <w:tcPr>
            <w:tcW w:w="1121"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参考甲烷74-82-8</w:t>
            </w:r>
          </w:p>
        </w:tc>
        <w:tc>
          <w:tcPr>
            <w:tcW w:w="137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管道存在量0.002t</w:t>
            </w:r>
          </w:p>
        </w:tc>
        <w:tc>
          <w:tcPr>
            <w:tcW w:w="568"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10</w:t>
            </w:r>
          </w:p>
        </w:tc>
        <w:tc>
          <w:tcPr>
            <w:tcW w:w="74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0.0002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6"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2</w:t>
            </w:r>
          </w:p>
        </w:tc>
        <w:tc>
          <w:tcPr>
            <w:tcW w:w="783" w:type="pct"/>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zh-TW" w:eastAsia="zh-CN" w:bidi="ar-SA"/>
              </w:rPr>
              <w:t>次氯酸钠</w:t>
            </w:r>
          </w:p>
        </w:tc>
        <w:tc>
          <w:tcPr>
            <w:tcW w:w="1121" w:type="pct"/>
            <w:tcBorders>
              <w:tl2br w:val="nil"/>
              <w:tr2bl w:val="nil"/>
            </w:tcBorders>
            <w:vAlign w:val="center"/>
          </w:tcPr>
          <w:p>
            <w:pPr>
              <w:widowControl w:val="0"/>
              <w:bidi w:val="0"/>
              <w:spacing w:line="240" w:lineRule="auto"/>
              <w:ind w:firstLine="0" w:firstLineChars="0"/>
              <w:jc w:val="center"/>
              <w:rPr>
                <w:rFonts w:hint="eastAsia"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8006-61-9</w:t>
            </w:r>
          </w:p>
        </w:tc>
        <w:tc>
          <w:tcPr>
            <w:tcW w:w="137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0.5t</w:t>
            </w:r>
          </w:p>
        </w:tc>
        <w:tc>
          <w:tcPr>
            <w:tcW w:w="568"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100</w:t>
            </w:r>
          </w:p>
        </w:tc>
        <w:tc>
          <w:tcPr>
            <w:tcW w:w="745" w:type="pct"/>
            <w:tcBorders>
              <w:tl2br w:val="nil"/>
              <w:tr2bl w:val="nil"/>
            </w:tcBorders>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0.005</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综上，本</w:t>
      </w:r>
      <w:r>
        <w:rPr>
          <w:rFonts w:ascii="Times New Roman" w:hAnsi="Times New Roman" w:eastAsia="宋体" w:cstheme="minorBidi"/>
          <w:kern w:val="2"/>
          <w:sz w:val="24"/>
          <w:szCs w:val="24"/>
          <w:lang w:val="en-US" w:eastAsia="zh-CN" w:bidi="ar-SA"/>
        </w:rPr>
        <w:t>项目Q</w:t>
      </w:r>
      <w:r>
        <w:rPr>
          <w:rFonts w:hint="eastAsia" w:ascii="Times New Roman" w:hAnsi="Times New Roman" w:eastAsia="宋体" w:cstheme="minorBidi"/>
          <w:kern w:val="2"/>
          <w:sz w:val="24"/>
          <w:szCs w:val="24"/>
          <w:lang w:val="en-US" w:eastAsia="zh-CN" w:bidi="ar-SA"/>
        </w:rPr>
        <w:t>=0.0052</w:t>
      </w:r>
      <w:r>
        <w:rPr>
          <w:rFonts w:ascii="Times New Roman" w:hAnsi="Times New Roman" w:eastAsia="宋体" w:cstheme="minorBidi"/>
          <w:kern w:val="2"/>
          <w:sz w:val="24"/>
          <w:szCs w:val="24"/>
          <w:lang w:val="en-US" w:eastAsia="zh-CN" w:bidi="ar-SA"/>
        </w:rPr>
        <w:t>＜1，本项目环境风险潜势为Ⅰ，根据《建设项目环境风险评价技术导则》</w:t>
      </w:r>
      <w:r>
        <w:rPr>
          <w:rFonts w:hint="eastAsia" w:ascii="Times New Roman" w:hAnsi="Times New Roman" w:eastAsia="宋体" w:cstheme="minorBidi"/>
          <w:kern w:val="2"/>
          <w:sz w:val="24"/>
          <w:szCs w:val="24"/>
          <w:lang w:val="en-US" w:eastAsia="zh-CN" w:bidi="ar-SA"/>
        </w:rPr>
        <w:t>（</w:t>
      </w:r>
      <w:r>
        <w:rPr>
          <w:rFonts w:ascii="Times New Roman" w:hAnsi="Times New Roman" w:eastAsia="宋体" w:cstheme="minorBidi"/>
          <w:kern w:val="2"/>
          <w:sz w:val="24"/>
          <w:szCs w:val="24"/>
          <w:lang w:val="en-US" w:eastAsia="zh-CN" w:bidi="ar-SA"/>
        </w:rPr>
        <w:t>HJ/T169-2018</w:t>
      </w:r>
      <w:r>
        <w:rPr>
          <w:rFonts w:hint="eastAsia" w:ascii="Times New Roman" w:hAnsi="Times New Roman" w:eastAsia="宋体" w:cstheme="minorBidi"/>
          <w:kern w:val="2"/>
          <w:sz w:val="24"/>
          <w:szCs w:val="24"/>
          <w:lang w:val="en-US" w:eastAsia="zh-CN" w:bidi="ar-SA"/>
        </w:rPr>
        <w:t>）</w:t>
      </w:r>
      <w:r>
        <w:rPr>
          <w:rFonts w:ascii="Times New Roman" w:hAnsi="Times New Roman" w:eastAsia="宋体" w:cstheme="minorBidi"/>
          <w:kern w:val="2"/>
          <w:sz w:val="24"/>
          <w:szCs w:val="24"/>
          <w:lang w:val="en-US" w:eastAsia="zh-CN" w:bidi="ar-SA"/>
        </w:rPr>
        <w:t>要求，可开展简单分析。</w:t>
      </w:r>
    </w:p>
    <w:p>
      <w:pPr>
        <w:keepNext/>
        <w:keepLines/>
        <w:widowControl w:val="0"/>
        <w:spacing w:beforeLines="0" w:beforeAutospacing="0" w:afterLines="0" w:afterAutospacing="0" w:line="360" w:lineRule="auto"/>
        <w:jc w:val="both"/>
        <w:outlineLvl w:val="2"/>
        <w:rPr>
          <w:rFonts w:ascii="Times New Roman" w:hAnsi="Times New Roman" w:eastAsiaTheme="minorEastAsia" w:cstheme="minorBidi"/>
          <w:kern w:val="2"/>
          <w:sz w:val="21"/>
          <w:szCs w:val="24"/>
          <w:lang w:val="en-US" w:eastAsia="zh-CN" w:bidi="ar-SA"/>
        </w:rPr>
      </w:pPr>
      <w:r>
        <w:rPr>
          <w:rFonts w:ascii="Times New Roman" w:hAnsi="Times New Roman" w:eastAsiaTheme="minorEastAsia" w:cstheme="minorBidi"/>
          <w:kern w:val="2"/>
          <w:sz w:val="21"/>
          <w:szCs w:val="24"/>
          <w:lang w:val="en-US" w:eastAsia="zh-CN" w:bidi="ar-SA"/>
        </w:rPr>
        <w:t>风险防范措施</w:t>
      </w:r>
    </w:p>
    <w:p>
      <w:pPr>
        <w:widowControl w:val="0"/>
        <w:spacing w:line="360" w:lineRule="auto"/>
        <w:ind w:firstLine="480" w:firstLineChars="200"/>
        <w:jc w:val="both"/>
        <w:rPr>
          <w:rFonts w:ascii="Times New Roman" w:hAnsi="Times New Roman" w:eastAsia="宋体" w:cstheme="minorBidi"/>
          <w:kern w:val="2"/>
          <w:sz w:val="24"/>
          <w:szCs w:val="24"/>
          <w:lang w:val="en-US" w:eastAsia="zh-CN" w:bidi="ar-SA"/>
        </w:rPr>
      </w:pPr>
      <w:r>
        <w:rPr>
          <w:rFonts w:ascii="Times New Roman" w:hAnsi="Times New Roman" w:eastAsia="宋体" w:cstheme="minorBidi"/>
          <w:kern w:val="2"/>
          <w:sz w:val="24"/>
          <w:szCs w:val="24"/>
          <w:lang w:val="en-US" w:eastAsia="zh-CN" w:bidi="ar-SA"/>
        </w:rPr>
        <w:t>本项目具有潜在天然气泄漏产生的爆炸、火灾、中毒等危险性。因此，为使环境风险减小到最低限度，必须加强劳动安全管理，制定完备、有效的安全防范措施，尽可能降低项目环境风险事故发生的概率。</w:t>
      </w:r>
    </w:p>
    <w:p>
      <w:pPr>
        <w:widowControl w:val="0"/>
        <w:spacing w:line="360" w:lineRule="auto"/>
        <w:ind w:firstLine="480" w:firstLineChars="200"/>
        <w:jc w:val="both"/>
        <w:rPr>
          <w:rFonts w:ascii="Times New Roman" w:hAnsi="Times New Roman" w:eastAsia="宋体" w:cstheme="minorBidi"/>
          <w:kern w:val="2"/>
          <w:sz w:val="24"/>
          <w:szCs w:val="24"/>
          <w:lang w:val="en-US" w:eastAsia="zh-CN" w:bidi="ar-SA"/>
        </w:rPr>
      </w:pPr>
      <w:r>
        <w:rPr>
          <w:rFonts w:ascii="Times New Roman" w:hAnsi="Times New Roman" w:eastAsia="宋体" w:cstheme="minorBidi"/>
          <w:kern w:val="2"/>
          <w:sz w:val="24"/>
          <w:szCs w:val="24"/>
          <w:lang w:val="en-US" w:eastAsia="zh-CN" w:bidi="ar-SA"/>
        </w:rPr>
        <w:t>①建立完善的安全生产管理制度、操作规范，加强生产工人的安全环保意识，提高工作职工的责任心和工作主动性。提高操作、管理人员的</w:t>
      </w:r>
      <w:r>
        <w:rPr>
          <w:rFonts w:hint="eastAsia" w:ascii="Times New Roman" w:hAnsi="Times New Roman" w:eastAsia="宋体" w:cstheme="minorBidi"/>
          <w:kern w:val="2"/>
          <w:sz w:val="24"/>
          <w:szCs w:val="24"/>
          <w:lang w:val="en-US" w:eastAsia="zh-CN" w:bidi="ar-SA"/>
        </w:rPr>
        <w:t>业务</w:t>
      </w:r>
      <w:r>
        <w:rPr>
          <w:rFonts w:ascii="Times New Roman" w:hAnsi="Times New Roman" w:eastAsia="宋体" w:cstheme="minorBidi"/>
          <w:kern w:val="2"/>
          <w:sz w:val="24"/>
          <w:szCs w:val="24"/>
          <w:lang w:val="en-US" w:eastAsia="zh-CN" w:bidi="ar-SA"/>
        </w:rPr>
        <w:t>素质，操作人员需定期进行岗位系统培训，</w:t>
      </w:r>
      <w:r>
        <w:rPr>
          <w:rFonts w:hint="eastAsia" w:ascii="Times New Roman" w:hAnsi="Times New Roman" w:eastAsia="宋体" w:cstheme="minorBidi"/>
          <w:kern w:val="2"/>
          <w:sz w:val="24"/>
          <w:szCs w:val="24"/>
          <w:lang w:val="en-US" w:eastAsia="zh-CN" w:bidi="ar-SA"/>
        </w:rPr>
        <w:t>熟悉</w:t>
      </w:r>
      <w:r>
        <w:rPr>
          <w:rFonts w:ascii="Times New Roman" w:hAnsi="Times New Roman" w:eastAsia="宋体" w:cstheme="minorBidi"/>
          <w:kern w:val="2"/>
          <w:sz w:val="24"/>
          <w:szCs w:val="24"/>
          <w:lang w:val="en-US" w:eastAsia="zh-CN" w:bidi="ar-SA"/>
        </w:rPr>
        <w:t>工作岗位责任、规程，加强岗位责任制。</w:t>
      </w:r>
    </w:p>
    <w:p>
      <w:pPr>
        <w:widowControl w:val="0"/>
        <w:spacing w:line="360" w:lineRule="auto"/>
        <w:ind w:firstLine="480" w:firstLineChars="200"/>
        <w:jc w:val="both"/>
        <w:rPr>
          <w:rFonts w:ascii="Times New Roman" w:hAnsi="Times New Roman" w:eastAsia="宋体" w:cstheme="minorBidi"/>
          <w:kern w:val="2"/>
          <w:sz w:val="24"/>
          <w:szCs w:val="24"/>
          <w:lang w:val="en-US" w:eastAsia="zh-CN" w:bidi="ar-SA"/>
        </w:rPr>
      </w:pPr>
      <w:r>
        <w:rPr>
          <w:rFonts w:ascii="Times New Roman" w:hAnsi="Times New Roman" w:eastAsia="宋体" w:cstheme="minorBidi"/>
          <w:kern w:val="2"/>
          <w:sz w:val="24"/>
          <w:szCs w:val="24"/>
          <w:lang w:val="en-US" w:eastAsia="zh-CN" w:bidi="ar-SA"/>
        </w:rPr>
        <w:t>②严格遵守开、停车及操作规程，适当对职工进行技术培训。</w:t>
      </w:r>
    </w:p>
    <w:p>
      <w:pPr>
        <w:widowControl w:val="0"/>
        <w:spacing w:line="360" w:lineRule="auto"/>
        <w:ind w:firstLine="480" w:firstLineChars="200"/>
        <w:jc w:val="both"/>
        <w:rPr>
          <w:rFonts w:ascii="Times New Roman" w:hAnsi="Times New Roman" w:eastAsia="宋体" w:cstheme="minorBidi"/>
          <w:kern w:val="2"/>
          <w:sz w:val="24"/>
          <w:szCs w:val="24"/>
          <w:lang w:val="en-US" w:eastAsia="zh-CN" w:bidi="ar-SA"/>
        </w:rPr>
      </w:pPr>
      <w:r>
        <w:rPr>
          <w:rFonts w:ascii="Times New Roman" w:hAnsi="Times New Roman" w:eastAsia="宋体" w:cstheme="minorBidi"/>
          <w:kern w:val="2"/>
          <w:sz w:val="24"/>
          <w:szCs w:val="24"/>
          <w:lang w:val="en-US" w:eastAsia="zh-CN" w:bidi="ar-SA"/>
        </w:rPr>
        <w:t>③建设项目在</w:t>
      </w:r>
      <w:r>
        <w:rPr>
          <w:rFonts w:hint="eastAsia" w:ascii="Times New Roman" w:hAnsi="Times New Roman" w:eastAsia="宋体" w:cstheme="minorBidi"/>
          <w:kern w:val="2"/>
          <w:sz w:val="24"/>
          <w:szCs w:val="24"/>
          <w:lang w:val="en-US" w:eastAsia="zh-CN" w:bidi="ar-SA"/>
        </w:rPr>
        <w:t>锅炉房</w:t>
      </w:r>
      <w:r>
        <w:rPr>
          <w:rFonts w:ascii="Times New Roman" w:hAnsi="Times New Roman" w:eastAsia="宋体" w:cstheme="minorBidi"/>
          <w:kern w:val="2"/>
          <w:sz w:val="24"/>
          <w:szCs w:val="24"/>
          <w:lang w:val="en-US" w:eastAsia="zh-CN" w:bidi="ar-SA"/>
        </w:rPr>
        <w:t>要严禁烟火；禁止工人在</w:t>
      </w:r>
      <w:r>
        <w:rPr>
          <w:rFonts w:hint="eastAsia" w:ascii="Times New Roman" w:hAnsi="Times New Roman" w:eastAsia="宋体" w:cstheme="minorBidi"/>
          <w:kern w:val="2"/>
          <w:sz w:val="24"/>
          <w:szCs w:val="24"/>
          <w:lang w:val="en-US" w:eastAsia="zh-CN" w:bidi="ar-SA"/>
        </w:rPr>
        <w:t>锅炉房</w:t>
      </w:r>
      <w:r>
        <w:rPr>
          <w:rFonts w:ascii="Times New Roman" w:hAnsi="Times New Roman" w:eastAsia="宋体" w:cstheme="minorBidi"/>
          <w:kern w:val="2"/>
          <w:sz w:val="24"/>
          <w:szCs w:val="24"/>
          <w:lang w:val="en-US" w:eastAsia="zh-CN" w:bidi="ar-SA"/>
        </w:rPr>
        <w:t>吸烟，并设置明显的禁止吸烟标志。在作业现场范围内不得堆放其他无关的易燃易爆物品。</w:t>
      </w:r>
    </w:p>
    <w:p>
      <w:pPr>
        <w:widowControl w:val="0"/>
        <w:spacing w:line="360" w:lineRule="auto"/>
        <w:ind w:firstLine="480" w:firstLineChars="200"/>
        <w:jc w:val="both"/>
        <w:rPr>
          <w:rFonts w:ascii="Times New Roman" w:hAnsi="Times New Roman" w:eastAsia="宋体" w:cstheme="minorBidi"/>
          <w:kern w:val="2"/>
          <w:sz w:val="24"/>
          <w:szCs w:val="24"/>
          <w:lang w:val="en-US" w:eastAsia="zh-CN" w:bidi="ar-SA"/>
        </w:rPr>
      </w:pPr>
      <w:r>
        <w:rPr>
          <w:rFonts w:ascii="Times New Roman" w:hAnsi="Times New Roman" w:eastAsia="宋体" w:cstheme="minorBidi"/>
          <w:kern w:val="2"/>
          <w:sz w:val="24"/>
          <w:szCs w:val="24"/>
          <w:lang w:val="en-US" w:eastAsia="zh-CN" w:bidi="ar-SA"/>
        </w:rPr>
        <w:t>④</w:t>
      </w:r>
      <w:r>
        <w:rPr>
          <w:rFonts w:hint="eastAsia" w:ascii="Times New Roman" w:hAnsi="Times New Roman" w:eastAsia="宋体" w:cstheme="minorBidi"/>
          <w:kern w:val="2"/>
          <w:sz w:val="24"/>
          <w:szCs w:val="24"/>
          <w:lang w:val="en-US" w:eastAsia="zh-CN" w:bidi="ar-SA"/>
        </w:rPr>
        <w:t>项目区</w:t>
      </w:r>
      <w:r>
        <w:rPr>
          <w:rFonts w:ascii="Times New Roman" w:hAnsi="Times New Roman" w:eastAsia="宋体" w:cstheme="minorBidi"/>
          <w:kern w:val="2"/>
          <w:sz w:val="24"/>
          <w:szCs w:val="24"/>
          <w:lang w:val="en-US" w:eastAsia="zh-CN" w:bidi="ar-SA"/>
        </w:rPr>
        <w:t>必须配备足够数量的灭火装置。</w:t>
      </w:r>
    </w:p>
    <w:p>
      <w:pPr>
        <w:widowControl w:val="0"/>
        <w:spacing w:line="360" w:lineRule="auto"/>
        <w:ind w:firstLine="480" w:firstLineChars="200"/>
        <w:jc w:val="both"/>
        <w:rPr>
          <w:rFonts w:ascii="Times New Roman" w:hAnsi="Times New Roman" w:eastAsia="宋体" w:cstheme="minorBidi"/>
          <w:kern w:val="2"/>
          <w:sz w:val="24"/>
          <w:szCs w:val="24"/>
          <w:lang w:val="en-US" w:eastAsia="zh-CN" w:bidi="ar-SA"/>
        </w:rPr>
      </w:pPr>
      <w:r>
        <w:rPr>
          <w:rFonts w:ascii="Times New Roman" w:hAnsi="Times New Roman" w:eastAsia="宋体" w:cstheme="minorBidi"/>
          <w:kern w:val="2"/>
          <w:sz w:val="24"/>
          <w:szCs w:val="24"/>
          <w:lang w:val="en-US" w:eastAsia="zh-CN" w:bidi="ar-SA"/>
        </w:rPr>
        <w:t>⑤在事故状态下，本项目废气对周围大气环境造成污染，对周围人群健康造成危害，在发生事故时，应及时组织人群转移，以减少对人群的伤害；</w:t>
      </w:r>
    </w:p>
    <w:p>
      <w:pPr>
        <w:widowControl w:val="0"/>
        <w:spacing w:line="360" w:lineRule="auto"/>
        <w:ind w:firstLine="480" w:firstLineChars="200"/>
        <w:jc w:val="both"/>
        <w:rPr>
          <w:rFonts w:ascii="Times New Roman" w:hAnsi="Times New Roman" w:eastAsia="宋体" w:cstheme="minorBidi"/>
          <w:kern w:val="2"/>
          <w:sz w:val="24"/>
          <w:szCs w:val="24"/>
          <w:lang w:val="en-US" w:eastAsia="zh-CN" w:bidi="ar-SA"/>
        </w:rPr>
      </w:pPr>
      <w:r>
        <w:rPr>
          <w:rFonts w:ascii="Times New Roman" w:hAnsi="Times New Roman" w:eastAsia="宋体" w:cstheme="minorBidi"/>
          <w:kern w:val="2"/>
          <w:sz w:val="24"/>
          <w:szCs w:val="24"/>
          <w:lang w:val="en-US" w:eastAsia="zh-CN" w:bidi="ar-SA"/>
        </w:rPr>
        <w:t>⑥</w:t>
      </w:r>
      <w:r>
        <w:rPr>
          <w:rFonts w:hint="eastAsia" w:ascii="Times New Roman" w:hAnsi="Times New Roman" w:eastAsia="宋体" w:cs="Times New Roman"/>
          <w:color w:val="auto"/>
          <w:kern w:val="0"/>
          <w:sz w:val="24"/>
          <w:szCs w:val="24"/>
          <w:highlight w:val="none"/>
          <w:lang w:val="en-US" w:eastAsia="zh-CN" w:bidi="ar-SA"/>
        </w:rPr>
        <w:t>强化风险物质的监督管理，按规定使用合理的、有益于环境保护的原辅材料及燃料，从源头上减少污染物的产生；</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⑦</w:t>
      </w:r>
      <w:r>
        <w:rPr>
          <w:rFonts w:ascii="Times New Roman" w:hAnsi="Times New Roman" w:eastAsia="宋体" w:cstheme="minorBidi"/>
          <w:kern w:val="2"/>
          <w:sz w:val="24"/>
          <w:szCs w:val="24"/>
          <w:lang w:val="en-US" w:eastAsia="zh-CN" w:bidi="ar-SA"/>
        </w:rPr>
        <w:t>加强巡查管理，及时发现泄漏情况便于及时处理；</w:t>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核实环保投资。结合《排污企业自行监测技术规范》完善环境监测计划，完善“三同时”一览表，规范图件。</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修改说明：P41、P36、P42</w:t>
      </w:r>
    </w:p>
    <w:p>
      <w:pPr>
        <w:widowControl w:val="0"/>
        <w:spacing w:line="360" w:lineRule="auto"/>
        <w:ind w:firstLine="480" w:firstLineChars="200"/>
        <w:jc w:val="both"/>
        <w:rPr>
          <w:rFonts w:ascii="Times New Roman" w:hAnsi="Times New Roman" w:eastAsia="宋体" w:cstheme="minorBidi"/>
          <w:kern w:val="2"/>
          <w:sz w:val="24"/>
          <w:szCs w:val="24"/>
          <w:lang w:val="en-US" w:eastAsia="zh-CN" w:bidi="ar-SA"/>
        </w:rPr>
      </w:pPr>
      <w:r>
        <w:rPr>
          <w:rFonts w:ascii="Times New Roman" w:hAnsi="Times New Roman" w:eastAsia="宋体" w:cstheme="minorBidi"/>
          <w:kern w:val="2"/>
          <w:sz w:val="24"/>
          <w:szCs w:val="24"/>
          <w:lang w:val="en-US" w:eastAsia="zh-CN" w:bidi="ar-SA"/>
        </w:rPr>
        <w:t>本项目总投资</w:t>
      </w:r>
      <w:r>
        <w:rPr>
          <w:rFonts w:hint="eastAsia" w:ascii="Times New Roman" w:hAnsi="Times New Roman" w:eastAsia="宋体" w:cstheme="minorBidi"/>
          <w:color w:val="auto"/>
          <w:kern w:val="2"/>
          <w:sz w:val="24"/>
          <w:szCs w:val="24"/>
          <w:lang w:val="en-US" w:eastAsia="zh-CN" w:bidi="ar-SA"/>
        </w:rPr>
        <w:t>400</w:t>
      </w:r>
      <w:r>
        <w:rPr>
          <w:rFonts w:ascii="Times New Roman" w:hAnsi="Times New Roman" w:eastAsia="宋体" w:cstheme="minorBidi"/>
          <w:color w:val="auto"/>
          <w:kern w:val="2"/>
          <w:sz w:val="24"/>
          <w:szCs w:val="24"/>
          <w:lang w:val="en-US" w:eastAsia="zh-CN" w:bidi="ar-SA"/>
        </w:rPr>
        <w:t>万元，环保投资</w:t>
      </w:r>
      <w:r>
        <w:rPr>
          <w:rFonts w:hint="eastAsia" w:ascii="Times New Roman" w:hAnsi="Times New Roman" w:eastAsia="宋体" w:cstheme="minorBidi"/>
          <w:color w:val="auto"/>
          <w:kern w:val="2"/>
          <w:sz w:val="24"/>
          <w:szCs w:val="24"/>
          <w:lang w:val="en-US" w:eastAsia="zh-CN" w:bidi="ar-SA"/>
        </w:rPr>
        <w:t>106</w:t>
      </w:r>
      <w:r>
        <w:rPr>
          <w:rFonts w:ascii="Times New Roman" w:hAnsi="Times New Roman" w:eastAsia="宋体" w:cstheme="minorBidi"/>
          <w:color w:val="auto"/>
          <w:kern w:val="2"/>
          <w:sz w:val="24"/>
          <w:szCs w:val="24"/>
          <w:lang w:val="en-US" w:eastAsia="zh-CN" w:bidi="ar-SA"/>
        </w:rPr>
        <w:t>万元，占总投资的</w:t>
      </w:r>
      <w:r>
        <w:rPr>
          <w:rFonts w:hint="eastAsia" w:ascii="Times New Roman" w:hAnsi="Times New Roman" w:eastAsia="宋体" w:cstheme="minorBidi"/>
          <w:color w:val="auto"/>
          <w:kern w:val="2"/>
          <w:sz w:val="24"/>
          <w:szCs w:val="24"/>
          <w:lang w:val="en-US" w:eastAsia="zh-CN" w:bidi="ar-SA"/>
        </w:rPr>
        <w:t>26.5</w:t>
      </w:r>
      <w:r>
        <w:rPr>
          <w:rFonts w:ascii="Times New Roman" w:hAnsi="Times New Roman" w:eastAsia="宋体" w:cstheme="minorBidi"/>
          <w:color w:val="auto"/>
          <w:kern w:val="2"/>
          <w:sz w:val="24"/>
          <w:szCs w:val="24"/>
          <w:lang w:val="en-US" w:eastAsia="zh-CN" w:bidi="ar-SA"/>
        </w:rPr>
        <w:t>%。</w:t>
      </w:r>
      <w:r>
        <w:rPr>
          <w:rFonts w:ascii="Times New Roman" w:hAnsi="Times New Roman" w:eastAsia="宋体" w:cstheme="minorBidi"/>
          <w:kern w:val="2"/>
          <w:sz w:val="24"/>
          <w:szCs w:val="24"/>
          <w:lang w:val="en-US" w:eastAsia="zh-CN" w:bidi="ar-SA"/>
        </w:rPr>
        <w:t>本项目环保工程主要包括废气治理工程、噪声治理工程，具体见表</w:t>
      </w:r>
      <w:r>
        <w:rPr>
          <w:rFonts w:hint="eastAsia" w:ascii="Times New Roman" w:hAnsi="Times New Roman" w:eastAsia="宋体" w:cstheme="minorBidi"/>
          <w:kern w:val="2"/>
          <w:sz w:val="24"/>
          <w:szCs w:val="24"/>
          <w:lang w:val="en-US" w:eastAsia="zh-CN" w:bidi="ar-SA"/>
        </w:rPr>
        <w:t>4-13</w:t>
      </w:r>
      <w:r>
        <w:rPr>
          <w:rFonts w:ascii="Times New Roman" w:hAnsi="Times New Roman" w:eastAsia="宋体" w:cstheme="minorBidi"/>
          <w:kern w:val="2"/>
          <w:sz w:val="24"/>
          <w:szCs w:val="24"/>
          <w:lang w:val="en-US" w:eastAsia="zh-CN" w:bidi="ar-SA"/>
        </w:rPr>
        <w:t>。</w:t>
      </w:r>
    </w:p>
    <w:p>
      <w:pPr>
        <w:widowControl w:val="0"/>
        <w:bidi w:val="0"/>
        <w:spacing w:line="360" w:lineRule="auto"/>
        <w:ind w:firstLine="0" w:firstLineChars="0"/>
        <w:jc w:val="center"/>
        <w:rPr>
          <w:rFonts w:hint="eastAsia" w:ascii="Times New Roman" w:hAnsi="Times New Roman" w:eastAsia="宋体" w:cs="Times New Roman"/>
          <w:b/>
          <w:kern w:val="2"/>
          <w:sz w:val="24"/>
          <w:szCs w:val="24"/>
          <w:highlight w:val="none"/>
          <w:lang w:val="en-US" w:eastAsia="zh-CN" w:bidi="ar-SA"/>
        </w:rPr>
      </w:pPr>
      <w:r>
        <w:rPr>
          <w:rFonts w:hint="eastAsia" w:ascii="Times New Roman" w:hAnsi="Times New Roman" w:eastAsia="宋体" w:cs="Times New Roman"/>
          <w:b/>
          <w:kern w:val="2"/>
          <w:sz w:val="24"/>
          <w:szCs w:val="24"/>
          <w:highlight w:val="none"/>
          <w:lang w:val="en-US" w:eastAsia="zh-CN" w:bidi="ar-SA"/>
        </w:rPr>
        <w:t>表4-13    环保工程项目及投资估算</w:t>
      </w:r>
    </w:p>
    <w:tbl>
      <w:tblPr>
        <w:tblStyle w:val="26"/>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3"/>
        <w:gridCol w:w="1392"/>
        <w:gridCol w:w="4707"/>
        <w:gridCol w:w="1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7" w:type="pct"/>
            <w:tcBorders>
              <w:top w:val="single" w:color="auto" w:sz="12" w:space="0"/>
              <w:left w:val="nil"/>
              <w:bottom w:val="single" w:color="auto" w:sz="12" w:space="0"/>
              <w:right w:val="single" w:color="auto" w:sz="4" w:space="0"/>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序号</w:t>
            </w:r>
          </w:p>
        </w:tc>
        <w:tc>
          <w:tcPr>
            <w:tcW w:w="818" w:type="pct"/>
            <w:tcBorders>
              <w:top w:val="single" w:color="auto" w:sz="12" w:space="0"/>
              <w:left w:val="nil"/>
              <w:bottom w:val="single" w:color="auto" w:sz="12" w:space="0"/>
              <w:right w:val="single" w:color="auto" w:sz="4" w:space="0"/>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内容</w:t>
            </w:r>
          </w:p>
        </w:tc>
        <w:tc>
          <w:tcPr>
            <w:tcW w:w="2766" w:type="pct"/>
            <w:tcBorders>
              <w:top w:val="single" w:color="auto" w:sz="12" w:space="0"/>
              <w:left w:val="nil"/>
              <w:bottom w:val="single" w:color="auto" w:sz="12" w:space="0"/>
              <w:right w:val="single" w:color="auto" w:sz="4" w:space="0"/>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环保设施</w:t>
            </w:r>
          </w:p>
        </w:tc>
        <w:tc>
          <w:tcPr>
            <w:tcW w:w="978" w:type="pct"/>
            <w:tcBorders>
              <w:top w:val="single" w:color="auto" w:sz="12" w:space="0"/>
              <w:left w:val="nil"/>
              <w:bottom w:val="single" w:color="auto" w:sz="12" w:space="0"/>
              <w:right w:val="nil"/>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7" w:type="pct"/>
            <w:tcBorders>
              <w:top w:val="single" w:color="auto" w:sz="4" w:space="0"/>
              <w:left w:val="nil"/>
              <w:bottom w:val="single" w:color="auto" w:sz="4" w:space="0"/>
              <w:right w:val="single" w:color="auto" w:sz="4" w:space="0"/>
            </w:tcBorders>
            <w:vAlign w:val="center"/>
          </w:tcPr>
          <w:p>
            <w:pPr>
              <w:widowControl w:val="0"/>
              <w:spacing w:line="240" w:lineRule="auto"/>
              <w:ind w:firstLine="0" w:firstLineChars="0"/>
              <w:jc w:val="center"/>
              <w:rPr>
                <w:rFonts w:hint="eastAsia"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1</w:t>
            </w:r>
          </w:p>
        </w:tc>
        <w:tc>
          <w:tcPr>
            <w:tcW w:w="818" w:type="pct"/>
            <w:tcBorders>
              <w:top w:val="single" w:color="auto" w:sz="4" w:space="0"/>
              <w:left w:val="nil"/>
              <w:bottom w:val="single" w:color="auto" w:sz="4" w:space="0"/>
              <w:right w:val="single" w:color="auto" w:sz="4" w:space="0"/>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ascii="Times New Roman" w:hAnsi="Times New Roman" w:eastAsia="宋体" w:cs="Times New Roman"/>
                <w:bCs/>
                <w:kern w:val="2"/>
                <w:sz w:val="21"/>
                <w:szCs w:val="24"/>
                <w:lang w:val="zh-TW" w:eastAsia="zh-TW" w:bidi="ar-SA"/>
              </w:rPr>
              <w:t>噪声治理</w:t>
            </w:r>
          </w:p>
        </w:tc>
        <w:tc>
          <w:tcPr>
            <w:tcW w:w="2766" w:type="pct"/>
            <w:tcBorders>
              <w:top w:val="single" w:color="auto" w:sz="4" w:space="0"/>
              <w:left w:val="nil"/>
              <w:bottom w:val="single" w:color="auto" w:sz="4" w:space="0"/>
              <w:right w:val="single" w:color="auto" w:sz="4" w:space="0"/>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加强维修养护，</w:t>
            </w:r>
            <w:r>
              <w:rPr>
                <w:rFonts w:ascii="Times New Roman" w:hAnsi="Times New Roman" w:eastAsia="宋体" w:cs="Times New Roman"/>
                <w:bCs/>
                <w:kern w:val="2"/>
                <w:sz w:val="21"/>
                <w:szCs w:val="24"/>
                <w:lang w:val="en-US" w:eastAsia="zh-CN" w:bidi="ar-SA"/>
              </w:rPr>
              <w:t>基础减震，厂房隔音</w:t>
            </w:r>
          </w:p>
        </w:tc>
        <w:tc>
          <w:tcPr>
            <w:tcW w:w="978" w:type="pct"/>
            <w:tcBorders>
              <w:top w:val="single" w:color="auto" w:sz="4" w:space="0"/>
              <w:left w:val="nil"/>
              <w:bottom w:val="single" w:color="auto" w:sz="4" w:space="0"/>
              <w:right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ascii="Times New Roman" w:hAnsi="Times New Roman" w:eastAsia="宋体" w:cs="Times New Roman"/>
                <w:bCs/>
                <w:kern w:val="2"/>
                <w:sz w:val="21"/>
                <w:szCs w:val="24"/>
                <w:lang w:val="zh-TW" w:eastAsia="zh-TW"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7" w:type="pct"/>
            <w:tcBorders>
              <w:top w:val="single" w:color="auto" w:sz="4" w:space="0"/>
              <w:left w:val="nil"/>
              <w:bottom w:val="single" w:color="auto" w:sz="4" w:space="0"/>
              <w:right w:val="single" w:color="auto" w:sz="4" w:space="0"/>
            </w:tcBorders>
            <w:vAlign w:val="center"/>
          </w:tcPr>
          <w:p>
            <w:pPr>
              <w:widowControl w:val="0"/>
              <w:spacing w:line="240" w:lineRule="auto"/>
              <w:ind w:firstLine="0" w:firstLineChars="0"/>
              <w:jc w:val="center"/>
              <w:rPr>
                <w:rFonts w:hint="eastAsia" w:ascii="Times New Roman" w:hAnsi="Times New Roman" w:eastAsia="宋体" w:cs="Times New Roman"/>
                <w:bCs/>
                <w:kern w:val="2"/>
                <w:sz w:val="21"/>
                <w:szCs w:val="24"/>
                <w:lang w:val="en-US" w:eastAsia="zh-CN" w:bidi="ar-SA"/>
              </w:rPr>
            </w:pPr>
            <w:r>
              <w:rPr>
                <w:rFonts w:ascii="Times New Roman" w:hAnsi="Times New Roman" w:eastAsia="宋体" w:cs="Times New Roman"/>
                <w:bCs/>
                <w:kern w:val="2"/>
                <w:sz w:val="21"/>
                <w:szCs w:val="24"/>
                <w:lang w:val="zh-TW" w:eastAsia="zh-TW" w:bidi="ar-SA"/>
              </w:rPr>
              <w:t>2</w:t>
            </w:r>
          </w:p>
        </w:tc>
        <w:tc>
          <w:tcPr>
            <w:tcW w:w="818" w:type="pct"/>
            <w:tcBorders>
              <w:top w:val="single" w:color="auto" w:sz="4" w:space="0"/>
              <w:left w:val="nil"/>
              <w:bottom w:val="single" w:color="auto" w:sz="4" w:space="0"/>
              <w:right w:val="single" w:color="auto" w:sz="4" w:space="0"/>
            </w:tcBorders>
            <w:vAlign w:val="center"/>
          </w:tcPr>
          <w:p>
            <w:pPr>
              <w:widowControl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废水治理</w:t>
            </w:r>
          </w:p>
        </w:tc>
        <w:tc>
          <w:tcPr>
            <w:tcW w:w="2766" w:type="pct"/>
            <w:tcBorders>
              <w:top w:val="single" w:color="auto" w:sz="4" w:space="0"/>
              <w:left w:val="nil"/>
              <w:bottom w:val="single" w:color="auto" w:sz="4" w:space="0"/>
              <w:right w:val="single" w:color="auto" w:sz="4" w:space="0"/>
            </w:tcBorders>
            <w:vAlign w:val="center"/>
          </w:tcPr>
          <w:p>
            <w:pPr>
              <w:widowControl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污水处理站</w:t>
            </w:r>
          </w:p>
        </w:tc>
        <w:tc>
          <w:tcPr>
            <w:tcW w:w="978" w:type="pct"/>
            <w:tcBorders>
              <w:top w:val="single" w:color="auto" w:sz="4" w:space="0"/>
              <w:left w:val="nil"/>
              <w:bottom w:val="single" w:color="auto" w:sz="4" w:space="0"/>
              <w:right w:val="nil"/>
            </w:tcBorders>
            <w:vAlign w:val="center"/>
          </w:tcPr>
          <w:p>
            <w:pPr>
              <w:widowControl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7" w:type="pct"/>
            <w:tcBorders>
              <w:top w:val="single" w:color="auto" w:sz="4" w:space="0"/>
              <w:left w:val="nil"/>
              <w:right w:val="single" w:color="auto" w:sz="4" w:space="0"/>
            </w:tcBorders>
            <w:vAlign w:val="center"/>
          </w:tcPr>
          <w:p>
            <w:pPr>
              <w:widowControl w:val="0"/>
              <w:spacing w:line="240" w:lineRule="auto"/>
              <w:ind w:firstLine="0" w:firstLineChars="0"/>
              <w:jc w:val="center"/>
              <w:rPr>
                <w:rFonts w:hint="eastAsia"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3</w:t>
            </w:r>
          </w:p>
        </w:tc>
        <w:tc>
          <w:tcPr>
            <w:tcW w:w="818" w:type="pct"/>
            <w:tcBorders>
              <w:top w:val="single" w:color="auto" w:sz="4" w:space="0"/>
              <w:left w:val="nil"/>
              <w:right w:val="single" w:color="auto" w:sz="4" w:space="0"/>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CN" w:bidi="ar-SA"/>
              </w:rPr>
            </w:pPr>
            <w:r>
              <w:rPr>
                <w:rFonts w:ascii="Times New Roman" w:hAnsi="Times New Roman" w:eastAsia="宋体" w:cs="Times New Roman"/>
                <w:bCs/>
                <w:kern w:val="2"/>
                <w:sz w:val="21"/>
                <w:szCs w:val="24"/>
                <w:lang w:val="zh-TW" w:eastAsia="zh-CN" w:bidi="ar-SA"/>
              </w:rPr>
              <w:t>废气治理</w:t>
            </w:r>
          </w:p>
        </w:tc>
        <w:tc>
          <w:tcPr>
            <w:tcW w:w="2766" w:type="pct"/>
            <w:tcBorders>
              <w:top w:val="single" w:color="auto" w:sz="4" w:space="0"/>
              <w:left w:val="nil"/>
              <w:bottom w:val="single" w:color="auto" w:sz="4" w:space="0"/>
              <w:right w:val="single" w:color="auto" w:sz="4" w:space="0"/>
            </w:tcBorders>
            <w:vAlign w:val="center"/>
          </w:tcPr>
          <w:p>
            <w:pPr>
              <w:widowControl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低氮燃烧器+烟气再循环、加盖密闭</w:t>
            </w:r>
          </w:p>
        </w:tc>
        <w:tc>
          <w:tcPr>
            <w:tcW w:w="978" w:type="pct"/>
            <w:tcBorders>
              <w:top w:val="single" w:color="auto" w:sz="4" w:space="0"/>
              <w:left w:val="nil"/>
              <w:bottom w:val="single" w:color="auto" w:sz="4" w:space="0"/>
              <w:right w:val="nil"/>
            </w:tcBorders>
            <w:vAlign w:val="center"/>
          </w:tcPr>
          <w:p>
            <w:pPr>
              <w:widowControl w:val="0"/>
              <w:spacing w:line="240" w:lineRule="auto"/>
              <w:ind w:firstLine="0" w:firstLineChars="0"/>
              <w:jc w:val="center"/>
              <w:rPr>
                <w:rFonts w:hint="default" w:ascii="Times New Roman" w:hAnsi="Times New Roman" w:eastAsia="宋体" w:cs="Times New Roman"/>
                <w:bCs/>
                <w:kern w:val="2"/>
                <w:sz w:val="21"/>
                <w:szCs w:val="24"/>
                <w:lang w:val="en-US" w:eastAsia="zh-TW" w:bidi="ar-SA"/>
              </w:rPr>
            </w:pPr>
            <w:r>
              <w:rPr>
                <w:rFonts w:hint="eastAsia" w:ascii="Times New Roman" w:hAnsi="Times New Roman" w:eastAsia="宋体" w:cs="Times New Roman"/>
                <w:bCs/>
                <w:kern w:val="2"/>
                <w:sz w:val="21"/>
                <w:szCs w:val="24"/>
                <w:lang w:val="en-US" w:eastAsia="zh-CN" w:bidi="ar-SA"/>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7" w:type="pct"/>
            <w:tcBorders>
              <w:top w:val="single" w:color="auto" w:sz="4" w:space="0"/>
              <w:left w:val="nil"/>
              <w:right w:val="single" w:color="auto" w:sz="4" w:space="0"/>
            </w:tcBorders>
            <w:vAlign w:val="center"/>
          </w:tcPr>
          <w:p>
            <w:pPr>
              <w:widowControl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4</w:t>
            </w:r>
          </w:p>
        </w:tc>
        <w:tc>
          <w:tcPr>
            <w:tcW w:w="818" w:type="pct"/>
            <w:tcBorders>
              <w:top w:val="single" w:color="auto" w:sz="4" w:space="0"/>
              <w:left w:val="nil"/>
              <w:right w:val="single" w:color="auto" w:sz="4" w:space="0"/>
            </w:tcBorders>
            <w:vAlign w:val="center"/>
          </w:tcPr>
          <w:p>
            <w:pPr>
              <w:widowControl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固废治理</w:t>
            </w:r>
          </w:p>
        </w:tc>
        <w:tc>
          <w:tcPr>
            <w:tcW w:w="2766" w:type="pct"/>
            <w:tcBorders>
              <w:top w:val="single" w:color="auto" w:sz="4" w:space="0"/>
              <w:left w:val="nil"/>
              <w:bottom w:val="single" w:color="auto" w:sz="4" w:space="0"/>
              <w:right w:val="single" w:color="auto" w:sz="4" w:space="0"/>
            </w:tcBorders>
            <w:vAlign w:val="center"/>
          </w:tcPr>
          <w:p>
            <w:pPr>
              <w:widowControl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垃圾箱</w:t>
            </w:r>
          </w:p>
        </w:tc>
        <w:tc>
          <w:tcPr>
            <w:tcW w:w="978" w:type="pct"/>
            <w:tcBorders>
              <w:top w:val="single" w:color="auto" w:sz="4" w:space="0"/>
              <w:left w:val="nil"/>
              <w:bottom w:val="single" w:color="auto" w:sz="4" w:space="0"/>
              <w:right w:val="nil"/>
            </w:tcBorders>
            <w:vAlign w:val="center"/>
          </w:tcPr>
          <w:p>
            <w:pPr>
              <w:widowControl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21" w:type="pct"/>
            <w:gridSpan w:val="3"/>
            <w:tcBorders>
              <w:top w:val="single" w:color="auto" w:sz="4" w:space="0"/>
              <w:left w:val="nil"/>
              <w:bottom w:val="single" w:color="auto" w:sz="12" w:space="0"/>
              <w:right w:val="single" w:color="auto" w:sz="4" w:space="0"/>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ascii="Times New Roman" w:hAnsi="Times New Roman" w:eastAsia="宋体" w:cs="Times New Roman"/>
                <w:bCs/>
                <w:kern w:val="2"/>
                <w:sz w:val="21"/>
                <w:szCs w:val="24"/>
                <w:lang w:val="zh-TW" w:eastAsia="zh-TW" w:bidi="ar-SA"/>
              </w:rPr>
              <w:t>合计</w:t>
            </w:r>
          </w:p>
        </w:tc>
        <w:tc>
          <w:tcPr>
            <w:tcW w:w="978" w:type="pct"/>
            <w:tcBorders>
              <w:top w:val="single" w:color="auto" w:sz="4" w:space="0"/>
              <w:left w:val="nil"/>
              <w:bottom w:val="single" w:color="auto" w:sz="12" w:space="0"/>
              <w:right w:val="nil"/>
            </w:tcBorders>
            <w:vAlign w:val="center"/>
          </w:tcPr>
          <w:p>
            <w:pPr>
              <w:widowControl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106</w:t>
            </w:r>
          </w:p>
        </w:tc>
      </w:tr>
    </w:tbl>
    <w:p>
      <w:pPr>
        <w:widowControl w:val="0"/>
        <w:bidi w:val="0"/>
        <w:spacing w:line="360" w:lineRule="auto"/>
        <w:ind w:firstLine="0" w:firstLineChars="0"/>
        <w:jc w:val="center"/>
        <w:rPr>
          <w:rFonts w:hint="eastAsia" w:ascii="Times New Roman" w:hAnsi="Times New Roman" w:eastAsia="宋体" w:cs="Times New Roman"/>
          <w:b/>
          <w:kern w:val="2"/>
          <w:sz w:val="24"/>
          <w:szCs w:val="24"/>
          <w:highlight w:val="none"/>
          <w:lang w:val="en-US" w:eastAsia="zh-CN" w:bidi="ar-SA"/>
        </w:rPr>
      </w:pPr>
      <w:r>
        <w:rPr>
          <w:rFonts w:hint="eastAsia" w:ascii="Times New Roman" w:hAnsi="Times New Roman" w:eastAsia="宋体" w:cs="Times New Roman"/>
          <w:b/>
          <w:kern w:val="2"/>
          <w:sz w:val="24"/>
          <w:szCs w:val="24"/>
          <w:highlight w:val="none"/>
          <w:lang w:val="en-US" w:eastAsia="zh-CN" w:bidi="ar-SA"/>
        </w:rPr>
        <w:t>本项目运营期噪声环境监测计划一览表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529"/>
        <w:gridCol w:w="1209"/>
        <w:gridCol w:w="1226"/>
        <w:gridCol w:w="37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tcBorders>
              <w:bottom w:val="single" w:color="000000"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因素</w:t>
            </w:r>
          </w:p>
        </w:tc>
        <w:tc>
          <w:tcPr>
            <w:tcW w:w="897" w:type="pct"/>
            <w:tcBorders>
              <w:bottom w:val="single" w:color="000000"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监测位置</w:t>
            </w:r>
          </w:p>
        </w:tc>
        <w:tc>
          <w:tcPr>
            <w:tcW w:w="709" w:type="pct"/>
            <w:tcBorders>
              <w:bottom w:val="single" w:color="000000"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监测指标</w:t>
            </w:r>
          </w:p>
        </w:tc>
        <w:tc>
          <w:tcPr>
            <w:tcW w:w="719" w:type="pct"/>
            <w:tcBorders>
              <w:bottom w:val="single" w:color="000000"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监测频次</w:t>
            </w:r>
          </w:p>
        </w:tc>
        <w:tc>
          <w:tcPr>
            <w:tcW w:w="2217" w:type="pct"/>
            <w:tcBorders>
              <w:bottom w:val="single" w:color="000000"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6" w:type="pct"/>
            <w:tcBorders>
              <w:top w:val="single" w:color="000000"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ascii="Times New Roman" w:hAnsi="Times New Roman" w:eastAsia="宋体" w:cs="Times New Roman"/>
                <w:bCs/>
                <w:kern w:val="2"/>
                <w:sz w:val="21"/>
                <w:szCs w:val="24"/>
                <w:lang w:val="zh-TW" w:eastAsia="zh-TW" w:bidi="ar-SA"/>
              </w:rPr>
              <w:t>噪声</w:t>
            </w:r>
          </w:p>
        </w:tc>
        <w:tc>
          <w:tcPr>
            <w:tcW w:w="897" w:type="pct"/>
            <w:tcBorders>
              <w:top w:val="single" w:color="000000"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ascii="Times New Roman" w:hAnsi="Times New Roman" w:eastAsia="宋体" w:cs="Times New Roman"/>
                <w:bCs/>
                <w:kern w:val="2"/>
                <w:sz w:val="21"/>
                <w:szCs w:val="24"/>
                <w:lang w:val="zh-TW" w:eastAsia="zh-TW" w:bidi="ar-SA"/>
              </w:rPr>
              <w:t>厂界四周围墙外1m处</w:t>
            </w:r>
          </w:p>
        </w:tc>
        <w:tc>
          <w:tcPr>
            <w:tcW w:w="709" w:type="pct"/>
            <w:tcBorders>
              <w:top w:val="single" w:color="000000"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ascii="Times New Roman" w:hAnsi="Times New Roman" w:eastAsia="宋体" w:cs="Times New Roman"/>
                <w:bCs/>
                <w:kern w:val="2"/>
                <w:sz w:val="21"/>
                <w:szCs w:val="24"/>
                <w:lang w:val="zh-TW" w:eastAsia="zh-TW" w:bidi="ar-SA"/>
              </w:rPr>
              <w:t>LAeq</w:t>
            </w:r>
          </w:p>
        </w:tc>
        <w:tc>
          <w:tcPr>
            <w:tcW w:w="719" w:type="pct"/>
            <w:tcBorders>
              <w:top w:val="single" w:color="000000"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ascii="Times New Roman" w:hAnsi="Times New Roman" w:eastAsia="宋体" w:cs="Times New Roman"/>
                <w:bCs/>
                <w:kern w:val="2"/>
                <w:sz w:val="21"/>
                <w:szCs w:val="24"/>
                <w:lang w:val="zh-TW" w:eastAsia="zh-TW" w:bidi="ar-SA"/>
              </w:rPr>
              <w:t>1次/季度</w:t>
            </w:r>
          </w:p>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ascii="Times New Roman" w:hAnsi="Times New Roman" w:eastAsia="宋体" w:cs="Times New Roman"/>
                <w:bCs/>
                <w:kern w:val="2"/>
                <w:sz w:val="21"/>
                <w:szCs w:val="24"/>
                <w:lang w:val="zh-TW" w:eastAsia="zh-TW" w:bidi="ar-SA"/>
              </w:rPr>
              <w:t>昼夜监测</w:t>
            </w:r>
          </w:p>
        </w:tc>
        <w:tc>
          <w:tcPr>
            <w:tcW w:w="2217" w:type="pct"/>
            <w:tcBorders>
              <w:top w:val="single" w:color="000000"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ascii="Times New Roman" w:hAnsi="Times New Roman" w:eastAsia="宋体" w:cs="Times New Roman"/>
                <w:bCs/>
                <w:color w:val="auto"/>
                <w:kern w:val="2"/>
                <w:sz w:val="21"/>
                <w:szCs w:val="24"/>
                <w:lang w:val="zh-TW" w:eastAsia="zh-TW" w:bidi="ar-SA"/>
              </w:rPr>
              <w:t>《工业企业厂界环境噪声排放标准》（GB12348-2008）中</w:t>
            </w:r>
            <w:r>
              <w:rPr>
                <w:rFonts w:hint="eastAsia" w:ascii="Times New Roman" w:hAnsi="Times New Roman" w:eastAsia="宋体" w:cs="Times New Roman"/>
                <w:bCs/>
                <w:color w:val="auto"/>
                <w:kern w:val="2"/>
                <w:sz w:val="21"/>
                <w:szCs w:val="24"/>
                <w:lang w:val="en-US" w:eastAsia="zh-CN" w:bidi="ar-SA"/>
              </w:rPr>
              <w:t>1</w:t>
            </w:r>
            <w:r>
              <w:rPr>
                <w:rFonts w:ascii="Times New Roman" w:hAnsi="Times New Roman" w:eastAsia="宋体" w:cs="Times New Roman"/>
                <w:bCs/>
                <w:color w:val="auto"/>
                <w:kern w:val="2"/>
                <w:sz w:val="21"/>
                <w:szCs w:val="24"/>
                <w:lang w:val="zh-TW" w:eastAsia="zh-TW" w:bidi="ar-SA"/>
              </w:rPr>
              <w:t>类标准</w:t>
            </w:r>
          </w:p>
        </w:tc>
      </w:tr>
    </w:tbl>
    <w:p>
      <w:pPr>
        <w:widowControl w:val="0"/>
        <w:bidi w:val="0"/>
        <w:spacing w:line="360" w:lineRule="auto"/>
        <w:ind w:firstLine="0" w:firstLineChars="0"/>
        <w:jc w:val="center"/>
        <w:rPr>
          <w:rFonts w:hint="eastAsia" w:ascii="Times New Roman" w:hAnsi="Times New Roman" w:eastAsia="宋体" w:cs="Times New Roman"/>
          <w:b/>
          <w:kern w:val="2"/>
          <w:sz w:val="24"/>
          <w:szCs w:val="24"/>
          <w:highlight w:val="none"/>
          <w:lang w:val="en-US" w:eastAsia="zh-CN" w:bidi="ar-SA"/>
        </w:rPr>
      </w:pPr>
      <w:r>
        <w:rPr>
          <w:rFonts w:hint="eastAsia" w:ascii="Times New Roman" w:hAnsi="Times New Roman" w:eastAsia="宋体" w:cs="Times New Roman"/>
          <w:b/>
          <w:kern w:val="2"/>
          <w:sz w:val="24"/>
          <w:szCs w:val="24"/>
          <w:highlight w:val="none"/>
          <w:lang w:val="en-US" w:eastAsia="zh-CN" w:bidi="ar-SA"/>
        </w:rPr>
        <w:t>废气监测内容及计划</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1"/>
        <w:gridCol w:w="1170"/>
        <w:gridCol w:w="2126"/>
        <w:gridCol w:w="1232"/>
        <w:gridCol w:w="32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 w:type="pct"/>
            <w:tcBorders>
              <w:bottom w:val="single" w:color="auto" w:sz="12" w:space="0"/>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因素</w:t>
            </w:r>
          </w:p>
        </w:tc>
        <w:tc>
          <w:tcPr>
            <w:tcW w:w="686" w:type="pct"/>
            <w:tcBorders>
              <w:bottom w:val="single" w:color="auto" w:sz="12" w:space="0"/>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监测位置</w:t>
            </w:r>
          </w:p>
        </w:tc>
        <w:tc>
          <w:tcPr>
            <w:tcW w:w="1247" w:type="pct"/>
            <w:tcBorders>
              <w:bottom w:val="single" w:color="auto" w:sz="12" w:space="0"/>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监测指标</w:t>
            </w:r>
          </w:p>
        </w:tc>
        <w:tc>
          <w:tcPr>
            <w:tcW w:w="723" w:type="pct"/>
            <w:tcBorders>
              <w:bottom w:val="single" w:color="auto" w:sz="12" w:space="0"/>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监测频次</w:t>
            </w:r>
          </w:p>
        </w:tc>
        <w:tc>
          <w:tcPr>
            <w:tcW w:w="1889" w:type="pct"/>
            <w:tcBorders>
              <w:bottom w:val="single" w:color="auto" w:sz="12" w:space="0"/>
            </w:tcBorders>
            <w:vAlign w:val="center"/>
          </w:tcPr>
          <w:p>
            <w:pPr>
              <w:widowControl w:val="0"/>
              <w:spacing w:line="240" w:lineRule="auto"/>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 w:type="pct"/>
            <w:vMerge w:val="restart"/>
            <w:tcBorders>
              <w:top w:val="single" w:color="auto"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ascii="Times New Roman" w:hAnsi="Times New Roman" w:eastAsia="宋体" w:cs="Times New Roman"/>
                <w:bCs/>
                <w:kern w:val="2"/>
                <w:sz w:val="21"/>
                <w:szCs w:val="24"/>
                <w:lang w:val="zh-TW" w:eastAsia="zh-TW" w:bidi="ar-SA"/>
              </w:rPr>
              <w:t>废气</w:t>
            </w:r>
          </w:p>
        </w:tc>
        <w:tc>
          <w:tcPr>
            <w:tcW w:w="686" w:type="pct"/>
            <w:vMerge w:val="restart"/>
            <w:tcBorders>
              <w:top w:val="single" w:color="auto"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hint="eastAsia" w:ascii="Times New Roman" w:hAnsi="Times New Roman" w:eastAsia="宋体" w:cs="Times New Roman"/>
                <w:bCs/>
                <w:kern w:val="2"/>
                <w:sz w:val="21"/>
                <w:szCs w:val="24"/>
                <w:lang w:val="en-US" w:eastAsia="zh-CN" w:bidi="ar-SA"/>
              </w:rPr>
              <w:t>锅炉</w:t>
            </w:r>
            <w:r>
              <w:rPr>
                <w:rFonts w:ascii="Times New Roman" w:hAnsi="Times New Roman" w:eastAsia="宋体" w:cs="Times New Roman"/>
                <w:bCs/>
                <w:kern w:val="2"/>
                <w:sz w:val="21"/>
                <w:szCs w:val="24"/>
                <w:lang w:val="zh-TW" w:eastAsia="zh-TW" w:bidi="ar-SA"/>
              </w:rPr>
              <w:t>排气筒</w:t>
            </w:r>
          </w:p>
        </w:tc>
        <w:tc>
          <w:tcPr>
            <w:tcW w:w="1247" w:type="pct"/>
            <w:tcBorders>
              <w:top w:val="single" w:color="auto"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ascii="Times New Roman" w:hAnsi="Times New Roman" w:eastAsia="宋体" w:cs="Times New Roman"/>
                <w:bCs/>
                <w:kern w:val="2"/>
                <w:sz w:val="21"/>
                <w:szCs w:val="24"/>
                <w:lang w:val="zh-TW" w:eastAsia="zh-TW" w:bidi="ar-SA"/>
              </w:rPr>
              <w:t>氮氧化物</w:t>
            </w:r>
          </w:p>
        </w:tc>
        <w:tc>
          <w:tcPr>
            <w:tcW w:w="723" w:type="pct"/>
            <w:tcBorders>
              <w:top w:val="single" w:color="auto"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hint="default" w:ascii="Times New Roman" w:hAnsi="Times New Roman" w:eastAsia="宋体" w:cs="Times New Roman"/>
                <w:b w:val="0"/>
                <w:bCs w:val="0"/>
                <w:color w:val="auto"/>
                <w:kern w:val="2"/>
                <w:sz w:val="21"/>
                <w:szCs w:val="21"/>
                <w:lang w:val="zh-TW" w:eastAsia="zh-TW" w:bidi="ar-SA"/>
              </w:rPr>
              <w:t>1次/</w:t>
            </w:r>
            <w:r>
              <w:rPr>
                <w:rFonts w:hint="eastAsia" w:ascii="Times New Roman" w:hAnsi="Times New Roman" w:eastAsia="宋体" w:cs="Times New Roman"/>
                <w:b w:val="0"/>
                <w:bCs w:val="0"/>
                <w:color w:val="auto"/>
                <w:kern w:val="2"/>
                <w:sz w:val="21"/>
                <w:szCs w:val="21"/>
                <w:lang w:val="en-US" w:eastAsia="zh-CN" w:bidi="ar-SA"/>
              </w:rPr>
              <w:t>月</w:t>
            </w:r>
          </w:p>
        </w:tc>
        <w:tc>
          <w:tcPr>
            <w:tcW w:w="1889" w:type="pct"/>
            <w:tcBorders>
              <w:top w:val="single" w:color="auto" w:sz="12" w:space="0"/>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en-US" w:eastAsia="zh-CN" w:bidi="ar-SA"/>
              </w:rPr>
            </w:pPr>
            <w:r>
              <w:rPr>
                <w:rFonts w:ascii="Times New Roman" w:hAnsi="Times New Roman" w:eastAsia="宋体" w:cs="Times New Roman"/>
                <w:bCs/>
                <w:kern w:val="2"/>
                <w:sz w:val="21"/>
                <w:szCs w:val="24"/>
                <w:lang w:val="en-US" w:eastAsia="zh-CN" w:bidi="ar-SA"/>
              </w:rPr>
              <w:t>《关于开展自治区</w:t>
            </w:r>
            <w:r>
              <w:rPr>
                <w:rFonts w:hint="eastAsia" w:ascii="Times New Roman" w:hAnsi="Times New Roman" w:eastAsia="宋体" w:cs="Times New Roman"/>
                <w:bCs/>
                <w:kern w:val="2"/>
                <w:sz w:val="21"/>
                <w:szCs w:val="24"/>
                <w:lang w:val="en-US" w:eastAsia="zh-CN" w:bidi="ar-SA"/>
              </w:rPr>
              <w:t>2022年度夏秋季大气污染防治“冬病夏治”工作的通知》（新环大气函〔2022〕483号）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 w:type="pct"/>
            <w:vMerge w:val="continue"/>
            <w:tcBorders>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p>
        </w:tc>
        <w:tc>
          <w:tcPr>
            <w:tcW w:w="686" w:type="pct"/>
            <w:vMerge w:val="continue"/>
            <w:tcBorders>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p>
        </w:tc>
        <w:tc>
          <w:tcPr>
            <w:tcW w:w="1247" w:type="pct"/>
            <w:tcBorders>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en-US" w:eastAsia="zh-CN" w:bidi="ar-SA"/>
              </w:rPr>
            </w:pPr>
            <w:r>
              <w:rPr>
                <w:rFonts w:ascii="Times New Roman" w:hAnsi="Times New Roman" w:eastAsia="宋体" w:cs="Times New Roman"/>
                <w:bCs/>
                <w:kern w:val="2"/>
                <w:sz w:val="21"/>
                <w:szCs w:val="24"/>
                <w:lang w:val="zh-TW" w:eastAsia="zh-TW" w:bidi="ar-SA"/>
              </w:rPr>
              <w:t>颗粒物</w:t>
            </w:r>
          </w:p>
        </w:tc>
        <w:tc>
          <w:tcPr>
            <w:tcW w:w="723" w:type="pct"/>
            <w:tcBorders>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hint="default" w:ascii="Times New Roman" w:hAnsi="Times New Roman" w:eastAsia="宋体" w:cs="Times New Roman"/>
                <w:b w:val="0"/>
                <w:bCs w:val="0"/>
                <w:color w:val="auto"/>
                <w:kern w:val="2"/>
                <w:sz w:val="21"/>
                <w:szCs w:val="21"/>
                <w:lang w:val="zh-TW" w:eastAsia="zh-TW" w:bidi="ar-SA"/>
              </w:rPr>
              <w:t>1次/</w:t>
            </w:r>
            <w:r>
              <w:rPr>
                <w:rFonts w:hint="default" w:ascii="Times New Roman" w:hAnsi="Times New Roman" w:eastAsia="宋体" w:cs="Times New Roman"/>
                <w:b w:val="0"/>
                <w:bCs w:val="0"/>
                <w:color w:val="auto"/>
                <w:kern w:val="2"/>
                <w:sz w:val="21"/>
                <w:szCs w:val="21"/>
                <w:lang w:val="en-US" w:eastAsia="zh-CN" w:bidi="ar-SA"/>
              </w:rPr>
              <w:t>年</w:t>
            </w:r>
          </w:p>
        </w:tc>
        <w:tc>
          <w:tcPr>
            <w:tcW w:w="1889" w:type="pct"/>
            <w:vMerge w:val="restart"/>
            <w:tcBorders>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ascii="Times New Roman" w:hAnsi="Times New Roman" w:eastAsia="宋体" w:cs="Times New Roman"/>
                <w:bCs/>
                <w:kern w:val="2"/>
                <w:sz w:val="21"/>
                <w:szCs w:val="24"/>
                <w:lang w:val="zh-TW" w:eastAsia="zh-TW" w:bidi="ar-SA"/>
              </w:rPr>
              <w:t>《锅炉大气污染物排放标准》（GB13271-2014）表3中燃气锅炉大气污染物特别排放限值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 w:type="pct"/>
            <w:vMerge w:val="continue"/>
            <w:tcBorders>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p>
        </w:tc>
        <w:tc>
          <w:tcPr>
            <w:tcW w:w="686" w:type="pct"/>
            <w:vMerge w:val="continue"/>
            <w:tcBorders>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p>
        </w:tc>
        <w:tc>
          <w:tcPr>
            <w:tcW w:w="1247" w:type="pct"/>
            <w:tcBorders>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ascii="Times New Roman" w:hAnsi="Times New Roman" w:eastAsia="宋体" w:cs="Times New Roman"/>
                <w:bCs/>
                <w:kern w:val="2"/>
                <w:sz w:val="21"/>
                <w:szCs w:val="24"/>
                <w:lang w:val="zh-TW" w:eastAsia="zh-TW" w:bidi="ar-SA"/>
              </w:rPr>
              <w:t>二氧化硫</w:t>
            </w:r>
          </w:p>
        </w:tc>
        <w:tc>
          <w:tcPr>
            <w:tcW w:w="723"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lang w:val="zh-TW" w:eastAsia="zh-TW" w:bidi="ar-SA"/>
              </w:rPr>
            </w:pPr>
            <w:r>
              <w:rPr>
                <w:rFonts w:hint="default" w:ascii="Times New Roman" w:hAnsi="Times New Roman" w:eastAsia="宋体" w:cs="Times New Roman"/>
                <w:b w:val="0"/>
                <w:bCs w:val="0"/>
                <w:color w:val="auto"/>
                <w:kern w:val="2"/>
                <w:sz w:val="21"/>
                <w:szCs w:val="21"/>
                <w:lang w:val="zh-TW" w:eastAsia="zh-TW" w:bidi="ar-SA"/>
              </w:rPr>
              <w:t>1次/</w:t>
            </w:r>
            <w:r>
              <w:rPr>
                <w:rFonts w:hint="default" w:ascii="Times New Roman" w:hAnsi="Times New Roman" w:eastAsia="宋体" w:cs="Times New Roman"/>
                <w:b w:val="0"/>
                <w:bCs w:val="0"/>
                <w:color w:val="auto"/>
                <w:kern w:val="2"/>
                <w:sz w:val="21"/>
                <w:szCs w:val="21"/>
                <w:lang w:val="en-US" w:eastAsia="zh-CN" w:bidi="ar-SA"/>
              </w:rPr>
              <w:t>年</w:t>
            </w:r>
          </w:p>
        </w:tc>
        <w:tc>
          <w:tcPr>
            <w:tcW w:w="1889" w:type="pct"/>
            <w:vMerge w:val="continue"/>
            <w:tcBorders>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 w:type="pct"/>
            <w:vMerge w:val="continue"/>
            <w:tcBorders>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p>
        </w:tc>
        <w:tc>
          <w:tcPr>
            <w:tcW w:w="686" w:type="pct"/>
            <w:vMerge w:val="continue"/>
            <w:tcBorders>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p>
        </w:tc>
        <w:tc>
          <w:tcPr>
            <w:tcW w:w="1247" w:type="pct"/>
            <w:tcBorders>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r>
              <w:rPr>
                <w:rFonts w:hint="default" w:ascii="Times New Roman" w:hAnsi="Times New Roman" w:eastAsia="宋体" w:cs="Times New Roman"/>
                <w:b w:val="0"/>
                <w:bCs w:val="0"/>
                <w:color w:val="auto"/>
                <w:kern w:val="2"/>
                <w:sz w:val="21"/>
                <w:szCs w:val="21"/>
                <w:lang w:val="en-US" w:eastAsia="zh-CN" w:bidi="ar-SA"/>
              </w:rPr>
              <w:t>烟气黑度（林格曼）</w:t>
            </w:r>
          </w:p>
        </w:tc>
        <w:tc>
          <w:tcPr>
            <w:tcW w:w="723"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lang w:val="zh-TW" w:eastAsia="zh-TW" w:bidi="ar-SA"/>
              </w:rPr>
            </w:pPr>
            <w:r>
              <w:rPr>
                <w:rFonts w:hint="default" w:ascii="Times New Roman" w:hAnsi="Times New Roman" w:eastAsia="宋体" w:cs="Times New Roman"/>
                <w:b w:val="0"/>
                <w:bCs w:val="0"/>
                <w:color w:val="auto"/>
                <w:kern w:val="2"/>
                <w:sz w:val="21"/>
                <w:szCs w:val="21"/>
                <w:lang w:val="zh-TW" w:eastAsia="zh-TW" w:bidi="ar-SA"/>
              </w:rPr>
              <w:t>1次/</w:t>
            </w:r>
            <w:r>
              <w:rPr>
                <w:rFonts w:hint="default" w:ascii="Times New Roman" w:hAnsi="Times New Roman" w:eastAsia="宋体" w:cs="Times New Roman"/>
                <w:b w:val="0"/>
                <w:bCs w:val="0"/>
                <w:color w:val="auto"/>
                <w:kern w:val="2"/>
                <w:sz w:val="21"/>
                <w:szCs w:val="21"/>
                <w:lang w:val="en-US" w:eastAsia="zh-CN" w:bidi="ar-SA"/>
              </w:rPr>
              <w:t>年</w:t>
            </w:r>
          </w:p>
        </w:tc>
        <w:tc>
          <w:tcPr>
            <w:tcW w:w="1889" w:type="pct"/>
            <w:vMerge w:val="continue"/>
            <w:tcBorders>
              <w:tl2br w:val="nil"/>
              <w:tr2bl w:val="nil"/>
            </w:tcBorders>
            <w:vAlign w:val="center"/>
          </w:tcPr>
          <w:p>
            <w:pPr>
              <w:widowControl w:val="0"/>
              <w:spacing w:line="240" w:lineRule="auto"/>
              <w:ind w:firstLine="0" w:firstLineChars="0"/>
              <w:jc w:val="center"/>
              <w:rPr>
                <w:rFonts w:ascii="Times New Roman" w:hAnsi="Times New Roman" w:eastAsia="宋体" w:cs="Times New Roman"/>
                <w:bCs/>
                <w:kern w:val="2"/>
                <w:sz w:val="21"/>
                <w:szCs w:val="24"/>
                <w:lang w:val="zh-TW" w:eastAsia="zh-TW" w:bidi="ar-SA"/>
              </w:rPr>
            </w:pPr>
          </w:p>
        </w:tc>
      </w:tr>
    </w:tbl>
    <w:p>
      <w:pPr>
        <w:widowControl w:val="0"/>
        <w:bidi w:val="0"/>
        <w:spacing w:line="360" w:lineRule="auto"/>
        <w:ind w:firstLine="0" w:firstLineChars="0"/>
        <w:jc w:val="center"/>
        <w:rPr>
          <w:rFonts w:ascii="Times New Roman" w:hAnsi="Times New Roman" w:eastAsia="宋体" w:cs="Times New Roman"/>
          <w:b/>
          <w:kern w:val="2"/>
          <w:sz w:val="24"/>
          <w:szCs w:val="24"/>
          <w:highlight w:val="none"/>
          <w:lang w:val="en-US" w:eastAsia="zh-CN" w:bidi="ar-SA"/>
        </w:rPr>
      </w:pPr>
      <w:r>
        <w:rPr>
          <w:rFonts w:hint="eastAsia" w:ascii="Times New Roman" w:hAnsi="Times New Roman" w:eastAsia="宋体" w:cs="Times New Roman"/>
          <w:b/>
          <w:kern w:val="2"/>
          <w:sz w:val="24"/>
          <w:szCs w:val="24"/>
          <w:highlight w:val="none"/>
          <w:lang w:val="en-US" w:eastAsia="zh-CN" w:bidi="ar-SA"/>
        </w:rPr>
        <w:t>废水</w:t>
      </w:r>
      <w:r>
        <w:rPr>
          <w:rFonts w:ascii="Times New Roman" w:hAnsi="Times New Roman" w:eastAsia="宋体" w:cs="Times New Roman"/>
          <w:b/>
          <w:kern w:val="2"/>
          <w:sz w:val="24"/>
          <w:szCs w:val="24"/>
          <w:highlight w:val="none"/>
          <w:lang w:val="en-US" w:eastAsia="zh-CN" w:bidi="ar-SA"/>
        </w:rPr>
        <w:t>监测内容及计划</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5"/>
        <w:gridCol w:w="1848"/>
        <w:gridCol w:w="2214"/>
        <w:gridCol w:w="1966"/>
        <w:gridCol w:w="12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36" w:type="pct"/>
            <w:tcBorders>
              <w:top w:val="single" w:color="auto" w:sz="12" w:space="0"/>
              <w:bottom w:val="single" w:color="auto" w:sz="12" w:space="0"/>
            </w:tcBorders>
            <w:noWrap w:val="0"/>
            <w:vAlign w:val="center"/>
          </w:tcPr>
          <w:p>
            <w:pPr>
              <w:bidi w:val="0"/>
              <w:jc w:val="center"/>
              <w:rPr>
                <w:rFonts w:ascii="Times New Roman" w:hAnsi="Times New Roman" w:eastAsia="宋体" w:cs="Times New Roman"/>
                <w:b/>
                <w:bCs/>
                <w:kern w:val="2"/>
                <w:sz w:val="21"/>
                <w:szCs w:val="24"/>
                <w:highlight w:val="none"/>
                <w:lang w:val="zh-TW" w:eastAsia="zh-TW" w:bidi="ar-SA"/>
              </w:rPr>
            </w:pPr>
            <w:r>
              <w:rPr>
                <w:rFonts w:ascii="Times New Roman" w:hAnsi="Times New Roman" w:eastAsia="宋体" w:cs="Times New Roman"/>
                <w:b/>
                <w:bCs/>
                <w:kern w:val="2"/>
                <w:sz w:val="21"/>
                <w:szCs w:val="24"/>
                <w:highlight w:val="none"/>
                <w:lang w:val="zh-TW" w:eastAsia="zh-TW" w:bidi="ar-SA"/>
              </w:rPr>
              <w:t>监测点位</w:t>
            </w:r>
          </w:p>
        </w:tc>
        <w:tc>
          <w:tcPr>
            <w:tcW w:w="1084" w:type="pct"/>
            <w:tcBorders>
              <w:top w:val="single" w:color="auto" w:sz="12" w:space="0"/>
              <w:bottom w:val="single" w:color="auto" w:sz="12" w:space="0"/>
            </w:tcBorders>
            <w:noWrap w:val="0"/>
            <w:vAlign w:val="center"/>
          </w:tcPr>
          <w:p>
            <w:pPr>
              <w:bidi w:val="0"/>
              <w:jc w:val="center"/>
              <w:rPr>
                <w:rFonts w:ascii="Times New Roman" w:hAnsi="Times New Roman" w:eastAsia="宋体" w:cs="Times New Roman"/>
                <w:b/>
                <w:bCs/>
                <w:kern w:val="2"/>
                <w:sz w:val="21"/>
                <w:szCs w:val="24"/>
                <w:highlight w:val="none"/>
                <w:lang w:val="zh-TW" w:eastAsia="zh-TW" w:bidi="ar-SA"/>
              </w:rPr>
            </w:pPr>
            <w:r>
              <w:rPr>
                <w:rFonts w:ascii="Times New Roman" w:hAnsi="Times New Roman" w:eastAsia="宋体" w:cs="Times New Roman"/>
                <w:b/>
                <w:bCs/>
                <w:kern w:val="2"/>
                <w:sz w:val="21"/>
                <w:szCs w:val="24"/>
                <w:highlight w:val="none"/>
                <w:lang w:val="zh-TW" w:eastAsia="zh-TW" w:bidi="ar-SA"/>
              </w:rPr>
              <w:t>检测项目</w:t>
            </w:r>
          </w:p>
        </w:tc>
        <w:tc>
          <w:tcPr>
            <w:tcW w:w="1299" w:type="pct"/>
            <w:tcBorders>
              <w:top w:val="single" w:color="auto" w:sz="12" w:space="0"/>
              <w:bottom w:val="single" w:color="auto" w:sz="12" w:space="0"/>
            </w:tcBorders>
            <w:noWrap w:val="0"/>
            <w:vAlign w:val="center"/>
          </w:tcPr>
          <w:p>
            <w:pPr>
              <w:bidi w:val="0"/>
              <w:jc w:val="center"/>
              <w:rPr>
                <w:rFonts w:ascii="Times New Roman" w:hAnsi="Times New Roman" w:eastAsia="宋体" w:cs="Times New Roman"/>
                <w:b/>
                <w:bCs/>
                <w:kern w:val="2"/>
                <w:sz w:val="21"/>
                <w:szCs w:val="24"/>
                <w:highlight w:val="none"/>
                <w:lang w:val="zh-TW" w:eastAsia="zh-TW" w:bidi="ar-SA"/>
              </w:rPr>
            </w:pPr>
            <w:r>
              <w:rPr>
                <w:rFonts w:ascii="Times New Roman" w:hAnsi="Times New Roman" w:eastAsia="宋体" w:cs="Times New Roman"/>
                <w:b/>
                <w:bCs/>
                <w:kern w:val="2"/>
                <w:sz w:val="21"/>
                <w:szCs w:val="24"/>
                <w:highlight w:val="none"/>
                <w:lang w:val="zh-TW" w:eastAsia="zh-TW" w:bidi="ar-SA"/>
              </w:rPr>
              <w:t>监测频次</w:t>
            </w:r>
          </w:p>
        </w:tc>
        <w:tc>
          <w:tcPr>
            <w:tcW w:w="1153" w:type="pct"/>
            <w:tcBorders>
              <w:top w:val="single" w:color="auto" w:sz="12" w:space="0"/>
              <w:bottom w:val="single" w:color="auto" w:sz="12" w:space="0"/>
            </w:tcBorders>
            <w:noWrap w:val="0"/>
            <w:vAlign w:val="center"/>
          </w:tcPr>
          <w:p>
            <w:pPr>
              <w:bidi w:val="0"/>
              <w:jc w:val="center"/>
              <w:rPr>
                <w:rFonts w:ascii="Times New Roman" w:hAnsi="Times New Roman" w:eastAsia="宋体" w:cs="Times New Roman"/>
                <w:b/>
                <w:bCs/>
                <w:kern w:val="2"/>
                <w:sz w:val="21"/>
                <w:szCs w:val="24"/>
                <w:highlight w:val="none"/>
                <w:lang w:val="zh-TW" w:eastAsia="zh-TW" w:bidi="ar-SA"/>
              </w:rPr>
            </w:pPr>
            <w:r>
              <w:rPr>
                <w:rFonts w:ascii="Times New Roman" w:hAnsi="Times New Roman" w:eastAsia="宋体" w:cs="Times New Roman"/>
                <w:b/>
                <w:bCs/>
                <w:kern w:val="2"/>
                <w:sz w:val="21"/>
                <w:szCs w:val="24"/>
                <w:highlight w:val="none"/>
                <w:lang w:val="zh-TW" w:eastAsia="zh-TW" w:bidi="ar-SA"/>
              </w:rPr>
              <w:t>执行标准</w:t>
            </w:r>
          </w:p>
        </w:tc>
        <w:tc>
          <w:tcPr>
            <w:tcW w:w="725" w:type="pct"/>
            <w:tcBorders>
              <w:top w:val="single" w:color="auto" w:sz="12" w:space="0"/>
              <w:bottom w:val="single" w:color="auto" w:sz="12" w:space="0"/>
              <w:right w:val="nil"/>
            </w:tcBorders>
            <w:noWrap w:val="0"/>
            <w:vAlign w:val="center"/>
          </w:tcPr>
          <w:p>
            <w:pPr>
              <w:bidi w:val="0"/>
              <w:jc w:val="center"/>
              <w:rPr>
                <w:rFonts w:hint="default" w:ascii="Times New Roman" w:hAnsi="Times New Roman" w:eastAsia="宋体" w:cs="Times New Roman"/>
                <w:b/>
                <w:bCs/>
                <w:kern w:val="2"/>
                <w:sz w:val="21"/>
                <w:szCs w:val="24"/>
                <w:highlight w:val="none"/>
                <w:lang w:val="en-US" w:eastAsia="zh-CN" w:bidi="ar-SA"/>
              </w:rPr>
            </w:pPr>
            <w:r>
              <w:rPr>
                <w:rFonts w:hint="default" w:ascii="Times New Roman" w:hAnsi="Times New Roman" w:eastAsia="宋体" w:cs="Times New Roman"/>
                <w:b/>
                <w:bCs/>
                <w:kern w:val="2"/>
                <w:sz w:val="21"/>
                <w:szCs w:val="24"/>
                <w:highlight w:val="none"/>
                <w:lang w:val="zh-TW" w:eastAsia="zh-TW" w:bidi="ar-SA"/>
              </w:rPr>
              <w:t>监测单位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6" w:type="pct"/>
            <w:vMerge w:val="restart"/>
            <w:tcBorders>
              <w:top w:val="single" w:color="auto" w:sz="12" w:space="0"/>
              <w:left w:val="nil"/>
            </w:tcBorders>
            <w:noWrap w:val="0"/>
            <w:vAlign w:val="center"/>
          </w:tcPr>
          <w:p>
            <w:pPr>
              <w:bidi w:val="0"/>
              <w:jc w:val="center"/>
              <w:rPr>
                <w:rFonts w:ascii="Times New Roman" w:hAnsi="Times New Roman" w:eastAsia="宋体" w:cs="Times New Roman"/>
                <w:b w:val="0"/>
                <w:kern w:val="2"/>
                <w:sz w:val="21"/>
                <w:szCs w:val="24"/>
                <w:highlight w:val="none"/>
                <w:lang w:val="zh-TW" w:eastAsia="zh-TW" w:bidi="ar-SA"/>
              </w:rPr>
            </w:pPr>
            <w:r>
              <w:rPr>
                <w:rFonts w:ascii="Times New Roman" w:hAnsi="Times New Roman" w:eastAsia="宋体" w:cs="Times New Roman"/>
                <w:b w:val="0"/>
                <w:kern w:val="2"/>
                <w:sz w:val="21"/>
                <w:szCs w:val="24"/>
                <w:highlight w:val="none"/>
                <w:lang w:val="zh-TW" w:eastAsia="zh-TW" w:bidi="ar-SA"/>
              </w:rPr>
              <w:t>废水排放口</w:t>
            </w:r>
          </w:p>
        </w:tc>
        <w:tc>
          <w:tcPr>
            <w:tcW w:w="1084" w:type="pct"/>
            <w:tcBorders>
              <w:top w:val="single" w:color="auto" w:sz="12" w:space="0"/>
              <w:bottom w:val="single" w:color="auto" w:sz="4" w:space="0"/>
            </w:tcBorders>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color w:val="auto"/>
                <w:kern w:val="2"/>
                <w:sz w:val="21"/>
                <w:szCs w:val="24"/>
                <w:lang w:val="zh-TW" w:eastAsia="zh-TW" w:bidi="ar-SA"/>
              </w:rPr>
            </w:pPr>
            <w:r>
              <w:rPr>
                <w:rFonts w:hint="default" w:ascii="Times New Roman" w:hAnsi="Times New Roman" w:eastAsia="宋体" w:cs="Times New Roman"/>
                <w:bCs/>
                <w:color w:val="auto"/>
                <w:kern w:val="2"/>
                <w:sz w:val="21"/>
                <w:szCs w:val="24"/>
                <w:lang w:val="zh-TW" w:eastAsia="zh-TW" w:bidi="ar-SA"/>
              </w:rPr>
              <w:t>pH、</w:t>
            </w:r>
            <w:r>
              <w:rPr>
                <w:rFonts w:hint="eastAsia" w:ascii="Times New Roman" w:hAnsi="Times New Roman" w:eastAsia="宋体" w:cs="Times New Roman"/>
                <w:bCs/>
                <w:color w:val="auto"/>
                <w:kern w:val="2"/>
                <w:sz w:val="21"/>
                <w:szCs w:val="24"/>
                <w:lang w:val="en-US" w:eastAsia="zh-CN" w:bidi="ar-SA"/>
              </w:rPr>
              <w:t>流量</w:t>
            </w:r>
          </w:p>
        </w:tc>
        <w:tc>
          <w:tcPr>
            <w:tcW w:w="1299" w:type="pct"/>
            <w:tcBorders>
              <w:top w:val="single" w:color="auto" w:sz="12" w:space="0"/>
              <w:bottom w:val="single" w:color="auto" w:sz="4" w:space="0"/>
            </w:tcBorders>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color w:val="auto"/>
                <w:kern w:val="2"/>
                <w:sz w:val="21"/>
                <w:szCs w:val="24"/>
                <w:lang w:val="zh-TW" w:eastAsia="zh-TW" w:bidi="ar-SA"/>
              </w:rPr>
            </w:pPr>
            <w:r>
              <w:rPr>
                <w:rFonts w:hint="eastAsia" w:ascii="Times New Roman" w:hAnsi="Times New Roman" w:eastAsia="宋体" w:cs="Times New Roman"/>
                <w:bCs/>
                <w:color w:val="auto"/>
                <w:kern w:val="2"/>
                <w:sz w:val="21"/>
                <w:szCs w:val="24"/>
                <w:lang w:val="en-US" w:eastAsia="zh-CN" w:bidi="ar-SA"/>
              </w:rPr>
              <w:t>自动监测</w:t>
            </w:r>
          </w:p>
        </w:tc>
        <w:tc>
          <w:tcPr>
            <w:tcW w:w="1153" w:type="pct"/>
            <w:vMerge w:val="restart"/>
            <w:tcBorders>
              <w:top w:val="single" w:color="auto" w:sz="12" w:space="0"/>
            </w:tcBorders>
            <w:noWrap w:val="0"/>
            <w:vAlign w:val="center"/>
          </w:tcPr>
          <w:p>
            <w:pPr>
              <w:bidi w:val="0"/>
              <w:jc w:val="center"/>
              <w:rPr>
                <w:rFonts w:ascii="Times New Roman" w:hAnsi="Times New Roman" w:eastAsia="宋体" w:cs="Times New Roman"/>
                <w:b w:val="0"/>
                <w:kern w:val="2"/>
                <w:sz w:val="21"/>
                <w:szCs w:val="24"/>
                <w:highlight w:val="none"/>
                <w:lang w:val="zh-TW" w:eastAsia="zh-TW" w:bidi="ar-SA"/>
              </w:rPr>
            </w:pPr>
            <w:r>
              <w:rPr>
                <w:rFonts w:hint="eastAsia" w:asciiTheme="minorHAnsi" w:hAnsiTheme="minorHAnsi" w:eastAsiaTheme="minorEastAsia"/>
                <w:b w:val="0"/>
                <w:sz w:val="21"/>
                <w:lang w:val="en-US" w:eastAsia="zh-CN"/>
              </w:rPr>
              <w:t>污水排入城镇下水道水质标准》</w:t>
            </w:r>
            <w:r>
              <w:rPr>
                <w:rFonts w:hint="eastAsia" w:asciiTheme="minorHAnsi" w:hAnsiTheme="minorHAnsi" w:eastAsiaTheme="minorEastAsia"/>
                <w:b w:val="0"/>
                <w:sz w:val="21"/>
              </w:rPr>
              <w:t>（</w:t>
            </w:r>
            <w:r>
              <w:rPr>
                <w:rFonts w:hint="eastAsia" w:asciiTheme="minorHAnsi" w:hAnsiTheme="minorHAnsi" w:eastAsiaTheme="minorEastAsia"/>
                <w:b w:val="0"/>
                <w:sz w:val="21"/>
                <w:lang w:val="en-US" w:eastAsia="zh-CN"/>
              </w:rPr>
              <w:t>GB/T31962-2015</w:t>
            </w:r>
            <w:r>
              <w:rPr>
                <w:rFonts w:hint="eastAsia" w:asciiTheme="minorHAnsi" w:hAnsiTheme="minorHAnsi" w:eastAsiaTheme="minorEastAsia"/>
                <w:b w:val="0"/>
                <w:sz w:val="21"/>
              </w:rPr>
              <w:t>）</w:t>
            </w:r>
            <w:r>
              <w:rPr>
                <w:rFonts w:hint="eastAsia" w:asciiTheme="minorHAnsi" w:hAnsiTheme="minorHAnsi" w:eastAsiaTheme="minorEastAsia"/>
                <w:b w:val="0"/>
                <w:sz w:val="21"/>
                <w:lang w:val="en-US" w:eastAsia="zh-CN"/>
              </w:rPr>
              <w:t>B级标准</w:t>
            </w:r>
          </w:p>
        </w:tc>
        <w:tc>
          <w:tcPr>
            <w:tcW w:w="725" w:type="pct"/>
            <w:vMerge w:val="restart"/>
            <w:tcBorders>
              <w:top w:val="single" w:color="auto" w:sz="12" w:space="0"/>
              <w:right w:val="nil"/>
            </w:tcBorders>
            <w:noWrap w:val="0"/>
            <w:vAlign w:val="center"/>
          </w:tcPr>
          <w:p>
            <w:pPr>
              <w:bidi w:val="0"/>
              <w:jc w:val="center"/>
              <w:rPr>
                <w:rFonts w:ascii="Times New Roman" w:hAnsi="Times New Roman" w:eastAsia="宋体" w:cs="Times New Roman"/>
                <w:b w:val="0"/>
                <w:kern w:val="2"/>
                <w:sz w:val="21"/>
                <w:szCs w:val="24"/>
                <w:highlight w:val="none"/>
                <w:lang w:val="zh-TW" w:eastAsia="zh-TW" w:bidi="ar-SA"/>
              </w:rPr>
            </w:pPr>
            <w:r>
              <w:rPr>
                <w:rFonts w:hint="default" w:ascii="Times New Roman" w:hAnsi="Times New Roman" w:cs="Times New Roman" w:eastAsiaTheme="minorEastAsia"/>
                <w:b w:val="0"/>
                <w:color w:val="auto"/>
                <w:sz w:val="21"/>
              </w:rPr>
              <w:t>有资质的监测单位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6" w:type="pct"/>
            <w:vMerge w:val="continue"/>
            <w:tcBorders>
              <w:left w:val="nil"/>
            </w:tcBorders>
            <w:noWrap w:val="0"/>
            <w:vAlign w:val="center"/>
          </w:tcPr>
          <w:p>
            <w:pPr>
              <w:bidi w:val="0"/>
              <w:jc w:val="center"/>
              <w:rPr>
                <w:rFonts w:ascii="Times New Roman" w:hAnsi="Times New Roman" w:eastAsia="宋体" w:cs="Times New Roman"/>
                <w:b w:val="0"/>
                <w:kern w:val="2"/>
                <w:sz w:val="21"/>
                <w:szCs w:val="24"/>
                <w:highlight w:val="none"/>
                <w:lang w:val="zh-TW" w:eastAsia="zh-TW" w:bidi="ar-SA"/>
              </w:rPr>
            </w:pPr>
          </w:p>
        </w:tc>
        <w:tc>
          <w:tcPr>
            <w:tcW w:w="1084" w:type="pct"/>
            <w:tcBorders>
              <w:top w:val="single" w:color="auto" w:sz="4" w:space="0"/>
              <w:bottom w:val="single" w:color="auto" w:sz="4" w:space="0"/>
            </w:tcBorders>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color w:val="auto"/>
                <w:kern w:val="2"/>
                <w:sz w:val="21"/>
                <w:szCs w:val="24"/>
                <w:lang w:val="zh-TW" w:eastAsia="zh-TW" w:bidi="ar-SA"/>
              </w:rPr>
            </w:pPr>
            <w:r>
              <w:rPr>
                <w:rFonts w:hint="default" w:ascii="Times New Roman" w:hAnsi="Times New Roman" w:eastAsia="宋体" w:cs="Times New Roman"/>
                <w:bCs/>
                <w:color w:val="auto"/>
                <w:kern w:val="2"/>
                <w:sz w:val="21"/>
                <w:szCs w:val="24"/>
                <w:lang w:val="zh-TW" w:eastAsia="zh-TW" w:bidi="ar-SA"/>
              </w:rPr>
              <w:t>COD</w:t>
            </w:r>
            <w:r>
              <w:rPr>
                <w:rFonts w:hint="default" w:ascii="Times New Roman" w:hAnsi="Times New Roman" w:eastAsia="宋体" w:cs="Times New Roman"/>
                <w:bCs/>
                <w:color w:val="auto"/>
                <w:kern w:val="2"/>
                <w:sz w:val="21"/>
                <w:szCs w:val="24"/>
                <w:vertAlign w:val="subscript"/>
                <w:lang w:val="zh-TW" w:eastAsia="zh-TW" w:bidi="ar-SA"/>
              </w:rPr>
              <w:t>Cr</w:t>
            </w:r>
            <w:r>
              <w:rPr>
                <w:rFonts w:hint="default" w:ascii="Times New Roman" w:hAnsi="Times New Roman" w:eastAsia="宋体" w:cs="Times New Roman"/>
                <w:bCs/>
                <w:color w:val="auto"/>
                <w:kern w:val="2"/>
                <w:sz w:val="21"/>
                <w:szCs w:val="24"/>
                <w:lang w:val="zh-TW" w:eastAsia="zh-TW" w:bidi="ar-SA"/>
              </w:rPr>
              <w:t>、NH</w:t>
            </w:r>
            <w:r>
              <w:rPr>
                <w:rFonts w:hint="default" w:ascii="Times New Roman" w:hAnsi="Times New Roman" w:eastAsia="宋体" w:cs="Times New Roman"/>
                <w:bCs/>
                <w:color w:val="auto"/>
                <w:kern w:val="2"/>
                <w:sz w:val="21"/>
                <w:szCs w:val="24"/>
                <w:vertAlign w:val="subscript"/>
                <w:lang w:val="zh-TW" w:eastAsia="zh-TW" w:bidi="ar-SA"/>
              </w:rPr>
              <w:t>3</w:t>
            </w:r>
            <w:r>
              <w:rPr>
                <w:rFonts w:hint="default" w:ascii="Times New Roman" w:hAnsi="Times New Roman" w:eastAsia="宋体" w:cs="Times New Roman"/>
                <w:bCs/>
                <w:color w:val="auto"/>
                <w:kern w:val="2"/>
                <w:sz w:val="21"/>
                <w:szCs w:val="24"/>
                <w:lang w:val="zh-TW" w:eastAsia="zh-TW" w:bidi="ar-SA"/>
              </w:rPr>
              <w:t>-N</w:t>
            </w:r>
          </w:p>
        </w:tc>
        <w:tc>
          <w:tcPr>
            <w:tcW w:w="1299" w:type="pct"/>
            <w:tcBorders>
              <w:top w:val="single" w:color="auto" w:sz="4" w:space="0"/>
              <w:bottom w:val="single" w:color="auto" w:sz="4" w:space="0"/>
            </w:tcBorders>
            <w:noWrap w:val="0"/>
            <w:vAlign w:val="center"/>
          </w:tcPr>
          <w:p>
            <w:pPr>
              <w:widowControl w:val="0"/>
              <w:bidi w:val="0"/>
              <w:spacing w:line="240" w:lineRule="auto"/>
              <w:ind w:firstLine="0" w:firstLineChars="0"/>
              <w:jc w:val="center"/>
              <w:rPr>
                <w:rFonts w:hint="eastAsia" w:ascii="Times New Roman" w:hAnsi="Times New Roman" w:eastAsia="宋体" w:cs="Times New Roman"/>
                <w:b w:val="0"/>
                <w:bCs/>
                <w:color w:val="auto"/>
                <w:kern w:val="2"/>
                <w:sz w:val="21"/>
                <w:szCs w:val="24"/>
                <w:lang w:val="zh-TW" w:eastAsia="zh-TW" w:bidi="ar-SA"/>
              </w:rPr>
            </w:pPr>
            <w:r>
              <w:rPr>
                <w:rFonts w:hint="eastAsia" w:ascii="Times New Roman" w:hAnsi="Times New Roman" w:eastAsia="宋体" w:cs="Times New Roman"/>
                <w:bCs/>
                <w:color w:val="auto"/>
                <w:kern w:val="2"/>
                <w:sz w:val="21"/>
                <w:szCs w:val="24"/>
                <w:lang w:val="en-US" w:eastAsia="zh-CN" w:bidi="ar-SA"/>
              </w:rPr>
              <w:t>自动监测（月）</w:t>
            </w:r>
          </w:p>
        </w:tc>
        <w:tc>
          <w:tcPr>
            <w:tcW w:w="1153" w:type="pct"/>
            <w:vMerge w:val="continue"/>
            <w:noWrap w:val="0"/>
            <w:vAlign w:val="center"/>
          </w:tcPr>
          <w:p>
            <w:pPr>
              <w:bidi w:val="0"/>
              <w:jc w:val="center"/>
              <w:rPr>
                <w:rFonts w:hint="eastAsia" w:ascii="Times New Roman" w:hAnsi="Times New Roman" w:eastAsia="宋体" w:cs="Times New Roman"/>
                <w:b w:val="0"/>
                <w:kern w:val="2"/>
                <w:sz w:val="21"/>
                <w:szCs w:val="24"/>
                <w:highlight w:val="none"/>
                <w:lang w:val="zh-TW" w:eastAsia="zh-TW" w:bidi="ar-SA"/>
              </w:rPr>
            </w:pPr>
          </w:p>
        </w:tc>
        <w:tc>
          <w:tcPr>
            <w:tcW w:w="725" w:type="pct"/>
            <w:vMerge w:val="continue"/>
            <w:tcBorders>
              <w:right w:val="nil"/>
            </w:tcBorders>
            <w:noWrap w:val="0"/>
            <w:vAlign w:val="center"/>
          </w:tcPr>
          <w:p>
            <w:pPr>
              <w:bidi w:val="0"/>
              <w:jc w:val="center"/>
              <w:rPr>
                <w:rFonts w:hint="eastAsia" w:ascii="Times New Roman" w:hAnsi="Times New Roman" w:eastAsia="宋体" w:cs="Times New Roman"/>
                <w:b w:val="0"/>
                <w:color w:val="auto"/>
                <w:kern w:val="2"/>
                <w:sz w:val="21"/>
                <w:szCs w:val="24"/>
                <w:highlight w:val="none"/>
                <w:lang w:val="zh-TW" w:eastAsia="zh-TW"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6" w:type="pct"/>
            <w:vMerge w:val="continue"/>
            <w:tcBorders>
              <w:left w:val="nil"/>
            </w:tcBorders>
            <w:noWrap w:val="0"/>
            <w:vAlign w:val="center"/>
          </w:tcPr>
          <w:p>
            <w:pPr>
              <w:bidi w:val="0"/>
              <w:jc w:val="center"/>
              <w:rPr>
                <w:rFonts w:ascii="Times New Roman" w:hAnsi="Times New Roman" w:eastAsia="宋体" w:cs="Times New Roman"/>
                <w:b w:val="0"/>
                <w:kern w:val="2"/>
                <w:sz w:val="21"/>
                <w:szCs w:val="24"/>
                <w:highlight w:val="none"/>
                <w:lang w:val="zh-TW" w:eastAsia="zh-TW" w:bidi="ar-SA"/>
              </w:rPr>
            </w:pPr>
          </w:p>
        </w:tc>
        <w:tc>
          <w:tcPr>
            <w:tcW w:w="1084" w:type="pct"/>
            <w:tcBorders>
              <w:top w:val="single" w:color="auto" w:sz="4" w:space="0"/>
              <w:bottom w:val="single" w:color="auto" w:sz="4" w:space="0"/>
            </w:tcBorders>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color w:val="auto"/>
                <w:kern w:val="2"/>
                <w:sz w:val="21"/>
                <w:szCs w:val="24"/>
                <w:lang w:val="zh-TW" w:eastAsia="zh-TW" w:bidi="ar-SA"/>
              </w:rPr>
            </w:pPr>
            <w:r>
              <w:rPr>
                <w:rFonts w:hint="default" w:ascii="Times New Roman" w:hAnsi="Times New Roman" w:eastAsia="宋体" w:cs="Times New Roman"/>
                <w:bCs/>
                <w:color w:val="auto"/>
                <w:kern w:val="2"/>
                <w:sz w:val="21"/>
                <w:szCs w:val="24"/>
                <w:lang w:val="zh-TW" w:eastAsia="zh-TW" w:bidi="ar-SA"/>
              </w:rPr>
              <w:t>SS</w:t>
            </w:r>
            <w:r>
              <w:rPr>
                <w:rFonts w:hint="default" w:ascii="Times New Roman" w:hAnsi="Times New Roman" w:eastAsia="宋体" w:cs="Times New Roman"/>
                <w:bCs/>
                <w:color w:val="auto"/>
                <w:kern w:val="2"/>
                <w:sz w:val="21"/>
                <w:szCs w:val="24"/>
                <w:lang w:val="zh-TW" w:eastAsia="zh-CN" w:bidi="ar-SA"/>
              </w:rPr>
              <w:t>、</w:t>
            </w:r>
            <w:r>
              <w:rPr>
                <w:rFonts w:hint="default" w:ascii="Times New Roman" w:hAnsi="Times New Roman" w:eastAsia="宋体" w:cs="Times New Roman"/>
                <w:bCs/>
                <w:color w:val="auto"/>
                <w:kern w:val="2"/>
                <w:sz w:val="21"/>
                <w:szCs w:val="24"/>
                <w:lang w:val="zh-TW" w:eastAsia="zh-TW" w:bidi="ar-SA"/>
              </w:rPr>
              <w:t>BOD</w:t>
            </w:r>
            <w:r>
              <w:rPr>
                <w:rFonts w:hint="default" w:ascii="Times New Roman" w:hAnsi="Times New Roman" w:eastAsia="宋体" w:cs="Times New Roman"/>
                <w:bCs/>
                <w:color w:val="auto"/>
                <w:kern w:val="2"/>
                <w:sz w:val="21"/>
                <w:szCs w:val="24"/>
                <w:vertAlign w:val="subscript"/>
                <w:lang w:val="zh-TW" w:eastAsia="zh-TW" w:bidi="ar-SA"/>
              </w:rPr>
              <w:t>5</w:t>
            </w:r>
            <w:r>
              <w:rPr>
                <w:rFonts w:hint="default" w:ascii="Times New Roman" w:hAnsi="Times New Roman" w:eastAsia="宋体" w:cs="Times New Roman"/>
                <w:bCs/>
                <w:color w:val="auto"/>
                <w:kern w:val="2"/>
                <w:sz w:val="21"/>
                <w:szCs w:val="24"/>
                <w:lang w:val="zh-TW" w:eastAsia="zh-TW" w:bidi="ar-SA"/>
              </w:rPr>
              <w:t>、</w:t>
            </w:r>
          </w:p>
        </w:tc>
        <w:tc>
          <w:tcPr>
            <w:tcW w:w="1299" w:type="pct"/>
            <w:tcBorders>
              <w:top w:val="single" w:color="auto" w:sz="4" w:space="0"/>
              <w:bottom w:val="single" w:color="auto" w:sz="4" w:space="0"/>
            </w:tcBorders>
            <w:noWrap w:val="0"/>
            <w:vAlign w:val="center"/>
          </w:tcPr>
          <w:p>
            <w:pPr>
              <w:widowControl w:val="0"/>
              <w:bidi w:val="0"/>
              <w:spacing w:line="240" w:lineRule="auto"/>
              <w:ind w:firstLine="0" w:firstLineChars="0"/>
              <w:jc w:val="center"/>
              <w:rPr>
                <w:rFonts w:hint="eastAsia" w:ascii="Times New Roman" w:hAnsi="Times New Roman" w:eastAsia="宋体" w:cs="Times New Roman"/>
                <w:b w:val="0"/>
                <w:bCs/>
                <w:color w:val="auto"/>
                <w:kern w:val="2"/>
                <w:sz w:val="21"/>
                <w:szCs w:val="24"/>
                <w:lang w:val="zh-TW" w:eastAsia="zh-TW" w:bidi="ar-SA"/>
              </w:rPr>
            </w:pPr>
            <w:r>
              <w:rPr>
                <w:rFonts w:hint="eastAsia" w:ascii="Times New Roman" w:hAnsi="Times New Roman" w:eastAsia="宋体" w:cs="Times New Roman"/>
                <w:bCs/>
                <w:color w:val="auto"/>
                <w:kern w:val="2"/>
                <w:sz w:val="21"/>
                <w:szCs w:val="24"/>
                <w:lang w:val="en-US" w:eastAsia="zh-CN" w:bidi="ar-SA"/>
              </w:rPr>
              <w:t>1次/季度</w:t>
            </w:r>
          </w:p>
        </w:tc>
        <w:tc>
          <w:tcPr>
            <w:tcW w:w="1153" w:type="pct"/>
            <w:vMerge w:val="continue"/>
            <w:noWrap w:val="0"/>
            <w:vAlign w:val="center"/>
          </w:tcPr>
          <w:p>
            <w:pPr>
              <w:bidi w:val="0"/>
              <w:jc w:val="center"/>
              <w:rPr>
                <w:rFonts w:hint="eastAsia" w:ascii="Times New Roman" w:hAnsi="Times New Roman" w:eastAsia="宋体" w:cs="Times New Roman"/>
                <w:b w:val="0"/>
                <w:kern w:val="2"/>
                <w:sz w:val="21"/>
                <w:szCs w:val="24"/>
                <w:highlight w:val="none"/>
                <w:lang w:val="zh-TW" w:eastAsia="zh-TW" w:bidi="ar-SA"/>
              </w:rPr>
            </w:pPr>
          </w:p>
        </w:tc>
        <w:tc>
          <w:tcPr>
            <w:tcW w:w="725" w:type="pct"/>
            <w:vMerge w:val="continue"/>
            <w:tcBorders>
              <w:right w:val="nil"/>
            </w:tcBorders>
            <w:noWrap w:val="0"/>
            <w:vAlign w:val="center"/>
          </w:tcPr>
          <w:p>
            <w:pPr>
              <w:bidi w:val="0"/>
              <w:jc w:val="center"/>
              <w:rPr>
                <w:rFonts w:hint="eastAsia" w:ascii="Times New Roman" w:hAnsi="Times New Roman" w:eastAsia="宋体" w:cs="Times New Roman"/>
                <w:b w:val="0"/>
                <w:color w:val="auto"/>
                <w:kern w:val="2"/>
                <w:sz w:val="21"/>
                <w:szCs w:val="24"/>
                <w:highlight w:val="none"/>
                <w:lang w:val="zh-TW" w:eastAsia="zh-TW"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6" w:type="pct"/>
            <w:vMerge w:val="continue"/>
            <w:tcBorders>
              <w:left w:val="nil"/>
              <w:bottom w:val="single" w:color="auto" w:sz="12" w:space="0"/>
            </w:tcBorders>
            <w:noWrap w:val="0"/>
            <w:vAlign w:val="center"/>
          </w:tcPr>
          <w:p>
            <w:pPr>
              <w:bidi w:val="0"/>
              <w:jc w:val="center"/>
              <w:rPr>
                <w:rFonts w:ascii="Times New Roman" w:hAnsi="Times New Roman" w:eastAsia="宋体" w:cs="Times New Roman"/>
                <w:b w:val="0"/>
                <w:kern w:val="2"/>
                <w:sz w:val="21"/>
                <w:szCs w:val="24"/>
                <w:highlight w:val="none"/>
                <w:lang w:val="zh-TW" w:eastAsia="zh-TW" w:bidi="ar-SA"/>
              </w:rPr>
            </w:pPr>
          </w:p>
        </w:tc>
        <w:tc>
          <w:tcPr>
            <w:tcW w:w="1084" w:type="pct"/>
            <w:tcBorders>
              <w:top w:val="single" w:color="auto" w:sz="4" w:space="0"/>
              <w:bottom w:val="single" w:color="auto" w:sz="12" w:space="0"/>
            </w:tcBorders>
            <w:noWrap w:val="0"/>
            <w:vAlign w:val="center"/>
          </w:tcPr>
          <w:p>
            <w:pPr>
              <w:widowControl w:val="0"/>
              <w:bidi w:val="0"/>
              <w:spacing w:line="240" w:lineRule="auto"/>
              <w:ind w:firstLine="0" w:firstLineChars="0"/>
              <w:jc w:val="center"/>
              <w:rPr>
                <w:rFonts w:hint="default" w:ascii="Times New Roman" w:hAnsi="Times New Roman" w:eastAsia="宋体" w:cs="Times New Roman"/>
                <w:b w:val="0"/>
                <w:bCs/>
                <w:color w:val="auto"/>
                <w:kern w:val="2"/>
                <w:sz w:val="21"/>
                <w:szCs w:val="24"/>
                <w:lang w:val="zh-TW" w:eastAsia="zh-TW" w:bidi="ar-SA"/>
              </w:rPr>
            </w:pPr>
            <w:r>
              <w:rPr>
                <w:rFonts w:hint="default" w:ascii="Times New Roman" w:hAnsi="Times New Roman" w:eastAsia="宋体" w:cs="Times New Roman"/>
                <w:bCs/>
                <w:color w:val="auto"/>
                <w:kern w:val="2"/>
                <w:sz w:val="21"/>
                <w:szCs w:val="24"/>
                <w:lang w:val="en-US" w:eastAsia="zh-CN" w:bidi="ar-SA"/>
              </w:rPr>
              <w:t>LAS、动植物油</w:t>
            </w:r>
          </w:p>
        </w:tc>
        <w:tc>
          <w:tcPr>
            <w:tcW w:w="1299" w:type="pct"/>
            <w:tcBorders>
              <w:top w:val="single" w:color="auto" w:sz="4" w:space="0"/>
              <w:bottom w:val="single" w:color="auto" w:sz="12" w:space="0"/>
            </w:tcBorders>
            <w:noWrap w:val="0"/>
            <w:vAlign w:val="center"/>
          </w:tcPr>
          <w:p>
            <w:pPr>
              <w:widowControl w:val="0"/>
              <w:bidi w:val="0"/>
              <w:spacing w:line="240" w:lineRule="auto"/>
              <w:ind w:firstLine="0" w:firstLineChars="0"/>
              <w:jc w:val="center"/>
              <w:rPr>
                <w:rFonts w:hint="eastAsia" w:ascii="Times New Roman" w:hAnsi="Times New Roman" w:eastAsia="宋体" w:cs="Times New Roman"/>
                <w:b w:val="0"/>
                <w:bCs/>
                <w:color w:val="auto"/>
                <w:kern w:val="2"/>
                <w:sz w:val="21"/>
                <w:szCs w:val="24"/>
                <w:lang w:val="zh-TW" w:eastAsia="zh-TW" w:bidi="ar-SA"/>
              </w:rPr>
            </w:pPr>
            <w:r>
              <w:rPr>
                <w:rFonts w:hint="eastAsia" w:ascii="Times New Roman" w:hAnsi="Times New Roman" w:eastAsia="宋体" w:cs="Times New Roman"/>
                <w:bCs/>
                <w:color w:val="auto"/>
                <w:kern w:val="2"/>
                <w:sz w:val="21"/>
                <w:szCs w:val="24"/>
                <w:lang w:val="en-US" w:eastAsia="zh-CN" w:bidi="ar-SA"/>
              </w:rPr>
              <w:t>1次/年</w:t>
            </w:r>
          </w:p>
        </w:tc>
        <w:tc>
          <w:tcPr>
            <w:tcW w:w="1153" w:type="pct"/>
            <w:vMerge w:val="continue"/>
            <w:tcBorders>
              <w:bottom w:val="single" w:color="auto" w:sz="12" w:space="0"/>
            </w:tcBorders>
            <w:noWrap w:val="0"/>
            <w:vAlign w:val="center"/>
          </w:tcPr>
          <w:p>
            <w:pPr>
              <w:bidi w:val="0"/>
              <w:jc w:val="center"/>
              <w:rPr>
                <w:rFonts w:hint="eastAsia" w:ascii="Times New Roman" w:hAnsi="Times New Roman" w:eastAsia="宋体" w:cs="Times New Roman"/>
                <w:b w:val="0"/>
                <w:kern w:val="2"/>
                <w:sz w:val="21"/>
                <w:szCs w:val="24"/>
                <w:highlight w:val="none"/>
                <w:lang w:val="zh-TW" w:eastAsia="zh-TW" w:bidi="ar-SA"/>
              </w:rPr>
            </w:pPr>
          </w:p>
        </w:tc>
        <w:tc>
          <w:tcPr>
            <w:tcW w:w="725" w:type="pct"/>
            <w:vMerge w:val="continue"/>
            <w:tcBorders>
              <w:bottom w:val="single" w:color="auto" w:sz="12" w:space="0"/>
              <w:right w:val="nil"/>
            </w:tcBorders>
            <w:noWrap w:val="0"/>
            <w:vAlign w:val="center"/>
          </w:tcPr>
          <w:p>
            <w:pPr>
              <w:bidi w:val="0"/>
              <w:jc w:val="center"/>
              <w:rPr>
                <w:rFonts w:hint="eastAsia" w:ascii="Times New Roman" w:hAnsi="Times New Roman" w:eastAsia="宋体" w:cs="Times New Roman"/>
                <w:b w:val="0"/>
                <w:color w:val="auto"/>
                <w:kern w:val="2"/>
                <w:sz w:val="21"/>
                <w:szCs w:val="24"/>
                <w:highlight w:val="none"/>
                <w:lang w:val="zh-TW" w:eastAsia="zh-TW" w:bidi="ar-SA"/>
              </w:rPr>
            </w:pPr>
          </w:p>
        </w:tc>
      </w:tr>
    </w:tbl>
    <w:p>
      <w:pPr>
        <w:widowControl w:val="0"/>
        <w:bidi w:val="0"/>
        <w:spacing w:line="360" w:lineRule="auto"/>
        <w:jc w:val="cente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项目“</w:t>
      </w:r>
      <w:r>
        <w:rPr>
          <w:rFonts w:hint="default" w:asciiTheme="minorHAnsi" w:hAnsiTheme="minorHAnsi" w:eastAsiaTheme="minorEastAsia" w:cstheme="minorBidi"/>
          <w:b/>
          <w:bCs/>
          <w:kern w:val="2"/>
          <w:sz w:val="21"/>
          <w:szCs w:val="24"/>
          <w:lang w:val="en-US" w:eastAsia="zh-CN" w:bidi="ar-SA"/>
        </w:rPr>
        <w:t>三同时</w:t>
      </w:r>
      <w:r>
        <w:rPr>
          <w:rFonts w:hint="eastAsia" w:asciiTheme="minorHAnsi" w:hAnsiTheme="minorHAnsi" w:eastAsiaTheme="minorEastAsia" w:cstheme="minorBidi"/>
          <w:b/>
          <w:bCs/>
          <w:kern w:val="2"/>
          <w:sz w:val="21"/>
          <w:szCs w:val="24"/>
          <w:lang w:val="en-US" w:eastAsia="zh-CN" w:bidi="ar-SA"/>
        </w:rPr>
        <w:t>”</w:t>
      </w:r>
      <w:r>
        <w:rPr>
          <w:rFonts w:hint="default" w:asciiTheme="minorHAnsi" w:hAnsiTheme="minorHAnsi" w:eastAsiaTheme="minorEastAsia" w:cstheme="minorBidi"/>
          <w:b/>
          <w:bCs/>
          <w:kern w:val="2"/>
          <w:sz w:val="21"/>
          <w:szCs w:val="24"/>
          <w:lang w:val="en-US" w:eastAsia="zh-CN" w:bidi="ar-SA"/>
        </w:rPr>
        <w:t>竣工验收一览表</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43"/>
        <w:gridCol w:w="1653"/>
        <w:gridCol w:w="2189"/>
        <w:gridCol w:w="35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tcBorders>
              <w:bottom w:val="single" w:color="auto" w:sz="12" w:space="0"/>
            </w:tcBorders>
            <w:noWrap w:val="0"/>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lang w:val="en-US" w:eastAsia="zh-CN" w:bidi="ar-SA"/>
              </w:rPr>
            </w:pPr>
            <w:r>
              <w:rPr>
                <w:rFonts w:hint="default" w:ascii="Times New Roman" w:hAnsi="Times New Roman" w:eastAsia="宋体" w:cs="Times New Roman"/>
                <w:b/>
                <w:bCs/>
                <w:kern w:val="2"/>
                <w:sz w:val="21"/>
                <w:szCs w:val="24"/>
                <w:lang w:val="en-US" w:eastAsia="zh-CN" w:bidi="ar-SA"/>
              </w:rPr>
              <w:t>项目</w:t>
            </w:r>
          </w:p>
        </w:tc>
        <w:tc>
          <w:tcPr>
            <w:tcW w:w="995" w:type="pct"/>
            <w:tcBorders>
              <w:bottom w:val="single" w:color="auto" w:sz="12" w:space="0"/>
            </w:tcBorders>
            <w:noWrap w:val="0"/>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lang w:val="en-US" w:eastAsia="zh-CN" w:bidi="ar-SA"/>
              </w:rPr>
            </w:pPr>
            <w:r>
              <w:rPr>
                <w:rFonts w:hint="default" w:ascii="Times New Roman" w:hAnsi="Times New Roman" w:eastAsia="宋体" w:cs="Times New Roman"/>
                <w:b/>
                <w:bCs/>
                <w:kern w:val="2"/>
                <w:sz w:val="21"/>
                <w:szCs w:val="24"/>
                <w:lang w:val="en-US" w:eastAsia="zh-CN" w:bidi="ar-SA"/>
              </w:rPr>
              <w:t>污染源</w:t>
            </w:r>
          </w:p>
        </w:tc>
        <w:tc>
          <w:tcPr>
            <w:tcW w:w="1318" w:type="pct"/>
            <w:tcBorders>
              <w:bottom w:val="single" w:color="auto" w:sz="12" w:space="0"/>
            </w:tcBorders>
            <w:noWrap w:val="0"/>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lang w:val="en-US" w:eastAsia="zh-CN" w:bidi="ar-SA"/>
              </w:rPr>
            </w:pPr>
            <w:r>
              <w:rPr>
                <w:rFonts w:hint="default" w:ascii="Times New Roman" w:hAnsi="Times New Roman" w:eastAsia="宋体" w:cs="Times New Roman"/>
                <w:b/>
                <w:bCs/>
                <w:kern w:val="2"/>
                <w:sz w:val="21"/>
                <w:szCs w:val="24"/>
                <w:lang w:val="en-US" w:eastAsia="zh-CN" w:bidi="ar-SA"/>
              </w:rPr>
              <w:t>验收内容</w:t>
            </w:r>
          </w:p>
        </w:tc>
        <w:tc>
          <w:tcPr>
            <w:tcW w:w="2118" w:type="pct"/>
            <w:tcBorders>
              <w:bottom w:val="single" w:color="auto" w:sz="12" w:space="0"/>
            </w:tcBorders>
            <w:noWrap w:val="0"/>
            <w:vAlign w:val="center"/>
          </w:tcPr>
          <w:p>
            <w:pPr>
              <w:widowControl w:val="0"/>
              <w:bidi w:val="0"/>
              <w:spacing w:line="240" w:lineRule="auto"/>
              <w:ind w:firstLine="0" w:firstLineChars="0"/>
              <w:jc w:val="center"/>
              <w:rPr>
                <w:rFonts w:hint="default" w:ascii="Times New Roman" w:hAnsi="Times New Roman" w:eastAsia="宋体" w:cs="Times New Roman"/>
                <w:b/>
                <w:bCs/>
                <w:kern w:val="2"/>
                <w:sz w:val="21"/>
                <w:szCs w:val="24"/>
                <w:lang w:val="en-US" w:eastAsia="zh-CN" w:bidi="ar-SA"/>
              </w:rPr>
            </w:pPr>
            <w:r>
              <w:rPr>
                <w:rFonts w:hint="default" w:ascii="Times New Roman" w:hAnsi="Times New Roman" w:eastAsia="宋体" w:cs="Times New Roman"/>
                <w:b/>
                <w:bCs/>
                <w:kern w:val="2"/>
                <w:sz w:val="21"/>
                <w:szCs w:val="24"/>
                <w:lang w:val="en-US" w:eastAsia="zh-CN" w:bidi="ar-SA"/>
              </w:rPr>
              <w:t>预计治理效果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restart"/>
            <w:tcBorders>
              <w:top w:val="single" w:color="auto" w:sz="12" w:space="0"/>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default" w:ascii="Times New Roman" w:hAnsi="Times New Roman" w:eastAsia="宋体" w:cs="Times New Roman"/>
                <w:bCs/>
                <w:kern w:val="2"/>
                <w:sz w:val="21"/>
                <w:szCs w:val="24"/>
                <w:lang w:val="en-US" w:eastAsia="zh-CN" w:bidi="ar-SA"/>
              </w:rPr>
              <w:t>废气</w:t>
            </w:r>
          </w:p>
        </w:tc>
        <w:tc>
          <w:tcPr>
            <w:tcW w:w="995" w:type="pct"/>
            <w:tcBorders>
              <w:top w:val="single" w:color="auto" w:sz="12" w:space="0"/>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 w:val="0"/>
                <w:bCs/>
                <w:kern w:val="2"/>
                <w:sz w:val="21"/>
                <w:szCs w:val="24"/>
                <w:lang w:val="zh-TW" w:eastAsia="zh-TW" w:bidi="ar-SA"/>
              </w:rPr>
              <w:t>SO</w:t>
            </w:r>
            <w:r>
              <w:rPr>
                <w:rFonts w:hint="eastAsia" w:ascii="Times New Roman" w:hAnsi="Times New Roman" w:eastAsia="宋体" w:cs="Times New Roman"/>
                <w:b w:val="0"/>
                <w:bCs/>
                <w:kern w:val="2"/>
                <w:sz w:val="21"/>
                <w:szCs w:val="24"/>
                <w:vertAlign w:val="subscript"/>
                <w:lang w:val="zh-TW" w:eastAsia="zh-TW" w:bidi="ar-SA"/>
              </w:rPr>
              <w:t>2</w:t>
            </w:r>
            <w:r>
              <w:rPr>
                <w:rFonts w:hint="eastAsia" w:ascii="Times New Roman" w:hAnsi="Times New Roman" w:eastAsia="宋体" w:cs="Times New Roman"/>
                <w:b w:val="0"/>
                <w:bCs/>
                <w:kern w:val="2"/>
                <w:sz w:val="21"/>
                <w:szCs w:val="24"/>
                <w:lang w:val="zh-TW" w:eastAsia="zh-TW" w:bidi="ar-SA"/>
              </w:rPr>
              <w:t>、颗粒物</w:t>
            </w:r>
          </w:p>
        </w:tc>
        <w:tc>
          <w:tcPr>
            <w:tcW w:w="1318" w:type="pct"/>
            <w:vMerge w:val="restart"/>
            <w:tcBorders>
              <w:top w:val="single" w:color="auto" w:sz="12" w:space="0"/>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zh-CN" w:eastAsia="zh-CN" w:bidi="ar-SA"/>
              </w:rPr>
            </w:pPr>
            <w:r>
              <w:rPr>
                <w:rFonts w:ascii="Times New Roman" w:hAnsi="Times New Roman" w:eastAsia="宋体" w:cs="Times New Roman"/>
                <w:b w:val="0"/>
                <w:bCs/>
                <w:kern w:val="2"/>
                <w:sz w:val="21"/>
                <w:szCs w:val="24"/>
                <w:lang w:val="zh-TW" w:eastAsia="zh-TW" w:bidi="ar-SA"/>
              </w:rPr>
              <w:t>低氮燃烧器</w:t>
            </w:r>
            <w:r>
              <w:rPr>
                <w:rFonts w:hint="eastAsia" w:ascii="Times New Roman" w:hAnsi="Times New Roman" w:eastAsia="宋体" w:cs="Times New Roman"/>
                <w:b w:val="0"/>
                <w:bCs/>
                <w:kern w:val="2"/>
                <w:sz w:val="21"/>
                <w:szCs w:val="24"/>
                <w:lang w:val="en-US" w:eastAsia="zh-CN" w:bidi="ar-SA"/>
              </w:rPr>
              <w:t>+烟气再循环</w:t>
            </w:r>
            <w:r>
              <w:rPr>
                <w:rFonts w:ascii="Times New Roman" w:hAnsi="Times New Roman" w:eastAsia="宋体" w:cs="Times New Roman"/>
                <w:b w:val="0"/>
                <w:bCs/>
                <w:kern w:val="2"/>
                <w:sz w:val="21"/>
                <w:szCs w:val="24"/>
                <w:lang w:val="zh-TW" w:eastAsia="zh-TW" w:bidi="ar-SA"/>
              </w:rPr>
              <w:t>，</w:t>
            </w:r>
            <w:r>
              <w:rPr>
                <w:rFonts w:hint="eastAsia" w:ascii="Times New Roman" w:hAnsi="Times New Roman" w:eastAsia="宋体" w:cs="Times New Roman"/>
                <w:b w:val="0"/>
                <w:bCs/>
                <w:kern w:val="2"/>
                <w:sz w:val="21"/>
                <w:szCs w:val="24"/>
                <w:lang w:val="en-US" w:eastAsia="zh-CN" w:bidi="ar-SA"/>
              </w:rPr>
              <w:t>1</w:t>
            </w:r>
            <w:r>
              <w:rPr>
                <w:rFonts w:ascii="Times New Roman" w:hAnsi="Times New Roman" w:eastAsia="宋体" w:cs="Times New Roman"/>
                <w:b w:val="0"/>
                <w:bCs/>
                <w:kern w:val="2"/>
                <w:sz w:val="21"/>
                <w:szCs w:val="24"/>
                <w:lang w:val="zh-TW" w:eastAsia="zh-TW" w:bidi="ar-SA"/>
              </w:rPr>
              <w:t>根</w:t>
            </w:r>
            <w:r>
              <w:rPr>
                <w:rFonts w:hint="eastAsia" w:ascii="Times New Roman" w:hAnsi="Times New Roman" w:eastAsia="宋体" w:cs="Times New Roman"/>
                <w:b w:val="0"/>
                <w:bCs/>
                <w:kern w:val="2"/>
                <w:sz w:val="21"/>
                <w:szCs w:val="24"/>
                <w:lang w:val="en-US" w:eastAsia="zh-CN" w:bidi="ar-SA"/>
              </w:rPr>
              <w:t>8</w:t>
            </w:r>
            <w:r>
              <w:rPr>
                <w:rFonts w:ascii="Times New Roman" w:hAnsi="Times New Roman" w:eastAsia="宋体" w:cs="Times New Roman"/>
                <w:b w:val="0"/>
                <w:bCs/>
                <w:kern w:val="2"/>
                <w:sz w:val="21"/>
                <w:szCs w:val="24"/>
                <w:lang w:val="zh-TW" w:eastAsia="zh-TW" w:bidi="ar-SA"/>
              </w:rPr>
              <w:t>m高烟囱排放</w:t>
            </w:r>
          </w:p>
        </w:tc>
        <w:tc>
          <w:tcPr>
            <w:tcW w:w="2118" w:type="pct"/>
            <w:tcBorders>
              <w:top w:val="single" w:color="auto" w:sz="12" w:space="0"/>
              <w:tl2br w:val="nil"/>
              <w:tr2bl w:val="nil"/>
            </w:tcBorders>
            <w:noWrap w:val="0"/>
            <w:vAlign w:val="center"/>
          </w:tcPr>
          <w:p>
            <w:pPr>
              <w:widowControl w:val="0"/>
              <w:spacing w:line="240" w:lineRule="auto"/>
              <w:jc w:val="left"/>
              <w:rPr>
                <w:rFonts w:hint="default"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kern w:val="2"/>
                <w:sz w:val="21"/>
                <w:szCs w:val="24"/>
                <w:lang w:val="en-US" w:eastAsia="zh-CN" w:bidi="ar-SA"/>
              </w:rPr>
              <w:t>《锅炉大气污染物排放标准》（GB13271-2014）表3大气污染物特别排放限值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continue"/>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p>
        </w:tc>
        <w:tc>
          <w:tcPr>
            <w:tcW w:w="995"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NOx</w:t>
            </w:r>
          </w:p>
        </w:tc>
        <w:tc>
          <w:tcPr>
            <w:tcW w:w="1318" w:type="pct"/>
            <w:vMerge w:val="continue"/>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zh-CN" w:eastAsia="zh-CN" w:bidi="ar-SA"/>
              </w:rPr>
            </w:pPr>
          </w:p>
        </w:tc>
        <w:tc>
          <w:tcPr>
            <w:tcW w:w="2118" w:type="pct"/>
            <w:tcBorders>
              <w:tl2br w:val="nil"/>
              <w:tr2bl w:val="nil"/>
            </w:tcBorders>
            <w:noWrap w:val="0"/>
            <w:vAlign w:val="center"/>
          </w:tcPr>
          <w:p>
            <w:pPr>
              <w:widowControl w:val="0"/>
              <w:spacing w:line="240" w:lineRule="auto"/>
              <w:jc w:val="left"/>
              <w:rPr>
                <w:rFonts w:hint="default"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kern w:val="2"/>
                <w:sz w:val="21"/>
                <w:szCs w:val="24"/>
                <w:lang w:val="en-US" w:eastAsia="zh-CN" w:bidi="ar-SA"/>
              </w:rPr>
              <w:t>《关于开展自治区</w:t>
            </w:r>
            <w:r>
              <w:rPr>
                <w:rFonts w:hint="eastAsia" w:ascii="Times New Roman" w:hAnsi="Times New Roman" w:eastAsia="宋体" w:cs="Times New Roman"/>
                <w:b w:val="0"/>
                <w:bCs/>
                <w:kern w:val="2"/>
                <w:sz w:val="21"/>
                <w:szCs w:val="24"/>
                <w:lang w:val="en-US" w:eastAsia="zh-CN" w:bidi="ar-SA"/>
              </w:rPr>
              <w:t>2022年度夏秋季大气污染防治“冬病夏治”工作的通知》（新环大气函〔2022〕483号）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continue"/>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p>
        </w:tc>
        <w:tc>
          <w:tcPr>
            <w:tcW w:w="995"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硫化氢、氨、臭气浓度</w:t>
            </w:r>
          </w:p>
        </w:tc>
        <w:tc>
          <w:tcPr>
            <w:tcW w:w="1318"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加盖密闭、绿化</w:t>
            </w:r>
          </w:p>
        </w:tc>
        <w:tc>
          <w:tcPr>
            <w:tcW w:w="2118"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default" w:ascii="Times New Roman" w:hAnsi="Times New Roman" w:eastAsia="宋体" w:cs="Times New Roman"/>
                <w:bCs/>
                <w:kern w:val="2"/>
                <w:sz w:val="21"/>
                <w:szCs w:val="24"/>
                <w:lang w:val="en-US" w:eastAsia="zh-CN" w:bidi="ar-SA"/>
              </w:rPr>
              <w:t>《恶臭污染物排放标准》（GB14554-93）表1中二级新建项目排放限值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restar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废水</w:t>
            </w:r>
          </w:p>
        </w:tc>
        <w:tc>
          <w:tcPr>
            <w:tcW w:w="995"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洗涤废水</w:t>
            </w:r>
          </w:p>
        </w:tc>
        <w:tc>
          <w:tcPr>
            <w:tcW w:w="1318"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污水处理站</w:t>
            </w:r>
          </w:p>
        </w:tc>
        <w:tc>
          <w:tcPr>
            <w:tcW w:w="2118"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《污水综合排放标准》（GB8978-1996）三级标准限值、《污水排入城镇下水道水质标准》（GB/T31962-2015）B级标准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continue"/>
            <w:tcBorders>
              <w:tl2br w:val="nil"/>
              <w:tr2bl w:val="nil"/>
            </w:tcBorders>
            <w:noWrap w:val="0"/>
            <w:vAlign w:val="center"/>
          </w:tcPr>
          <w:p>
            <w:pPr>
              <w:widowControl w:val="0"/>
              <w:bidi w:val="0"/>
              <w:spacing w:line="240" w:lineRule="auto"/>
              <w:ind w:firstLine="0" w:firstLineChars="0"/>
              <w:jc w:val="center"/>
              <w:rPr>
                <w:rFonts w:hint="eastAsia" w:ascii="Times New Roman" w:hAnsi="Times New Roman" w:eastAsia="宋体" w:cs="Times New Roman"/>
                <w:bCs/>
                <w:kern w:val="2"/>
                <w:sz w:val="21"/>
                <w:szCs w:val="24"/>
                <w:lang w:val="en-US" w:eastAsia="zh-CN" w:bidi="ar-SA"/>
              </w:rPr>
            </w:pPr>
          </w:p>
        </w:tc>
        <w:tc>
          <w:tcPr>
            <w:tcW w:w="995"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锅炉排污水、软水制备废水</w:t>
            </w:r>
          </w:p>
        </w:tc>
        <w:tc>
          <w:tcPr>
            <w:tcW w:w="1318"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园区污水管网</w:t>
            </w:r>
          </w:p>
        </w:tc>
        <w:tc>
          <w:tcPr>
            <w:tcW w:w="2118"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zh-TW" w:eastAsia="zh-TW" w:bidi="ar-SA"/>
              </w:rPr>
              <w:t>《污水综合排放标准》（GB8978-1996）三级标准限值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default" w:ascii="Times New Roman" w:hAnsi="Times New Roman" w:eastAsia="宋体" w:cs="Times New Roman"/>
                <w:bCs/>
                <w:kern w:val="2"/>
                <w:sz w:val="21"/>
                <w:szCs w:val="24"/>
                <w:lang w:val="en-US" w:eastAsia="zh-CN" w:bidi="ar-SA"/>
              </w:rPr>
              <w:t>噪声</w:t>
            </w:r>
          </w:p>
        </w:tc>
        <w:tc>
          <w:tcPr>
            <w:tcW w:w="995"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default" w:ascii="Times New Roman" w:hAnsi="Times New Roman" w:eastAsia="宋体" w:cs="Times New Roman"/>
                <w:bCs/>
                <w:kern w:val="2"/>
                <w:sz w:val="21"/>
                <w:szCs w:val="24"/>
                <w:lang w:val="en-US" w:eastAsia="zh-CN" w:bidi="ar-SA"/>
              </w:rPr>
              <w:t>设备噪声</w:t>
            </w:r>
          </w:p>
        </w:tc>
        <w:tc>
          <w:tcPr>
            <w:tcW w:w="1318"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default" w:ascii="Times New Roman" w:hAnsi="Times New Roman" w:eastAsia="宋体" w:cs="Times New Roman"/>
                <w:bCs/>
                <w:kern w:val="2"/>
                <w:sz w:val="21"/>
                <w:szCs w:val="24"/>
                <w:lang w:val="en-US" w:eastAsia="zh-CN" w:bidi="ar-SA"/>
              </w:rPr>
              <w:t>建筑隔声、基础减振</w:t>
            </w:r>
          </w:p>
        </w:tc>
        <w:tc>
          <w:tcPr>
            <w:tcW w:w="2118" w:type="pc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default" w:ascii="Times New Roman" w:hAnsi="Times New Roman" w:eastAsia="宋体" w:cs="Times New Roman"/>
                <w:bCs/>
                <w:kern w:val="2"/>
                <w:sz w:val="21"/>
                <w:szCs w:val="24"/>
                <w:lang w:val="en-US" w:eastAsia="zh-CN" w:bidi="ar-SA"/>
              </w:rPr>
              <w:t>《工业企业厂界环境噪声排放标准》（GB12348-2008）中的3类标准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restar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eastAsia" w:ascii="Times New Roman" w:hAnsi="Times New Roman" w:eastAsia="宋体" w:cs="Times New Roman"/>
                <w:bCs/>
                <w:kern w:val="2"/>
                <w:sz w:val="21"/>
                <w:szCs w:val="24"/>
                <w:lang w:val="en-US" w:eastAsia="zh-CN" w:bidi="ar-SA"/>
              </w:rPr>
              <w:t>固废</w:t>
            </w:r>
          </w:p>
        </w:tc>
        <w:tc>
          <w:tcPr>
            <w:tcW w:w="995" w:type="pct"/>
            <w:tcBorders>
              <w:tl2br w:val="nil"/>
              <w:tr2bl w:val="nil"/>
            </w:tcBorders>
            <w:noWrap w:val="0"/>
            <w:vAlign w:val="center"/>
          </w:tcPr>
          <w:p>
            <w:pPr>
              <w:widowControl w:val="0"/>
              <w:spacing w:line="240" w:lineRule="auto"/>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危离子交换树脂</w:t>
            </w:r>
          </w:p>
        </w:tc>
        <w:tc>
          <w:tcPr>
            <w:tcW w:w="1318" w:type="pct"/>
            <w:tcBorders>
              <w:tl2br w:val="nil"/>
              <w:tr2bl w:val="nil"/>
            </w:tcBorders>
            <w:noWrap w:val="0"/>
            <w:vAlign w:val="center"/>
          </w:tcPr>
          <w:p>
            <w:pPr>
              <w:widowControl w:val="0"/>
              <w:spacing w:line="240" w:lineRule="auto"/>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厂家更换回收</w:t>
            </w:r>
          </w:p>
        </w:tc>
        <w:tc>
          <w:tcPr>
            <w:tcW w:w="2118" w:type="pct"/>
            <w:vMerge w:val="restart"/>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r>
              <w:rPr>
                <w:rFonts w:hint="default" w:ascii="Times New Roman" w:hAnsi="Times New Roman" w:eastAsia="宋体" w:cs="Times New Roman"/>
                <w:bCs/>
                <w:kern w:val="2"/>
                <w:sz w:val="21"/>
                <w:szCs w:val="24"/>
                <w:lang w:val="en-US" w:eastAsia="zh-CN" w:bidi="ar-SA"/>
              </w:rPr>
              <w:t>《一般工业固体废物贮存</w:t>
            </w:r>
            <w:r>
              <w:rPr>
                <w:rFonts w:hint="eastAsia" w:ascii="Times New Roman" w:hAnsi="Times New Roman" w:eastAsia="宋体" w:cs="Times New Roman"/>
                <w:bCs/>
                <w:kern w:val="2"/>
                <w:sz w:val="21"/>
                <w:szCs w:val="24"/>
                <w:lang w:val="en-US" w:eastAsia="zh-CN" w:bidi="ar-SA"/>
              </w:rPr>
              <w:t>和填埋</w:t>
            </w:r>
            <w:r>
              <w:rPr>
                <w:rFonts w:hint="default" w:ascii="Times New Roman" w:hAnsi="Times New Roman" w:eastAsia="宋体" w:cs="Times New Roman"/>
                <w:bCs/>
                <w:kern w:val="2"/>
                <w:sz w:val="21"/>
                <w:szCs w:val="24"/>
                <w:lang w:val="en-US" w:eastAsia="zh-CN" w:bidi="ar-SA"/>
              </w:rPr>
              <w:t>污染控制标准》（GB18599-2020）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continue"/>
            <w:tcBorders>
              <w:tl2br w:val="nil"/>
              <w:tr2bl w:val="nil"/>
            </w:tcBorders>
            <w:noWrap w:val="0"/>
            <w:vAlign w:val="center"/>
          </w:tcPr>
          <w:p>
            <w:pPr>
              <w:widowControl w:val="0"/>
              <w:bidi w:val="0"/>
              <w:spacing w:line="240" w:lineRule="auto"/>
              <w:ind w:firstLine="0" w:firstLineChars="0"/>
              <w:jc w:val="center"/>
              <w:rPr>
                <w:rFonts w:hint="eastAsia" w:ascii="Times New Roman" w:hAnsi="Times New Roman" w:eastAsia="宋体" w:cs="Times New Roman"/>
                <w:bCs/>
                <w:kern w:val="2"/>
                <w:sz w:val="21"/>
                <w:szCs w:val="24"/>
                <w:lang w:val="en-US" w:eastAsia="zh-CN" w:bidi="ar-SA"/>
              </w:rPr>
            </w:pPr>
          </w:p>
        </w:tc>
        <w:tc>
          <w:tcPr>
            <w:tcW w:w="995" w:type="pct"/>
            <w:tcBorders>
              <w:tl2br w:val="nil"/>
              <w:tr2bl w:val="nil"/>
            </w:tcBorders>
            <w:noWrap w:val="0"/>
            <w:vAlign w:val="center"/>
          </w:tcPr>
          <w:p>
            <w:pPr>
              <w:widowControl w:val="0"/>
              <w:spacing w:line="240" w:lineRule="auto"/>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污泥</w:t>
            </w:r>
          </w:p>
        </w:tc>
        <w:tc>
          <w:tcPr>
            <w:tcW w:w="1318" w:type="pct"/>
            <w:tcBorders>
              <w:tl2br w:val="nil"/>
              <w:tr2bl w:val="nil"/>
            </w:tcBorders>
            <w:noWrap w:val="0"/>
            <w:vAlign w:val="center"/>
          </w:tcPr>
          <w:p>
            <w:pPr>
              <w:widowControl w:val="0"/>
              <w:spacing w:line="240" w:lineRule="auto"/>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环卫部门清运</w:t>
            </w:r>
          </w:p>
        </w:tc>
        <w:tc>
          <w:tcPr>
            <w:tcW w:w="2118" w:type="pct"/>
            <w:vMerge w:val="continue"/>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67" w:type="pct"/>
            <w:vMerge w:val="continue"/>
            <w:tcBorders>
              <w:tl2br w:val="nil"/>
              <w:tr2bl w:val="nil"/>
            </w:tcBorders>
            <w:noWrap w:val="0"/>
            <w:vAlign w:val="center"/>
          </w:tcPr>
          <w:p>
            <w:pPr>
              <w:widowControl w:val="0"/>
              <w:bidi w:val="0"/>
              <w:spacing w:line="240" w:lineRule="auto"/>
              <w:ind w:firstLine="0" w:firstLineChars="0"/>
              <w:jc w:val="center"/>
              <w:rPr>
                <w:rFonts w:hint="eastAsia" w:ascii="Times New Roman" w:hAnsi="Times New Roman" w:eastAsia="宋体" w:cs="Times New Roman"/>
                <w:bCs/>
                <w:kern w:val="2"/>
                <w:sz w:val="21"/>
                <w:szCs w:val="24"/>
                <w:lang w:val="en-US" w:eastAsia="zh-CN" w:bidi="ar-SA"/>
              </w:rPr>
            </w:pPr>
          </w:p>
        </w:tc>
        <w:tc>
          <w:tcPr>
            <w:tcW w:w="995" w:type="pct"/>
            <w:tcBorders>
              <w:tl2br w:val="nil"/>
              <w:tr2bl w:val="nil"/>
            </w:tcBorders>
            <w:noWrap w:val="0"/>
            <w:vAlign w:val="center"/>
          </w:tcPr>
          <w:p>
            <w:pPr>
              <w:widowControl w:val="0"/>
              <w:spacing w:line="240" w:lineRule="auto"/>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废包装物</w:t>
            </w:r>
          </w:p>
        </w:tc>
        <w:tc>
          <w:tcPr>
            <w:tcW w:w="1318" w:type="pct"/>
            <w:tcBorders>
              <w:tl2br w:val="nil"/>
              <w:tr2bl w:val="nil"/>
            </w:tcBorders>
            <w:noWrap w:val="0"/>
            <w:vAlign w:val="center"/>
          </w:tcPr>
          <w:p>
            <w:pPr>
              <w:widowControl w:val="0"/>
              <w:spacing w:line="240" w:lineRule="auto"/>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外售</w:t>
            </w:r>
          </w:p>
        </w:tc>
        <w:tc>
          <w:tcPr>
            <w:tcW w:w="2118" w:type="pct"/>
            <w:vMerge w:val="continue"/>
            <w:tcBorders>
              <w:tl2br w:val="nil"/>
              <w:tr2bl w:val="nil"/>
            </w:tcBorders>
            <w:noWrap w:val="0"/>
            <w:vAlign w:val="center"/>
          </w:tcPr>
          <w:p>
            <w:pPr>
              <w:widowControl w:val="0"/>
              <w:bidi w:val="0"/>
              <w:spacing w:line="240" w:lineRule="auto"/>
              <w:ind w:firstLine="0" w:firstLineChars="0"/>
              <w:jc w:val="center"/>
              <w:rPr>
                <w:rFonts w:hint="default" w:ascii="Times New Roman" w:hAnsi="Times New Roman" w:eastAsia="宋体" w:cs="Times New Roman"/>
                <w:bCs/>
                <w:kern w:val="2"/>
                <w:sz w:val="21"/>
                <w:szCs w:val="24"/>
                <w:lang w:val="en-US" w:eastAsia="zh-CN" w:bidi="ar-SA"/>
              </w:rPr>
            </w:pPr>
          </w:p>
        </w:tc>
      </w:tr>
    </w:tbl>
    <w:p>
      <w:pPr>
        <w:jc w:val="both"/>
        <w:rPr>
          <w:rFonts w:hint="eastAsia" w:asciiTheme="minorHAnsi" w:hAnsiTheme="minorHAnsi" w:eastAsiaTheme="minorEastAsia"/>
          <w:b w:val="0"/>
          <w:sz w:val="21"/>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p>
    <w:p>
      <w:pPr>
        <w:pStyle w:val="78"/>
        <w:spacing w:line="240" w:lineRule="auto"/>
        <w:rPr>
          <w:rFonts w:hint="default" w:ascii="仿宋" w:hAnsi="仿宋" w:eastAsia="仿宋" w:cs="仿宋"/>
          <w:b w:val="0"/>
          <w:bCs/>
          <w:sz w:val="32"/>
          <w:szCs w:val="32"/>
          <w:lang w:val="en-US" w:eastAsia="zh-CN"/>
        </w:rPr>
        <w:sectPr>
          <w:footerReference r:id="rId7" w:type="default"/>
          <w:pgSz w:w="11906" w:h="16838"/>
          <w:pgMar w:top="1440" w:right="1800" w:bottom="1440" w:left="1800" w:header="851" w:footer="992" w:gutter="0"/>
          <w:cols w:space="425" w:num="1"/>
          <w:docGrid w:type="lines" w:linePitch="312" w:charSpace="0"/>
        </w:sectPr>
      </w:pPr>
    </w:p>
    <w:p>
      <w:pPr>
        <w:pStyle w:val="78"/>
        <w:spacing w:line="240" w:lineRule="auto"/>
        <w:rPr>
          <w:rFonts w:hint="default" w:ascii="仿宋" w:hAnsi="仿宋" w:eastAsia="仿宋" w:cs="仿宋"/>
          <w:b w:val="0"/>
          <w:bCs/>
          <w:sz w:val="32"/>
          <w:szCs w:val="32"/>
          <w:lang w:val="en-US" w:eastAsia="zh-CN"/>
        </w:rPr>
        <w:sectPr>
          <w:pgSz w:w="11906" w:h="16838"/>
          <w:pgMar w:top="1440" w:right="1800" w:bottom="1440" w:left="1800" w:header="851" w:footer="992" w:gutter="0"/>
          <w:cols w:space="425" w:num="1"/>
          <w:docGrid w:type="lines" w:linePitch="312" w:charSpace="0"/>
        </w:sectPr>
      </w:pPr>
      <w:r>
        <w:rPr>
          <w:rFonts w:hint="default" w:ascii="仿宋" w:hAnsi="仿宋" w:eastAsia="仿宋" w:cs="仿宋"/>
          <w:b w:val="0"/>
          <w:bCs/>
          <w:sz w:val="32"/>
          <w:szCs w:val="32"/>
          <w:lang w:val="en-US" w:eastAsia="zh-CN"/>
        </w:rPr>
        <w:drawing>
          <wp:inline distT="0" distB="0" distL="114300" distR="114300">
            <wp:extent cx="5273040" cy="7459980"/>
            <wp:effectExtent l="0" t="0" r="10160" b="7620"/>
            <wp:docPr id="39" name="图片 39" descr="李熔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李熔曦_00"/>
                    <pic:cNvPicPr>
                      <a:picLocks noChangeAspect="1"/>
                    </pic:cNvPicPr>
                  </pic:nvPicPr>
                  <pic:blipFill>
                    <a:blip r:embed="rId50"/>
                    <a:stretch>
                      <a:fillRect/>
                    </a:stretch>
                  </pic:blipFill>
                  <pic:spPr>
                    <a:xfrm>
                      <a:off x="0" y="0"/>
                      <a:ext cx="5273040" cy="7459980"/>
                    </a:xfrm>
                    <a:prstGeom prst="rect">
                      <a:avLst/>
                    </a:prstGeom>
                  </pic:spPr>
                </pic:pic>
              </a:graphicData>
            </a:graphic>
          </wp:inline>
        </w:drawing>
      </w:r>
    </w:p>
    <w:p>
      <w:pPr>
        <w:pStyle w:val="78"/>
        <w:spacing w:line="240" w:lineRule="auto"/>
        <w:rPr>
          <w:rFonts w:hint="default" w:ascii="仿宋" w:hAnsi="仿宋" w:eastAsia="仿宋" w:cs="仿宋"/>
          <w:b w:val="0"/>
          <w:bCs/>
          <w:sz w:val="32"/>
          <w:szCs w:val="32"/>
          <w:lang w:val="en-US" w:eastAsia="zh-CN"/>
        </w:rPr>
        <w:sectPr>
          <w:pgSz w:w="11906" w:h="16838"/>
          <w:pgMar w:top="1440" w:right="1800" w:bottom="1440" w:left="1800" w:header="851" w:footer="992" w:gutter="0"/>
          <w:cols w:space="425" w:num="1"/>
          <w:docGrid w:type="lines" w:linePitch="312" w:charSpace="0"/>
        </w:sectPr>
      </w:pPr>
      <w:r>
        <w:rPr>
          <w:rFonts w:hint="default" w:ascii="仿宋" w:hAnsi="仿宋" w:eastAsia="仿宋" w:cs="仿宋"/>
          <w:b w:val="0"/>
          <w:bCs/>
          <w:sz w:val="32"/>
          <w:szCs w:val="32"/>
          <w:lang w:val="en-US" w:eastAsia="zh-CN"/>
        </w:rPr>
        <w:drawing>
          <wp:inline distT="0" distB="0" distL="114300" distR="114300">
            <wp:extent cx="5273040" cy="7459980"/>
            <wp:effectExtent l="0" t="0" r="10160" b="7620"/>
            <wp:docPr id="40" name="图片 40" descr="李熔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李熔曦_01"/>
                    <pic:cNvPicPr>
                      <a:picLocks noChangeAspect="1"/>
                    </pic:cNvPicPr>
                  </pic:nvPicPr>
                  <pic:blipFill>
                    <a:blip r:embed="rId51"/>
                    <a:stretch>
                      <a:fillRect/>
                    </a:stretch>
                  </pic:blipFill>
                  <pic:spPr>
                    <a:xfrm>
                      <a:off x="0" y="0"/>
                      <a:ext cx="5273040" cy="7459980"/>
                    </a:xfrm>
                    <a:prstGeom prst="rect">
                      <a:avLst/>
                    </a:prstGeom>
                  </pic:spPr>
                </pic:pic>
              </a:graphicData>
            </a:graphic>
          </wp:inline>
        </w:drawing>
      </w:r>
    </w:p>
    <w:p>
      <w:pPr>
        <w:pStyle w:val="78"/>
        <w:spacing w:line="240" w:lineRule="auto"/>
        <w:rPr>
          <w:rFonts w:hint="default" w:ascii="仿宋" w:hAnsi="仿宋" w:eastAsia="仿宋" w:cs="仿宋"/>
          <w:b w:val="0"/>
          <w:bCs/>
          <w:sz w:val="32"/>
          <w:szCs w:val="32"/>
          <w:lang w:val="en-US" w:eastAsia="zh-CN"/>
        </w:rPr>
        <w:sectPr>
          <w:pgSz w:w="11906" w:h="16838"/>
          <w:pgMar w:top="1440" w:right="1800" w:bottom="1440" w:left="1800" w:header="851" w:footer="992" w:gutter="0"/>
          <w:cols w:space="425" w:num="1"/>
          <w:docGrid w:type="lines" w:linePitch="312" w:charSpace="0"/>
        </w:sectPr>
      </w:pPr>
      <w:r>
        <w:rPr>
          <w:rFonts w:hint="default" w:ascii="仿宋" w:hAnsi="仿宋" w:eastAsia="仿宋" w:cs="仿宋"/>
          <w:b w:val="0"/>
          <w:bCs/>
          <w:sz w:val="32"/>
          <w:szCs w:val="32"/>
          <w:lang w:val="en-US" w:eastAsia="zh-CN"/>
        </w:rPr>
        <w:drawing>
          <wp:inline distT="0" distB="0" distL="114300" distR="114300">
            <wp:extent cx="5273040" cy="7459980"/>
            <wp:effectExtent l="0" t="0" r="10160" b="7620"/>
            <wp:docPr id="41" name="图片 41" descr="李熔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李熔曦_02"/>
                    <pic:cNvPicPr>
                      <a:picLocks noChangeAspect="1"/>
                    </pic:cNvPicPr>
                  </pic:nvPicPr>
                  <pic:blipFill>
                    <a:blip r:embed="rId52"/>
                    <a:stretch>
                      <a:fillRect/>
                    </a:stretch>
                  </pic:blipFill>
                  <pic:spPr>
                    <a:xfrm>
                      <a:off x="0" y="0"/>
                      <a:ext cx="5273040" cy="74599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w w:val="98"/>
          <w:sz w:val="32"/>
          <w:szCs w:val="28"/>
          <w:lang w:val="en-US" w:eastAsia="zh-CN"/>
        </w:rPr>
      </w:pPr>
      <w:r>
        <w:rPr>
          <w:rFonts w:hint="eastAsia" w:ascii="Times New Roman" w:hAnsi="Times New Roman" w:eastAsia="宋体" w:cs="Times New Roman"/>
          <w:b/>
          <w:bCs/>
          <w:w w:val="98"/>
          <w:sz w:val="32"/>
          <w:szCs w:val="28"/>
          <w:lang w:val="en-US" w:eastAsia="zh-CN"/>
        </w:rPr>
        <w:t>吉木萨尔县绿色洗消中心提升改造项目</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w w:val="98"/>
          <w:sz w:val="32"/>
          <w:szCs w:val="28"/>
          <w:lang w:val="en-US" w:eastAsia="zh-CN"/>
        </w:rPr>
      </w:pPr>
      <w:r>
        <w:rPr>
          <w:rFonts w:hint="default" w:ascii="Times New Roman" w:hAnsi="Times New Roman" w:eastAsia="宋体" w:cs="Times New Roman"/>
          <w:b/>
          <w:bCs/>
          <w:w w:val="98"/>
          <w:sz w:val="32"/>
          <w:szCs w:val="28"/>
          <w:lang w:val="en-US" w:eastAsia="zh-CN"/>
        </w:rPr>
        <w:t>环境影响报告表修改意见</w:t>
      </w:r>
    </w:p>
    <w:p>
      <w:pPr>
        <w:widowControl w:val="0"/>
        <w:spacing w:after="120" w:afterLines="0" w:afterAutospacing="0"/>
        <w:ind w:left="480" w:leftChars="200" w:firstLine="420" w:firstLineChars="200"/>
        <w:jc w:val="both"/>
        <w:rPr>
          <w:rFonts w:hint="default" w:asciiTheme="minorHAnsi" w:hAnsiTheme="minorHAnsi" w:eastAsiaTheme="minorEastAsia" w:cstheme="minorBidi"/>
          <w:kern w:val="2"/>
          <w:sz w:val="21"/>
          <w:szCs w:val="24"/>
          <w:lang w:val="en-US" w:eastAsia="zh-CN" w:bidi="ar-SA"/>
        </w:rPr>
      </w:pP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补充说明吉木萨尔县北庭综合物流园是否开展过相关规划或基础配套（如供热、固体废物处理等）项目的环评。若有，请补充相关内容，说明对入住园区行业类型的要求，本工程是否符合园区定位，过往批复的环评文件是否有与本项目建设相关的环境要求等。</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b w:val="0"/>
          <w:bCs/>
          <w:kern w:val="0"/>
          <w:sz w:val="24"/>
          <w:szCs w:val="24"/>
          <w:lang w:val="en-US" w:eastAsia="zh-CN" w:bidi="ar-SA"/>
        </w:rPr>
      </w:pPr>
      <w:r>
        <w:rPr>
          <w:rFonts w:hint="eastAsia" w:ascii="Times New Roman" w:hAnsi="Times New Roman" w:eastAsia="宋体" w:cstheme="minorBidi"/>
          <w:kern w:val="2"/>
          <w:sz w:val="24"/>
          <w:szCs w:val="24"/>
          <w:lang w:val="en-US" w:eastAsia="zh-CN" w:bidi="ar-SA"/>
        </w:rPr>
        <w:t>修改说明：已补充，P2</w:t>
      </w:r>
      <w:r>
        <w:rPr>
          <w:rFonts w:hint="eastAsia" w:ascii="Times New Roman" w:hAnsi="Times New Roman" w:eastAsia="宋体" w:cstheme="minorBidi"/>
          <w:b w:val="0"/>
          <w:bCs/>
          <w:kern w:val="0"/>
          <w:sz w:val="24"/>
          <w:szCs w:val="24"/>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与《吉木萨尔县县城总体规划（2012-2030年）》符合性分析</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吉木萨尔县位于天山山脉东段北麓，准葛尔盆地东南缘。地处东经88°30′-89°30′，北纬43°30′-45°30′，东临奇台县，西接阜康市，南以天山分水岭与吐鲁番及乌鲁木齐县为界，北越卡拉麦岭山与富蕴县交接。</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吉木萨尔县城西距自治区首府乌鲁木齐165公里，距昌吉回族自治州首府昌吉市206公里，东距奇台县40公里，距哈密市550公里。</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（1）给水</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吉木萨尔县县城现有水厂一座，水源采用地下水，供水能力为4500m³/日。水厂建有水源井3眼，1眼备用，800m³清水池1座，新修建2400m³清水池1座。水厂处理工艺为消毒杀菌—清水池—二次消毒—送往用户。根据城镇地形特点，城区采用重力供水，管网成树状分布。输配水管网主要分布在中心路、乌奇公路、满城路、文化路、文明路、北庭路等路段。管径从DN400mm到DN100mm，总长度为11km，采用管材为铸铁管，胶圈接口。</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（2）排水</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吉木萨尔县县城，共修建排水管道（d400mm，d600mm）5050.4m。现状排水量约为3500m³/d，排水系统采用不完全分流式。</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kern w:val="0"/>
          <w:sz w:val="24"/>
          <w:szCs w:val="24"/>
          <w:lang w:val="en-US" w:eastAsia="zh-CN" w:bidi="ar-SA"/>
        </w:rPr>
      </w:pPr>
      <w:r>
        <w:rPr>
          <w:rFonts w:hint="default" w:ascii="Times New Roman" w:hAnsi="Times New Roman" w:eastAsia="宋体" w:cstheme="minorBidi"/>
          <w:b w:val="0"/>
          <w:bCs/>
          <w:kern w:val="0"/>
          <w:sz w:val="24"/>
          <w:szCs w:val="24"/>
          <w:lang w:val="en-US" w:eastAsia="zh-CN" w:bidi="ar-SA"/>
        </w:rPr>
        <w:t>项目用水由已建市政供水管道供给，生活污水经物流园排水管网最终进入吉木萨尔县第二污水处理厂，项目污染物排放量较少，且采取了严格的治理和处理、处置措施，在一定程度上减少了污染物的排放，污染物均能达标排放。项目完成后，综合排污水平低且综合效益好，属于鼓励发展的产业，符合环保准入门槛要求。</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default" w:ascii="Times New Roman" w:hAnsi="Times New Roman" w:eastAsia="宋体" w:cstheme="minorBidi"/>
          <w:b w:val="0"/>
          <w:bCs/>
          <w:kern w:val="0"/>
          <w:sz w:val="24"/>
          <w:szCs w:val="24"/>
          <w:lang w:val="en-US" w:eastAsia="zh-CN" w:bidi="ar-SA"/>
        </w:rPr>
        <w:t>综上，本项目的建设符合《吉木萨尔县县城总体规划（2012-2030年）》的相关要求。</w:t>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补充说明本工程污水处理的重要依托工程吉木萨尔县第二污水处理厂是否开展了环保专项验收、主体验收；设计收治污水范围；进一步从处理总规模、目前的处理规模及剩余处理能力等方面论证本项目依托的可行。</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修改说明：P28</w:t>
      </w:r>
    </w:p>
    <w:p>
      <w:pPr>
        <w:widowControl w:val="0"/>
        <w:bidi w:val="0"/>
        <w:spacing w:line="360" w:lineRule="auto"/>
        <w:ind w:firstLine="480" w:firstLineChars="200"/>
        <w:jc w:val="both"/>
        <w:rPr>
          <w:rFonts w:ascii="Times New Roman" w:hAnsi="Times New Roman" w:eastAsia="宋体" w:cstheme="minorBidi"/>
          <w:kern w:val="2"/>
          <w:sz w:val="24"/>
          <w:szCs w:val="24"/>
          <w:lang w:val="en-US" w:eastAsia="zh-CN" w:bidi="ar-SA"/>
        </w:rPr>
      </w:pPr>
      <w:r>
        <w:rPr>
          <w:rFonts w:hint="default" w:ascii="Times New Roman" w:hAnsi="Times New Roman" w:eastAsia="宋体" w:cstheme="minorBidi"/>
          <w:kern w:val="2"/>
          <w:sz w:val="24"/>
          <w:szCs w:val="24"/>
          <w:lang w:val="en-US" w:eastAsia="zh-CN" w:bidi="ar-SA"/>
        </w:rPr>
        <w:t>2015</w:t>
      </w:r>
      <w:r>
        <w:rPr>
          <w:rFonts w:hint="eastAsia" w:ascii="Times New Roman" w:hAnsi="Times New Roman" w:eastAsia="宋体" w:cstheme="minorBidi"/>
          <w:kern w:val="2"/>
          <w:sz w:val="24"/>
          <w:szCs w:val="24"/>
          <w:lang w:val="en-US" w:eastAsia="zh-CN" w:bidi="ar-SA"/>
        </w:rPr>
        <w:t>年</w:t>
      </w:r>
      <w:r>
        <w:rPr>
          <w:rFonts w:hint="default" w:ascii="Times New Roman" w:hAnsi="Times New Roman" w:eastAsia="宋体" w:cstheme="minorBidi"/>
          <w:kern w:val="2"/>
          <w:sz w:val="24"/>
          <w:szCs w:val="24"/>
          <w:lang w:val="en-US" w:eastAsia="zh-CN" w:bidi="ar-SA"/>
        </w:rPr>
        <w:t>4</w:t>
      </w:r>
      <w:r>
        <w:rPr>
          <w:rFonts w:hint="eastAsia" w:ascii="Times New Roman" w:hAnsi="Times New Roman" w:eastAsia="宋体" w:cstheme="minorBidi"/>
          <w:kern w:val="2"/>
          <w:sz w:val="24"/>
          <w:szCs w:val="24"/>
          <w:lang w:val="en-US" w:eastAsia="zh-CN" w:bidi="ar-SA"/>
        </w:rPr>
        <w:t>月《吉木萨尔县污水处理厂工程环境影响报告书》编制完成，</w:t>
      </w:r>
      <w:r>
        <w:rPr>
          <w:rFonts w:hint="default" w:ascii="Times New Roman" w:hAnsi="Times New Roman" w:eastAsia="宋体" w:cstheme="minorBidi"/>
          <w:kern w:val="2"/>
          <w:sz w:val="24"/>
          <w:szCs w:val="24"/>
          <w:lang w:val="en-US" w:eastAsia="zh-CN" w:bidi="ar-SA"/>
        </w:rPr>
        <w:t>2015</w:t>
      </w:r>
      <w:r>
        <w:rPr>
          <w:rFonts w:hint="eastAsia" w:ascii="Times New Roman" w:hAnsi="Times New Roman" w:eastAsia="宋体" w:cstheme="minorBidi"/>
          <w:kern w:val="2"/>
          <w:sz w:val="24"/>
          <w:szCs w:val="24"/>
          <w:lang w:val="en-US" w:eastAsia="zh-CN" w:bidi="ar-SA"/>
        </w:rPr>
        <w:t>年</w:t>
      </w:r>
      <w:r>
        <w:rPr>
          <w:rFonts w:hint="default" w:ascii="Times New Roman" w:hAnsi="Times New Roman" w:eastAsia="宋体" w:cstheme="minorBidi"/>
          <w:kern w:val="2"/>
          <w:sz w:val="24"/>
          <w:szCs w:val="24"/>
          <w:lang w:val="en-US" w:eastAsia="zh-CN" w:bidi="ar-SA"/>
        </w:rPr>
        <w:t>4</w:t>
      </w:r>
      <w:r>
        <w:rPr>
          <w:rFonts w:hint="eastAsia" w:ascii="Times New Roman" w:hAnsi="Times New Roman" w:eastAsia="宋体" w:cstheme="minorBidi"/>
          <w:kern w:val="2"/>
          <w:sz w:val="24"/>
          <w:szCs w:val="24"/>
          <w:lang w:val="en-US" w:eastAsia="zh-CN" w:bidi="ar-SA"/>
        </w:rPr>
        <w:t>月</w:t>
      </w:r>
      <w:r>
        <w:rPr>
          <w:rFonts w:hint="default" w:ascii="Times New Roman" w:hAnsi="Times New Roman" w:eastAsia="宋体" w:cstheme="minorBidi"/>
          <w:kern w:val="2"/>
          <w:sz w:val="24"/>
          <w:szCs w:val="24"/>
          <w:lang w:val="en-US" w:eastAsia="zh-CN" w:bidi="ar-SA"/>
        </w:rPr>
        <w:t>13</w:t>
      </w:r>
      <w:r>
        <w:rPr>
          <w:rFonts w:hint="eastAsia" w:ascii="Times New Roman" w:hAnsi="Times New Roman" w:eastAsia="宋体" w:cstheme="minorBidi"/>
          <w:kern w:val="2"/>
          <w:sz w:val="24"/>
          <w:szCs w:val="24"/>
          <w:lang w:val="en-US" w:eastAsia="zh-CN" w:bidi="ar-SA"/>
        </w:rPr>
        <w:t>日吉木萨尔县环境保护局以吉环项发〔</w:t>
      </w:r>
      <w:r>
        <w:rPr>
          <w:rFonts w:hint="default" w:ascii="Times New Roman" w:hAnsi="Times New Roman" w:eastAsia="宋体" w:cstheme="minorBidi"/>
          <w:kern w:val="2"/>
          <w:sz w:val="24"/>
          <w:szCs w:val="24"/>
          <w:lang w:val="en-US" w:eastAsia="zh-CN" w:bidi="ar-SA"/>
        </w:rPr>
        <w:t>2015</w:t>
      </w:r>
      <w:r>
        <w:rPr>
          <w:rFonts w:hint="eastAsia" w:ascii="Times New Roman" w:hAnsi="Times New Roman" w:eastAsia="宋体" w:cstheme="minorBidi"/>
          <w:kern w:val="2"/>
          <w:sz w:val="24"/>
          <w:szCs w:val="24"/>
          <w:lang w:val="en-US" w:eastAsia="zh-CN" w:bidi="ar-SA"/>
        </w:rPr>
        <w:t>〕</w:t>
      </w:r>
      <w:r>
        <w:rPr>
          <w:rFonts w:hint="default" w:ascii="Times New Roman" w:hAnsi="Times New Roman" w:eastAsia="宋体" w:cstheme="minorBidi"/>
          <w:kern w:val="2"/>
          <w:sz w:val="24"/>
          <w:szCs w:val="24"/>
          <w:lang w:val="en-US" w:eastAsia="zh-CN" w:bidi="ar-SA"/>
        </w:rPr>
        <w:t>19</w:t>
      </w:r>
      <w:r>
        <w:rPr>
          <w:rFonts w:hint="eastAsia" w:ascii="Times New Roman" w:hAnsi="Times New Roman" w:eastAsia="宋体" w:cstheme="minorBidi"/>
          <w:kern w:val="2"/>
          <w:sz w:val="24"/>
          <w:szCs w:val="24"/>
          <w:lang w:val="en-US" w:eastAsia="zh-CN" w:bidi="ar-SA"/>
        </w:rPr>
        <w:t>号文对该项目环评提出了审查意见，该环评于</w:t>
      </w:r>
      <w:r>
        <w:rPr>
          <w:rFonts w:hint="default" w:ascii="Times New Roman" w:hAnsi="Times New Roman" w:eastAsia="宋体" w:cstheme="minorBidi"/>
          <w:kern w:val="2"/>
          <w:sz w:val="24"/>
          <w:szCs w:val="24"/>
          <w:lang w:val="en-US" w:eastAsia="zh-CN" w:bidi="ar-SA"/>
        </w:rPr>
        <w:t>2015</w:t>
      </w:r>
      <w:r>
        <w:rPr>
          <w:rFonts w:hint="eastAsia" w:ascii="Times New Roman" w:hAnsi="Times New Roman" w:eastAsia="宋体" w:cstheme="minorBidi"/>
          <w:kern w:val="2"/>
          <w:sz w:val="24"/>
          <w:szCs w:val="24"/>
          <w:lang w:val="en-US" w:eastAsia="zh-CN" w:bidi="ar-SA"/>
        </w:rPr>
        <w:t>年</w:t>
      </w:r>
      <w:r>
        <w:rPr>
          <w:rFonts w:hint="default" w:ascii="Times New Roman" w:hAnsi="Times New Roman" w:eastAsia="宋体" w:cstheme="minorBidi"/>
          <w:kern w:val="2"/>
          <w:sz w:val="24"/>
          <w:szCs w:val="24"/>
          <w:lang w:val="en-US" w:eastAsia="zh-CN" w:bidi="ar-SA"/>
        </w:rPr>
        <w:t>6</w:t>
      </w:r>
      <w:r>
        <w:rPr>
          <w:rFonts w:hint="eastAsia" w:ascii="Times New Roman" w:hAnsi="Times New Roman" w:eastAsia="宋体" w:cstheme="minorBidi"/>
          <w:kern w:val="2"/>
          <w:sz w:val="24"/>
          <w:szCs w:val="24"/>
          <w:lang w:val="en-US" w:eastAsia="zh-CN" w:bidi="ar-SA"/>
        </w:rPr>
        <w:t>月</w:t>
      </w:r>
      <w:r>
        <w:rPr>
          <w:rFonts w:hint="default" w:ascii="Times New Roman" w:hAnsi="Times New Roman" w:eastAsia="宋体" w:cstheme="minorBidi"/>
          <w:kern w:val="2"/>
          <w:sz w:val="24"/>
          <w:szCs w:val="24"/>
          <w:lang w:val="en-US" w:eastAsia="zh-CN" w:bidi="ar-SA"/>
        </w:rPr>
        <w:t>1</w:t>
      </w:r>
      <w:r>
        <w:rPr>
          <w:rFonts w:hint="eastAsia" w:ascii="Times New Roman" w:hAnsi="Times New Roman" w:eastAsia="宋体" w:cstheme="minorBidi"/>
          <w:kern w:val="2"/>
          <w:sz w:val="24"/>
          <w:szCs w:val="24"/>
          <w:lang w:val="en-US" w:eastAsia="zh-CN" w:bidi="ar-SA"/>
        </w:rPr>
        <w:t>日取得原新疆昌吉州环境保护局的批复（昌州环评〔</w:t>
      </w:r>
      <w:r>
        <w:rPr>
          <w:rFonts w:hint="default" w:ascii="Times New Roman" w:hAnsi="Times New Roman" w:eastAsia="宋体" w:cstheme="minorBidi"/>
          <w:kern w:val="2"/>
          <w:sz w:val="24"/>
          <w:szCs w:val="24"/>
          <w:lang w:val="en-US" w:eastAsia="zh-CN" w:bidi="ar-SA"/>
        </w:rPr>
        <w:t>2015</w:t>
      </w:r>
      <w:r>
        <w:rPr>
          <w:rFonts w:hint="eastAsia" w:ascii="Times New Roman" w:hAnsi="Times New Roman" w:eastAsia="宋体" w:cstheme="minorBidi"/>
          <w:kern w:val="2"/>
          <w:sz w:val="24"/>
          <w:szCs w:val="24"/>
          <w:lang w:val="en-US" w:eastAsia="zh-CN" w:bidi="ar-SA"/>
        </w:rPr>
        <w:t>〕</w:t>
      </w:r>
      <w:r>
        <w:rPr>
          <w:rFonts w:hint="default" w:ascii="Times New Roman" w:hAnsi="Times New Roman" w:eastAsia="宋体" w:cstheme="minorBidi"/>
          <w:kern w:val="2"/>
          <w:sz w:val="24"/>
          <w:szCs w:val="24"/>
          <w:lang w:val="en-US" w:eastAsia="zh-CN" w:bidi="ar-SA"/>
        </w:rPr>
        <w:t>48</w:t>
      </w:r>
      <w:r>
        <w:rPr>
          <w:rFonts w:hint="eastAsia" w:ascii="Times New Roman" w:hAnsi="Times New Roman" w:eastAsia="宋体" w:cstheme="minorBidi"/>
          <w:kern w:val="2"/>
          <w:sz w:val="24"/>
          <w:szCs w:val="24"/>
          <w:lang w:val="en-US" w:eastAsia="zh-CN" w:bidi="ar-SA"/>
        </w:rPr>
        <w:t>号），工程于</w:t>
      </w:r>
      <w:r>
        <w:rPr>
          <w:rFonts w:hint="default" w:ascii="Times New Roman" w:hAnsi="Times New Roman" w:eastAsia="宋体" w:cstheme="minorBidi"/>
          <w:kern w:val="2"/>
          <w:sz w:val="24"/>
          <w:szCs w:val="24"/>
          <w:lang w:val="en-US" w:eastAsia="zh-CN" w:bidi="ar-SA"/>
        </w:rPr>
        <w:t>2015</w:t>
      </w:r>
      <w:r>
        <w:rPr>
          <w:rFonts w:hint="eastAsia" w:ascii="Times New Roman" w:hAnsi="Times New Roman" w:eastAsia="宋体" w:cstheme="minorBidi"/>
          <w:kern w:val="2"/>
          <w:sz w:val="24"/>
          <w:szCs w:val="24"/>
          <w:lang w:val="en-US" w:eastAsia="zh-CN" w:bidi="ar-SA"/>
        </w:rPr>
        <w:t>年</w:t>
      </w:r>
      <w:r>
        <w:rPr>
          <w:rFonts w:hint="default" w:ascii="Times New Roman" w:hAnsi="Times New Roman" w:eastAsia="宋体" w:cstheme="minorBidi"/>
          <w:kern w:val="2"/>
          <w:sz w:val="24"/>
          <w:szCs w:val="24"/>
          <w:lang w:val="en-US" w:eastAsia="zh-CN" w:bidi="ar-SA"/>
        </w:rPr>
        <w:t>6</w:t>
      </w:r>
      <w:r>
        <w:rPr>
          <w:rFonts w:hint="eastAsia" w:ascii="Times New Roman" w:hAnsi="Times New Roman" w:eastAsia="宋体" w:cstheme="minorBidi"/>
          <w:kern w:val="2"/>
          <w:sz w:val="24"/>
          <w:szCs w:val="24"/>
          <w:lang w:val="en-US" w:eastAsia="zh-CN" w:bidi="ar-SA"/>
        </w:rPr>
        <w:t>月动工开建，</w:t>
      </w:r>
      <w:r>
        <w:rPr>
          <w:rFonts w:hint="default" w:ascii="Times New Roman" w:hAnsi="Times New Roman" w:eastAsia="宋体" w:cstheme="minorBidi"/>
          <w:kern w:val="2"/>
          <w:sz w:val="24"/>
          <w:szCs w:val="24"/>
          <w:lang w:val="en-US" w:eastAsia="zh-CN" w:bidi="ar-SA"/>
        </w:rPr>
        <w:t>2017</w:t>
      </w:r>
      <w:r>
        <w:rPr>
          <w:rFonts w:hint="eastAsia" w:ascii="Times New Roman" w:hAnsi="Times New Roman" w:eastAsia="宋体" w:cstheme="minorBidi"/>
          <w:kern w:val="2"/>
          <w:sz w:val="24"/>
          <w:szCs w:val="24"/>
          <w:lang w:val="en-US" w:eastAsia="zh-CN" w:bidi="ar-SA"/>
        </w:rPr>
        <w:t>年</w:t>
      </w:r>
      <w:r>
        <w:rPr>
          <w:rFonts w:hint="default" w:ascii="Times New Roman" w:hAnsi="Times New Roman" w:eastAsia="宋体" w:cstheme="minorBidi"/>
          <w:kern w:val="2"/>
          <w:sz w:val="24"/>
          <w:szCs w:val="24"/>
          <w:lang w:val="en-US" w:eastAsia="zh-CN" w:bidi="ar-SA"/>
        </w:rPr>
        <w:t>10</w:t>
      </w:r>
      <w:r>
        <w:rPr>
          <w:rFonts w:hint="eastAsia" w:ascii="Times New Roman" w:hAnsi="Times New Roman" w:eastAsia="宋体" w:cstheme="minorBidi"/>
          <w:kern w:val="2"/>
          <w:sz w:val="24"/>
          <w:szCs w:val="24"/>
          <w:lang w:val="en-US" w:eastAsia="zh-CN" w:bidi="ar-SA"/>
        </w:rPr>
        <w:t>月建成并投入试运行，并于</w:t>
      </w:r>
      <w:r>
        <w:rPr>
          <w:rFonts w:hint="default" w:ascii="Times New Roman" w:hAnsi="Times New Roman" w:eastAsia="宋体" w:cstheme="minorBidi"/>
          <w:kern w:val="2"/>
          <w:sz w:val="24"/>
          <w:szCs w:val="24"/>
          <w:lang w:val="en-US" w:eastAsia="zh-CN" w:bidi="ar-SA"/>
        </w:rPr>
        <w:t>2018</w:t>
      </w:r>
      <w:r>
        <w:rPr>
          <w:rFonts w:hint="eastAsia" w:ascii="Times New Roman" w:hAnsi="Times New Roman" w:eastAsia="宋体" w:cstheme="minorBidi"/>
          <w:kern w:val="2"/>
          <w:sz w:val="24"/>
          <w:szCs w:val="24"/>
          <w:lang w:val="en-US" w:eastAsia="zh-CN" w:bidi="ar-SA"/>
        </w:rPr>
        <w:t>年</w:t>
      </w:r>
      <w:r>
        <w:rPr>
          <w:rFonts w:hint="default" w:ascii="Times New Roman" w:hAnsi="Times New Roman" w:eastAsia="宋体" w:cstheme="minorBidi"/>
          <w:kern w:val="2"/>
          <w:sz w:val="24"/>
          <w:szCs w:val="24"/>
          <w:lang w:val="en-US" w:eastAsia="zh-CN" w:bidi="ar-SA"/>
        </w:rPr>
        <w:t>9</w:t>
      </w:r>
      <w:r>
        <w:rPr>
          <w:rFonts w:hint="eastAsia" w:ascii="Times New Roman" w:hAnsi="Times New Roman" w:eastAsia="宋体" w:cstheme="minorBidi"/>
          <w:kern w:val="2"/>
          <w:sz w:val="24"/>
          <w:szCs w:val="24"/>
          <w:lang w:val="en-US" w:eastAsia="zh-CN" w:bidi="ar-SA"/>
        </w:rPr>
        <w:t>月通过了原昌吉州环境保护局的竣工环境保护验收。</w:t>
      </w:r>
    </w:p>
    <w:p>
      <w:pPr>
        <w:widowControl w:val="0"/>
        <w:bidi w:val="0"/>
        <w:spacing w:line="360" w:lineRule="auto"/>
        <w:ind w:firstLine="480" w:firstLineChars="200"/>
        <w:jc w:val="both"/>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（2）污水处理厂概况</w:t>
      </w:r>
    </w:p>
    <w:p>
      <w:pPr>
        <w:widowControl w:val="0"/>
        <w:bidi w:val="0"/>
        <w:spacing w:line="360" w:lineRule="auto"/>
        <w:ind w:firstLine="480" w:firstLineChars="200"/>
        <w:jc w:val="both"/>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吉木萨尔县第二污水处理厂位于县城东北15公里，占地面积200多亩。</w:t>
      </w:r>
      <w:r>
        <w:rPr>
          <w:rFonts w:hint="default" w:ascii="Times New Roman" w:hAnsi="Times New Roman" w:eastAsia="宋体" w:cstheme="minorBidi"/>
          <w:kern w:val="2"/>
          <w:sz w:val="24"/>
          <w:szCs w:val="24"/>
          <w:lang w:val="de-DE" w:eastAsia="zh-CN" w:bidi="ar-SA"/>
        </w:rPr>
        <w:t>处理规模为</w:t>
      </w:r>
      <w:r>
        <w:rPr>
          <w:rFonts w:hint="eastAsia" w:ascii="Times New Roman" w:hAnsi="Times New Roman" w:eastAsia="宋体" w:cstheme="minorBidi"/>
          <w:kern w:val="2"/>
          <w:sz w:val="24"/>
          <w:szCs w:val="24"/>
          <w:lang w:val="en-US" w:eastAsia="zh-CN" w:bidi="ar-SA"/>
        </w:rPr>
        <w:t>3</w:t>
      </w:r>
      <w:r>
        <w:rPr>
          <w:rFonts w:hint="default" w:ascii="Times New Roman" w:hAnsi="Times New Roman" w:eastAsia="宋体" w:cstheme="minorBidi"/>
          <w:kern w:val="2"/>
          <w:sz w:val="24"/>
          <w:szCs w:val="24"/>
          <w:lang w:val="de-DE" w:eastAsia="zh-CN" w:bidi="ar-SA"/>
        </w:rPr>
        <w:t>万立方米每日</w:t>
      </w:r>
      <w:r>
        <w:rPr>
          <w:rFonts w:hint="default" w:ascii="Times New Roman" w:hAnsi="Times New Roman" w:eastAsia="宋体" w:cstheme="minorBidi"/>
          <w:kern w:val="2"/>
          <w:sz w:val="24"/>
          <w:szCs w:val="24"/>
          <w:lang w:val="en-US" w:eastAsia="zh-CN" w:bidi="ar-SA"/>
        </w:rPr>
        <w:t>，实际建设规模为处理污水量1万m</w:t>
      </w:r>
      <w:r>
        <w:rPr>
          <w:rFonts w:hint="default" w:ascii="Times New Roman" w:hAnsi="Times New Roman" w:eastAsia="宋体" w:cstheme="minorBidi"/>
          <w:kern w:val="2"/>
          <w:sz w:val="24"/>
          <w:szCs w:val="24"/>
          <w:vertAlign w:val="superscript"/>
          <w:lang w:val="en-US" w:eastAsia="zh-CN" w:bidi="ar-SA"/>
        </w:rPr>
        <w:t>3</w:t>
      </w:r>
      <w:r>
        <w:rPr>
          <w:rFonts w:hint="default" w:ascii="Times New Roman" w:hAnsi="Times New Roman" w:eastAsia="宋体" w:cstheme="minorBidi"/>
          <w:kern w:val="2"/>
          <w:sz w:val="24"/>
          <w:szCs w:val="24"/>
          <w:lang w:val="en-US" w:eastAsia="zh-CN" w:bidi="ar-SA"/>
        </w:rPr>
        <w:t>/d。</w:t>
      </w:r>
      <w:r>
        <w:rPr>
          <w:rFonts w:hint="eastAsia" w:ascii="Times New Roman" w:hAnsi="Times New Roman" w:eastAsia="宋体" w:cstheme="minorBidi"/>
          <w:kern w:val="2"/>
          <w:sz w:val="24"/>
          <w:szCs w:val="24"/>
          <w:lang w:val="en-US" w:eastAsia="zh-CN" w:bidi="ar-SA"/>
        </w:rPr>
        <w:t>项目总投资</w:t>
      </w:r>
      <w:r>
        <w:rPr>
          <w:rFonts w:hint="default" w:ascii="Times New Roman" w:hAnsi="Times New Roman" w:eastAsia="宋体" w:cstheme="minorBidi"/>
          <w:kern w:val="2"/>
          <w:sz w:val="24"/>
          <w:szCs w:val="24"/>
          <w:lang w:val="en-US" w:eastAsia="zh-CN" w:bidi="ar-SA"/>
        </w:rPr>
        <w:t>12628.47</w:t>
      </w:r>
      <w:r>
        <w:rPr>
          <w:rFonts w:hint="eastAsia" w:ascii="Times New Roman" w:hAnsi="Times New Roman" w:eastAsia="宋体" w:cstheme="minorBidi"/>
          <w:kern w:val="2"/>
          <w:sz w:val="24"/>
          <w:szCs w:val="24"/>
          <w:lang w:val="en-US" w:eastAsia="zh-CN" w:bidi="ar-SA"/>
        </w:rPr>
        <w:t>万元，该污水处理厂采用“强化脱氮改良</w:t>
      </w:r>
      <w:r>
        <w:rPr>
          <w:rFonts w:hint="default" w:ascii="Times New Roman" w:hAnsi="Times New Roman" w:eastAsia="宋体" w:cstheme="minorBidi"/>
          <w:kern w:val="2"/>
          <w:sz w:val="24"/>
          <w:szCs w:val="24"/>
          <w:lang w:val="en-US" w:eastAsia="zh-CN" w:bidi="ar-SA"/>
        </w:rPr>
        <w:t>A</w:t>
      </w:r>
      <w:r>
        <w:rPr>
          <w:rFonts w:hint="default" w:ascii="Times New Roman" w:hAnsi="Times New Roman" w:eastAsia="宋体" w:cstheme="minorBidi"/>
          <w:kern w:val="2"/>
          <w:sz w:val="24"/>
          <w:szCs w:val="24"/>
          <w:vertAlign w:val="superscript"/>
          <w:lang w:val="en-US" w:eastAsia="zh-CN" w:bidi="ar-SA"/>
        </w:rPr>
        <w:t>2</w:t>
      </w:r>
      <w:r>
        <w:rPr>
          <w:rFonts w:hint="default" w:ascii="Times New Roman" w:hAnsi="Times New Roman" w:eastAsia="宋体" w:cstheme="minorBidi"/>
          <w:kern w:val="2"/>
          <w:sz w:val="24"/>
          <w:szCs w:val="24"/>
          <w:lang w:val="en-US" w:eastAsia="zh-CN" w:bidi="ar-SA"/>
        </w:rPr>
        <w:t>/O</w:t>
      </w:r>
      <w:r>
        <w:rPr>
          <w:rFonts w:hint="eastAsia" w:ascii="Times New Roman" w:hAnsi="Times New Roman" w:eastAsia="宋体" w:cstheme="minorBidi"/>
          <w:kern w:val="2"/>
          <w:sz w:val="24"/>
          <w:szCs w:val="24"/>
          <w:lang w:val="en-US" w:eastAsia="zh-CN" w:bidi="ar-SA"/>
        </w:rPr>
        <w:t>工艺</w:t>
      </w:r>
      <w:r>
        <w:rPr>
          <w:rFonts w:hint="default" w:ascii="Times New Roman" w:hAnsi="Times New Roman" w:eastAsia="宋体" w:cstheme="minorBidi"/>
          <w:kern w:val="2"/>
          <w:sz w:val="24"/>
          <w:szCs w:val="24"/>
          <w:lang w:val="en-US" w:eastAsia="zh-CN" w:bidi="ar-SA"/>
        </w:rPr>
        <w:t>+</w:t>
      </w:r>
      <w:r>
        <w:rPr>
          <w:rFonts w:hint="eastAsia" w:ascii="Times New Roman" w:hAnsi="Times New Roman" w:eastAsia="宋体" w:cstheme="minorBidi"/>
          <w:kern w:val="2"/>
          <w:sz w:val="24"/>
          <w:szCs w:val="24"/>
          <w:lang w:val="en-US" w:eastAsia="zh-CN" w:bidi="ar-SA"/>
        </w:rPr>
        <w:t>絮凝沉淀滤布滤池”工艺处理后废水达到《城镇污水处理厂污染物排放标准》（</w:t>
      </w:r>
      <w:r>
        <w:rPr>
          <w:rFonts w:hint="default" w:ascii="Times New Roman" w:hAnsi="Times New Roman" w:eastAsia="宋体" w:cstheme="minorBidi"/>
          <w:kern w:val="2"/>
          <w:sz w:val="24"/>
          <w:szCs w:val="24"/>
          <w:lang w:val="en-US" w:eastAsia="zh-CN" w:bidi="ar-SA"/>
        </w:rPr>
        <w:t>GB18918-2002</w:t>
      </w:r>
      <w:r>
        <w:rPr>
          <w:rFonts w:hint="eastAsia" w:ascii="Times New Roman" w:hAnsi="Times New Roman" w:eastAsia="宋体" w:cstheme="minorBidi"/>
          <w:kern w:val="2"/>
          <w:sz w:val="24"/>
          <w:szCs w:val="24"/>
          <w:lang w:val="en-US" w:eastAsia="zh-CN" w:bidi="ar-SA"/>
        </w:rPr>
        <w:t>）中一级</w:t>
      </w:r>
      <w:r>
        <w:rPr>
          <w:rFonts w:hint="default" w:ascii="Times New Roman" w:hAnsi="Times New Roman" w:eastAsia="宋体" w:cstheme="minorBidi"/>
          <w:kern w:val="2"/>
          <w:sz w:val="24"/>
          <w:szCs w:val="24"/>
          <w:lang w:val="en-US" w:eastAsia="zh-CN" w:bidi="ar-SA"/>
        </w:rPr>
        <w:t>A</w:t>
      </w:r>
      <w:r>
        <w:rPr>
          <w:rFonts w:hint="eastAsia" w:ascii="Times New Roman" w:hAnsi="Times New Roman" w:eastAsia="宋体" w:cstheme="minorBidi"/>
          <w:kern w:val="2"/>
          <w:sz w:val="24"/>
          <w:szCs w:val="24"/>
          <w:lang w:val="en-US" w:eastAsia="zh-CN" w:bidi="ar-SA"/>
        </w:rPr>
        <w:t>标准后，排水回用于下游生态林建设及电解铝厂的生产用水。</w:t>
      </w:r>
    </w:p>
    <w:p>
      <w:pPr>
        <w:widowControl w:val="0"/>
        <w:bidi w:val="0"/>
        <w:spacing w:line="360" w:lineRule="auto"/>
        <w:ind w:firstLine="480" w:firstLineChars="200"/>
        <w:jc w:val="both"/>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吉木萨尔县污水处理厂目前运行中实际处理量在0.6~0.7万m</w:t>
      </w:r>
      <w:r>
        <w:rPr>
          <w:rFonts w:hint="eastAsia" w:ascii="Times New Roman" w:hAnsi="Times New Roman" w:eastAsia="宋体" w:cstheme="minorBidi"/>
          <w:kern w:val="2"/>
          <w:sz w:val="24"/>
          <w:szCs w:val="24"/>
          <w:vertAlign w:val="superscript"/>
          <w:lang w:val="en-US" w:eastAsia="zh-CN" w:bidi="ar-SA"/>
        </w:rPr>
        <w:t>3</w:t>
      </w:r>
      <w:r>
        <w:rPr>
          <w:rFonts w:hint="eastAsia" w:ascii="Times New Roman" w:hAnsi="Times New Roman" w:eastAsia="宋体" w:cstheme="minorBidi"/>
          <w:kern w:val="2"/>
          <w:sz w:val="24"/>
          <w:szCs w:val="24"/>
          <w:lang w:val="en-US" w:eastAsia="zh-CN" w:bidi="ar-SA"/>
        </w:rPr>
        <w:t>/d，剩余处理量0.3~0.4万m</w:t>
      </w:r>
      <w:r>
        <w:rPr>
          <w:rFonts w:hint="eastAsia" w:ascii="Times New Roman" w:hAnsi="Times New Roman" w:eastAsia="宋体" w:cstheme="minorBidi"/>
          <w:kern w:val="2"/>
          <w:sz w:val="24"/>
          <w:szCs w:val="24"/>
          <w:vertAlign w:val="superscript"/>
          <w:lang w:val="en-US" w:eastAsia="zh-CN" w:bidi="ar-SA"/>
        </w:rPr>
        <w:t>3</w:t>
      </w:r>
      <w:r>
        <w:rPr>
          <w:rFonts w:hint="eastAsia" w:ascii="Times New Roman" w:hAnsi="Times New Roman" w:eastAsia="宋体" w:cstheme="minorBidi"/>
          <w:kern w:val="2"/>
          <w:sz w:val="24"/>
          <w:szCs w:val="24"/>
          <w:lang w:val="en-US" w:eastAsia="zh-CN" w:bidi="ar-SA"/>
        </w:rPr>
        <w:t>/d，本项目废水排放量为180.624m³/d（54187.2m³/a），小于其设计污水剩余处理能力。</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default" w:ascii="Times New Roman" w:hAnsi="Times New Roman" w:eastAsia="宋体" w:cstheme="minorBidi"/>
          <w:kern w:val="2"/>
          <w:sz w:val="24"/>
          <w:szCs w:val="24"/>
          <w:lang w:val="en-US" w:eastAsia="zh-CN" w:bidi="ar-SA"/>
        </w:rPr>
        <w:t>综上，本项目水质、水量、管网建设情况都满足纳管要求，且本项目废水纳管后不会影响污水处理厂的正常运行。</w:t>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环保投资中补充竣工环保验收费。</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修改说明：P41</w:t>
      </w:r>
    </w:p>
    <w:p>
      <w:pPr>
        <w:widowControl w:val="0"/>
        <w:spacing w:line="360" w:lineRule="auto"/>
        <w:jc w:val="center"/>
        <w:rPr>
          <w:rFonts w:ascii="Times New Roman" w:hAnsi="Times New Roman" w:eastAsia="宋体" w:cstheme="minorBidi"/>
          <w:b/>
          <w:kern w:val="2"/>
          <w:sz w:val="24"/>
          <w:szCs w:val="24"/>
          <w:lang w:val="en-US" w:eastAsia="zh-CN" w:bidi="ar-SA"/>
        </w:rPr>
      </w:pPr>
      <w:r>
        <w:rPr>
          <w:rFonts w:ascii="Times New Roman" w:hAnsi="Times New Roman" w:eastAsia="宋体" w:cstheme="minorBidi"/>
          <w:b/>
          <w:kern w:val="2"/>
          <w:sz w:val="24"/>
          <w:szCs w:val="24"/>
          <w:lang w:val="en-US" w:eastAsia="zh-CN" w:bidi="ar-SA"/>
        </w:rPr>
        <w:t>环保工程项目及投资估算</w:t>
      </w:r>
    </w:p>
    <w:tbl>
      <w:tblPr>
        <w:tblStyle w:val="26"/>
        <w:tblW w:w="49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2007"/>
        <w:gridCol w:w="4075"/>
        <w:gridCol w:w="1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tcBorders>
              <w:top w:val="single" w:color="auto" w:sz="12" w:space="0"/>
              <w:left w:val="nil"/>
              <w:bottom w:val="single" w:color="auto" w:sz="12" w:space="0"/>
              <w:right w:val="single" w:color="auto" w:sz="4" w:space="0"/>
            </w:tcBorders>
            <w:vAlign w:val="center"/>
          </w:tcPr>
          <w:p>
            <w:pPr>
              <w:widowControl w:val="0"/>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序号</w:t>
            </w:r>
          </w:p>
        </w:tc>
        <w:tc>
          <w:tcPr>
            <w:tcW w:w="1183" w:type="pct"/>
            <w:tcBorders>
              <w:top w:val="single" w:color="auto" w:sz="12" w:space="0"/>
              <w:left w:val="nil"/>
              <w:bottom w:val="single" w:color="auto" w:sz="12" w:space="0"/>
              <w:right w:val="single" w:color="auto" w:sz="4" w:space="0"/>
            </w:tcBorders>
            <w:vAlign w:val="center"/>
          </w:tcPr>
          <w:p>
            <w:pPr>
              <w:widowControl w:val="0"/>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内容</w:t>
            </w:r>
          </w:p>
        </w:tc>
        <w:tc>
          <w:tcPr>
            <w:tcW w:w="2401" w:type="pct"/>
            <w:tcBorders>
              <w:top w:val="single" w:color="auto" w:sz="12" w:space="0"/>
              <w:left w:val="nil"/>
              <w:bottom w:val="single" w:color="auto" w:sz="12" w:space="0"/>
              <w:right w:val="single" w:color="auto" w:sz="4" w:space="0"/>
            </w:tcBorders>
            <w:vAlign w:val="center"/>
          </w:tcPr>
          <w:p>
            <w:pPr>
              <w:widowControl w:val="0"/>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环保设施</w:t>
            </w:r>
          </w:p>
        </w:tc>
        <w:tc>
          <w:tcPr>
            <w:tcW w:w="978" w:type="pct"/>
            <w:tcBorders>
              <w:top w:val="single" w:color="auto" w:sz="12" w:space="0"/>
              <w:left w:val="nil"/>
              <w:bottom w:val="single" w:color="auto" w:sz="12" w:space="0"/>
              <w:right w:val="nil"/>
            </w:tcBorders>
            <w:vAlign w:val="center"/>
          </w:tcPr>
          <w:p>
            <w:pPr>
              <w:widowControl w:val="0"/>
              <w:ind w:firstLine="0" w:firstLineChars="0"/>
              <w:jc w:val="center"/>
              <w:rPr>
                <w:rFonts w:ascii="Times New Roman" w:hAnsi="Times New Roman" w:eastAsia="宋体" w:cs="Times New Roman"/>
                <w:b/>
                <w:bCs/>
                <w:kern w:val="2"/>
                <w:sz w:val="21"/>
                <w:szCs w:val="24"/>
                <w:lang w:val="zh-TW" w:eastAsia="zh-TW" w:bidi="ar-SA"/>
              </w:rPr>
            </w:pPr>
            <w:r>
              <w:rPr>
                <w:rFonts w:ascii="Times New Roman" w:hAnsi="Times New Roman" w:eastAsia="宋体" w:cs="Times New Roman"/>
                <w:b/>
                <w:bCs/>
                <w:kern w:val="2"/>
                <w:sz w:val="21"/>
                <w:szCs w:val="24"/>
                <w:lang w:val="zh-TW" w:eastAsia="zh-TW" w:bidi="ar-SA"/>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tcBorders>
              <w:top w:val="single" w:color="auto" w:sz="4" w:space="0"/>
              <w:left w:val="nil"/>
              <w:bottom w:val="single" w:color="auto" w:sz="4" w:space="0"/>
              <w:right w:val="single" w:color="auto" w:sz="4" w:space="0"/>
            </w:tcBorders>
            <w:vAlign w:val="center"/>
          </w:tcPr>
          <w:p>
            <w:pPr>
              <w:widowControl w:val="0"/>
              <w:ind w:firstLine="0" w:firstLineChars="0"/>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1</w:t>
            </w:r>
          </w:p>
        </w:tc>
        <w:tc>
          <w:tcPr>
            <w:tcW w:w="1183" w:type="pct"/>
            <w:tcBorders>
              <w:top w:val="single" w:color="auto" w:sz="4" w:space="0"/>
              <w:left w:val="nil"/>
              <w:bottom w:val="single" w:color="auto" w:sz="4" w:space="0"/>
              <w:right w:val="single" w:color="auto" w:sz="4" w:space="0"/>
            </w:tcBorders>
            <w:vAlign w:val="center"/>
          </w:tcPr>
          <w:p>
            <w:pPr>
              <w:widowControl w:val="0"/>
              <w:ind w:firstLine="0" w:firstLineChars="0"/>
              <w:jc w:val="center"/>
              <w:rPr>
                <w:rFonts w:ascii="Times New Roman" w:hAnsi="Times New Roman" w:eastAsia="宋体" w:cs="Times New Roman"/>
                <w:b w:val="0"/>
                <w:bCs/>
                <w:kern w:val="2"/>
                <w:sz w:val="21"/>
                <w:szCs w:val="24"/>
                <w:lang w:val="zh-TW" w:eastAsia="zh-TW" w:bidi="ar-SA"/>
              </w:rPr>
            </w:pPr>
            <w:r>
              <w:rPr>
                <w:rFonts w:ascii="Times New Roman" w:hAnsi="Times New Roman" w:eastAsia="宋体" w:cs="Times New Roman"/>
                <w:b w:val="0"/>
                <w:bCs/>
                <w:kern w:val="2"/>
                <w:sz w:val="21"/>
                <w:szCs w:val="24"/>
                <w:lang w:val="zh-TW" w:eastAsia="zh-TW" w:bidi="ar-SA"/>
              </w:rPr>
              <w:t>噪声治理</w:t>
            </w:r>
          </w:p>
        </w:tc>
        <w:tc>
          <w:tcPr>
            <w:tcW w:w="2401" w:type="pct"/>
            <w:tcBorders>
              <w:top w:val="single" w:color="auto" w:sz="4" w:space="0"/>
              <w:left w:val="nil"/>
              <w:bottom w:val="single" w:color="auto" w:sz="4" w:space="0"/>
              <w:right w:val="single" w:color="auto" w:sz="4" w:space="0"/>
            </w:tcBorders>
            <w:vAlign w:val="center"/>
          </w:tcPr>
          <w:p>
            <w:pPr>
              <w:widowControl w:val="0"/>
              <w:ind w:firstLine="0" w:firstLineChars="0"/>
              <w:jc w:val="center"/>
              <w:rPr>
                <w:rFonts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加强维修养护，</w:t>
            </w:r>
            <w:r>
              <w:rPr>
                <w:rFonts w:ascii="Times New Roman" w:hAnsi="Times New Roman" w:eastAsia="宋体" w:cs="Times New Roman"/>
                <w:b w:val="0"/>
                <w:bCs/>
                <w:kern w:val="2"/>
                <w:sz w:val="21"/>
                <w:szCs w:val="24"/>
                <w:lang w:val="en-US" w:eastAsia="zh-CN" w:bidi="ar-SA"/>
              </w:rPr>
              <w:t>基础减震，厂房隔音</w:t>
            </w:r>
          </w:p>
        </w:tc>
        <w:tc>
          <w:tcPr>
            <w:tcW w:w="978" w:type="pct"/>
            <w:tcBorders>
              <w:top w:val="single" w:color="auto" w:sz="4" w:space="0"/>
              <w:left w:val="nil"/>
              <w:bottom w:val="single" w:color="auto" w:sz="4" w:space="0"/>
              <w:right w:val="nil"/>
            </w:tcBorders>
            <w:vAlign w:val="center"/>
          </w:tcPr>
          <w:p>
            <w:pPr>
              <w:widowControl w:val="0"/>
              <w:ind w:firstLine="0" w:firstLineChars="0"/>
              <w:jc w:val="center"/>
              <w:rPr>
                <w:rFonts w:ascii="Times New Roman" w:hAnsi="Times New Roman" w:eastAsia="宋体" w:cs="Times New Roman"/>
                <w:b w:val="0"/>
                <w:bCs/>
                <w:kern w:val="2"/>
                <w:sz w:val="21"/>
                <w:szCs w:val="24"/>
                <w:lang w:val="zh-TW" w:eastAsia="zh-TW" w:bidi="ar-SA"/>
              </w:rPr>
            </w:pPr>
            <w:r>
              <w:rPr>
                <w:rFonts w:ascii="Times New Roman" w:hAnsi="Times New Roman" w:eastAsia="宋体" w:cs="Times New Roman"/>
                <w:b w:val="0"/>
                <w:bCs/>
                <w:kern w:val="2"/>
                <w:sz w:val="21"/>
                <w:szCs w:val="24"/>
                <w:lang w:val="zh-TW" w:eastAsia="zh-TW"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tcBorders>
              <w:top w:val="single" w:color="auto" w:sz="4" w:space="0"/>
              <w:left w:val="nil"/>
              <w:bottom w:val="single" w:color="auto" w:sz="4" w:space="0"/>
              <w:right w:val="single" w:color="auto" w:sz="4" w:space="0"/>
            </w:tcBorders>
            <w:vAlign w:val="center"/>
          </w:tcPr>
          <w:p>
            <w:pPr>
              <w:widowControl w:val="0"/>
              <w:ind w:firstLine="0" w:firstLineChars="0"/>
              <w:jc w:val="center"/>
              <w:rPr>
                <w:rFonts w:hint="eastAsia" w:ascii="Times New Roman" w:hAnsi="Times New Roman" w:eastAsia="宋体" w:cs="Times New Roman"/>
                <w:b w:val="0"/>
                <w:bCs/>
                <w:kern w:val="2"/>
                <w:sz w:val="21"/>
                <w:szCs w:val="24"/>
                <w:lang w:val="en-US" w:eastAsia="zh-CN" w:bidi="ar-SA"/>
              </w:rPr>
            </w:pPr>
            <w:r>
              <w:rPr>
                <w:rFonts w:ascii="Times New Roman" w:hAnsi="Times New Roman" w:eastAsia="宋体" w:cs="Times New Roman"/>
                <w:b w:val="0"/>
                <w:bCs/>
                <w:kern w:val="2"/>
                <w:sz w:val="21"/>
                <w:szCs w:val="24"/>
                <w:lang w:val="zh-TW" w:eastAsia="zh-TW" w:bidi="ar-SA"/>
              </w:rPr>
              <w:t>2</w:t>
            </w:r>
          </w:p>
        </w:tc>
        <w:tc>
          <w:tcPr>
            <w:tcW w:w="1183" w:type="pct"/>
            <w:tcBorders>
              <w:top w:val="single" w:color="auto" w:sz="4" w:space="0"/>
              <w:left w:val="nil"/>
              <w:bottom w:val="single" w:color="auto" w:sz="4" w:space="0"/>
              <w:right w:val="single" w:color="auto" w:sz="4" w:space="0"/>
            </w:tcBorders>
            <w:vAlign w:val="center"/>
          </w:tcPr>
          <w:p>
            <w:pPr>
              <w:widowControl w:val="0"/>
              <w:ind w:firstLine="0" w:firstLineChars="0"/>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废水治理</w:t>
            </w:r>
          </w:p>
        </w:tc>
        <w:tc>
          <w:tcPr>
            <w:tcW w:w="2401" w:type="pct"/>
            <w:tcBorders>
              <w:top w:val="single" w:color="auto" w:sz="4" w:space="0"/>
              <w:left w:val="nil"/>
              <w:bottom w:val="single" w:color="auto" w:sz="4" w:space="0"/>
              <w:right w:val="single" w:color="auto" w:sz="4" w:space="0"/>
            </w:tcBorders>
            <w:vAlign w:val="center"/>
          </w:tcPr>
          <w:p>
            <w:pPr>
              <w:widowControl w:val="0"/>
              <w:ind w:firstLine="0" w:firstLineChars="0"/>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污水处理站</w:t>
            </w:r>
          </w:p>
        </w:tc>
        <w:tc>
          <w:tcPr>
            <w:tcW w:w="978" w:type="pct"/>
            <w:tcBorders>
              <w:top w:val="single" w:color="auto" w:sz="4" w:space="0"/>
              <w:left w:val="nil"/>
              <w:bottom w:val="single" w:color="auto" w:sz="4" w:space="0"/>
              <w:right w:val="nil"/>
            </w:tcBorders>
            <w:vAlign w:val="center"/>
          </w:tcPr>
          <w:p>
            <w:pPr>
              <w:widowControl w:val="0"/>
              <w:ind w:firstLine="0" w:firstLineChars="0"/>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tcBorders>
              <w:top w:val="single" w:color="auto" w:sz="4" w:space="0"/>
              <w:left w:val="nil"/>
              <w:right w:val="single" w:color="auto" w:sz="4" w:space="0"/>
            </w:tcBorders>
            <w:vAlign w:val="center"/>
          </w:tcPr>
          <w:p>
            <w:pPr>
              <w:widowControl w:val="0"/>
              <w:ind w:firstLine="0" w:firstLineChars="0"/>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3</w:t>
            </w:r>
          </w:p>
        </w:tc>
        <w:tc>
          <w:tcPr>
            <w:tcW w:w="1183" w:type="pct"/>
            <w:tcBorders>
              <w:top w:val="single" w:color="auto" w:sz="4" w:space="0"/>
              <w:left w:val="nil"/>
              <w:right w:val="single" w:color="auto" w:sz="4" w:space="0"/>
            </w:tcBorders>
            <w:vAlign w:val="center"/>
          </w:tcPr>
          <w:p>
            <w:pPr>
              <w:widowControl w:val="0"/>
              <w:ind w:firstLine="0" w:firstLineChars="0"/>
              <w:jc w:val="center"/>
              <w:rPr>
                <w:rFonts w:ascii="Times New Roman" w:hAnsi="Times New Roman" w:eastAsia="宋体" w:cs="Times New Roman"/>
                <w:b w:val="0"/>
                <w:bCs/>
                <w:kern w:val="2"/>
                <w:sz w:val="21"/>
                <w:szCs w:val="24"/>
                <w:lang w:val="zh-TW" w:eastAsia="zh-CN" w:bidi="ar-SA"/>
              </w:rPr>
            </w:pPr>
            <w:r>
              <w:rPr>
                <w:rFonts w:ascii="Times New Roman" w:hAnsi="Times New Roman" w:eastAsia="宋体" w:cs="Times New Roman"/>
                <w:b w:val="0"/>
                <w:bCs/>
                <w:kern w:val="2"/>
                <w:sz w:val="21"/>
                <w:szCs w:val="24"/>
                <w:lang w:val="zh-TW" w:eastAsia="zh-CN" w:bidi="ar-SA"/>
              </w:rPr>
              <w:t>废气治理</w:t>
            </w:r>
          </w:p>
        </w:tc>
        <w:tc>
          <w:tcPr>
            <w:tcW w:w="2401" w:type="pct"/>
            <w:tcBorders>
              <w:top w:val="single" w:color="auto" w:sz="4" w:space="0"/>
              <w:left w:val="nil"/>
              <w:bottom w:val="single" w:color="auto" w:sz="4" w:space="0"/>
              <w:right w:val="single" w:color="auto" w:sz="4" w:space="0"/>
            </w:tcBorders>
            <w:vAlign w:val="center"/>
          </w:tcPr>
          <w:p>
            <w:pPr>
              <w:widowControl w:val="0"/>
              <w:ind w:firstLine="0" w:firstLineChars="0"/>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低氮燃烧器+烟气再循环、加盖密闭</w:t>
            </w:r>
          </w:p>
        </w:tc>
        <w:tc>
          <w:tcPr>
            <w:tcW w:w="978" w:type="pct"/>
            <w:tcBorders>
              <w:top w:val="single" w:color="auto" w:sz="4" w:space="0"/>
              <w:left w:val="nil"/>
              <w:bottom w:val="single" w:color="auto" w:sz="4" w:space="0"/>
              <w:right w:val="nil"/>
            </w:tcBorders>
            <w:vAlign w:val="center"/>
          </w:tcPr>
          <w:p>
            <w:pPr>
              <w:widowControl w:val="0"/>
              <w:ind w:firstLine="0" w:firstLineChars="0"/>
              <w:jc w:val="center"/>
              <w:rPr>
                <w:rFonts w:hint="default" w:ascii="Times New Roman" w:hAnsi="Times New Roman" w:eastAsia="宋体" w:cs="Times New Roman"/>
                <w:b w:val="0"/>
                <w:bCs/>
                <w:kern w:val="2"/>
                <w:sz w:val="21"/>
                <w:szCs w:val="24"/>
                <w:lang w:val="en-US" w:eastAsia="zh-TW" w:bidi="ar-SA"/>
              </w:rPr>
            </w:pPr>
            <w:r>
              <w:rPr>
                <w:rFonts w:hint="eastAsia" w:ascii="Times New Roman" w:hAnsi="Times New Roman" w:eastAsia="宋体" w:cs="Times New Roman"/>
                <w:b w:val="0"/>
                <w:bCs/>
                <w:kern w:val="2"/>
                <w:sz w:val="21"/>
                <w:szCs w:val="24"/>
                <w:lang w:val="en-US" w:eastAsia="zh-CN" w:bidi="ar-SA"/>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tcBorders>
              <w:top w:val="single" w:color="auto" w:sz="4" w:space="0"/>
              <w:left w:val="nil"/>
              <w:right w:val="single" w:color="auto" w:sz="4" w:space="0"/>
            </w:tcBorders>
            <w:vAlign w:val="center"/>
          </w:tcPr>
          <w:p>
            <w:pPr>
              <w:widowControl w:val="0"/>
              <w:ind w:firstLine="0" w:firstLineChars="0"/>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4</w:t>
            </w:r>
          </w:p>
        </w:tc>
        <w:tc>
          <w:tcPr>
            <w:tcW w:w="1183" w:type="pct"/>
            <w:tcBorders>
              <w:top w:val="single" w:color="auto" w:sz="4" w:space="0"/>
              <w:left w:val="nil"/>
              <w:right w:val="single" w:color="auto" w:sz="4" w:space="0"/>
            </w:tcBorders>
            <w:vAlign w:val="center"/>
          </w:tcPr>
          <w:p>
            <w:pPr>
              <w:widowControl w:val="0"/>
              <w:ind w:firstLine="0" w:firstLineChars="0"/>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固废治理</w:t>
            </w:r>
          </w:p>
        </w:tc>
        <w:tc>
          <w:tcPr>
            <w:tcW w:w="2401" w:type="pct"/>
            <w:tcBorders>
              <w:top w:val="single" w:color="auto" w:sz="4" w:space="0"/>
              <w:left w:val="nil"/>
              <w:bottom w:val="single" w:color="auto" w:sz="4" w:space="0"/>
              <w:right w:val="single" w:color="auto" w:sz="4" w:space="0"/>
            </w:tcBorders>
            <w:vAlign w:val="center"/>
          </w:tcPr>
          <w:p>
            <w:pPr>
              <w:widowControl w:val="0"/>
              <w:ind w:firstLine="0" w:firstLineChars="0"/>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垃圾箱</w:t>
            </w:r>
          </w:p>
        </w:tc>
        <w:tc>
          <w:tcPr>
            <w:tcW w:w="978" w:type="pct"/>
            <w:tcBorders>
              <w:top w:val="single" w:color="auto" w:sz="4" w:space="0"/>
              <w:left w:val="nil"/>
              <w:bottom w:val="single" w:color="auto" w:sz="4" w:space="0"/>
              <w:right w:val="nil"/>
            </w:tcBorders>
            <w:vAlign w:val="center"/>
          </w:tcPr>
          <w:p>
            <w:pPr>
              <w:widowControl w:val="0"/>
              <w:ind w:firstLine="0" w:firstLineChars="0"/>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6" w:type="pct"/>
            <w:tcBorders>
              <w:top w:val="single" w:color="auto" w:sz="4" w:space="0"/>
              <w:left w:val="nil"/>
              <w:right w:val="single" w:color="auto" w:sz="4" w:space="0"/>
            </w:tcBorders>
            <w:vAlign w:val="center"/>
          </w:tcPr>
          <w:p>
            <w:pPr>
              <w:widowControl w:val="0"/>
              <w:ind w:firstLine="0" w:firstLineChars="0"/>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5</w:t>
            </w:r>
          </w:p>
        </w:tc>
        <w:tc>
          <w:tcPr>
            <w:tcW w:w="1183" w:type="pct"/>
            <w:tcBorders>
              <w:top w:val="single" w:color="auto" w:sz="4" w:space="0"/>
              <w:left w:val="nil"/>
              <w:right w:val="single" w:color="auto" w:sz="4" w:space="0"/>
            </w:tcBorders>
            <w:vAlign w:val="center"/>
          </w:tcPr>
          <w:p>
            <w:pPr>
              <w:widowControl w:val="0"/>
              <w:ind w:firstLine="0" w:firstLineChars="0"/>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竣工环保验收费</w:t>
            </w:r>
          </w:p>
        </w:tc>
        <w:tc>
          <w:tcPr>
            <w:tcW w:w="2401" w:type="pct"/>
            <w:tcBorders>
              <w:top w:val="single" w:color="auto" w:sz="4" w:space="0"/>
              <w:left w:val="nil"/>
              <w:bottom w:val="single" w:color="auto" w:sz="4" w:space="0"/>
              <w:right w:val="single" w:color="auto" w:sz="4" w:space="0"/>
            </w:tcBorders>
            <w:vAlign w:val="center"/>
          </w:tcPr>
          <w:p>
            <w:pPr>
              <w:widowControl w:val="0"/>
              <w:ind w:firstLine="0" w:firstLineChars="0"/>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w:t>
            </w:r>
          </w:p>
        </w:tc>
        <w:tc>
          <w:tcPr>
            <w:tcW w:w="978" w:type="pct"/>
            <w:tcBorders>
              <w:top w:val="single" w:color="auto" w:sz="4" w:space="0"/>
              <w:left w:val="nil"/>
              <w:bottom w:val="single" w:color="auto" w:sz="4" w:space="0"/>
              <w:right w:val="nil"/>
            </w:tcBorders>
            <w:vAlign w:val="center"/>
          </w:tcPr>
          <w:p>
            <w:pPr>
              <w:widowControl w:val="0"/>
              <w:ind w:firstLine="0" w:firstLineChars="0"/>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21" w:type="pct"/>
            <w:gridSpan w:val="3"/>
            <w:tcBorders>
              <w:top w:val="single" w:color="auto" w:sz="4" w:space="0"/>
              <w:left w:val="nil"/>
              <w:bottom w:val="single" w:color="auto" w:sz="12" w:space="0"/>
              <w:right w:val="single" w:color="auto" w:sz="4" w:space="0"/>
            </w:tcBorders>
            <w:vAlign w:val="center"/>
          </w:tcPr>
          <w:p>
            <w:pPr>
              <w:widowControl w:val="0"/>
              <w:ind w:firstLine="0" w:firstLineChars="0"/>
              <w:jc w:val="center"/>
              <w:rPr>
                <w:rFonts w:ascii="Times New Roman" w:hAnsi="Times New Roman" w:eastAsia="宋体" w:cs="Times New Roman"/>
                <w:b w:val="0"/>
                <w:bCs/>
                <w:kern w:val="2"/>
                <w:sz w:val="21"/>
                <w:szCs w:val="24"/>
                <w:lang w:val="zh-TW" w:eastAsia="zh-TW" w:bidi="ar-SA"/>
              </w:rPr>
            </w:pPr>
            <w:r>
              <w:rPr>
                <w:rFonts w:ascii="Times New Roman" w:hAnsi="Times New Roman" w:eastAsia="宋体" w:cs="Times New Roman"/>
                <w:b w:val="0"/>
                <w:bCs/>
                <w:kern w:val="2"/>
                <w:sz w:val="21"/>
                <w:szCs w:val="24"/>
                <w:lang w:val="zh-TW" w:eastAsia="zh-TW" w:bidi="ar-SA"/>
              </w:rPr>
              <w:t>合计</w:t>
            </w:r>
          </w:p>
        </w:tc>
        <w:tc>
          <w:tcPr>
            <w:tcW w:w="978" w:type="pct"/>
            <w:tcBorders>
              <w:top w:val="single" w:color="auto" w:sz="4" w:space="0"/>
              <w:left w:val="nil"/>
              <w:bottom w:val="single" w:color="auto" w:sz="12" w:space="0"/>
              <w:right w:val="nil"/>
            </w:tcBorders>
            <w:vAlign w:val="center"/>
          </w:tcPr>
          <w:p>
            <w:pPr>
              <w:widowControl w:val="0"/>
              <w:ind w:firstLine="0" w:firstLineChars="0"/>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110</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p>
    <w:p>
      <w:pPr>
        <w:pStyle w:val="78"/>
        <w:spacing w:line="240" w:lineRule="auto"/>
        <w:rPr>
          <w:rFonts w:hint="default" w:ascii="仿宋" w:hAnsi="仿宋" w:eastAsia="仿宋" w:cs="仿宋"/>
          <w:b w:val="0"/>
          <w:bCs/>
          <w:sz w:val="32"/>
          <w:szCs w:val="32"/>
          <w:lang w:val="en-US" w:eastAsia="zh-CN"/>
        </w:rPr>
        <w:sectPr>
          <w:footerReference r:id="rId8" w:type="default"/>
          <w:pgSz w:w="11906" w:h="16838"/>
          <w:pgMar w:top="1440" w:right="1800" w:bottom="1440" w:left="1800" w:header="851" w:footer="992" w:gutter="0"/>
          <w:cols w:space="425" w:num="1"/>
          <w:docGrid w:type="lines" w:linePitch="312" w:charSpace="0"/>
        </w:sectPr>
      </w:pPr>
    </w:p>
    <w:p>
      <w:pPr>
        <w:spacing w:line="660" w:lineRule="exact"/>
        <w:jc w:val="center"/>
        <w:rPr>
          <w:rFonts w:ascii="Times New Roman" w:hAnsi="Times New Roman" w:eastAsia="宋体" w:cs="Times New Roman"/>
          <w:b/>
          <w:sz w:val="36"/>
          <w:szCs w:val="36"/>
        </w:rPr>
      </w:pPr>
    </w:p>
    <w:p>
      <w:pPr>
        <w:spacing w:line="660" w:lineRule="exact"/>
        <w:jc w:val="center"/>
        <w:rPr>
          <w:rFonts w:ascii="Times New Roman" w:hAnsi="Times New Roman" w:eastAsia="宋体" w:cs="Times New Roman"/>
          <w:b/>
          <w:sz w:val="36"/>
          <w:szCs w:val="36"/>
        </w:rPr>
      </w:pPr>
    </w:p>
    <w:p>
      <w:pPr>
        <w:spacing w:line="660" w:lineRule="exact"/>
        <w:jc w:val="center"/>
        <w:rPr>
          <w:rFonts w:ascii="Times New Roman" w:hAnsi="Times New Roman" w:eastAsia="宋体" w:cs="Times New Roman"/>
          <w:b/>
          <w:sz w:val="36"/>
          <w:szCs w:val="36"/>
        </w:rPr>
      </w:pPr>
      <w:r>
        <w:rPr>
          <w:rFonts w:hint="eastAsia" w:ascii="Times New Roman" w:hAnsi="Times New Roman" w:eastAsia="宋体" w:cs="Times New Roman"/>
          <w:b/>
          <w:sz w:val="36"/>
          <w:szCs w:val="36"/>
        </w:rPr>
        <w:t>建设项目环评文件</w:t>
      </w:r>
    </w:p>
    <w:p>
      <w:pPr>
        <w:spacing w:line="660" w:lineRule="exact"/>
        <w:jc w:val="center"/>
        <w:rPr>
          <w:rFonts w:ascii="Times New Roman" w:hAnsi="Times New Roman" w:eastAsia="宋体" w:cs="Times New Roman"/>
          <w:b/>
          <w:sz w:val="44"/>
          <w:szCs w:val="44"/>
        </w:rPr>
      </w:pPr>
      <w:r>
        <w:rPr>
          <w:rFonts w:hint="eastAsia" w:ascii="Times New Roman" w:hAnsi="Times New Roman" w:eastAsia="宋体" w:cs="Times New Roman"/>
          <w:b/>
          <w:sz w:val="36"/>
          <w:szCs w:val="36"/>
        </w:rPr>
        <w:t>日 常 考 核 表</w:t>
      </w:r>
    </w:p>
    <w:p>
      <w:pPr>
        <w:spacing w:line="660" w:lineRule="exact"/>
        <w:jc w:val="both"/>
        <w:rPr>
          <w:rFonts w:ascii="Times New Roman" w:hAnsi="Times New Roman" w:eastAsia="宋体" w:cs="Times New Roman"/>
          <w:b w:val="0"/>
          <w:sz w:val="30"/>
          <w:szCs w:val="30"/>
        </w:rPr>
      </w:pPr>
    </w:p>
    <w:p>
      <w:pPr>
        <w:spacing w:line="660" w:lineRule="exact"/>
        <w:ind w:firstLine="426" w:firstLineChars="142"/>
        <w:jc w:val="both"/>
        <w:rPr>
          <w:rFonts w:ascii="Times New Roman" w:hAnsi="Times New Roman" w:eastAsia="宋体" w:cs="Times New Roman"/>
          <w:b w:val="0"/>
          <w:snapToGrid w:val="0"/>
          <w:kern w:val="0"/>
          <w:sz w:val="30"/>
          <w:szCs w:val="30"/>
          <w:u w:val="single"/>
        </w:rPr>
      </w:pPr>
      <w:r>
        <w:rPr>
          <w:rFonts w:hint="eastAsia" w:ascii="Times New Roman" w:hAnsi="Times New Roman" w:eastAsia="宋体" w:cs="Times New Roman"/>
          <w:b w:val="0"/>
          <w:snapToGrid w:val="0"/>
          <w:kern w:val="0"/>
          <w:sz w:val="30"/>
          <w:szCs w:val="30"/>
        </w:rPr>
        <w:t>项目名称：</w:t>
      </w:r>
      <w:r>
        <w:rPr>
          <w:rFonts w:hint="eastAsia" w:ascii="Times New Roman" w:hAnsi="Times New Roman" w:eastAsia="宋体" w:cs="Times New Roman"/>
          <w:b w:val="0"/>
          <w:snapToGrid w:val="0"/>
          <w:spacing w:val="-4"/>
          <w:kern w:val="0"/>
          <w:sz w:val="30"/>
          <w:szCs w:val="30"/>
          <w:u w:val="single"/>
        </w:rPr>
        <w:t>吉木萨尔县绿色洗消中心提升改造项目环境影响报告表</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p>
    <w:p>
      <w:pPr>
        <w:spacing w:line="660" w:lineRule="exact"/>
        <w:ind w:firstLine="426" w:firstLineChars="142"/>
        <w:jc w:val="both"/>
        <w:rPr>
          <w:rFonts w:ascii="Times New Roman" w:hAnsi="Times New Roman" w:eastAsia="宋体" w:cs="Times New Roman"/>
          <w:b w:val="0"/>
          <w:snapToGrid w:val="0"/>
          <w:kern w:val="0"/>
          <w:sz w:val="30"/>
          <w:szCs w:val="30"/>
        </w:rPr>
      </w:pPr>
      <w:r>
        <w:rPr>
          <w:rFonts w:hint="eastAsia" w:ascii="Times New Roman" w:hAnsi="Times New Roman" w:eastAsia="宋体" w:cs="Times New Roman"/>
          <w:b w:val="0"/>
          <w:snapToGrid w:val="0"/>
          <w:kern w:val="0"/>
          <w:sz w:val="30"/>
          <w:szCs w:val="30"/>
        </w:rPr>
        <w:t>建设单位：</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吉木萨尔县鸿至兴洗涤服务有限公司       </w:t>
      </w:r>
      <w:r>
        <w:rPr>
          <w:rFonts w:ascii="Times New Roman" w:hAnsi="Times New Roman" w:eastAsia="宋体" w:cs="Times New Roman"/>
          <w:b w:val="0"/>
          <w:snapToGrid w:val="0"/>
          <w:kern w:val="0"/>
          <w:sz w:val="30"/>
          <w:szCs w:val="30"/>
          <w:u w:val="single"/>
        </w:rPr>
        <w:t xml:space="preserve">     </w:t>
      </w:r>
    </w:p>
    <w:p>
      <w:pPr>
        <w:spacing w:line="660" w:lineRule="exact"/>
        <w:ind w:firstLine="426" w:firstLineChars="142"/>
        <w:jc w:val="both"/>
        <w:rPr>
          <w:rFonts w:ascii="Times New Roman" w:hAnsi="Times New Roman" w:eastAsia="宋体" w:cs="Times New Roman"/>
          <w:b w:val="0"/>
          <w:snapToGrid w:val="0"/>
          <w:kern w:val="0"/>
          <w:sz w:val="30"/>
          <w:szCs w:val="30"/>
          <w:u w:val="single"/>
        </w:rPr>
      </w:pPr>
      <w:r>
        <w:rPr>
          <w:rFonts w:hint="eastAsia" w:ascii="Times New Roman" w:hAnsi="Times New Roman" w:eastAsia="宋体" w:cs="Times New Roman"/>
          <w:b w:val="0"/>
          <w:snapToGrid w:val="0"/>
          <w:kern w:val="0"/>
          <w:sz w:val="30"/>
          <w:szCs w:val="30"/>
        </w:rPr>
        <w:t>编制单位：</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新疆东方信海环境科技研究院有限公司          </w:t>
      </w:r>
    </w:p>
    <w:p>
      <w:pPr>
        <w:spacing w:line="660" w:lineRule="exact"/>
        <w:ind w:firstLine="426" w:firstLineChars="142"/>
        <w:jc w:val="both"/>
        <w:rPr>
          <w:rFonts w:ascii="Times New Roman" w:hAnsi="Times New Roman" w:eastAsia="宋体" w:cs="Times New Roman"/>
          <w:b w:val="0"/>
          <w:snapToGrid w:val="0"/>
          <w:kern w:val="0"/>
          <w:sz w:val="30"/>
          <w:szCs w:val="30"/>
        </w:rPr>
      </w:pPr>
      <w:r>
        <w:rPr>
          <w:rFonts w:hint="eastAsia" w:ascii="Times New Roman" w:hAnsi="Times New Roman" w:eastAsia="宋体" w:cs="Times New Roman"/>
          <w:b w:val="0"/>
          <w:snapToGrid w:val="0"/>
          <w:kern w:val="0"/>
          <w:sz w:val="30"/>
          <w:szCs w:val="30"/>
        </w:rPr>
        <w:t>编制主持人：</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刘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艳</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p>
    <w:p>
      <w:pPr>
        <w:spacing w:line="660" w:lineRule="exact"/>
        <w:ind w:firstLine="426" w:firstLineChars="142"/>
        <w:jc w:val="both"/>
        <w:rPr>
          <w:rFonts w:ascii="Times New Roman" w:hAnsi="Times New Roman" w:eastAsia="宋体" w:cs="Times New Roman"/>
          <w:b w:val="0"/>
          <w:snapToGrid w:val="0"/>
          <w:kern w:val="0"/>
          <w:sz w:val="30"/>
          <w:szCs w:val="30"/>
          <w:u w:val="single"/>
        </w:rPr>
      </w:pPr>
      <w:r>
        <w:rPr>
          <w:rFonts w:hint="eastAsia" w:ascii="Times New Roman" w:hAnsi="Times New Roman" w:eastAsia="宋体" w:cs="Times New Roman"/>
          <w:b w:val="0"/>
          <w:snapToGrid w:val="0"/>
          <w:kern w:val="0"/>
          <w:sz w:val="30"/>
          <w:szCs w:val="30"/>
        </w:rPr>
        <w:t>评审考核人：</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杨中惠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p>
    <w:p>
      <w:pPr>
        <w:spacing w:line="660" w:lineRule="exact"/>
        <w:ind w:firstLine="426" w:firstLineChars="142"/>
        <w:jc w:val="both"/>
        <w:rPr>
          <w:rFonts w:ascii="Times New Roman" w:hAnsi="Times New Roman" w:eastAsia="宋体" w:cs="Times New Roman"/>
          <w:b w:val="0"/>
          <w:snapToGrid w:val="0"/>
          <w:kern w:val="0"/>
          <w:sz w:val="30"/>
          <w:szCs w:val="30"/>
        </w:rPr>
      </w:pPr>
      <w:r>
        <w:rPr>
          <w:rFonts w:hint="eastAsia" w:ascii="Times New Roman" w:hAnsi="Times New Roman" w:eastAsia="宋体" w:cs="Times New Roman"/>
          <w:b w:val="0"/>
          <w:snapToGrid w:val="0"/>
          <w:kern w:val="0"/>
          <w:sz w:val="30"/>
          <w:szCs w:val="30"/>
        </w:rPr>
        <w:t>职务/职称：</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总工/正高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p>
    <w:p>
      <w:pPr>
        <w:spacing w:line="660" w:lineRule="exact"/>
        <w:ind w:firstLine="426" w:firstLineChars="142"/>
        <w:jc w:val="both"/>
        <w:rPr>
          <w:rFonts w:ascii="Times New Roman" w:hAnsi="Times New Roman" w:eastAsia="宋体" w:cs="Times New Roman"/>
          <w:b w:val="0"/>
          <w:snapToGrid w:val="0"/>
          <w:kern w:val="0"/>
          <w:sz w:val="30"/>
          <w:szCs w:val="30"/>
        </w:rPr>
      </w:pPr>
      <w:r>
        <w:rPr>
          <w:rFonts w:hint="eastAsia" w:ascii="Times New Roman" w:hAnsi="Times New Roman" w:eastAsia="宋体" w:cs="Times New Roman"/>
          <w:b w:val="0"/>
          <w:snapToGrid w:val="0"/>
          <w:kern w:val="0"/>
          <w:sz w:val="30"/>
          <w:szCs w:val="30"/>
        </w:rPr>
        <w:t>所在单位：</w:t>
      </w:r>
      <w:r>
        <w:rPr>
          <w:rFonts w:hint="eastAsia" w:ascii="Times New Roman" w:hAnsi="Times New Roman" w:eastAsia="宋体" w:cs="Times New Roman"/>
          <w:b w:val="0"/>
          <w:snapToGrid w:val="0"/>
          <w:kern w:val="0"/>
          <w:sz w:val="30"/>
          <w:szCs w:val="30"/>
          <w:u w:val="single"/>
        </w:rPr>
        <w:t xml:space="preserve"> 新疆兵团勘测设计集团股份有限公司</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r>
        <w:rPr>
          <w:rFonts w:ascii="Times New Roman" w:hAnsi="Times New Roman" w:eastAsia="宋体" w:cs="Times New Roman"/>
          <w:b w:val="0"/>
          <w:snapToGrid w:val="0"/>
          <w:kern w:val="0"/>
          <w:sz w:val="30"/>
          <w:szCs w:val="30"/>
          <w:u w:val="single"/>
        </w:rPr>
        <w:t xml:space="preserve">           </w:t>
      </w:r>
      <w:r>
        <w:rPr>
          <w:rFonts w:hint="eastAsia" w:ascii="Times New Roman" w:hAnsi="Times New Roman" w:eastAsia="宋体" w:cs="Times New Roman"/>
          <w:b w:val="0"/>
          <w:snapToGrid w:val="0"/>
          <w:kern w:val="0"/>
          <w:sz w:val="30"/>
          <w:szCs w:val="30"/>
          <w:u w:val="single"/>
        </w:rPr>
        <w:t xml:space="preserve"> </w:t>
      </w: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ind w:firstLine="600" w:firstLineChars="200"/>
        <w:jc w:val="both"/>
        <w:rPr>
          <w:rFonts w:ascii="Times New Roman" w:hAnsi="Times New Roman" w:eastAsia="宋体" w:cs="Times New Roman"/>
          <w:b w:val="0"/>
          <w:sz w:val="30"/>
          <w:szCs w:val="30"/>
        </w:rPr>
      </w:pPr>
    </w:p>
    <w:p>
      <w:pPr>
        <w:tabs>
          <w:tab w:val="center" w:pos="4395"/>
          <w:tab w:val="left" w:pos="7305"/>
        </w:tabs>
        <w:jc w:val="left"/>
        <w:rPr>
          <w:rFonts w:ascii="Times New Roman" w:hAnsi="Times New Roman" w:eastAsia="宋体" w:cs="Times New Roman"/>
          <w:b w:val="0"/>
          <w:sz w:val="30"/>
          <w:szCs w:val="30"/>
        </w:rPr>
      </w:pPr>
      <w:r>
        <w:rPr>
          <w:rFonts w:ascii="Times New Roman" w:hAnsi="Times New Roman" w:eastAsia="宋体" w:cs="Times New Roman"/>
          <w:b w:val="0"/>
          <w:sz w:val="30"/>
          <w:szCs w:val="30"/>
        </w:rPr>
        <w:tab/>
      </w:r>
      <w:r>
        <w:rPr>
          <w:rFonts w:hint="eastAsia" w:ascii="Times New Roman" w:hAnsi="Times New Roman" w:eastAsia="宋体" w:cs="Times New Roman"/>
          <w:b w:val="0"/>
          <w:sz w:val="30"/>
          <w:szCs w:val="30"/>
        </w:rPr>
        <w:t>评审日期：</w:t>
      </w:r>
      <w:r>
        <w:rPr>
          <w:rFonts w:ascii="Times New Roman" w:hAnsi="Times New Roman" w:eastAsia="宋体" w:cs="Times New Roman"/>
          <w:b w:val="0"/>
          <w:sz w:val="30"/>
          <w:szCs w:val="30"/>
        </w:rPr>
        <w:t>2023</w:t>
      </w:r>
      <w:r>
        <w:rPr>
          <w:rFonts w:hint="eastAsia" w:ascii="Times New Roman" w:hAnsi="Times New Roman" w:eastAsia="宋体" w:cs="Times New Roman"/>
          <w:b w:val="0"/>
          <w:sz w:val="30"/>
          <w:szCs w:val="30"/>
        </w:rPr>
        <w:t>年</w:t>
      </w:r>
      <w:r>
        <w:rPr>
          <w:rFonts w:ascii="Times New Roman" w:hAnsi="Times New Roman" w:eastAsia="宋体" w:cs="Times New Roman"/>
          <w:b w:val="0"/>
          <w:sz w:val="30"/>
          <w:szCs w:val="30"/>
        </w:rPr>
        <w:t>12</w:t>
      </w:r>
      <w:r>
        <w:rPr>
          <w:rFonts w:hint="eastAsia" w:ascii="Times New Roman" w:hAnsi="Times New Roman" w:eastAsia="宋体" w:cs="Times New Roman"/>
          <w:b w:val="0"/>
          <w:sz w:val="30"/>
          <w:szCs w:val="30"/>
        </w:rPr>
        <w:t>月</w:t>
      </w:r>
      <w:r>
        <w:rPr>
          <w:rFonts w:ascii="Times New Roman" w:hAnsi="Times New Roman" w:eastAsia="宋体" w:cs="Times New Roman"/>
          <w:b w:val="0"/>
          <w:sz w:val="30"/>
          <w:szCs w:val="30"/>
        </w:rPr>
        <w:t>31</w:t>
      </w:r>
      <w:r>
        <w:rPr>
          <w:rFonts w:hint="eastAsia" w:ascii="Times New Roman" w:hAnsi="Times New Roman" w:eastAsia="宋体" w:cs="Times New Roman"/>
          <w:b w:val="0"/>
          <w:sz w:val="30"/>
          <w:szCs w:val="30"/>
        </w:rPr>
        <w:t>日</w:t>
      </w:r>
    </w:p>
    <w:p>
      <w:pPr>
        <w:jc w:val="center"/>
        <w:rPr>
          <w:rFonts w:ascii="Times New Roman" w:hAnsi="Times New Roman" w:eastAsia="宋体" w:cs="Times New Roman"/>
          <w:b w:val="0"/>
          <w:sz w:val="30"/>
          <w:szCs w:val="30"/>
        </w:rPr>
      </w:pPr>
    </w:p>
    <w:p>
      <w:pPr>
        <w:jc w:val="both"/>
        <w:rPr>
          <w:rFonts w:ascii="Times New Roman" w:hAnsi="Times New Roman" w:eastAsia="宋体" w:cs="Times New Roman"/>
          <w:b w:val="0"/>
          <w:sz w:val="30"/>
          <w:szCs w:val="30"/>
        </w:rPr>
      </w:pPr>
    </w:p>
    <w:p>
      <w:pPr>
        <w:rPr>
          <w:sz w:val="30"/>
          <w:szCs w:val="30"/>
        </w:rPr>
        <w:sectPr>
          <w:footerReference r:id="rId9" w:type="default"/>
          <w:pgSz w:w="11906" w:h="16838"/>
          <w:pgMar w:top="1440" w:right="1531" w:bottom="1440" w:left="1531" w:header="851" w:footer="992" w:gutter="0"/>
          <w:cols w:space="425" w:num="1"/>
          <w:docGrid w:type="lines" w:linePitch="381" w:charSpace="0"/>
        </w:sectPr>
      </w:pPr>
    </w:p>
    <w:p>
      <w:pPr>
        <w:jc w:val="center"/>
        <w:rPr>
          <w:rFonts w:ascii="Times New Roman" w:hAnsi="Times New Roman" w:eastAsia="宋体" w:cs="Times New Roman"/>
          <w:b/>
          <w:sz w:val="36"/>
          <w:szCs w:val="36"/>
        </w:rPr>
      </w:pPr>
      <w:r>
        <w:rPr>
          <w:rFonts w:hint="eastAsia" w:ascii="Times New Roman" w:hAnsi="Times New Roman" w:eastAsia="宋体" w:cs="Times New Roman"/>
          <w:b/>
          <w:sz w:val="36"/>
          <w:szCs w:val="36"/>
        </w:rPr>
        <w:t>建设项目环评文件日常考核表</w:t>
      </w:r>
    </w:p>
    <w:p>
      <w:pPr>
        <w:jc w:val="center"/>
        <w:rPr>
          <w:rFonts w:ascii="Times New Roman" w:hAnsi="Times New Roman" w:eastAsia="宋体" w:cs="Times New Roman"/>
          <w:b/>
          <w:sz w:val="28"/>
          <w:szCs w:val="28"/>
        </w:rPr>
      </w:pPr>
    </w:p>
    <w:tbl>
      <w:tblPr>
        <w:tblStyle w:val="26"/>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0"/>
        <w:gridCol w:w="898"/>
        <w:gridCol w:w="8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考 核 内 容</w:t>
            </w:r>
          </w:p>
        </w:tc>
        <w:tc>
          <w:tcPr>
            <w:tcW w:w="898" w:type="dxa"/>
            <w:vAlign w:val="center"/>
          </w:tcPr>
          <w:p>
            <w:pPr>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满分</w:t>
            </w:r>
          </w:p>
        </w:tc>
        <w:tc>
          <w:tcPr>
            <w:tcW w:w="898" w:type="dxa"/>
            <w:vAlign w:val="center"/>
          </w:tcPr>
          <w:p>
            <w:pPr>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tcPr>
          <w:p>
            <w:pPr>
              <w:spacing w:line="400" w:lineRule="exact"/>
              <w:jc w:val="left"/>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1.确定的评价等级是否恰当，评价标准是否正确，评价范围是否符合要求</w:t>
            </w:r>
          </w:p>
        </w:tc>
        <w:tc>
          <w:tcPr>
            <w:tcW w:w="898" w:type="dxa"/>
            <w:vAlign w:val="center"/>
          </w:tcPr>
          <w:p>
            <w:pPr>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10</w:t>
            </w:r>
          </w:p>
        </w:tc>
        <w:tc>
          <w:tcPr>
            <w:tcW w:w="898" w:type="dxa"/>
            <w:vAlign w:val="center"/>
          </w:tcPr>
          <w:p>
            <w:pPr>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2.项目工程概况描述是否全面、准确，生态环境保护目标及与项目位置关系描述是否清楚</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10</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3.生态环境影响因素分析（含污染源强核算）是否全面、准确，改扩建项目现有污染问题是否查明</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10</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4.环境现状评价是否符合实际，主要环境问题是否阐明</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10</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5.生态环境要素、环境风险预测与评价是否全面，影响预测与评价方法、结果是否准确</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15</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6</w:t>
            </w:r>
            <w:r>
              <w:rPr>
                <w:rFonts w:ascii="Times New Roman" w:hAnsi="Times New Roman" w:eastAsia="宋体" w:cs="Times New Roman"/>
                <w:b w:val="0"/>
                <w:sz w:val="28"/>
                <w:szCs w:val="28"/>
              </w:rPr>
              <w:t>.</w:t>
            </w:r>
            <w:r>
              <w:rPr>
                <w:rFonts w:hint="eastAsia" w:ascii="Times New Roman" w:hAnsi="Times New Roman" w:eastAsia="宋体" w:cs="Times New Roman"/>
                <w:b w:val="0"/>
                <w:sz w:val="28"/>
                <w:szCs w:val="28"/>
              </w:rPr>
              <w:t>生态环境保护措施针对性、有效性、可行性，环境监测、环境管理措施的针对性，环保投资的合理性</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w:t>
            </w:r>
            <w:r>
              <w:rPr>
                <w:rFonts w:ascii="Times New Roman" w:hAnsi="Times New Roman" w:eastAsia="宋体" w:cs="Times New Roman"/>
                <w:b w:val="0"/>
                <w:sz w:val="28"/>
                <w:szCs w:val="28"/>
              </w:rPr>
              <w:t>5</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7.评价结论的综合性、客观性和可信性</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10</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8.重点专题和关键问题回答是否清楚、正确</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5</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ascii="Times New Roman" w:hAnsi="Times New Roman" w:eastAsia="宋体" w:cs="Times New Roman"/>
                <w:b w:val="0"/>
                <w:sz w:val="28"/>
                <w:szCs w:val="28"/>
              </w:rPr>
              <w:t>9</w:t>
            </w:r>
            <w:r>
              <w:rPr>
                <w:rFonts w:hint="eastAsia" w:ascii="Times New Roman" w:hAnsi="Times New Roman" w:eastAsia="宋体" w:cs="Times New Roman"/>
                <w:b w:val="0"/>
                <w:sz w:val="28"/>
                <w:szCs w:val="28"/>
              </w:rPr>
              <w:t>.附件、图表、化物计量单位是否规范，篇幅文字是否简练</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5</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w:t>
            </w:r>
            <w:r>
              <w:rPr>
                <w:rFonts w:ascii="Times New Roman" w:hAnsi="Times New Roman" w:eastAsia="宋体" w:cs="Times New Roman"/>
                <w:b w:val="0"/>
                <w:sz w:val="28"/>
                <w:szCs w:val="28"/>
              </w:rPr>
              <w:t>0</w:t>
            </w:r>
            <w:r>
              <w:rPr>
                <w:rFonts w:hint="eastAsia" w:ascii="Times New Roman" w:hAnsi="Times New Roman" w:eastAsia="宋体" w:cs="Times New Roman"/>
                <w:b w:val="0"/>
                <w:sz w:val="28"/>
                <w:szCs w:val="28"/>
              </w:rPr>
              <w:t>.环评工作是否有特色</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5</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both"/>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w:t>
            </w:r>
            <w:r>
              <w:rPr>
                <w:rFonts w:ascii="Times New Roman" w:hAnsi="Times New Roman" w:eastAsia="宋体" w:cs="Times New Roman"/>
                <w:b w:val="0"/>
                <w:sz w:val="28"/>
                <w:szCs w:val="28"/>
              </w:rPr>
              <w:t>1</w:t>
            </w:r>
            <w:r>
              <w:rPr>
                <w:rFonts w:hint="eastAsia" w:ascii="Times New Roman" w:hAnsi="Times New Roman" w:eastAsia="宋体" w:cs="Times New Roman"/>
                <w:b w:val="0"/>
                <w:sz w:val="28"/>
                <w:szCs w:val="28"/>
              </w:rPr>
              <w:t>.环评工作的复杂程度</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5</w:t>
            </w:r>
          </w:p>
        </w:tc>
        <w:tc>
          <w:tcPr>
            <w:tcW w:w="898" w:type="dxa"/>
            <w:vAlign w:val="center"/>
          </w:tcPr>
          <w:p>
            <w:pPr>
              <w:spacing w:line="400" w:lineRule="exact"/>
              <w:jc w:val="center"/>
              <w:rPr>
                <w:rFonts w:ascii="Times New Roman" w:hAnsi="Times New Roman" w:eastAsia="宋体" w:cs="Times New Roman"/>
                <w:b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6500"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总    分</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100</w:t>
            </w:r>
          </w:p>
        </w:tc>
        <w:tc>
          <w:tcPr>
            <w:tcW w:w="898" w:type="dxa"/>
            <w:vAlign w:val="center"/>
          </w:tcPr>
          <w:p>
            <w:pPr>
              <w:spacing w:line="400" w:lineRule="exact"/>
              <w:jc w:val="center"/>
              <w:rPr>
                <w:rFonts w:ascii="Times New Roman" w:hAnsi="Times New Roman" w:eastAsia="宋体" w:cs="Times New Roman"/>
                <w:b w:val="0"/>
                <w:sz w:val="28"/>
                <w:szCs w:val="28"/>
              </w:rPr>
            </w:pPr>
            <w:r>
              <w:rPr>
                <w:rFonts w:hint="eastAsia" w:ascii="Times New Roman" w:hAnsi="Times New Roman" w:eastAsia="宋体" w:cs="Times New Roman"/>
                <w:b w:val="0"/>
                <w:sz w:val="28"/>
                <w:szCs w:val="28"/>
              </w:rPr>
              <w:t>7</w:t>
            </w:r>
            <w:r>
              <w:rPr>
                <w:rFonts w:ascii="Times New Roman" w:hAnsi="Times New Roman" w:eastAsia="宋体" w:cs="Times New Roman"/>
                <w:b w:val="0"/>
                <w:sz w:val="28"/>
                <w:szCs w:val="2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8296" w:type="dxa"/>
            <w:gridSpan w:val="3"/>
            <w:vAlign w:val="center"/>
          </w:tcPr>
          <w:p>
            <w:pPr>
              <w:jc w:val="center"/>
              <w:rPr>
                <w:rFonts w:ascii="Times New Roman" w:hAnsi="Times New Roman" w:eastAsia="宋体" w:cs="Times New Roman"/>
                <w:b/>
                <w:sz w:val="28"/>
                <w:szCs w:val="28"/>
              </w:rPr>
            </w:pPr>
            <w:r>
              <w:rPr>
                <w:rFonts w:hint="eastAsia" w:ascii="Times New Roman" w:hAnsi="Times New Roman" w:eastAsia="宋体" w:cs="Times New Roman"/>
                <w:b/>
                <w:sz w:val="28"/>
                <w:szCs w:val="28"/>
              </w:rPr>
              <w:t>评审考核人对环评文件是否具备审批条件的具体意见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8296" w:type="dxa"/>
            <w:gridSpan w:val="3"/>
          </w:tcPr>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r>
              <w:rPr>
                <w:rFonts w:hint="eastAsia" w:ascii="Times New Roman" w:hAnsi="Times New Roman" w:eastAsia="宋体" w:cs="Times New Roman"/>
                <w:caps w:val="0"/>
                <w:kern w:val="2"/>
                <w:sz w:val="24"/>
                <w:szCs w:val="24"/>
                <w:lang w:val="en-US" w:eastAsia="zh-CN" w:bidi="ar-SA"/>
              </w:rPr>
              <w:t>报告表编制基本规范，内容较全面，提出的环保措施基本可行，评价结论总体可信。</w:t>
            </w: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r>
              <w:rPr>
                <w:rFonts w:hint="eastAsia" w:ascii="Times New Roman" w:hAnsi="Times New Roman" w:eastAsia="宋体" w:cs="Times New Roman"/>
                <w:caps w:val="0"/>
                <w:kern w:val="2"/>
                <w:sz w:val="24"/>
                <w:szCs w:val="24"/>
                <w:lang w:val="en-US" w:eastAsia="zh-CN" w:bidi="ar-SA"/>
              </w:rPr>
              <w:t>建议补充修改以下内容：</w:t>
            </w:r>
          </w:p>
          <w:p>
            <w:pPr>
              <w:widowControl w:val="0"/>
              <w:numPr>
                <w:ilvl w:val="0"/>
                <w:numId w:val="18"/>
              </w:numPr>
              <w:spacing w:line="360" w:lineRule="auto"/>
              <w:ind w:left="840" w:hanging="360" w:firstLineChars="0"/>
              <w:jc w:val="both"/>
              <w:rPr>
                <w:rFonts w:ascii="Times New Roman" w:hAnsi="Times New Roman" w:eastAsia="宋体" w:cs="Times New Roman"/>
                <w:bCs/>
                <w:caps/>
                <w:kern w:val="2"/>
                <w:sz w:val="24"/>
                <w:szCs w:val="24"/>
                <w:lang w:val="en-US" w:eastAsia="zh-CN" w:bidi="ar-SA"/>
              </w:rPr>
            </w:pPr>
            <w:r>
              <w:rPr>
                <w:rFonts w:hint="eastAsia" w:ascii="Times New Roman" w:hAnsi="Times New Roman" w:eastAsia="宋体" w:cs="Times New Roman"/>
                <w:bCs/>
                <w:caps/>
                <w:kern w:val="2"/>
                <w:sz w:val="24"/>
                <w:szCs w:val="24"/>
                <w:lang w:val="en-US" w:eastAsia="zh-CN" w:bidi="ar-SA"/>
              </w:rPr>
              <w:t>补充项目备案文件，名称为何为</w:t>
            </w:r>
            <w:r>
              <w:rPr>
                <w:rFonts w:hint="eastAsia" w:ascii="Times New Roman" w:hAnsi="Times New Roman" w:eastAsia="宋体" w:cs="Times New Roman"/>
                <w:caps/>
                <w:snapToGrid w:val="0"/>
                <w:spacing w:val="-4"/>
                <w:kern w:val="0"/>
                <w:sz w:val="24"/>
                <w:szCs w:val="24"/>
                <w:u w:val="single"/>
                <w:lang w:val="en-US" w:eastAsia="zh-CN" w:bidi="ar-SA"/>
              </w:rPr>
              <w:t>提升改造项目？</w:t>
            </w:r>
          </w:p>
          <w:p>
            <w:pPr>
              <w:widowControl w:val="0"/>
              <w:spacing w:line="360" w:lineRule="auto"/>
              <w:ind w:firstLine="480" w:firstLineChars="0"/>
              <w:jc w:val="both"/>
              <w:rPr>
                <w:rFonts w:ascii="Times New Roman" w:hAnsi="Times New Roman" w:eastAsia="宋体" w:cs="Times New Roman"/>
                <w:bCs/>
                <w:caps/>
                <w:kern w:val="2"/>
                <w:sz w:val="24"/>
                <w:szCs w:val="24"/>
                <w:lang w:val="en-US" w:eastAsia="zh-CN" w:bidi="ar-SA"/>
              </w:rPr>
            </w:pPr>
            <w:r>
              <w:rPr>
                <w:rFonts w:hint="eastAsia" w:ascii="Times New Roman" w:hAnsi="Times New Roman" w:eastAsia="宋体" w:cs="Times New Roman"/>
                <w:bCs/>
                <w:caps/>
                <w:kern w:val="2"/>
                <w:sz w:val="24"/>
                <w:szCs w:val="24"/>
                <w:lang w:val="en-US" w:eastAsia="zh-CN" w:bidi="ar-SA"/>
              </w:rPr>
              <w:t>2、补充吉木萨尔县北庭综合物流园介绍及发展定位，是否为园区？是否有总体规划？进一步分析布草洗涤项目选址位于物流园区可行性，</w:t>
            </w:r>
            <w:r>
              <w:rPr>
                <w:rFonts w:ascii="Times New Roman" w:hAnsi="Times New Roman" w:eastAsia="宋体" w:cs="Times New Roman"/>
                <w:bCs/>
                <w:caps/>
                <w:kern w:val="2"/>
                <w:sz w:val="24"/>
                <w:szCs w:val="24"/>
                <w:lang w:val="en-US" w:eastAsia="zh-CN" w:bidi="ar-SA"/>
              </w:rPr>
              <w:t>项目</w:t>
            </w:r>
            <w:r>
              <w:rPr>
                <w:rFonts w:hint="eastAsia" w:ascii="Times New Roman" w:hAnsi="Times New Roman" w:eastAsia="宋体" w:cs="Times New Roman"/>
                <w:bCs/>
                <w:caps/>
                <w:kern w:val="2"/>
                <w:sz w:val="24"/>
                <w:szCs w:val="24"/>
                <w:lang w:val="en-US" w:eastAsia="zh-CN" w:bidi="ar-SA"/>
              </w:rPr>
              <w:t>租用吉木萨尔县北庭春物流园有限责任公司现有生产厂房是否合理？</w:t>
            </w:r>
          </w:p>
          <w:p>
            <w:pPr>
              <w:widowControl w:val="0"/>
              <w:spacing w:line="360" w:lineRule="auto"/>
              <w:ind w:firstLine="480" w:firstLineChars="200"/>
              <w:jc w:val="both"/>
              <w:rPr>
                <w:rFonts w:ascii="Times New Roman" w:hAnsi="Times New Roman" w:eastAsia="宋体" w:cs="Times New Roman"/>
                <w:caps w:val="0"/>
                <w:kern w:val="2"/>
                <w:sz w:val="24"/>
                <w:szCs w:val="24"/>
                <w:lang w:val="en-US" w:eastAsia="zh-CN" w:bidi="ar-SA"/>
              </w:rPr>
            </w:pPr>
            <w:r>
              <w:rPr>
                <w:rFonts w:hint="eastAsia" w:ascii="Times New Roman" w:hAnsi="Times New Roman" w:eastAsia="宋体" w:cs="Times New Roman"/>
                <w:caps w:val="0"/>
                <w:kern w:val="2"/>
                <w:sz w:val="24"/>
                <w:szCs w:val="24"/>
                <w:lang w:val="en-US" w:eastAsia="zh-CN" w:bidi="ar-SA"/>
              </w:rPr>
              <w:t>3、补充说明项目蒸汽使用方式，分别说明蒸汽消耗量及冷凝回收量，核实锅炉系统排水量。按照蒸汽锅炉2</w:t>
            </w:r>
            <w:r>
              <w:rPr>
                <w:rFonts w:ascii="Times New Roman" w:hAnsi="Times New Roman" w:eastAsia="宋体" w:cs="Times New Roman"/>
                <w:caps w:val="0"/>
                <w:kern w:val="2"/>
                <w:sz w:val="24"/>
                <w:szCs w:val="24"/>
                <w:lang w:val="en-US" w:eastAsia="zh-CN" w:bidi="ar-SA"/>
              </w:rPr>
              <w:t>t/h</w:t>
            </w:r>
            <w:r>
              <w:rPr>
                <w:rFonts w:hint="eastAsia" w:ascii="Times New Roman" w:hAnsi="Times New Roman" w:eastAsia="宋体" w:cs="Times New Roman"/>
                <w:caps w:val="0"/>
                <w:kern w:val="2"/>
                <w:sz w:val="24"/>
                <w:szCs w:val="24"/>
                <w:lang w:val="en-US" w:eastAsia="zh-CN" w:bidi="ar-SA"/>
              </w:rPr>
              <w:t>、每天运行</w:t>
            </w:r>
            <w:r>
              <w:rPr>
                <w:rFonts w:ascii="Times New Roman" w:hAnsi="Times New Roman" w:eastAsia="宋体" w:cs="Times New Roman"/>
                <w:caps w:val="0"/>
                <w:kern w:val="2"/>
                <w:sz w:val="24"/>
                <w:szCs w:val="24"/>
                <w:lang w:val="en-US" w:eastAsia="zh-CN" w:bidi="ar-SA"/>
              </w:rPr>
              <w:t>24h</w:t>
            </w:r>
            <w:r>
              <w:rPr>
                <w:rFonts w:hint="eastAsia" w:ascii="Times New Roman" w:hAnsi="Times New Roman" w:eastAsia="宋体" w:cs="Times New Roman"/>
                <w:caps w:val="0"/>
                <w:kern w:val="2"/>
                <w:sz w:val="24"/>
                <w:szCs w:val="24"/>
                <w:lang w:val="en-US" w:eastAsia="zh-CN" w:bidi="ar-SA"/>
              </w:rPr>
              <w:t>计算，每日蒸汽产量</w:t>
            </w:r>
            <w:r>
              <w:rPr>
                <w:rFonts w:ascii="Times New Roman" w:hAnsi="Times New Roman" w:eastAsia="宋体" w:cs="Times New Roman"/>
                <w:caps w:val="0"/>
                <w:kern w:val="2"/>
                <w:sz w:val="24"/>
                <w:szCs w:val="24"/>
                <w:lang w:val="en-US" w:eastAsia="zh-CN" w:bidi="ar-SA"/>
              </w:rPr>
              <w:t>48t</w:t>
            </w:r>
            <w:r>
              <w:rPr>
                <w:rFonts w:hint="eastAsia" w:ascii="Times New Roman" w:hAnsi="Times New Roman" w:eastAsia="宋体" w:cs="Times New Roman"/>
                <w:caps w:val="0"/>
                <w:kern w:val="2"/>
                <w:sz w:val="24"/>
                <w:szCs w:val="24"/>
                <w:lang w:val="en-US" w:eastAsia="zh-CN" w:bidi="ar-SA"/>
              </w:rPr>
              <w:t>，按照</w:t>
            </w:r>
            <w:r>
              <w:rPr>
                <w:rFonts w:ascii="Times New Roman" w:hAnsi="Times New Roman" w:eastAsia="宋体" w:cs="Times New Roman"/>
                <w:caps/>
                <w:kern w:val="2"/>
                <w:sz w:val="24"/>
                <w:szCs w:val="32"/>
                <w:lang w:val="en-US" w:eastAsia="zh-CN" w:bidi="ar-SA"/>
              </w:rPr>
              <w:t>锅外水处理工业废水产污系数</w:t>
            </w:r>
            <w:r>
              <w:rPr>
                <w:rFonts w:hint="eastAsia" w:ascii="Times New Roman" w:hAnsi="Times New Roman" w:eastAsia="宋体" w:cs="Times New Roman"/>
                <w:caps/>
                <w:kern w:val="2"/>
                <w:sz w:val="24"/>
                <w:szCs w:val="32"/>
                <w:lang w:val="en-US" w:eastAsia="zh-CN" w:bidi="ar-SA"/>
              </w:rPr>
              <w:t>13.56</w:t>
            </w:r>
            <w:r>
              <w:rPr>
                <w:rFonts w:ascii="Times New Roman" w:hAnsi="Times New Roman" w:eastAsia="宋体" w:cs="Times New Roman"/>
                <w:caps/>
                <w:kern w:val="2"/>
                <w:sz w:val="24"/>
                <w:szCs w:val="32"/>
                <w:lang w:val="en-US" w:eastAsia="zh-CN" w:bidi="ar-SA"/>
              </w:rPr>
              <w:t>吨/万立方米-原料</w:t>
            </w:r>
            <w:r>
              <w:rPr>
                <w:rFonts w:hint="eastAsia" w:ascii="Times New Roman" w:hAnsi="Times New Roman" w:eastAsia="宋体" w:cs="Times New Roman"/>
                <w:caps/>
                <w:kern w:val="2"/>
                <w:sz w:val="24"/>
                <w:szCs w:val="32"/>
                <w:lang w:val="en-US" w:eastAsia="zh-CN" w:bidi="ar-SA"/>
              </w:rPr>
              <w:t>计算，则</w:t>
            </w:r>
            <w:r>
              <w:rPr>
                <w:rFonts w:ascii="Times New Roman" w:hAnsi="Times New Roman" w:eastAsia="宋体" w:cs="Times New Roman"/>
                <w:caps/>
                <w:kern w:val="2"/>
                <w:sz w:val="24"/>
                <w:szCs w:val="32"/>
                <w:lang w:val="en-US" w:eastAsia="zh-CN" w:bidi="ar-SA"/>
              </w:rPr>
              <w:t>锅炉排污水和软化水处理废水产生量</w:t>
            </w:r>
            <w:r>
              <w:rPr>
                <w:rFonts w:hint="eastAsia" w:ascii="Times New Roman" w:hAnsi="Times New Roman" w:eastAsia="宋体" w:cs="Times New Roman"/>
                <w:caps/>
                <w:kern w:val="2"/>
                <w:sz w:val="24"/>
                <w:szCs w:val="32"/>
                <w:lang w:val="en-US" w:eastAsia="zh-CN" w:bidi="ar-SA"/>
              </w:rPr>
              <w:t>应为0</w:t>
            </w:r>
            <w:r>
              <w:rPr>
                <w:rFonts w:ascii="Times New Roman" w:hAnsi="Times New Roman" w:eastAsia="宋体" w:cs="Times New Roman"/>
                <w:caps/>
                <w:kern w:val="2"/>
                <w:sz w:val="24"/>
                <w:szCs w:val="32"/>
                <w:lang w:val="en-US" w:eastAsia="zh-CN" w:bidi="ar-SA"/>
              </w:rPr>
              <w:t>.065</w:t>
            </w:r>
            <w:r>
              <w:rPr>
                <w:rFonts w:hint="eastAsia" w:ascii="Times New Roman" w:hAnsi="Times New Roman" w:eastAsia="宋体" w:cs="Times New Roman"/>
                <w:caps w:val="0"/>
                <w:kern w:val="2"/>
                <w:sz w:val="24"/>
                <w:szCs w:val="24"/>
                <w:lang w:val="en-US" w:eastAsia="zh-CN" w:bidi="ar-SA"/>
              </w:rPr>
              <w:t xml:space="preserve"> t</w:t>
            </w:r>
            <w:r>
              <w:rPr>
                <w:rFonts w:ascii="Times New Roman" w:hAnsi="Times New Roman" w:eastAsia="宋体" w:cs="Times New Roman"/>
                <w:caps w:val="0"/>
                <w:kern w:val="2"/>
                <w:sz w:val="24"/>
                <w:szCs w:val="24"/>
                <w:lang w:val="en-US" w:eastAsia="zh-CN" w:bidi="ar-SA"/>
              </w:rPr>
              <w:t>/d</w:t>
            </w:r>
            <w:r>
              <w:rPr>
                <w:rFonts w:hint="eastAsia" w:ascii="Times New Roman" w:hAnsi="Times New Roman" w:eastAsia="宋体" w:cs="Times New Roman"/>
                <w:caps w:val="0"/>
                <w:kern w:val="2"/>
                <w:sz w:val="24"/>
                <w:szCs w:val="24"/>
                <w:lang w:val="en-US" w:eastAsia="zh-CN" w:bidi="ar-SA"/>
              </w:rPr>
              <w:t>，报告表中给出</w:t>
            </w:r>
            <w:r>
              <w:rPr>
                <w:rFonts w:hint="eastAsia" w:ascii="Times New Roman" w:hAnsi="Times New Roman" w:eastAsia="宋体" w:cs="Times New Roman"/>
                <w:caps/>
                <w:kern w:val="2"/>
                <w:sz w:val="24"/>
                <w:szCs w:val="24"/>
                <w:lang w:val="en-US" w:eastAsia="zh-CN" w:bidi="ar-SA"/>
              </w:rPr>
              <w:t>5.424</w:t>
            </w:r>
            <w:r>
              <w:rPr>
                <w:rFonts w:hint="eastAsia" w:ascii="Times New Roman" w:hAnsi="Times New Roman" w:eastAsia="宋体" w:cs="Times New Roman"/>
                <w:caps w:val="0"/>
                <w:kern w:val="2"/>
                <w:sz w:val="24"/>
                <w:szCs w:val="24"/>
                <w:lang w:val="en-US" w:eastAsia="zh-CN" w:bidi="ar-SA"/>
              </w:rPr>
              <w:t xml:space="preserve"> t</w:t>
            </w:r>
            <w:r>
              <w:rPr>
                <w:rFonts w:ascii="Times New Roman" w:hAnsi="Times New Roman" w:eastAsia="宋体" w:cs="Times New Roman"/>
                <w:caps w:val="0"/>
                <w:kern w:val="2"/>
                <w:sz w:val="24"/>
                <w:szCs w:val="24"/>
                <w:lang w:val="en-US" w:eastAsia="zh-CN" w:bidi="ar-SA"/>
              </w:rPr>
              <w:t>/d</w:t>
            </w:r>
            <w:r>
              <w:rPr>
                <w:rFonts w:hint="eastAsia" w:ascii="Times New Roman" w:hAnsi="Times New Roman" w:eastAsia="宋体" w:cs="Times New Roman"/>
                <w:caps w:val="0"/>
                <w:kern w:val="2"/>
                <w:sz w:val="24"/>
                <w:szCs w:val="24"/>
                <w:lang w:val="en-US" w:eastAsia="zh-CN" w:bidi="ar-SA"/>
              </w:rPr>
              <w:t>错误。</w:t>
            </w: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r>
              <w:rPr>
                <w:rFonts w:hint="eastAsia" w:ascii="Times New Roman" w:hAnsi="Times New Roman" w:eastAsia="宋体" w:cs="Times New Roman"/>
                <w:caps w:val="0"/>
                <w:kern w:val="2"/>
                <w:sz w:val="24"/>
                <w:szCs w:val="24"/>
                <w:lang w:val="en-US" w:eastAsia="zh-CN" w:bidi="ar-SA"/>
              </w:rPr>
              <w:t>核实项目水平衡分析。</w:t>
            </w:r>
          </w:p>
          <w:p>
            <w:pPr>
              <w:widowControl w:val="0"/>
              <w:spacing w:line="360" w:lineRule="auto"/>
              <w:ind w:firstLine="403" w:firstLineChars="168"/>
              <w:jc w:val="both"/>
              <w:rPr>
                <w:rFonts w:ascii="Times New Roman" w:hAnsi="Times New Roman" w:eastAsia="宋体" w:cs="Times New Roman"/>
                <w:caps/>
                <w:color w:val="000000"/>
                <w:kern w:val="2"/>
                <w:sz w:val="24"/>
                <w:szCs w:val="24"/>
                <w:lang w:val="en-US" w:eastAsia="zh-CN" w:bidi="ar-SA"/>
              </w:rPr>
            </w:pPr>
            <w:r>
              <w:rPr>
                <w:rFonts w:ascii="Times New Roman" w:hAnsi="Times New Roman" w:eastAsia="宋体" w:cs="Times New Roman"/>
                <w:caps w:val="0"/>
                <w:kern w:val="2"/>
                <w:sz w:val="24"/>
                <w:szCs w:val="24"/>
                <w:lang w:val="en-US" w:eastAsia="zh-CN" w:bidi="ar-SA"/>
              </w:rPr>
              <w:t>4</w:t>
            </w:r>
            <w:r>
              <w:rPr>
                <w:rFonts w:hint="eastAsia" w:ascii="Times New Roman" w:hAnsi="Times New Roman" w:eastAsia="宋体" w:cs="Times New Roman"/>
                <w:caps w:val="0"/>
                <w:kern w:val="2"/>
                <w:sz w:val="24"/>
                <w:szCs w:val="24"/>
                <w:lang w:val="en-US" w:eastAsia="zh-CN" w:bidi="ar-SA"/>
              </w:rPr>
              <w:t>、</w:t>
            </w:r>
            <w:r>
              <w:rPr>
                <w:rFonts w:ascii="Times New Roman" w:hAnsi="Times New Roman" w:eastAsia="宋体" w:cs="Times New Roman"/>
                <w:caps/>
                <w:color w:val="000000"/>
                <w:kern w:val="2"/>
                <w:sz w:val="24"/>
                <w:szCs w:val="24"/>
                <w:lang w:val="en-US" w:eastAsia="zh-CN" w:bidi="ar-SA"/>
              </w:rPr>
              <w:t>本项目</w:t>
            </w:r>
            <w:r>
              <w:rPr>
                <w:rFonts w:hint="eastAsia" w:ascii="Times New Roman" w:hAnsi="Times New Roman" w:eastAsia="宋体" w:cs="Times New Roman"/>
                <w:caps/>
                <w:color w:val="000000"/>
                <w:kern w:val="2"/>
                <w:sz w:val="24"/>
                <w:szCs w:val="24"/>
                <w:lang w:val="en-US" w:eastAsia="zh-CN" w:bidi="ar-SA"/>
              </w:rPr>
              <w:t>自建洗涤废水处理站，</w:t>
            </w:r>
            <w:r>
              <w:rPr>
                <w:rFonts w:ascii="Times New Roman" w:hAnsi="Times New Roman" w:eastAsia="宋体" w:cs="Times New Roman"/>
                <w:caps/>
                <w:color w:val="000000"/>
                <w:kern w:val="2"/>
                <w:sz w:val="24"/>
                <w:szCs w:val="24"/>
                <w:lang w:val="en-US" w:eastAsia="zh-CN" w:bidi="ar-SA"/>
              </w:rPr>
              <w:t>存在地下水污染途径，</w:t>
            </w:r>
            <w:r>
              <w:rPr>
                <w:rFonts w:hint="eastAsia" w:ascii="Times New Roman" w:hAnsi="Times New Roman" w:eastAsia="宋体" w:cs="Times New Roman"/>
                <w:caps/>
                <w:color w:val="000000"/>
                <w:kern w:val="2"/>
                <w:sz w:val="24"/>
                <w:szCs w:val="24"/>
                <w:lang w:val="en-US" w:eastAsia="zh-CN" w:bidi="ar-SA"/>
              </w:rPr>
              <w:t>应补充地下水</w:t>
            </w:r>
            <w:r>
              <w:rPr>
                <w:rFonts w:ascii="Times New Roman" w:hAnsi="Times New Roman" w:eastAsia="宋体" w:cs="Times New Roman"/>
                <w:caps/>
                <w:color w:val="000000"/>
                <w:kern w:val="2"/>
                <w:sz w:val="24"/>
                <w:szCs w:val="24"/>
                <w:lang w:val="en-US" w:eastAsia="zh-CN" w:bidi="ar-SA"/>
              </w:rPr>
              <w:t>现状监测</w:t>
            </w:r>
            <w:r>
              <w:rPr>
                <w:rFonts w:hint="eastAsia" w:ascii="Times New Roman" w:hAnsi="Times New Roman" w:eastAsia="宋体" w:cs="Times New Roman"/>
                <w:caps/>
                <w:color w:val="000000"/>
                <w:kern w:val="2"/>
                <w:sz w:val="24"/>
                <w:szCs w:val="24"/>
                <w:lang w:val="en-US" w:eastAsia="zh-CN" w:bidi="ar-SA"/>
              </w:rPr>
              <w:t>留作背景值</w:t>
            </w:r>
            <w:r>
              <w:rPr>
                <w:rFonts w:ascii="Times New Roman" w:hAnsi="Times New Roman" w:eastAsia="宋体" w:cs="Times New Roman"/>
                <w:caps/>
                <w:color w:val="000000"/>
                <w:kern w:val="2"/>
                <w:sz w:val="24"/>
                <w:szCs w:val="24"/>
                <w:lang w:val="en-US" w:eastAsia="zh-CN" w:bidi="ar-SA"/>
              </w:rPr>
              <w:t>。</w:t>
            </w:r>
          </w:p>
          <w:p>
            <w:pPr>
              <w:widowControl w:val="0"/>
              <w:spacing w:line="360" w:lineRule="auto"/>
              <w:ind w:firstLine="403" w:firstLineChars="168"/>
              <w:jc w:val="both"/>
              <w:rPr>
                <w:rFonts w:ascii="Times New Roman" w:hAnsi="Times New Roman" w:eastAsia="宋体" w:cs="Times New Roman"/>
                <w:caps/>
                <w:color w:val="000000"/>
                <w:kern w:val="2"/>
                <w:sz w:val="24"/>
                <w:szCs w:val="24"/>
                <w:lang w:val="en-US" w:eastAsia="zh-CN" w:bidi="ar-SA"/>
              </w:rPr>
            </w:pPr>
            <w:r>
              <w:rPr>
                <w:rFonts w:ascii="Times New Roman" w:hAnsi="Times New Roman" w:eastAsia="宋体" w:cs="Times New Roman"/>
                <w:caps/>
                <w:color w:val="000000"/>
                <w:kern w:val="2"/>
                <w:sz w:val="24"/>
                <w:szCs w:val="24"/>
                <w:lang w:val="en-US" w:eastAsia="zh-CN" w:bidi="ar-SA"/>
              </w:rPr>
              <w:t>5</w:t>
            </w:r>
            <w:r>
              <w:rPr>
                <w:rFonts w:hint="eastAsia" w:ascii="Times New Roman" w:hAnsi="Times New Roman" w:eastAsia="宋体" w:cs="Times New Roman"/>
                <w:caps/>
                <w:color w:val="000000"/>
                <w:kern w:val="2"/>
                <w:sz w:val="24"/>
                <w:szCs w:val="24"/>
                <w:lang w:val="en-US" w:eastAsia="zh-CN" w:bidi="ar-SA"/>
              </w:rPr>
              <w:t>、补充项目污水处理站规模（水处理设备为“2T/流量型”，是什么意思？），进一步论证污水处理工艺合理性。初沉→厌氧生化→缺氧池→好氧池→MBR膜生化池工艺繁琐，絮凝剂投入MBR膜生化池？</w:t>
            </w: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r>
              <w:rPr>
                <w:rFonts w:hint="eastAsia" w:ascii="Times New Roman" w:hAnsi="Times New Roman" w:eastAsia="宋体" w:cs="Times New Roman"/>
                <w:caps/>
                <w:color w:val="000000"/>
                <w:kern w:val="2"/>
                <w:sz w:val="24"/>
                <w:szCs w:val="24"/>
                <w:lang w:val="en-US" w:eastAsia="zh-CN" w:bidi="ar-SA"/>
              </w:rPr>
              <w:t>项目废水</w:t>
            </w:r>
            <w:r>
              <w:rPr>
                <w:rFonts w:ascii="Times New Roman" w:hAnsi="Times New Roman" w:eastAsia="宋体" w:cs="Times New Roman"/>
                <w:caps/>
                <w:kern w:val="2"/>
                <w:sz w:val="24"/>
                <w:szCs w:val="24"/>
                <w:lang w:val="en-US" w:eastAsia="zh-CN" w:bidi="ar-SA"/>
              </w:rPr>
              <w:t>达标排放</w:t>
            </w:r>
            <w:r>
              <w:rPr>
                <w:rFonts w:hint="eastAsia" w:ascii="Times New Roman" w:hAnsi="Times New Roman" w:eastAsia="宋体" w:cs="Times New Roman"/>
                <w:caps/>
                <w:kern w:val="2"/>
                <w:sz w:val="24"/>
                <w:szCs w:val="24"/>
                <w:lang w:val="en-US" w:eastAsia="zh-CN" w:bidi="ar-SA"/>
              </w:rPr>
              <w:t>与</w:t>
            </w:r>
            <w:r>
              <w:rPr>
                <w:rFonts w:ascii="Times New Roman" w:hAnsi="Times New Roman" w:eastAsia="宋体" w:cs="Times New Roman"/>
                <w:caps/>
                <w:kern w:val="2"/>
                <w:sz w:val="24"/>
                <w:szCs w:val="24"/>
                <w:lang w:val="en-US" w:eastAsia="zh-CN" w:bidi="ar-SA"/>
              </w:rPr>
              <w:t>返回车间</w:t>
            </w:r>
            <w:r>
              <w:rPr>
                <w:rFonts w:hint="eastAsia" w:ascii="Times New Roman" w:hAnsi="Times New Roman" w:eastAsia="宋体" w:cs="Times New Roman"/>
                <w:caps/>
                <w:kern w:val="2"/>
                <w:sz w:val="24"/>
                <w:szCs w:val="24"/>
                <w:lang w:val="en-US" w:eastAsia="zh-CN" w:bidi="ar-SA"/>
              </w:rPr>
              <w:t>回用，去向不同则对出水水质要求不同，应明确最终排水去向及执行标准。</w:t>
            </w: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r>
              <w:rPr>
                <w:rFonts w:hint="eastAsia" w:ascii="Times New Roman" w:hAnsi="Times New Roman" w:eastAsia="宋体" w:cs="Times New Roman"/>
                <w:caps w:val="0"/>
                <w:kern w:val="2"/>
                <w:sz w:val="24"/>
                <w:szCs w:val="24"/>
                <w:lang w:val="en-US" w:eastAsia="zh-CN" w:bidi="ar-SA"/>
              </w:rPr>
              <w:t>6、核实燃气锅炉排气筒高度（一般是8m）。</w:t>
            </w: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03" w:firstLineChars="168"/>
              <w:jc w:val="both"/>
              <w:rPr>
                <w:rFonts w:ascii="Times New Roman" w:hAnsi="Times New Roman" w:eastAsia="宋体" w:cs="Times New Roman"/>
                <w:caps w:val="0"/>
                <w:kern w:val="2"/>
                <w:sz w:val="24"/>
                <w:szCs w:val="24"/>
                <w:lang w:val="en-US" w:eastAsia="zh-CN" w:bidi="ar-SA"/>
              </w:rPr>
            </w:pPr>
          </w:p>
          <w:p>
            <w:pPr>
              <w:widowControl w:val="0"/>
              <w:spacing w:line="360" w:lineRule="auto"/>
              <w:ind w:firstLine="4490" w:firstLineChars="1871"/>
              <w:jc w:val="both"/>
              <w:rPr>
                <w:rFonts w:ascii="Times New Roman" w:hAnsi="Times New Roman" w:eastAsia="宋体" w:cs="Times New Roman"/>
                <w:caps/>
                <w:kern w:val="2"/>
                <w:sz w:val="24"/>
                <w:szCs w:val="24"/>
                <w:lang w:val="en-US" w:eastAsia="zh-CN" w:bidi="ar-SA"/>
              </w:rPr>
            </w:pPr>
            <w:r>
              <w:rPr>
                <w:rFonts w:hint="eastAsia" w:ascii="Times New Roman" w:hAnsi="Times New Roman" w:eastAsia="宋体" w:cs="Times New Roman"/>
                <w:caps/>
                <w:kern w:val="2"/>
                <w:sz w:val="24"/>
                <w:szCs w:val="24"/>
                <w:lang w:val="en-US" w:eastAsia="zh-CN" w:bidi="ar-SA"/>
              </w:rPr>
              <w:t>专家签字：杨中惠</w:t>
            </w:r>
          </w:p>
          <w:p>
            <w:pPr>
              <w:widowControl w:val="0"/>
              <w:spacing w:line="360" w:lineRule="auto"/>
              <w:ind w:firstLine="6000" w:firstLineChars="2500"/>
              <w:jc w:val="both"/>
              <w:rPr>
                <w:rFonts w:ascii="Times New Roman" w:hAnsi="Times New Roman" w:eastAsia="宋体" w:cs="Times New Roman"/>
                <w:caps/>
                <w:kern w:val="2"/>
                <w:sz w:val="24"/>
                <w:szCs w:val="24"/>
                <w:lang w:val="en-US" w:eastAsia="zh-CN" w:bidi="ar-SA"/>
              </w:rPr>
            </w:pPr>
            <w:r>
              <w:rPr>
                <w:rFonts w:hint="eastAsia" w:ascii="Times New Roman" w:hAnsi="Times New Roman" w:eastAsia="宋体" w:cs="Times New Roman"/>
                <w:caps/>
                <w:kern w:val="2"/>
                <w:sz w:val="24"/>
                <w:szCs w:val="24"/>
                <w:lang w:val="en-US" w:eastAsia="zh-CN" w:bidi="ar-SA"/>
              </w:rPr>
              <w:t>2</w:t>
            </w:r>
            <w:r>
              <w:rPr>
                <w:rFonts w:ascii="Times New Roman" w:hAnsi="Times New Roman" w:eastAsia="宋体" w:cs="Times New Roman"/>
                <w:caps/>
                <w:kern w:val="2"/>
                <w:sz w:val="24"/>
                <w:szCs w:val="24"/>
                <w:lang w:val="en-US" w:eastAsia="zh-CN" w:bidi="ar-SA"/>
              </w:rPr>
              <w:t>023</w:t>
            </w:r>
            <w:r>
              <w:rPr>
                <w:rFonts w:hint="eastAsia" w:ascii="Times New Roman" w:hAnsi="Times New Roman" w:eastAsia="宋体" w:cs="Times New Roman"/>
                <w:caps/>
                <w:kern w:val="2"/>
                <w:sz w:val="24"/>
                <w:szCs w:val="24"/>
                <w:lang w:val="en-US" w:eastAsia="zh-CN" w:bidi="ar-SA"/>
              </w:rPr>
              <w:t>年</w:t>
            </w:r>
            <w:r>
              <w:rPr>
                <w:rFonts w:ascii="Times New Roman" w:hAnsi="Times New Roman" w:eastAsia="宋体" w:cs="Times New Roman"/>
                <w:caps/>
                <w:kern w:val="2"/>
                <w:sz w:val="24"/>
                <w:szCs w:val="24"/>
                <w:lang w:val="en-US" w:eastAsia="zh-CN" w:bidi="ar-SA"/>
              </w:rPr>
              <w:t>12</w:t>
            </w:r>
            <w:r>
              <w:rPr>
                <w:rFonts w:hint="eastAsia" w:ascii="Times New Roman" w:hAnsi="Times New Roman" w:eastAsia="宋体" w:cs="Times New Roman"/>
                <w:caps/>
                <w:kern w:val="2"/>
                <w:sz w:val="24"/>
                <w:szCs w:val="24"/>
                <w:lang w:val="en-US" w:eastAsia="zh-CN" w:bidi="ar-SA"/>
              </w:rPr>
              <w:t>月</w:t>
            </w:r>
            <w:r>
              <w:rPr>
                <w:rFonts w:ascii="Times New Roman" w:hAnsi="Times New Roman" w:eastAsia="宋体" w:cs="Times New Roman"/>
                <w:caps/>
                <w:kern w:val="2"/>
                <w:sz w:val="24"/>
                <w:szCs w:val="24"/>
                <w:lang w:val="en-US" w:eastAsia="zh-CN" w:bidi="ar-SA"/>
              </w:rPr>
              <w:t>31</w:t>
            </w:r>
            <w:r>
              <w:rPr>
                <w:rFonts w:hint="eastAsia" w:ascii="Times New Roman" w:hAnsi="Times New Roman" w:eastAsia="宋体" w:cs="Times New Roman"/>
                <w:caps/>
                <w:kern w:val="2"/>
                <w:sz w:val="24"/>
                <w:szCs w:val="24"/>
                <w:lang w:val="en-US" w:eastAsia="zh-CN" w:bidi="ar-SA"/>
              </w:rPr>
              <w:t>日</w:t>
            </w:r>
          </w:p>
          <w:p>
            <w:pPr>
              <w:widowControl w:val="0"/>
              <w:spacing w:line="360" w:lineRule="auto"/>
              <w:ind w:firstLine="6000" w:firstLineChars="2500"/>
              <w:jc w:val="both"/>
              <w:rPr>
                <w:rFonts w:ascii="Times New Roman" w:hAnsi="Times New Roman" w:eastAsia="宋体" w:cs="Times New Roman"/>
                <w:caps/>
                <w:kern w:val="2"/>
                <w:sz w:val="24"/>
                <w:szCs w:val="24"/>
                <w:lang w:val="en-US" w:eastAsia="zh-CN" w:bidi="ar-SA"/>
              </w:rPr>
            </w:pPr>
          </w:p>
        </w:tc>
      </w:tr>
    </w:tbl>
    <w:p>
      <w:pPr>
        <w:jc w:val="both"/>
        <w:rPr>
          <w:rFonts w:ascii="Times New Roman" w:hAnsi="Times New Roman" w:eastAsia="宋体" w:cs="Times New Roman"/>
          <w:b w:val="0"/>
          <w:sz w:val="21"/>
        </w:rPr>
      </w:pPr>
    </w:p>
    <w:p>
      <w:pPr>
        <w:pStyle w:val="78"/>
        <w:spacing w:line="240" w:lineRule="auto"/>
        <w:rPr>
          <w:rFonts w:hint="default" w:ascii="仿宋" w:hAnsi="仿宋" w:eastAsia="仿宋" w:cs="仿宋"/>
          <w:b w:val="0"/>
          <w:bCs/>
          <w:sz w:val="32"/>
          <w:szCs w:val="32"/>
          <w:lang w:val="en-US" w:eastAsia="zh-CN"/>
        </w:rPr>
        <w:sectPr>
          <w:pgSz w:w="11906" w:h="16838"/>
          <w:pgMar w:top="1440" w:right="1800" w:bottom="1440" w:left="1800" w:header="851" w:footer="992" w:gutter="0"/>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w w:val="98"/>
          <w:sz w:val="32"/>
          <w:szCs w:val="28"/>
          <w:lang w:val="en-US" w:eastAsia="zh-CN"/>
        </w:rPr>
      </w:pPr>
      <w:r>
        <w:rPr>
          <w:rFonts w:hint="eastAsia" w:ascii="Times New Roman" w:hAnsi="Times New Roman" w:eastAsia="宋体" w:cs="Times New Roman"/>
          <w:b/>
          <w:bCs/>
          <w:w w:val="98"/>
          <w:sz w:val="32"/>
          <w:szCs w:val="28"/>
          <w:lang w:val="en-US" w:eastAsia="zh-CN"/>
        </w:rPr>
        <w:t>吉木萨尔县绿色洗消中心提升改造项目</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w w:val="98"/>
          <w:sz w:val="32"/>
          <w:szCs w:val="28"/>
          <w:lang w:val="en-US" w:eastAsia="zh-CN"/>
        </w:rPr>
      </w:pPr>
      <w:r>
        <w:rPr>
          <w:rFonts w:hint="default" w:ascii="Times New Roman" w:hAnsi="Times New Roman" w:eastAsia="宋体" w:cs="Times New Roman"/>
          <w:b/>
          <w:bCs/>
          <w:w w:val="98"/>
          <w:sz w:val="32"/>
          <w:szCs w:val="28"/>
          <w:lang w:val="en-US" w:eastAsia="zh-CN"/>
        </w:rPr>
        <w:t>环境影响报告表修改意见</w:t>
      </w:r>
    </w:p>
    <w:p>
      <w:pPr>
        <w:widowControl w:val="0"/>
        <w:spacing w:after="120" w:afterLines="0" w:afterAutospacing="0"/>
        <w:ind w:left="480" w:leftChars="200" w:firstLine="420" w:firstLineChars="200"/>
        <w:jc w:val="both"/>
        <w:rPr>
          <w:rFonts w:hint="default" w:asciiTheme="minorHAnsi" w:hAnsiTheme="minorHAnsi" w:eastAsiaTheme="minorEastAsia" w:cstheme="minorBidi"/>
          <w:kern w:val="2"/>
          <w:sz w:val="21"/>
          <w:szCs w:val="24"/>
          <w:lang w:val="en-US" w:eastAsia="zh-CN" w:bidi="ar-SA"/>
        </w:rPr>
      </w:pP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补充项目备案文件，名称为何为提升改造项目？</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修改说明：名称已修改为吉木萨尔县绿色洗消中心项目。</w:t>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补充吉木萨尔县北庭综合物流园介绍及发展定位，是否为园区？是否有总体规划？进一步分析布草洗涤项目选址位于物流园区可行性，项目租用吉木萨尔县北庭春物流园有限责任公司现有生产厂房是否合理。</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修改说明：P2、P8</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Times New Roman" w:hAnsi="Times New Roman" w:eastAsia="宋体" w:cstheme="minorBidi"/>
          <w:b/>
          <w:kern w:val="2"/>
          <w:sz w:val="28"/>
          <w:szCs w:val="24"/>
          <w:lang w:val="en-US" w:eastAsia="zh-CN" w:bidi="ar-SA"/>
        </w:rPr>
      </w:pPr>
      <w:r>
        <w:rPr>
          <w:rFonts w:hint="eastAsia" w:ascii="Times New Roman" w:hAnsi="Times New Roman" w:eastAsia="宋体" w:cstheme="minorBidi"/>
          <w:b/>
          <w:kern w:val="2"/>
          <w:sz w:val="24"/>
          <w:szCs w:val="22"/>
          <w:lang w:val="en-US" w:eastAsia="zh-CN" w:bidi="ar-SA"/>
        </w:rPr>
        <w:t>与《吉木萨尔县县城总体规划（2012-2030年）》符合性分析</w:t>
      </w:r>
    </w:p>
    <w:p>
      <w:pPr>
        <w:widowControl w:val="0"/>
        <w:bidi w:val="0"/>
        <w:spacing w:line="360" w:lineRule="auto"/>
        <w:ind w:firstLine="480" w:firstLineChars="200"/>
        <w:jc w:val="both"/>
        <w:rPr>
          <w:rFonts w:hint="default" w:ascii="Times New Roman" w:hAnsi="Times New Roman" w:eastAsia="宋体" w:cs="Times New Roman"/>
          <w:b w:val="0"/>
          <w:kern w:val="2"/>
          <w:sz w:val="24"/>
          <w:szCs w:val="24"/>
          <w:lang w:val="en-US" w:eastAsia="zh-CN" w:bidi="ar-SA"/>
        </w:rPr>
      </w:pPr>
      <w:r>
        <w:rPr>
          <w:rFonts w:hint="default" w:ascii="Times New Roman" w:hAnsi="Times New Roman" w:eastAsia="宋体" w:cs="Times New Roman"/>
          <w:b w:val="0"/>
          <w:kern w:val="2"/>
          <w:sz w:val="24"/>
          <w:szCs w:val="24"/>
          <w:lang w:val="en-US" w:eastAsia="zh-CN" w:bidi="ar-SA"/>
        </w:rPr>
        <w:t>吉木萨尔县位于天山山脉东段北麓，准葛尔盆地东南缘。地处东经88°30</w:t>
      </w:r>
      <w:r>
        <w:rPr>
          <w:rFonts w:hint="eastAsia" w:ascii="Times New Roman" w:hAnsi="Times New Roman" w:eastAsia="宋体" w:cs="Times New Roman"/>
          <w:b w:val="0"/>
          <w:kern w:val="2"/>
          <w:sz w:val="24"/>
          <w:szCs w:val="24"/>
          <w:lang w:val="en-US" w:eastAsia="zh-CN" w:bidi="ar-SA"/>
        </w:rPr>
        <w:t>′</w:t>
      </w:r>
      <w:r>
        <w:rPr>
          <w:rFonts w:hint="default" w:ascii="Times New Roman" w:hAnsi="Times New Roman" w:eastAsia="宋体" w:cs="Times New Roman"/>
          <w:b w:val="0"/>
          <w:kern w:val="2"/>
          <w:sz w:val="24"/>
          <w:szCs w:val="24"/>
          <w:lang w:val="en-US" w:eastAsia="zh-CN" w:bidi="ar-SA"/>
        </w:rPr>
        <w:t>-89°30</w:t>
      </w:r>
      <w:r>
        <w:rPr>
          <w:rFonts w:hint="eastAsia" w:ascii="Times New Roman" w:hAnsi="Times New Roman" w:eastAsia="宋体" w:cs="Times New Roman"/>
          <w:b w:val="0"/>
          <w:kern w:val="2"/>
          <w:sz w:val="24"/>
          <w:szCs w:val="24"/>
          <w:lang w:val="en-US" w:eastAsia="zh-CN" w:bidi="ar-SA"/>
        </w:rPr>
        <w:t>′</w:t>
      </w:r>
      <w:r>
        <w:rPr>
          <w:rFonts w:hint="default" w:ascii="Times New Roman" w:hAnsi="Times New Roman" w:eastAsia="宋体" w:cs="Times New Roman"/>
          <w:b w:val="0"/>
          <w:kern w:val="2"/>
          <w:sz w:val="24"/>
          <w:szCs w:val="24"/>
          <w:lang w:val="en-US" w:eastAsia="zh-CN" w:bidi="ar-SA"/>
        </w:rPr>
        <w:t>，北纬43°30′-45°30′，东临奇台县，西接阜康市，南以天山分水岭与吐鲁番及乌鲁木齐县为界，北越卡拉麦岭山与富蕴县交接。</w:t>
      </w:r>
    </w:p>
    <w:p>
      <w:pPr>
        <w:widowControl w:val="0"/>
        <w:bidi w:val="0"/>
        <w:spacing w:line="360" w:lineRule="auto"/>
        <w:ind w:firstLine="480" w:firstLineChars="200"/>
        <w:jc w:val="both"/>
        <w:rPr>
          <w:rFonts w:hint="eastAsia" w:ascii="Times New Roman" w:hAnsi="Times New Roman" w:eastAsia="宋体" w:cstheme="minorBidi"/>
          <w:b/>
          <w:kern w:val="2"/>
          <w:sz w:val="24"/>
          <w:szCs w:val="24"/>
          <w:lang w:val="en-US" w:eastAsia="zh-CN" w:bidi="ar-SA"/>
        </w:rPr>
      </w:pPr>
      <w:r>
        <w:rPr>
          <w:rFonts w:hint="default" w:ascii="Times New Roman" w:hAnsi="Times New Roman" w:eastAsia="宋体" w:cs="Times New Roman"/>
          <w:b w:val="0"/>
          <w:kern w:val="2"/>
          <w:sz w:val="24"/>
          <w:szCs w:val="24"/>
          <w:lang w:val="en-US" w:eastAsia="zh-CN" w:bidi="ar-SA"/>
        </w:rPr>
        <w:t>吉木萨尔县城西距自治区首府乌鲁木齐165公里，距昌吉回族自治州首府昌吉市206公里，东距奇台县40公里，距哈密市550公里。</w:t>
      </w:r>
    </w:p>
    <w:p>
      <w:pPr>
        <w:widowControl w:val="0"/>
        <w:bidi w:val="0"/>
        <w:spacing w:line="360" w:lineRule="auto"/>
        <w:ind w:firstLine="480" w:firstLineChars="200"/>
        <w:jc w:val="both"/>
        <w:rPr>
          <w:rFonts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（1）给水</w:t>
      </w:r>
    </w:p>
    <w:p>
      <w:pPr>
        <w:widowControl w:val="0"/>
        <w:bidi w:val="0"/>
        <w:spacing w:line="360" w:lineRule="auto"/>
        <w:ind w:firstLine="480" w:firstLineChars="200"/>
        <w:jc w:val="both"/>
        <w:rPr>
          <w:rFonts w:hint="eastAsia"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吉木萨尔县县城现有水厂一座，水源采用地下水，供水能力为4500m³/日。水厂建有水源井3眼，1眼备用，800m³清水池1座，新修建2400m³清水池1座。水厂处理工艺为消毒杀菌—清水池—二次消毒—送往用户。根据城镇地形特点，城区采用重力供水，管网成树状分布。输配水管网主要分布在中心路、乌奇公路、满城路、文化路、文明路、北庭路等路段。管径从DN400mm到DN100mm，总长度为11km，采用管材为铸铁管，胶圈接口。</w:t>
      </w:r>
    </w:p>
    <w:p>
      <w:pPr>
        <w:widowControl w:val="0"/>
        <w:bidi w:val="0"/>
        <w:spacing w:line="360" w:lineRule="auto"/>
        <w:ind w:firstLine="480" w:firstLineChars="200"/>
        <w:jc w:val="both"/>
        <w:rPr>
          <w:rFonts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（2）排水</w:t>
      </w:r>
    </w:p>
    <w:p>
      <w:pPr>
        <w:widowControl w:val="0"/>
        <w:bidi w:val="0"/>
        <w:spacing w:line="360" w:lineRule="auto"/>
        <w:ind w:firstLine="480" w:firstLineChars="200"/>
        <w:jc w:val="both"/>
        <w:rPr>
          <w:rFonts w:hint="eastAsia"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吉木萨尔县县城，共修建排水管道（d400mm，d600mm）5050.4m。现状排水量约为3500m³/d，排水系统采用不完全分流式。</w:t>
      </w:r>
    </w:p>
    <w:p>
      <w:pPr>
        <w:widowControl w:val="0"/>
        <w:bidi w:val="0"/>
        <w:spacing w:line="360" w:lineRule="auto"/>
        <w:ind w:firstLine="480" w:firstLineChars="200"/>
        <w:jc w:val="both"/>
        <w:rPr>
          <w:rFonts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项目用水由已建市政供水管道供给，生活污水经物流园排水管网最终进入吉木萨尔县第二污水处理厂，项目污染物排放量较少，且采取了严格的治理和处理、处置措施，在一定程度上减少了污染物的排放，污染物均能达标排放。项目完成后，综合排污水平低且综合效益好，属于鼓励发展的产业，符合环保准入门槛要求。</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b w:val="0"/>
          <w:kern w:val="2"/>
          <w:sz w:val="24"/>
          <w:szCs w:val="24"/>
          <w:lang w:val="en-US" w:eastAsia="zh-CN" w:bidi="ar-SA"/>
        </w:rPr>
      </w:pPr>
      <w:r>
        <w:rPr>
          <w:rFonts w:hint="eastAsia" w:ascii="Times New Roman" w:hAnsi="Times New Roman" w:eastAsia="宋体" w:cstheme="minorBidi"/>
          <w:b w:val="0"/>
          <w:kern w:val="2"/>
          <w:sz w:val="24"/>
          <w:szCs w:val="24"/>
          <w:lang w:val="en-US" w:eastAsia="zh-CN" w:bidi="ar-SA"/>
        </w:rPr>
        <w:t>综上，本项目的建设符合《吉木萨尔县县城总体规划（2012-2030年）》的相关要求。</w:t>
      </w:r>
    </w:p>
    <w:p>
      <w:pPr>
        <w:widowControl w:val="0"/>
        <w:spacing w:line="360" w:lineRule="auto"/>
        <w:ind w:firstLine="480" w:firstLineChars="200"/>
        <w:jc w:val="both"/>
        <w:rPr>
          <w:rFonts w:hint="eastAsia" w:ascii="Times New Roman" w:hAnsi="Times New Roman" w:eastAsia="宋体" w:cstheme="minorBidi"/>
          <w:color w:val="auto"/>
          <w:kern w:val="2"/>
          <w:sz w:val="24"/>
          <w:szCs w:val="24"/>
          <w:lang w:val="en-US" w:eastAsia="zh-CN" w:bidi="ar-SA"/>
        </w:rPr>
      </w:pPr>
      <w:r>
        <w:rPr>
          <w:rFonts w:ascii="Times New Roman" w:hAnsi="Times New Roman" w:eastAsia="宋体" w:cstheme="minorBidi"/>
          <w:color w:val="auto"/>
          <w:kern w:val="2"/>
          <w:sz w:val="24"/>
          <w:szCs w:val="24"/>
          <w:lang w:val="en-US" w:eastAsia="zh-CN" w:bidi="ar-SA"/>
        </w:rPr>
        <w:t>本项目选址位于</w:t>
      </w:r>
      <w:r>
        <w:rPr>
          <w:rFonts w:hint="eastAsia" w:ascii="Times New Roman" w:hAnsi="Times New Roman" w:eastAsia="宋体" w:cstheme="minorBidi"/>
          <w:color w:val="auto"/>
          <w:kern w:val="2"/>
          <w:sz w:val="24"/>
          <w:szCs w:val="24"/>
          <w:lang w:val="en-US" w:eastAsia="zh-CN" w:bidi="ar-SA"/>
        </w:rPr>
        <w:t>新疆</w:t>
      </w:r>
      <w:r>
        <w:rPr>
          <w:rFonts w:ascii="Times New Roman" w:hAnsi="Times New Roman" w:eastAsia="宋体" w:cstheme="minorBidi"/>
          <w:b w:val="0"/>
          <w:bCs/>
          <w:color w:val="auto"/>
          <w:kern w:val="2"/>
          <w:sz w:val="24"/>
          <w:szCs w:val="24"/>
          <w:lang w:val="en-US" w:eastAsia="zh-CN" w:bidi="ar-SA"/>
        </w:rPr>
        <w:t>昌吉</w:t>
      </w:r>
      <w:r>
        <w:rPr>
          <w:rFonts w:hint="eastAsia" w:ascii="Times New Roman" w:hAnsi="Times New Roman" w:eastAsia="宋体" w:cstheme="minorBidi"/>
          <w:b w:val="0"/>
          <w:bCs/>
          <w:color w:val="auto"/>
          <w:kern w:val="2"/>
          <w:sz w:val="24"/>
          <w:szCs w:val="24"/>
          <w:lang w:val="en-US" w:eastAsia="zh-CN" w:bidi="ar-SA"/>
        </w:rPr>
        <w:t>回族自治州</w:t>
      </w:r>
      <w:r>
        <w:rPr>
          <w:rFonts w:hint="eastAsia" w:ascii="Times New Roman" w:hAnsi="Times New Roman" w:eastAsia="宋体" w:cstheme="minorBidi"/>
          <w:color w:val="auto"/>
          <w:kern w:val="2"/>
          <w:sz w:val="24"/>
          <w:szCs w:val="24"/>
          <w:lang w:val="en-US" w:eastAsia="zh-CN" w:bidi="ar-SA"/>
        </w:rPr>
        <w:t>吉木萨尔县北庭综合物流园内，</w:t>
      </w:r>
      <w:r>
        <w:rPr>
          <w:rFonts w:ascii="Times New Roman" w:hAnsi="Times New Roman" w:eastAsia="宋体" w:cs="Times New Roman"/>
          <w:color w:val="auto"/>
          <w:kern w:val="0"/>
          <w:sz w:val="24"/>
          <w:szCs w:val="24"/>
          <w:lang w:val="en-US" w:eastAsia="zh-CN" w:bidi="ar"/>
        </w:rPr>
        <w:t>项目</w:t>
      </w:r>
      <w:r>
        <w:rPr>
          <w:rFonts w:hint="eastAsia" w:ascii="Times New Roman" w:hAnsi="Times New Roman" w:eastAsia="宋体" w:cs="Times New Roman"/>
          <w:color w:val="auto"/>
          <w:kern w:val="0"/>
          <w:sz w:val="24"/>
          <w:szCs w:val="24"/>
          <w:lang w:val="en-US" w:eastAsia="zh-CN" w:bidi="ar"/>
        </w:rPr>
        <w:t>租赁吉木萨尔县北庭春物流园有限责任公司现有生产厂房</w:t>
      </w:r>
      <w:r>
        <w:rPr>
          <w:rFonts w:hint="default" w:ascii="Times New Roman" w:hAnsi="Times New Roman" w:eastAsia="宋体" w:cstheme="minorBidi"/>
          <w:color w:val="auto"/>
          <w:kern w:val="2"/>
          <w:sz w:val="24"/>
          <w:szCs w:val="24"/>
          <w:lang w:val="en-US" w:eastAsia="zh-CN" w:bidi="ar-SA"/>
        </w:rPr>
        <w:t>。</w:t>
      </w:r>
      <w:r>
        <w:rPr>
          <w:rFonts w:hint="eastAsia" w:ascii="Times New Roman" w:hAnsi="Times New Roman" w:eastAsia="宋体" w:cs="Times New Roman"/>
          <w:color w:val="auto"/>
          <w:kern w:val="0"/>
          <w:sz w:val="24"/>
          <w:szCs w:val="24"/>
          <w:lang w:val="en-US" w:eastAsia="zh-CN" w:bidi="ar"/>
        </w:rPr>
        <w:t>不新增占地，</w:t>
      </w:r>
      <w:r>
        <w:rPr>
          <w:rFonts w:ascii="Times New Roman" w:hAnsi="Times New Roman" w:eastAsia="宋体" w:cs="Times New Roman"/>
          <w:color w:val="auto"/>
          <w:kern w:val="0"/>
          <w:sz w:val="24"/>
          <w:szCs w:val="24"/>
          <w:lang w:val="en-US" w:eastAsia="zh-CN" w:bidi="ar"/>
        </w:rPr>
        <w:t>不存在制约因素，不占用基本农田、生态红线</w:t>
      </w:r>
      <w:r>
        <w:rPr>
          <w:rFonts w:hint="eastAsia" w:ascii="Times New Roman" w:hAnsi="Times New Roman" w:eastAsia="宋体" w:cs="Times New Roman"/>
          <w:color w:val="auto"/>
          <w:kern w:val="0"/>
          <w:sz w:val="24"/>
          <w:szCs w:val="24"/>
          <w:lang w:val="en-US" w:eastAsia="zh-CN" w:bidi="ar"/>
        </w:rPr>
        <w:t>；</w:t>
      </w:r>
    </w:p>
    <w:p>
      <w:pPr>
        <w:widowControl w:val="0"/>
        <w:spacing w:line="360" w:lineRule="auto"/>
        <w:ind w:firstLine="480" w:firstLineChars="200"/>
        <w:jc w:val="both"/>
        <w:rPr>
          <w:rFonts w:ascii="Times New Roman" w:hAnsi="Times New Roman" w:eastAsia="宋体" w:cstheme="minorBidi"/>
          <w:kern w:val="2"/>
          <w:sz w:val="24"/>
          <w:szCs w:val="24"/>
          <w:lang w:val="en-US" w:eastAsia="zh-CN" w:bidi="ar-SA"/>
        </w:rPr>
      </w:pPr>
      <w:r>
        <w:rPr>
          <w:rFonts w:hint="eastAsia" w:ascii="Times New Roman" w:hAnsi="Times New Roman" w:eastAsia="宋体" w:cstheme="minorBidi"/>
          <w:color w:val="auto"/>
          <w:kern w:val="2"/>
          <w:sz w:val="24"/>
          <w:szCs w:val="24"/>
          <w:lang w:val="en-US" w:eastAsia="zh-CN" w:bidi="ar-SA"/>
        </w:rPr>
        <w:t>本项目选址属于物流仓储用地。</w:t>
      </w:r>
      <w:r>
        <w:rPr>
          <w:rFonts w:ascii="Times New Roman" w:hAnsi="Times New Roman" w:eastAsia="宋体" w:cstheme="minorBidi"/>
          <w:color w:val="auto"/>
          <w:kern w:val="2"/>
          <w:sz w:val="24"/>
          <w:szCs w:val="24"/>
          <w:lang w:val="en-US" w:eastAsia="zh-CN" w:bidi="ar-SA"/>
        </w:rPr>
        <w:t>项目选址地区不属于特殊保护地区、社会关注区和特殊地貌景观区，也</w:t>
      </w:r>
      <w:r>
        <w:rPr>
          <w:rFonts w:ascii="Times New Roman" w:hAnsi="Times New Roman" w:eastAsia="宋体" w:cstheme="minorBidi"/>
          <w:kern w:val="2"/>
          <w:sz w:val="24"/>
          <w:szCs w:val="24"/>
          <w:lang w:val="en-US" w:eastAsia="zh-CN" w:bidi="ar-SA"/>
        </w:rPr>
        <w:t>无重点保护生态品种及濒危生物物种，文物古迹等。</w:t>
      </w:r>
      <w:r>
        <w:rPr>
          <w:rFonts w:hint="eastAsia" w:ascii="Times New Roman" w:hAnsi="Times New Roman" w:eastAsia="宋体" w:cstheme="minorBidi"/>
          <w:color w:val="auto"/>
          <w:kern w:val="2"/>
          <w:sz w:val="24"/>
          <w:szCs w:val="24"/>
          <w:lang w:val="en-US" w:eastAsia="zh-CN" w:bidi="ar-SA"/>
        </w:rPr>
        <w:t>项目区东侧为物流园内部道路，南侧为林地，西侧为吉彩路，北侧为物流园入口；</w:t>
      </w:r>
      <w:r>
        <w:rPr>
          <w:rFonts w:hint="eastAsia" w:ascii="Times New Roman" w:hAnsi="Times New Roman" w:eastAsia="宋体" w:cs="Times New Roman"/>
          <w:color w:val="auto"/>
          <w:kern w:val="2"/>
          <w:sz w:val="24"/>
          <w:szCs w:val="24"/>
          <w:lang w:val="en-US" w:eastAsia="zh-CN" w:bidi="ar-SA"/>
        </w:rPr>
        <w:t>周边无对环境质量要求较高的食品及医疗在生产企业，主要为农资店、汽车修理铺等，项目所在区域环境敏感程度一般</w:t>
      </w:r>
      <w:r>
        <w:rPr>
          <w:rFonts w:ascii="Times New Roman" w:hAnsi="Times New Roman" w:eastAsia="宋体" w:cs="Times New Roman"/>
          <w:color w:val="auto"/>
          <w:kern w:val="2"/>
          <w:sz w:val="24"/>
          <w:szCs w:val="24"/>
          <w:lang w:val="en-US" w:eastAsia="zh-CN" w:bidi="ar-SA"/>
        </w:rPr>
        <w:t>，无相互制约性企业</w:t>
      </w:r>
      <w:r>
        <w:rPr>
          <w:rFonts w:hint="eastAsia" w:ascii="Times New Roman" w:hAnsi="Times New Roman" w:eastAsia="宋体" w:cs="Times New Roman"/>
          <w:color w:val="auto"/>
          <w:kern w:val="2"/>
          <w:sz w:val="24"/>
          <w:szCs w:val="24"/>
          <w:lang w:val="en-US" w:eastAsia="zh-CN" w:bidi="ar-SA"/>
        </w:rPr>
        <w:t>。</w:t>
      </w:r>
      <w:r>
        <w:rPr>
          <w:rFonts w:hint="eastAsia" w:ascii="Times New Roman" w:hAnsi="Times New Roman" w:eastAsia="宋体" w:cstheme="minorBidi"/>
          <w:kern w:val="2"/>
          <w:sz w:val="24"/>
          <w:szCs w:val="24"/>
          <w:lang w:val="en-US" w:eastAsia="zh-CN" w:bidi="ar-SA"/>
        </w:rPr>
        <w:t>项目区紧邻道路，交通运输满足建设期及运行期的原材料和燃料运输；项目周边给水、供电设施齐全。</w:t>
      </w:r>
    </w:p>
    <w:p>
      <w:pPr>
        <w:widowControl w:val="0"/>
        <w:spacing w:line="360" w:lineRule="auto"/>
        <w:ind w:firstLine="480" w:firstLineChars="200"/>
        <w:jc w:val="both"/>
        <w:rPr>
          <w:rFonts w:hint="eastAsia" w:ascii="Times New Roman" w:hAnsi="Times New Roman" w:eastAsia="宋体" w:cstheme="minorBidi"/>
          <w:kern w:val="2"/>
          <w:sz w:val="24"/>
          <w:szCs w:val="24"/>
          <w:lang w:val="en-US" w:eastAsia="zh-CN" w:bidi="ar-SA"/>
        </w:rPr>
      </w:pPr>
      <w:r>
        <w:rPr>
          <w:rFonts w:ascii="Times New Roman" w:hAnsi="Times New Roman" w:eastAsia="宋体" w:cstheme="minorBidi"/>
          <w:kern w:val="2"/>
          <w:sz w:val="24"/>
          <w:szCs w:val="24"/>
          <w:lang w:val="en-US" w:eastAsia="zh-CN" w:bidi="ar-SA"/>
        </w:rPr>
        <w:t>综上，本项目基础设施便于依托，评价范围内没有自然保护区、风景名胜区、水源保护区等敏感区，项目运营时不会导致本地区环境质量的下降，项目选址合理</w:t>
      </w:r>
      <w:r>
        <w:rPr>
          <w:rFonts w:hint="eastAsia" w:ascii="Times New Roman" w:hAnsi="Times New Roman" w:eastAsia="宋体" w:cstheme="minorBidi"/>
          <w:kern w:val="2"/>
          <w:sz w:val="24"/>
          <w:szCs w:val="24"/>
          <w:lang w:val="en-US" w:eastAsia="zh-CN" w:bidi="ar-SA"/>
        </w:rPr>
        <w:t>。</w:t>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补充说明项目蒸汽使用方式，分别说明蒸汽消耗量及冷凝回收量，核实锅炉系统排水量。按照蒸汽锅炉2t/h、每天运行24h计算，每日蒸汽产量48t，按照锅外水处理工业废水产污系数13.56吨/万立方米-原料计算，则锅炉排污水和软化水处理废水产生量应为0.065t/d，报告表中给出5.424t/d错误。核实项目水平衡分析。</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color w:val="auto"/>
          <w:kern w:val="2"/>
          <w:sz w:val="24"/>
          <w:szCs w:val="24"/>
          <w:vertAlign w:val="baseline"/>
          <w:lang w:val="en-US" w:eastAsia="zh-CN" w:bidi="ar-SA"/>
        </w:rPr>
      </w:pPr>
      <w:r>
        <w:rPr>
          <w:rFonts w:hint="eastAsia" w:ascii="Times New Roman" w:hAnsi="Times New Roman" w:eastAsia="宋体" w:cstheme="minorBidi"/>
          <w:kern w:val="2"/>
          <w:sz w:val="24"/>
          <w:szCs w:val="24"/>
          <w:lang w:val="en-US" w:eastAsia="zh-CN" w:bidi="ar-SA"/>
        </w:rPr>
        <w:t>修改说明：本项目原料天然气用量120</w:t>
      </w:r>
      <w:r>
        <w:rPr>
          <w:rFonts w:hint="eastAsia" w:ascii="Times New Roman" w:hAnsi="Times New Roman" w:eastAsia="宋体" w:cstheme="minorBidi"/>
          <w:color w:val="auto"/>
          <w:kern w:val="2"/>
          <w:sz w:val="24"/>
          <w:szCs w:val="24"/>
          <w:lang w:val="en-US" w:eastAsia="zh-CN" w:bidi="ar-SA"/>
        </w:rPr>
        <w:t>万m</w:t>
      </w:r>
      <w:r>
        <w:rPr>
          <w:rFonts w:hint="eastAsia" w:ascii="Times New Roman" w:hAnsi="Times New Roman" w:eastAsia="宋体" w:cstheme="minorBidi"/>
          <w:color w:val="auto"/>
          <w:kern w:val="2"/>
          <w:sz w:val="24"/>
          <w:szCs w:val="24"/>
          <w:vertAlign w:val="superscript"/>
          <w:lang w:val="en-US" w:eastAsia="zh-CN" w:bidi="ar-SA"/>
        </w:rPr>
        <w:t>3</w:t>
      </w:r>
      <w:r>
        <w:rPr>
          <w:rFonts w:hint="eastAsia" w:ascii="Times New Roman" w:hAnsi="Times New Roman" w:eastAsia="宋体" w:cstheme="minorBidi"/>
          <w:color w:val="auto"/>
          <w:kern w:val="2"/>
          <w:sz w:val="24"/>
          <w:szCs w:val="24"/>
          <w:vertAlign w:val="baseline"/>
          <w:lang w:val="en-US" w:eastAsia="zh-CN" w:bidi="ar-SA"/>
        </w:rPr>
        <w:t>，锅炉每天运行8h。经核实项目蒸汽全损耗，不回用；P12</w:t>
      </w:r>
    </w:p>
    <w:p>
      <w:pPr>
        <w:widowControl w:val="0"/>
        <w:numPr>
          <w:ilvl w:val="0"/>
          <w:numId w:val="7"/>
        </w:numPr>
        <w:bidi w:val="0"/>
        <w:spacing w:line="360" w:lineRule="auto"/>
        <w:ind w:left="0" w:leftChars="0" w:firstLine="480" w:firstLineChars="200"/>
        <w:jc w:val="both"/>
        <w:rPr>
          <w:rFonts w:hint="eastAsia" w:ascii="Times New Roman" w:hAnsi="Times New Roman" w:eastAsia="宋体" w:cs="Times New Roman"/>
          <w:color w:val="auto"/>
          <w:kern w:val="2"/>
          <w:sz w:val="24"/>
          <w:szCs w:val="32"/>
          <w:lang w:val="en-US" w:eastAsia="zh-CN" w:bidi="ar-SA"/>
        </w:rPr>
      </w:pPr>
      <w:r>
        <w:rPr>
          <w:rFonts w:hint="eastAsia" w:ascii="Times New Roman" w:hAnsi="Times New Roman" w:eastAsia="宋体" w:cs="Times New Roman"/>
          <w:color w:val="auto"/>
          <w:kern w:val="2"/>
          <w:sz w:val="24"/>
          <w:szCs w:val="32"/>
          <w:lang w:val="en-US" w:eastAsia="zh-CN" w:bidi="ar-SA"/>
        </w:rPr>
        <w:t>蒸汽用水</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本项目建设一台2</w:t>
      </w:r>
      <w:r>
        <w:rPr>
          <w:rFonts w:ascii="Times New Roman" w:hAnsi="Times New Roman" w:eastAsia="宋体" w:cstheme="minorBidi"/>
          <w:kern w:val="2"/>
          <w:sz w:val="24"/>
          <w:szCs w:val="24"/>
          <w:lang w:val="en-US" w:eastAsia="zh-CN" w:bidi="ar-SA"/>
        </w:rPr>
        <w:t>t/h</w:t>
      </w:r>
      <w:r>
        <w:rPr>
          <w:rFonts w:hint="eastAsia" w:ascii="Times New Roman" w:hAnsi="Times New Roman" w:eastAsia="宋体" w:cstheme="minorBidi"/>
          <w:kern w:val="2"/>
          <w:sz w:val="24"/>
          <w:szCs w:val="24"/>
          <w:lang w:val="en-US" w:eastAsia="zh-CN" w:bidi="ar-SA"/>
        </w:rPr>
        <w:t>燃气蒸汽锅炉，为烘干、烫平工序提供蒸汽。锅炉一天工作8小时，用水量为16</w:t>
      </w:r>
      <w:r>
        <w:rPr>
          <w:rFonts w:ascii="Times New Roman" w:hAnsi="Times New Roman" w:eastAsia="宋体" w:cstheme="minorBidi"/>
          <w:kern w:val="2"/>
          <w:sz w:val="24"/>
          <w:szCs w:val="24"/>
          <w:lang w:val="en-US" w:eastAsia="zh-CN" w:bidi="ar-SA"/>
        </w:rPr>
        <w:t>m</w:t>
      </w:r>
      <w:r>
        <w:rPr>
          <w:rFonts w:ascii="Times New Roman" w:hAnsi="Times New Roman" w:eastAsia="宋体" w:cstheme="minorBidi"/>
          <w:kern w:val="2"/>
          <w:sz w:val="24"/>
          <w:szCs w:val="24"/>
          <w:vertAlign w:val="superscript"/>
          <w:lang w:val="en-US" w:eastAsia="zh-CN" w:bidi="ar-SA"/>
        </w:rPr>
        <w:t>3</w:t>
      </w:r>
      <w:r>
        <w:rPr>
          <w:rFonts w:ascii="Times New Roman" w:hAnsi="Times New Roman" w:eastAsia="宋体" w:cstheme="minorBidi"/>
          <w:kern w:val="2"/>
          <w:sz w:val="24"/>
          <w:szCs w:val="24"/>
          <w:lang w:val="en-US" w:eastAsia="zh-CN" w:bidi="ar-SA"/>
        </w:rPr>
        <w:t>/</w:t>
      </w:r>
      <w:r>
        <w:rPr>
          <w:rFonts w:hint="eastAsia" w:ascii="Times New Roman" w:hAnsi="Times New Roman" w:eastAsia="宋体" w:cstheme="minorBidi"/>
          <w:kern w:val="2"/>
          <w:sz w:val="24"/>
          <w:szCs w:val="24"/>
          <w:lang w:val="en-US" w:eastAsia="zh-CN" w:bidi="ar-SA"/>
        </w:rPr>
        <w:t>d，则年用水量约4800</w:t>
      </w:r>
      <w:r>
        <w:rPr>
          <w:rFonts w:ascii="Times New Roman" w:hAnsi="Times New Roman" w:eastAsia="宋体" w:cstheme="minorBidi"/>
          <w:kern w:val="2"/>
          <w:sz w:val="24"/>
          <w:szCs w:val="24"/>
          <w:lang w:val="en-US" w:eastAsia="zh-CN" w:bidi="ar-SA"/>
        </w:rPr>
        <w:t>m</w:t>
      </w:r>
      <w:r>
        <w:rPr>
          <w:rFonts w:ascii="Times New Roman" w:hAnsi="Times New Roman" w:eastAsia="宋体" w:cstheme="minorBidi"/>
          <w:kern w:val="2"/>
          <w:sz w:val="24"/>
          <w:szCs w:val="24"/>
          <w:vertAlign w:val="superscript"/>
          <w:lang w:val="en-US" w:eastAsia="zh-CN" w:bidi="ar-SA"/>
        </w:rPr>
        <w:t>3</w:t>
      </w:r>
      <w:r>
        <w:rPr>
          <w:rFonts w:ascii="Times New Roman" w:hAnsi="Times New Roman" w:eastAsia="宋体" w:cstheme="minorBidi"/>
          <w:kern w:val="2"/>
          <w:sz w:val="24"/>
          <w:szCs w:val="24"/>
          <w:lang w:val="en-US" w:eastAsia="zh-CN" w:bidi="ar-SA"/>
        </w:rPr>
        <w:t>/a</w:t>
      </w:r>
      <w:r>
        <w:rPr>
          <w:rFonts w:hint="eastAsia" w:ascii="Times New Roman" w:hAnsi="Times New Roman" w:eastAsia="宋体" w:cstheme="minorBidi"/>
          <w:kern w:val="2"/>
          <w:sz w:val="24"/>
          <w:szCs w:val="24"/>
          <w:lang w:val="en-US" w:eastAsia="zh-CN" w:bidi="ar-SA"/>
        </w:rPr>
        <w:t>，全部损耗；由软水制备系统提供，软水制备率为95%，则</w:t>
      </w:r>
      <w:r>
        <w:rPr>
          <w:rFonts w:hint="default" w:ascii="Times New Roman" w:hAnsi="Times New Roman" w:eastAsia="宋体" w:cstheme="minorBidi"/>
          <w:kern w:val="2"/>
          <w:sz w:val="24"/>
          <w:szCs w:val="24"/>
          <w:lang w:val="en-US" w:eastAsia="zh-CN" w:bidi="ar-SA"/>
        </w:rPr>
        <w:t>新鲜水用量为</w:t>
      </w:r>
      <w:r>
        <w:rPr>
          <w:rFonts w:hint="eastAsia" w:ascii="Times New Roman" w:hAnsi="Times New Roman" w:eastAsia="宋体" w:cstheme="minorBidi"/>
          <w:kern w:val="2"/>
          <w:sz w:val="24"/>
          <w:szCs w:val="24"/>
          <w:lang w:val="en-US" w:eastAsia="zh-CN" w:bidi="ar-SA"/>
        </w:rPr>
        <w:t>16.84</w:t>
      </w:r>
      <w:r>
        <w:rPr>
          <w:rFonts w:hint="default" w:ascii="Times New Roman" w:hAnsi="Times New Roman" w:eastAsia="宋体" w:cstheme="minorBidi"/>
          <w:kern w:val="2"/>
          <w:sz w:val="24"/>
          <w:szCs w:val="24"/>
          <w:lang w:val="en-US" w:eastAsia="zh-CN" w:bidi="ar-SA"/>
        </w:rPr>
        <w:t>m</w:t>
      </w:r>
      <w:r>
        <w:rPr>
          <w:rFonts w:hint="default" w:ascii="Times New Roman" w:hAnsi="Times New Roman" w:eastAsia="宋体" w:cstheme="minorBidi"/>
          <w:kern w:val="2"/>
          <w:sz w:val="24"/>
          <w:szCs w:val="24"/>
          <w:vertAlign w:val="superscript"/>
          <w:lang w:val="en-US" w:eastAsia="zh-CN" w:bidi="ar-SA"/>
        </w:rPr>
        <w:t>3</w:t>
      </w:r>
      <w:r>
        <w:rPr>
          <w:rFonts w:hint="default" w:ascii="Times New Roman" w:hAnsi="Times New Roman" w:eastAsia="宋体" w:cstheme="minorBidi"/>
          <w:kern w:val="2"/>
          <w:sz w:val="24"/>
          <w:szCs w:val="24"/>
          <w:lang w:val="en-US" w:eastAsia="zh-CN" w:bidi="ar-SA"/>
        </w:rPr>
        <w:t>/d（</w:t>
      </w:r>
      <w:r>
        <w:rPr>
          <w:rFonts w:hint="eastAsia" w:ascii="Times New Roman" w:hAnsi="Times New Roman" w:eastAsia="宋体" w:cstheme="minorBidi"/>
          <w:kern w:val="2"/>
          <w:sz w:val="24"/>
          <w:szCs w:val="24"/>
          <w:lang w:val="en-US" w:eastAsia="zh-CN" w:bidi="ar-SA"/>
        </w:rPr>
        <w:t>5052</w:t>
      </w:r>
      <w:r>
        <w:rPr>
          <w:rFonts w:hint="default" w:ascii="Times New Roman" w:hAnsi="Times New Roman" w:eastAsia="宋体" w:cstheme="minorBidi"/>
          <w:kern w:val="2"/>
          <w:sz w:val="24"/>
          <w:szCs w:val="24"/>
          <w:lang w:val="en-US" w:eastAsia="zh-CN" w:bidi="ar-SA"/>
        </w:rPr>
        <w:t>m</w:t>
      </w:r>
      <w:r>
        <w:rPr>
          <w:rFonts w:hint="default" w:ascii="Times New Roman" w:hAnsi="Times New Roman" w:eastAsia="宋体" w:cstheme="minorBidi"/>
          <w:kern w:val="2"/>
          <w:sz w:val="24"/>
          <w:szCs w:val="24"/>
          <w:vertAlign w:val="superscript"/>
          <w:lang w:val="en-US" w:eastAsia="zh-CN" w:bidi="ar-SA"/>
        </w:rPr>
        <w:t>3</w:t>
      </w:r>
      <w:r>
        <w:rPr>
          <w:rFonts w:hint="default" w:ascii="Times New Roman" w:hAnsi="Times New Roman" w:eastAsia="宋体" w:cstheme="minorBidi"/>
          <w:kern w:val="2"/>
          <w:sz w:val="24"/>
          <w:szCs w:val="24"/>
          <w:lang w:val="en-US" w:eastAsia="zh-CN" w:bidi="ar-SA"/>
        </w:rPr>
        <w:t>/a）。</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heme="minorBidi"/>
          <w:kern w:val="2"/>
          <w:sz w:val="24"/>
          <w:szCs w:val="24"/>
          <w:lang w:val="en-US" w:eastAsia="zh-CN" w:bidi="ar-SA"/>
        </w:rPr>
      </w:pPr>
      <w:r>
        <w:rPr>
          <w:rFonts w:hint="default" w:ascii="Times New Roman" w:hAnsi="Times New Roman" w:eastAsia="宋体" w:cstheme="minorBidi"/>
          <w:color w:val="auto"/>
          <w:kern w:val="2"/>
          <w:sz w:val="24"/>
          <w:szCs w:val="24"/>
          <w:lang w:val="en-US" w:eastAsia="zh-CN" w:bidi="ar-SA"/>
        </w:rPr>
        <w:drawing>
          <wp:inline distT="0" distB="0" distL="114300" distR="114300">
            <wp:extent cx="4980940" cy="3210560"/>
            <wp:effectExtent l="0" t="0" r="10160" b="2540"/>
            <wp:docPr id="49" name="图片 49" descr="吉木萨尔洗衣房水平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吉木萨尔洗衣房水平衡"/>
                    <pic:cNvPicPr>
                      <a:picLocks noChangeAspect="1"/>
                    </pic:cNvPicPr>
                  </pic:nvPicPr>
                  <pic:blipFill>
                    <a:blip r:embed="rId13"/>
                    <a:stretch>
                      <a:fillRect/>
                    </a:stretch>
                  </pic:blipFill>
                  <pic:spPr>
                    <a:xfrm>
                      <a:off x="0" y="0"/>
                      <a:ext cx="4980940" cy="3210560"/>
                    </a:xfrm>
                    <a:prstGeom prst="rect">
                      <a:avLst/>
                    </a:prstGeom>
                  </pic:spPr>
                </pic:pic>
              </a:graphicData>
            </a:graphic>
          </wp:inline>
        </w:drawing>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本项目自建洗涤废水处理站，存在地下水污染途径，应补充地下水现状监测留作背景值。</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修改说明：P21</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theme="minorBidi"/>
          <w:kern w:val="2"/>
          <w:sz w:val="24"/>
          <w:szCs w:val="24"/>
          <w:lang w:val="en-US" w:eastAsia="zh-CN" w:bidi="ar-SA"/>
        </w:rPr>
      </w:pPr>
      <w:r>
        <w:rPr>
          <w:rFonts w:ascii="Times New Roman" w:hAnsi="Times New Roman" w:eastAsia="宋体" w:cstheme="minorBidi"/>
          <w:kern w:val="0"/>
          <w:sz w:val="24"/>
          <w:szCs w:val="20"/>
          <w:lang w:val="en-US" w:eastAsia="zh-CN" w:bidi="ar-SA"/>
        </w:rPr>
        <w:t>根据《建设项目环境影响报告表编制技术指南（污染影响类）（试行）》，地下水与土壤环境原则上不进行现状调查，</w:t>
      </w:r>
      <w:r>
        <w:rPr>
          <w:rFonts w:hint="eastAsia" w:ascii="Times New Roman" w:hAnsi="Times New Roman" w:eastAsia="宋体" w:cstheme="minorBidi"/>
          <w:kern w:val="0"/>
          <w:sz w:val="24"/>
          <w:szCs w:val="20"/>
          <w:lang w:val="en-US" w:eastAsia="zh-CN" w:bidi="ar-SA"/>
        </w:rPr>
        <w:t>本项目可能对地下水和土壤产生影响的区域为污水处理站、生产车间和锅炉房，项目各区域均采取分区防渗等措施，项目日常运行不存在对土壤、地下水的影响途径，故本报告不开展进行地下水和土壤环境质量现状调查。</w:t>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补充项目污水处理站规模（水处理设备为“2T/流量型”，是什么意思？），进一步论证污水处理工艺合理性。初沉→厌氧生化→缺氧池→好氧池→MBR膜生化池工艺繁琐，絮凝剂投入MBR膜生化池？项目废水达标排放与返回车间回用，去向不同则对出水水质要求不同，应明确最终排水去向及执行标准。</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b w:val="0"/>
          <w:bCs w:val="0"/>
          <w:color w:val="auto"/>
          <w:kern w:val="2"/>
          <w:sz w:val="24"/>
          <w:szCs w:val="24"/>
          <w:lang w:val="en-US" w:eastAsia="zh-CN" w:bidi="ar-SA"/>
        </w:rPr>
      </w:pPr>
      <w:r>
        <w:rPr>
          <w:rFonts w:hint="eastAsia" w:ascii="Times New Roman" w:hAnsi="Times New Roman" w:eastAsia="宋体" w:cstheme="minorBidi"/>
          <w:kern w:val="2"/>
          <w:sz w:val="24"/>
          <w:szCs w:val="24"/>
          <w:lang w:val="en-US" w:eastAsia="zh-CN" w:bidi="ar-SA"/>
        </w:rPr>
        <w:t>修改说明：P29，</w:t>
      </w:r>
      <w:r>
        <w:rPr>
          <w:rFonts w:hint="eastAsia" w:ascii="Times New Roman" w:hAnsi="Times New Roman" w:eastAsia="宋体" w:cstheme="minorBidi"/>
          <w:b w:val="0"/>
          <w:bCs w:val="0"/>
          <w:color w:val="auto"/>
          <w:kern w:val="2"/>
          <w:sz w:val="24"/>
          <w:szCs w:val="24"/>
          <w:lang w:val="en-US" w:eastAsia="zh-CN" w:bidi="ar-SA"/>
        </w:rPr>
        <w:t>水处理设备为“2T/流量型”指软水制备设备</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heme="minorBidi"/>
          <w:kern w:val="2"/>
          <w:sz w:val="24"/>
          <w:szCs w:val="24"/>
          <w:lang w:val="en-US" w:eastAsia="zh-CN" w:bidi="ar-SA"/>
        </w:rPr>
        <w:t>本项目污水处理站日处理200m</w:t>
      </w:r>
      <w:r>
        <w:rPr>
          <w:rFonts w:hint="eastAsia" w:ascii="Times New Roman" w:hAnsi="Times New Roman" w:eastAsia="宋体" w:cstheme="minorBidi"/>
          <w:kern w:val="2"/>
          <w:sz w:val="24"/>
          <w:szCs w:val="24"/>
          <w:vertAlign w:val="superscript"/>
          <w:lang w:val="en-US" w:eastAsia="zh-CN" w:bidi="ar-SA"/>
        </w:rPr>
        <w:t>3</w:t>
      </w:r>
      <w:r>
        <w:rPr>
          <w:rFonts w:hint="eastAsia" w:ascii="Times New Roman" w:hAnsi="Times New Roman" w:eastAsia="宋体" w:cstheme="minorBidi"/>
          <w:kern w:val="2"/>
          <w:sz w:val="24"/>
          <w:szCs w:val="24"/>
          <w:lang w:val="en-US" w:eastAsia="zh-CN" w:bidi="ar-SA"/>
        </w:rPr>
        <w:t>/d，</w:t>
      </w:r>
      <w:r>
        <w:rPr>
          <w:rFonts w:hint="default" w:ascii="Times New Roman" w:hAnsi="Times New Roman" w:eastAsia="宋体" w:cs="Times New Roman"/>
          <w:color w:val="auto"/>
          <w:kern w:val="2"/>
          <w:sz w:val="24"/>
          <w:szCs w:val="24"/>
          <w:lang w:val="en-US" w:eastAsia="zh-CN" w:bidi="ar-SA"/>
        </w:rPr>
        <w:t>满足废水处理满负荷要求，完全能接纳本项目废水。预处理采用“</w:t>
      </w:r>
      <w:r>
        <w:rPr>
          <w:rFonts w:hint="eastAsia" w:ascii="Times New Roman" w:hAnsi="Times New Roman" w:eastAsia="宋体" w:cs="Times New Roman"/>
          <w:b w:val="0"/>
          <w:bCs w:val="0"/>
          <w:kern w:val="2"/>
          <w:sz w:val="24"/>
          <w:szCs w:val="24"/>
          <w:highlight w:val="none"/>
          <w:lang w:val="en-US" w:eastAsia="zh-CN" w:bidi="ar-SA"/>
        </w:rPr>
        <w:t>过滤、初沉调节</w:t>
      </w:r>
      <w:r>
        <w:rPr>
          <w:rFonts w:hint="default" w:ascii="Times New Roman" w:hAnsi="Times New Roman" w:eastAsia="宋体" w:cs="Times New Roman"/>
          <w:color w:val="auto"/>
          <w:kern w:val="2"/>
          <w:sz w:val="24"/>
          <w:szCs w:val="24"/>
          <w:lang w:val="en-US" w:eastAsia="zh-CN" w:bidi="ar-SA"/>
        </w:rPr>
        <w:t>”，生化处理采用“</w:t>
      </w:r>
      <w:r>
        <w:rPr>
          <w:rFonts w:hint="eastAsia" w:ascii="Times New Roman" w:hAnsi="Times New Roman" w:eastAsia="宋体" w:cs="Times New Roman"/>
          <w:b w:val="0"/>
          <w:bCs w:val="0"/>
          <w:kern w:val="2"/>
          <w:sz w:val="24"/>
          <w:szCs w:val="24"/>
          <w:highlight w:val="none"/>
          <w:lang w:val="en-US" w:eastAsia="zh-CN" w:bidi="ar-SA"/>
        </w:rPr>
        <w:t>厌氧、</w:t>
      </w:r>
      <w:r>
        <w:rPr>
          <w:rFonts w:hint="default" w:ascii="Times New Roman" w:hAnsi="Times New Roman" w:eastAsia="宋体" w:cs="Times New Roman"/>
          <w:b w:val="0"/>
          <w:bCs w:val="0"/>
          <w:kern w:val="2"/>
          <w:sz w:val="24"/>
          <w:szCs w:val="24"/>
          <w:highlight w:val="none"/>
          <w:lang w:val="en-US" w:eastAsia="zh-CN" w:bidi="ar-SA"/>
        </w:rPr>
        <w:t>缺氧</w:t>
      </w:r>
      <w:r>
        <w:rPr>
          <w:rFonts w:hint="default" w:ascii="Times New Roman" w:hAnsi="Times New Roman" w:eastAsia="宋体" w:cs="Times New Roman"/>
          <w:color w:val="auto"/>
          <w:kern w:val="2"/>
          <w:sz w:val="24"/>
          <w:szCs w:val="24"/>
          <w:lang w:val="en-US" w:eastAsia="zh-CN" w:bidi="ar-SA"/>
        </w:rPr>
        <w:t>”，深度处理采用“</w:t>
      </w:r>
      <w:r>
        <w:rPr>
          <w:rFonts w:hint="eastAsia" w:ascii="Times New Roman" w:hAnsi="Times New Roman" w:eastAsia="宋体" w:cs="Times New Roman"/>
          <w:b w:val="0"/>
          <w:bCs w:val="0"/>
          <w:kern w:val="2"/>
          <w:sz w:val="24"/>
          <w:szCs w:val="24"/>
          <w:highlight w:val="none"/>
          <w:lang w:val="en-US" w:eastAsia="zh-CN" w:bidi="ar-SA"/>
        </w:rPr>
        <w:t>MBR池</w:t>
      </w:r>
      <w:r>
        <w:rPr>
          <w:rFonts w:hint="default" w:ascii="Times New Roman" w:hAnsi="Times New Roman" w:eastAsia="宋体" w:cs="Times New Roman"/>
          <w:color w:val="auto"/>
          <w:kern w:val="2"/>
          <w:sz w:val="24"/>
          <w:szCs w:val="24"/>
          <w:lang w:val="en-US" w:eastAsia="zh-CN" w:bidi="ar-SA"/>
        </w:rPr>
        <w:t>”，满足《排污许可证申请与核发技术规范 水处理（试行）》（HJ978-2018）污染防治可行技术，属于可行性技术。</w:t>
      </w:r>
    </w:p>
    <w:p>
      <w:pPr>
        <w:widowControl w:val="0"/>
        <w:bidi w:val="0"/>
        <w:spacing w:line="360" w:lineRule="auto"/>
        <w:ind w:firstLine="480" w:firstLineChars="200"/>
        <w:jc w:val="both"/>
        <w:rPr>
          <w:rFonts w:ascii="Times New Roman" w:hAnsi="Times New Roman" w:eastAsia="宋体" w:cstheme="minorBidi"/>
          <w:kern w:val="2"/>
          <w:sz w:val="24"/>
          <w:szCs w:val="24"/>
          <w:lang w:val="en-US" w:eastAsia="zh-CN" w:bidi="ar-SA"/>
        </w:rPr>
      </w:pPr>
      <w:r>
        <w:rPr>
          <w:rFonts w:ascii="Times New Roman" w:hAnsi="Times New Roman" w:eastAsia="宋体" w:cstheme="minorBidi"/>
          <w:kern w:val="2"/>
          <w:sz w:val="24"/>
          <w:szCs w:val="24"/>
          <w:lang w:val="en-US" w:eastAsia="zh-CN" w:bidi="ar-SA"/>
        </w:rPr>
        <w:t>本项目洗涤废水经过上述工艺处理后，可以达到《污水综合排放标准》</w:t>
      </w:r>
      <w:r>
        <w:rPr>
          <w:rFonts w:hint="default" w:ascii="Times New Roman" w:hAnsi="Times New Roman" w:eastAsia="宋体" w:cstheme="minorBidi"/>
          <w:kern w:val="2"/>
          <w:sz w:val="24"/>
          <w:szCs w:val="24"/>
          <w:lang w:val="en-US" w:eastAsia="zh-CN" w:bidi="ar-SA"/>
        </w:rPr>
        <w:t>（GB8978-1996）表4中三级标准</w:t>
      </w:r>
      <w:r>
        <w:rPr>
          <w:rFonts w:hint="eastAsia" w:ascii="Times New Roman" w:hAnsi="Times New Roman" w:eastAsia="宋体" w:cstheme="minorBidi"/>
          <w:kern w:val="2"/>
          <w:sz w:val="24"/>
          <w:szCs w:val="24"/>
          <w:lang w:val="en-US" w:eastAsia="zh-CN" w:bidi="ar-SA"/>
        </w:rPr>
        <w:t>及</w:t>
      </w:r>
      <w:r>
        <w:rPr>
          <w:rFonts w:hint="eastAsia" w:ascii="Times New Roman" w:hAnsi="Times New Roman" w:eastAsia="宋体" w:cstheme="minorBidi"/>
          <w:b w:val="0"/>
          <w:bCs w:val="0"/>
          <w:kern w:val="2"/>
          <w:sz w:val="24"/>
          <w:szCs w:val="24"/>
          <w:lang w:val="en-US" w:eastAsia="zh-CN" w:bidi="ar-SA"/>
        </w:rPr>
        <w:t>《污水排入城镇下水道水质标准》（GB/T31962-2015）B级标准</w:t>
      </w:r>
      <w:r>
        <w:rPr>
          <w:rFonts w:hint="default" w:ascii="Times New Roman" w:hAnsi="Times New Roman" w:eastAsia="宋体" w:cstheme="minorBidi"/>
          <w:kern w:val="2"/>
          <w:sz w:val="24"/>
          <w:szCs w:val="24"/>
          <w:lang w:val="en-US" w:eastAsia="zh-CN" w:bidi="ar-SA"/>
        </w:rPr>
        <w:t>和</w:t>
      </w:r>
      <w:r>
        <w:rPr>
          <w:rFonts w:hint="eastAsia" w:ascii="Times New Roman" w:hAnsi="Times New Roman" w:eastAsia="宋体" w:cstheme="minorBidi"/>
          <w:kern w:val="2"/>
          <w:sz w:val="24"/>
          <w:szCs w:val="24"/>
          <w:lang w:val="en-US" w:eastAsia="zh-CN" w:bidi="ar-SA"/>
        </w:rPr>
        <w:t>吉木萨尔县第二污水处理厂</w:t>
      </w:r>
      <w:r>
        <w:rPr>
          <w:rFonts w:hint="default" w:ascii="Times New Roman" w:hAnsi="Times New Roman" w:eastAsia="宋体" w:cstheme="minorBidi"/>
          <w:kern w:val="2"/>
          <w:sz w:val="24"/>
          <w:szCs w:val="24"/>
          <w:lang w:val="en-US" w:eastAsia="zh-CN" w:bidi="ar-SA"/>
        </w:rPr>
        <w:t>进水水质标准，与项目</w:t>
      </w:r>
      <w:r>
        <w:rPr>
          <w:rFonts w:hint="eastAsia" w:ascii="Times New Roman" w:hAnsi="Times New Roman" w:eastAsia="宋体" w:cstheme="minorBidi"/>
          <w:kern w:val="2"/>
          <w:sz w:val="24"/>
          <w:szCs w:val="24"/>
          <w:lang w:val="en-US" w:eastAsia="zh-CN" w:bidi="ar-SA"/>
        </w:rPr>
        <w:t>锅炉废水、软水制备废水</w:t>
      </w:r>
      <w:r>
        <w:rPr>
          <w:rFonts w:hint="default" w:ascii="Times New Roman" w:hAnsi="Times New Roman" w:eastAsia="宋体" w:cstheme="minorBidi"/>
          <w:kern w:val="2"/>
          <w:sz w:val="24"/>
          <w:szCs w:val="24"/>
          <w:lang w:val="en-US" w:eastAsia="zh-CN" w:bidi="ar-SA"/>
        </w:rPr>
        <w:t>一起经污水管网排入</w:t>
      </w:r>
      <w:r>
        <w:rPr>
          <w:rFonts w:hint="eastAsia" w:ascii="Times New Roman" w:hAnsi="Times New Roman" w:eastAsia="宋体" w:cstheme="minorBidi"/>
          <w:kern w:val="2"/>
          <w:sz w:val="24"/>
          <w:szCs w:val="24"/>
          <w:lang w:val="en-US" w:eastAsia="zh-CN" w:bidi="ar-SA"/>
        </w:rPr>
        <w:t>吉木萨尔县第二污水处理厂</w:t>
      </w:r>
      <w:r>
        <w:rPr>
          <w:rFonts w:hint="default" w:ascii="Times New Roman" w:hAnsi="Times New Roman" w:eastAsia="宋体" w:cstheme="minorBidi"/>
          <w:kern w:val="2"/>
          <w:sz w:val="24"/>
          <w:szCs w:val="24"/>
          <w:lang w:val="en-US" w:eastAsia="zh-CN" w:bidi="ar-SA"/>
        </w:rPr>
        <w:t>。</w:t>
      </w:r>
    </w:p>
    <w:p>
      <w:pPr>
        <w:keepNext/>
        <w:keepLines/>
        <w:widowControl w:val="0"/>
        <w:numPr>
          <w:ilvl w:val="0"/>
          <w:numId w:val="17"/>
        </w:numPr>
        <w:bidi w:val="0"/>
        <w:spacing w:beforeLines="0" w:beforeAutospacing="0" w:afterLines="0" w:afterAutospacing="0" w:line="360" w:lineRule="auto"/>
        <w:jc w:val="left"/>
        <w:outlineLvl w:val="1"/>
        <w:rPr>
          <w:rFonts w:hint="eastAsia" w:ascii="Times New Roman" w:hAnsi="Times New Roman" w:eastAsiaTheme="minorEastAsia" w:cstheme="minorBidi"/>
          <w:b/>
          <w:bCs/>
          <w:color w:val="auto"/>
          <w:kern w:val="2"/>
          <w:sz w:val="28"/>
          <w:szCs w:val="24"/>
          <w:lang w:val="en-US" w:eastAsia="zh-CN" w:bidi="ar-SA"/>
        </w:rPr>
      </w:pPr>
      <w:r>
        <w:rPr>
          <w:rFonts w:hint="eastAsia" w:ascii="Times New Roman" w:hAnsi="Times New Roman" w:eastAsiaTheme="minorEastAsia" w:cstheme="minorBidi"/>
          <w:b/>
          <w:bCs/>
          <w:color w:val="auto"/>
          <w:kern w:val="2"/>
          <w:sz w:val="28"/>
          <w:szCs w:val="24"/>
          <w:lang w:val="en-US" w:eastAsia="zh-CN" w:bidi="ar-SA"/>
        </w:rPr>
        <w:t>核实燃气锅炉排气筒高度（一般是8m）。</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color w:val="auto"/>
          <w:kern w:val="2"/>
          <w:sz w:val="24"/>
          <w:szCs w:val="24"/>
          <w:lang w:val="en-US" w:eastAsia="zh-CN" w:bidi="ar-SA"/>
        </w:rPr>
      </w:pPr>
      <w:r>
        <w:rPr>
          <w:rFonts w:hint="eastAsia" w:ascii="Times New Roman" w:hAnsi="Times New Roman" w:eastAsia="宋体" w:cstheme="minorBidi"/>
          <w:color w:val="auto"/>
          <w:kern w:val="2"/>
          <w:sz w:val="24"/>
          <w:szCs w:val="24"/>
          <w:lang w:val="en-US" w:eastAsia="zh-CN" w:bidi="ar-SA"/>
        </w:rPr>
        <w:t>修改说明：已全文修改为8m</w:t>
      </w:r>
    </w:p>
    <w:p>
      <w:pPr>
        <w:jc w:val="both"/>
        <w:rPr>
          <w:rFonts w:hint="eastAsia" w:asciiTheme="minorHAnsi" w:hAnsiTheme="minorHAnsi" w:eastAsiaTheme="minorEastAsia"/>
          <w:b w:val="0"/>
          <w:sz w:val="21"/>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heme="minorBidi"/>
          <w:kern w:val="2"/>
          <w:sz w:val="24"/>
          <w:szCs w:val="24"/>
          <w:lang w:val="en-US" w:eastAsia="zh-CN" w:bidi="ar-SA"/>
        </w:rPr>
      </w:pPr>
    </w:p>
    <w:p>
      <w:pPr>
        <w:pStyle w:val="78"/>
        <w:spacing w:line="240" w:lineRule="auto"/>
        <w:rPr>
          <w:rFonts w:hint="default" w:ascii="仿宋" w:hAnsi="仿宋" w:eastAsia="仿宋" w:cs="仿宋"/>
          <w:b w:val="0"/>
          <w:bCs/>
          <w:sz w:val="32"/>
          <w:szCs w:val="32"/>
          <w:lang w:val="en-US" w:eastAsia="zh-CN"/>
        </w:rPr>
      </w:pPr>
      <w:bookmarkStart w:id="4" w:name="_GoBack"/>
      <w:bookmarkEnd w:id="4"/>
    </w:p>
    <w:sectPr>
      <w:footerReference r:id="rId10"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603F01FF" w:csb1="FFFF0000"/>
  </w:font>
  <w:font w:name="方正仿宋_GBK">
    <w:altName w:val="微软雅黑"/>
    <w:panose1 w:val="02000000000000000000"/>
    <w:charset w:val="86"/>
    <w:family w:val="script"/>
    <w:pitch w:val="default"/>
    <w:sig w:usb0="00000000" w:usb1="00000000" w:usb2="00082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微软雅黑"/>
    <w:panose1 w:val="02000000000000000000"/>
    <w:charset w:val="86"/>
    <w:family w:val="script"/>
    <w:pitch w:val="default"/>
    <w:sig w:usb0="00000000" w:usb1="00000000" w:usb2="00082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CIDFont">
    <w:altName w:val="Segoe Print"/>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27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ZNNQg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n31dpwuXDwAlxo5IonusdEK7a7tme1M&#10;cQIxZ7re8JZvaiTfMh/umUMz4MEYl3CHpZQGSUxvUVIZ9/Vf5zEeNYKXkgbNlVONWaJEftCoHQDD&#10;YLjB2A2GPqhbg26dYAwtTyYuuCAHs3RGfcEMrWIOuJjmyJTTMJi3oWtwzCAXq1UKQrdZFrb6wfII&#10;HcXzdnUIEDDpGkXplOi1Qr+lyvSzERv6z32KevofLB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ZNNQgtAgAAVwQAAA4AAAAAAAAAAQAgAAAAHwEAAGRycy9lMm9Eb2MueG1sUEsFBgAAAAAG&#10;AAYAWQEAAL4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27</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tabs>
        <w:tab w:val="center" w:pos="4153"/>
        <w:tab w:val="right" w:pos="8306"/>
      </w:tabs>
      <w:snapToGrid w:val="0"/>
      <w:jc w:val="center"/>
      <w:rPr>
        <w:rFonts w:ascii="等线" w:hAnsi="等线" w:eastAsia="等线" w:cs="Times New Roman"/>
        <w:kern w:val="2"/>
        <w:sz w:val="18"/>
        <w:szCs w:val="18"/>
        <w:lang w:val="en-US" w:eastAsia="zh-CN" w:bidi="ar-SA"/>
      </w:rPr>
    </w:pPr>
    <w:r>
      <w:rPr>
        <w:rFonts w:ascii="等线" w:hAnsi="等线" w:eastAsia="等线" w:cs="Times New Roman"/>
        <w:kern w:val="2"/>
        <w:sz w:val="18"/>
        <w:szCs w:val="18"/>
        <w:lang w:val="en-US" w:eastAsia="zh-CN" w:bidi="ar-SA"/>
      </w:rPr>
      <w:fldChar w:fldCharType="begin"/>
    </w:r>
    <w:r>
      <w:rPr>
        <w:rFonts w:ascii="等线" w:hAnsi="等线" w:eastAsia="等线" w:cs="Times New Roman"/>
        <w:kern w:val="2"/>
        <w:sz w:val="18"/>
        <w:szCs w:val="18"/>
        <w:lang w:val="en-US" w:eastAsia="zh-CN" w:bidi="ar-SA"/>
      </w:rPr>
      <w:instrText xml:space="preserve">PAGE   \* MERGEFORMAT</w:instrText>
    </w:r>
    <w:r>
      <w:rPr>
        <w:rFonts w:ascii="等线" w:hAnsi="等线" w:eastAsia="等线" w:cs="Times New Roman"/>
        <w:kern w:val="2"/>
        <w:sz w:val="18"/>
        <w:szCs w:val="18"/>
        <w:lang w:val="en-US" w:eastAsia="zh-CN" w:bidi="ar-SA"/>
      </w:rPr>
      <w:fldChar w:fldCharType="separate"/>
    </w:r>
    <w:r>
      <w:rPr>
        <w:rFonts w:ascii="等线" w:hAnsi="等线" w:eastAsia="等线" w:cs="Times New Roman"/>
        <w:kern w:val="2"/>
        <w:sz w:val="18"/>
        <w:szCs w:val="18"/>
        <w:lang w:val="zh-CN" w:eastAsia="zh-CN" w:bidi="ar-SA"/>
      </w:rPr>
      <w:t>4</w:t>
    </w:r>
    <w:r>
      <w:rPr>
        <w:rFonts w:ascii="等线" w:hAnsi="等线" w:eastAsia="等线" w:cs="Times New Roman"/>
        <w:kern w:val="2"/>
        <w:sz w:val="18"/>
        <w:szCs w:val="18"/>
        <w:lang w:val="en-US" w:eastAsia="zh-CN" w:bidi="ar-SA"/>
      </w:rPr>
      <w:fldChar w:fldCharType="end"/>
    </w:r>
  </w:p>
  <w:p>
    <w:pPr>
      <w:widowControl w:val="0"/>
      <w:tabs>
        <w:tab w:val="center" w:pos="4153"/>
        <w:tab w:val="right" w:pos="8306"/>
      </w:tabs>
      <w:snapToGrid w:val="0"/>
      <w:jc w:val="left"/>
      <w:rPr>
        <w:rFonts w:ascii="等线" w:hAnsi="等线" w:eastAsia="等线" w:cs="Times New Roman"/>
        <w:kern w:val="2"/>
        <w:sz w:val="18"/>
        <w:szCs w:val="18"/>
        <w:lang w:val="en-US" w:eastAsia="zh-CN" w:bidi="ar-S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napToGrid w:val="0"/>
      <w:jc w:val="left"/>
      <w:rPr>
        <w:rFonts w:asciiTheme="minorHAnsi" w:hAnsiTheme="minorHAnsi" w:eastAsiaTheme="minorEastAsia" w:cstheme="minorBidi"/>
        <w:kern w:val="0"/>
        <w:sz w:val="18"/>
        <w:szCs w:val="20"/>
        <w:lang w:val="en-US" w:eastAsia="zh-CN" w:bidi="ar-SA"/>
      </w:rPr>
    </w:pPr>
    <w:r>
      <w:rPr>
        <w:rFonts w:asciiTheme="minorHAnsi" w:hAnsiTheme="minorHAnsi" w:eastAsiaTheme="minorEastAsia" w:cstheme="minorBidi"/>
        <w:kern w:val="0"/>
        <w:sz w:val="18"/>
        <w:szCs w:val="20"/>
        <w:lang w:val="en-US" w:eastAsia="zh-CN"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widowControl w:val="0"/>
                            <w:snapToGrid w:val="0"/>
                            <w:jc w:val="left"/>
                            <w:rPr>
                              <w:rFonts w:asciiTheme="minorHAnsi" w:hAnsiTheme="minorHAnsi" w:eastAsiaTheme="minorEastAsia" w:cstheme="minorBidi"/>
                              <w:kern w:val="0"/>
                              <w:sz w:val="18"/>
                              <w:szCs w:val="20"/>
                              <w:lang w:val="en-US" w:eastAsia="zh-CN" w:bidi="ar-SA"/>
                            </w:rPr>
                          </w:pPr>
                          <w:r>
                            <w:rPr>
                              <w:rFonts w:asciiTheme="minorHAnsi" w:hAnsiTheme="minorHAnsi" w:eastAsiaTheme="minorEastAsia" w:cstheme="minorBidi"/>
                              <w:kern w:val="0"/>
                              <w:sz w:val="18"/>
                              <w:szCs w:val="20"/>
                              <w:lang w:val="en-US" w:eastAsia="zh-CN" w:bidi="ar-SA"/>
                            </w:rPr>
                            <w:fldChar w:fldCharType="begin"/>
                          </w:r>
                          <w:r>
                            <w:rPr>
                              <w:rFonts w:asciiTheme="minorHAnsi" w:hAnsiTheme="minorHAnsi" w:eastAsiaTheme="minorEastAsia" w:cstheme="minorBidi"/>
                              <w:kern w:val="0"/>
                              <w:sz w:val="18"/>
                              <w:szCs w:val="20"/>
                              <w:lang w:val="en-US" w:eastAsia="zh-CN" w:bidi="ar-SA"/>
                            </w:rPr>
                            <w:instrText xml:space="preserve"> PAGE  \* MERGEFORMAT </w:instrText>
                          </w:r>
                          <w:r>
                            <w:rPr>
                              <w:rFonts w:asciiTheme="minorHAnsi" w:hAnsiTheme="minorHAnsi" w:eastAsiaTheme="minorEastAsia" w:cstheme="minorBidi"/>
                              <w:kern w:val="0"/>
                              <w:sz w:val="18"/>
                              <w:szCs w:val="20"/>
                              <w:lang w:val="en-US" w:eastAsia="zh-CN" w:bidi="ar-SA"/>
                            </w:rPr>
                            <w:fldChar w:fldCharType="separate"/>
                          </w:r>
                          <w:r>
                            <w:rPr>
                              <w:rFonts w:asciiTheme="minorHAnsi" w:hAnsiTheme="minorHAnsi" w:eastAsiaTheme="minorEastAsia" w:cstheme="minorBidi"/>
                              <w:kern w:val="0"/>
                              <w:sz w:val="18"/>
                              <w:szCs w:val="20"/>
                              <w:lang w:val="en-US" w:eastAsia="zh-CN" w:bidi="ar-SA"/>
                            </w:rPr>
                            <w:t>1</w:t>
                          </w:r>
                          <w:r>
                            <w:rPr>
                              <w:rFonts w:asciiTheme="minorHAnsi" w:hAnsiTheme="minorHAnsi" w:eastAsiaTheme="minorEastAsia" w:cstheme="minorBidi"/>
                              <w:kern w:val="0"/>
                              <w:sz w:val="18"/>
                              <w:szCs w:val="20"/>
                              <w:lang w:val="en-US" w:eastAsia="zh-CN" w:bidi="ar-S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0Ueg5AgAAcQQAAA4AAABkcnMvZTJvRG9jLnhtbK1UzY7TMBC+I/EO&#10;lu80bVes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IJ0Ueg5AgAAcQQAAA4AAAAAAAAAAQAgAAAAHwEAAGRycy9lMm9Eb2Mu&#10;eG1sUEsFBgAAAAAGAAYAWQEAAMoFAAAAAA==&#10;">
              <v:fill on="f" focussize="0,0"/>
              <v:stroke on="f" weight="0.5pt"/>
              <v:imagedata o:title=""/>
              <o:lock v:ext="edit" aspectratio="f"/>
              <v:textbox inset="0mm,0mm,0mm,0mm" style="mso-fit-shape-to-text:t;">
                <w:txbxContent>
                  <w:p>
                    <w:pPr>
                      <w:widowControl w:val="0"/>
                      <w:snapToGrid w:val="0"/>
                      <w:jc w:val="left"/>
                      <w:rPr>
                        <w:rFonts w:asciiTheme="minorHAnsi" w:hAnsiTheme="minorHAnsi" w:eastAsiaTheme="minorEastAsia" w:cstheme="minorBidi"/>
                        <w:kern w:val="0"/>
                        <w:sz w:val="18"/>
                        <w:szCs w:val="20"/>
                        <w:lang w:val="en-US" w:eastAsia="zh-CN" w:bidi="ar-SA"/>
                      </w:rPr>
                    </w:pPr>
                    <w:r>
                      <w:rPr>
                        <w:rFonts w:asciiTheme="minorHAnsi" w:hAnsiTheme="minorHAnsi" w:eastAsiaTheme="minorEastAsia" w:cstheme="minorBidi"/>
                        <w:kern w:val="0"/>
                        <w:sz w:val="18"/>
                        <w:szCs w:val="20"/>
                        <w:lang w:val="en-US" w:eastAsia="zh-CN" w:bidi="ar-SA"/>
                      </w:rPr>
                      <w:fldChar w:fldCharType="begin"/>
                    </w:r>
                    <w:r>
                      <w:rPr>
                        <w:rFonts w:asciiTheme="minorHAnsi" w:hAnsiTheme="minorHAnsi" w:eastAsiaTheme="minorEastAsia" w:cstheme="minorBidi"/>
                        <w:kern w:val="0"/>
                        <w:sz w:val="18"/>
                        <w:szCs w:val="20"/>
                        <w:lang w:val="en-US" w:eastAsia="zh-CN" w:bidi="ar-SA"/>
                      </w:rPr>
                      <w:instrText xml:space="preserve"> PAGE  \* MERGEFORMAT </w:instrText>
                    </w:r>
                    <w:r>
                      <w:rPr>
                        <w:rFonts w:asciiTheme="minorHAnsi" w:hAnsiTheme="minorHAnsi" w:eastAsiaTheme="minorEastAsia" w:cstheme="minorBidi"/>
                        <w:kern w:val="0"/>
                        <w:sz w:val="18"/>
                        <w:szCs w:val="20"/>
                        <w:lang w:val="en-US" w:eastAsia="zh-CN" w:bidi="ar-SA"/>
                      </w:rPr>
                      <w:fldChar w:fldCharType="separate"/>
                    </w:r>
                    <w:r>
                      <w:rPr>
                        <w:rFonts w:asciiTheme="minorHAnsi" w:hAnsiTheme="minorHAnsi" w:eastAsiaTheme="minorEastAsia" w:cstheme="minorBidi"/>
                        <w:kern w:val="0"/>
                        <w:sz w:val="18"/>
                        <w:szCs w:val="20"/>
                        <w:lang w:val="en-US" w:eastAsia="zh-CN" w:bidi="ar-SA"/>
                      </w:rPr>
                      <w:t>1</w:t>
                    </w:r>
                    <w:r>
                      <w:rPr>
                        <w:rFonts w:asciiTheme="minorHAnsi" w:hAnsiTheme="minorHAnsi" w:eastAsiaTheme="minorEastAsia" w:cstheme="minorBidi"/>
                        <w:kern w:val="0"/>
                        <w:sz w:val="18"/>
                        <w:szCs w:val="20"/>
                        <w:lang w:val="en-US" w:eastAsia="zh-CN" w:bidi="ar-S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napToGrid w:val="0"/>
      <w:jc w:val="left"/>
      <w:rPr>
        <w:rFonts w:asciiTheme="minorHAnsi" w:hAnsiTheme="minorHAnsi" w:eastAsiaTheme="minorEastAsia" w:cstheme="minorBidi"/>
        <w:kern w:val="0"/>
        <w:sz w:val="18"/>
        <w:szCs w:val="20"/>
        <w:lang w:val="en-US" w:eastAsia="zh-CN" w:bidi="ar-SA"/>
      </w:rPr>
    </w:pPr>
    <w:r>
      <w:rPr>
        <w:rFonts w:asciiTheme="minorHAnsi" w:hAnsiTheme="minorHAnsi" w:eastAsiaTheme="minorEastAsia" w:cstheme="minorBidi"/>
        <w:kern w:val="0"/>
        <w:sz w:val="18"/>
        <w:szCs w:val="20"/>
        <w:lang w:val="en-US" w:eastAsia="zh-CN"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widowControl w:val="0"/>
                            <w:snapToGrid w:val="0"/>
                            <w:jc w:val="left"/>
                            <w:rPr>
                              <w:rFonts w:asciiTheme="minorHAnsi" w:hAnsiTheme="minorHAnsi" w:eastAsiaTheme="minorEastAsia" w:cstheme="minorBidi"/>
                              <w:kern w:val="0"/>
                              <w:sz w:val="18"/>
                              <w:szCs w:val="20"/>
                              <w:lang w:val="en-US" w:eastAsia="zh-CN" w:bidi="ar-SA"/>
                            </w:rPr>
                          </w:pPr>
                          <w:r>
                            <w:rPr>
                              <w:rFonts w:asciiTheme="minorHAnsi" w:hAnsiTheme="minorHAnsi" w:eastAsiaTheme="minorEastAsia" w:cstheme="minorBidi"/>
                              <w:kern w:val="0"/>
                              <w:sz w:val="18"/>
                              <w:szCs w:val="20"/>
                              <w:lang w:val="en-US" w:eastAsia="zh-CN" w:bidi="ar-SA"/>
                            </w:rPr>
                            <w:fldChar w:fldCharType="begin"/>
                          </w:r>
                          <w:r>
                            <w:rPr>
                              <w:rFonts w:asciiTheme="minorHAnsi" w:hAnsiTheme="minorHAnsi" w:eastAsiaTheme="minorEastAsia" w:cstheme="minorBidi"/>
                              <w:kern w:val="0"/>
                              <w:sz w:val="18"/>
                              <w:szCs w:val="20"/>
                              <w:lang w:val="en-US" w:eastAsia="zh-CN" w:bidi="ar-SA"/>
                            </w:rPr>
                            <w:instrText xml:space="preserve"> PAGE  \* MERGEFORMAT </w:instrText>
                          </w:r>
                          <w:r>
                            <w:rPr>
                              <w:rFonts w:asciiTheme="minorHAnsi" w:hAnsiTheme="minorHAnsi" w:eastAsiaTheme="minorEastAsia" w:cstheme="minorBidi"/>
                              <w:kern w:val="0"/>
                              <w:sz w:val="18"/>
                              <w:szCs w:val="20"/>
                              <w:lang w:val="en-US" w:eastAsia="zh-CN" w:bidi="ar-SA"/>
                            </w:rPr>
                            <w:fldChar w:fldCharType="separate"/>
                          </w:r>
                          <w:r>
                            <w:rPr>
                              <w:rFonts w:asciiTheme="minorHAnsi" w:hAnsiTheme="minorHAnsi" w:eastAsiaTheme="minorEastAsia" w:cstheme="minorBidi"/>
                              <w:kern w:val="0"/>
                              <w:sz w:val="18"/>
                              <w:szCs w:val="20"/>
                              <w:lang w:val="en-US" w:eastAsia="zh-CN" w:bidi="ar-SA"/>
                            </w:rPr>
                            <w:t>1</w:t>
                          </w:r>
                          <w:r>
                            <w:rPr>
                              <w:rFonts w:asciiTheme="minorHAnsi" w:hAnsiTheme="minorHAnsi" w:eastAsiaTheme="minorEastAsia" w:cstheme="minorBidi"/>
                              <w:kern w:val="0"/>
                              <w:sz w:val="18"/>
                              <w:szCs w:val="20"/>
                              <w:lang w:val="en-US" w:eastAsia="zh-CN" w:bidi="ar-S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Rs1ek6AgAAcQQAAA4AAABkcnMvZTJvRG9jLnhtbK1UzY7TMBC+I/EO&#10;lu80aVcs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AkbNXpOgIAAHEEAAAOAAAAAAAAAAEAIAAAAB8BAABkcnMvZTJvRG9j&#10;LnhtbFBLBQYAAAAABgAGAFkBAADLBQAAAAA=&#10;">
              <v:fill on="f" focussize="0,0"/>
              <v:stroke on="f" weight="0.5pt"/>
              <v:imagedata o:title=""/>
              <o:lock v:ext="edit" aspectratio="f"/>
              <v:textbox inset="0mm,0mm,0mm,0mm" style="mso-fit-shape-to-text:t;">
                <w:txbxContent>
                  <w:p>
                    <w:pPr>
                      <w:widowControl w:val="0"/>
                      <w:snapToGrid w:val="0"/>
                      <w:jc w:val="left"/>
                      <w:rPr>
                        <w:rFonts w:asciiTheme="minorHAnsi" w:hAnsiTheme="minorHAnsi" w:eastAsiaTheme="minorEastAsia" w:cstheme="minorBidi"/>
                        <w:kern w:val="0"/>
                        <w:sz w:val="18"/>
                        <w:szCs w:val="20"/>
                        <w:lang w:val="en-US" w:eastAsia="zh-CN" w:bidi="ar-SA"/>
                      </w:rPr>
                    </w:pPr>
                    <w:r>
                      <w:rPr>
                        <w:rFonts w:asciiTheme="minorHAnsi" w:hAnsiTheme="minorHAnsi" w:eastAsiaTheme="minorEastAsia" w:cstheme="minorBidi"/>
                        <w:kern w:val="0"/>
                        <w:sz w:val="18"/>
                        <w:szCs w:val="20"/>
                        <w:lang w:val="en-US" w:eastAsia="zh-CN" w:bidi="ar-SA"/>
                      </w:rPr>
                      <w:fldChar w:fldCharType="begin"/>
                    </w:r>
                    <w:r>
                      <w:rPr>
                        <w:rFonts w:asciiTheme="minorHAnsi" w:hAnsiTheme="minorHAnsi" w:eastAsiaTheme="minorEastAsia" w:cstheme="minorBidi"/>
                        <w:kern w:val="0"/>
                        <w:sz w:val="18"/>
                        <w:szCs w:val="20"/>
                        <w:lang w:val="en-US" w:eastAsia="zh-CN" w:bidi="ar-SA"/>
                      </w:rPr>
                      <w:instrText xml:space="preserve"> PAGE  \* MERGEFORMAT </w:instrText>
                    </w:r>
                    <w:r>
                      <w:rPr>
                        <w:rFonts w:asciiTheme="minorHAnsi" w:hAnsiTheme="minorHAnsi" w:eastAsiaTheme="minorEastAsia" w:cstheme="minorBidi"/>
                        <w:kern w:val="0"/>
                        <w:sz w:val="18"/>
                        <w:szCs w:val="20"/>
                        <w:lang w:val="en-US" w:eastAsia="zh-CN" w:bidi="ar-SA"/>
                      </w:rPr>
                      <w:fldChar w:fldCharType="separate"/>
                    </w:r>
                    <w:r>
                      <w:rPr>
                        <w:rFonts w:asciiTheme="minorHAnsi" w:hAnsiTheme="minorHAnsi" w:eastAsiaTheme="minorEastAsia" w:cstheme="minorBidi"/>
                        <w:kern w:val="0"/>
                        <w:sz w:val="18"/>
                        <w:szCs w:val="20"/>
                        <w:lang w:val="en-US" w:eastAsia="zh-CN" w:bidi="ar-SA"/>
                      </w:rPr>
                      <w:t>1</w:t>
                    </w:r>
                    <w:r>
                      <w:rPr>
                        <w:rFonts w:asciiTheme="minorHAnsi" w:hAnsiTheme="minorHAnsi" w:eastAsiaTheme="minorEastAsia" w:cstheme="minorBidi"/>
                        <w:kern w:val="0"/>
                        <w:sz w:val="18"/>
                        <w:szCs w:val="20"/>
                        <w:lang w:val="en-US" w:eastAsia="zh-CN" w:bidi="ar-S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napToGrid w:val="0"/>
      <w:jc w:val="left"/>
      <w:rPr>
        <w:rFonts w:asciiTheme="minorHAnsi" w:hAnsiTheme="minorHAnsi" w:eastAsiaTheme="minorEastAsia" w:cstheme="minorBidi"/>
        <w:kern w:val="0"/>
        <w:sz w:val="18"/>
        <w:szCs w:val="20"/>
        <w:lang w:val="en-US" w:eastAsia="zh-CN" w:bidi="ar-SA"/>
      </w:rPr>
    </w:pPr>
    <w:r>
      <w:rPr>
        <w:rFonts w:asciiTheme="minorHAnsi" w:hAnsiTheme="minorHAnsi" w:eastAsiaTheme="minorEastAsia" w:cstheme="minorBidi"/>
        <w:kern w:val="0"/>
        <w:sz w:val="18"/>
        <w:szCs w:val="20"/>
        <w:lang w:val="en-US" w:eastAsia="zh-CN"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widowControl w:val="0"/>
                            <w:snapToGrid w:val="0"/>
                            <w:jc w:val="left"/>
                            <w:rPr>
                              <w:rFonts w:asciiTheme="minorHAnsi" w:hAnsiTheme="minorHAnsi" w:eastAsiaTheme="minorEastAsia" w:cstheme="minorBidi"/>
                              <w:kern w:val="0"/>
                              <w:sz w:val="18"/>
                              <w:szCs w:val="20"/>
                              <w:lang w:val="en-US" w:eastAsia="zh-CN" w:bidi="ar-SA"/>
                            </w:rPr>
                          </w:pPr>
                          <w:r>
                            <w:rPr>
                              <w:rFonts w:asciiTheme="minorHAnsi" w:hAnsiTheme="minorHAnsi" w:eastAsiaTheme="minorEastAsia" w:cstheme="minorBidi"/>
                              <w:kern w:val="0"/>
                              <w:sz w:val="18"/>
                              <w:szCs w:val="20"/>
                              <w:lang w:val="en-US" w:eastAsia="zh-CN" w:bidi="ar-SA"/>
                            </w:rPr>
                            <w:fldChar w:fldCharType="begin"/>
                          </w:r>
                          <w:r>
                            <w:rPr>
                              <w:rFonts w:asciiTheme="minorHAnsi" w:hAnsiTheme="minorHAnsi" w:eastAsiaTheme="minorEastAsia" w:cstheme="minorBidi"/>
                              <w:kern w:val="0"/>
                              <w:sz w:val="18"/>
                              <w:szCs w:val="20"/>
                              <w:lang w:val="en-US" w:eastAsia="zh-CN" w:bidi="ar-SA"/>
                            </w:rPr>
                            <w:instrText xml:space="preserve"> PAGE  \* MERGEFORMAT </w:instrText>
                          </w:r>
                          <w:r>
                            <w:rPr>
                              <w:rFonts w:asciiTheme="minorHAnsi" w:hAnsiTheme="minorHAnsi" w:eastAsiaTheme="minorEastAsia" w:cstheme="minorBidi"/>
                              <w:kern w:val="0"/>
                              <w:sz w:val="18"/>
                              <w:szCs w:val="20"/>
                              <w:lang w:val="en-US" w:eastAsia="zh-CN" w:bidi="ar-SA"/>
                            </w:rPr>
                            <w:fldChar w:fldCharType="separate"/>
                          </w:r>
                          <w:r>
                            <w:rPr>
                              <w:rFonts w:asciiTheme="minorHAnsi" w:hAnsiTheme="minorHAnsi" w:eastAsiaTheme="minorEastAsia" w:cstheme="minorBidi"/>
                              <w:kern w:val="0"/>
                              <w:sz w:val="18"/>
                              <w:szCs w:val="20"/>
                              <w:lang w:val="en-US" w:eastAsia="zh-CN" w:bidi="ar-SA"/>
                            </w:rPr>
                            <w:t>1</w:t>
                          </w:r>
                          <w:r>
                            <w:rPr>
                              <w:rFonts w:asciiTheme="minorHAnsi" w:hAnsiTheme="minorHAnsi" w:eastAsiaTheme="minorEastAsia" w:cstheme="minorBidi"/>
                              <w:kern w:val="0"/>
                              <w:sz w:val="18"/>
                              <w:szCs w:val="20"/>
                              <w:lang w:val="en-US" w:eastAsia="zh-CN" w:bidi="ar-S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QgOhg6AgAAcQQAAA4AAABkcnMvZTJvRG9jLnhtbK1UzY7TMBC+I/EO&#10;lu80aRdW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AkIDoYOgIAAHEEAAAOAAAAAAAAAAEAIAAAAB8BAABkcnMvZTJvRG9j&#10;LnhtbFBLBQYAAAAABgAGAFkBAADLBQAAAAA=&#10;">
              <v:fill on="f" focussize="0,0"/>
              <v:stroke on="f" weight="0.5pt"/>
              <v:imagedata o:title=""/>
              <o:lock v:ext="edit" aspectratio="f"/>
              <v:textbox inset="0mm,0mm,0mm,0mm" style="mso-fit-shape-to-text:t;">
                <w:txbxContent>
                  <w:p>
                    <w:pPr>
                      <w:widowControl w:val="0"/>
                      <w:snapToGrid w:val="0"/>
                      <w:jc w:val="left"/>
                      <w:rPr>
                        <w:rFonts w:asciiTheme="minorHAnsi" w:hAnsiTheme="minorHAnsi" w:eastAsiaTheme="minorEastAsia" w:cstheme="minorBidi"/>
                        <w:kern w:val="0"/>
                        <w:sz w:val="18"/>
                        <w:szCs w:val="20"/>
                        <w:lang w:val="en-US" w:eastAsia="zh-CN" w:bidi="ar-SA"/>
                      </w:rPr>
                    </w:pPr>
                    <w:r>
                      <w:rPr>
                        <w:rFonts w:asciiTheme="minorHAnsi" w:hAnsiTheme="minorHAnsi" w:eastAsiaTheme="minorEastAsia" w:cstheme="minorBidi"/>
                        <w:kern w:val="0"/>
                        <w:sz w:val="18"/>
                        <w:szCs w:val="20"/>
                        <w:lang w:val="en-US" w:eastAsia="zh-CN" w:bidi="ar-SA"/>
                      </w:rPr>
                      <w:fldChar w:fldCharType="begin"/>
                    </w:r>
                    <w:r>
                      <w:rPr>
                        <w:rFonts w:asciiTheme="minorHAnsi" w:hAnsiTheme="minorHAnsi" w:eastAsiaTheme="minorEastAsia" w:cstheme="minorBidi"/>
                        <w:kern w:val="0"/>
                        <w:sz w:val="18"/>
                        <w:szCs w:val="20"/>
                        <w:lang w:val="en-US" w:eastAsia="zh-CN" w:bidi="ar-SA"/>
                      </w:rPr>
                      <w:instrText xml:space="preserve"> PAGE  \* MERGEFORMAT </w:instrText>
                    </w:r>
                    <w:r>
                      <w:rPr>
                        <w:rFonts w:asciiTheme="minorHAnsi" w:hAnsiTheme="minorHAnsi" w:eastAsiaTheme="minorEastAsia" w:cstheme="minorBidi"/>
                        <w:kern w:val="0"/>
                        <w:sz w:val="18"/>
                        <w:szCs w:val="20"/>
                        <w:lang w:val="en-US" w:eastAsia="zh-CN" w:bidi="ar-SA"/>
                      </w:rPr>
                      <w:fldChar w:fldCharType="separate"/>
                    </w:r>
                    <w:r>
                      <w:rPr>
                        <w:rFonts w:asciiTheme="minorHAnsi" w:hAnsiTheme="minorHAnsi" w:eastAsiaTheme="minorEastAsia" w:cstheme="minorBidi"/>
                        <w:kern w:val="0"/>
                        <w:sz w:val="18"/>
                        <w:szCs w:val="20"/>
                        <w:lang w:val="en-US" w:eastAsia="zh-CN" w:bidi="ar-SA"/>
                      </w:rPr>
                      <w:t>1</w:t>
                    </w:r>
                    <w:r>
                      <w:rPr>
                        <w:rFonts w:asciiTheme="minorHAnsi" w:hAnsiTheme="minorHAnsi" w:eastAsiaTheme="minorEastAsia" w:cstheme="minorBidi"/>
                        <w:kern w:val="0"/>
                        <w:sz w:val="18"/>
                        <w:szCs w:val="20"/>
                        <w:lang w:val="en-US" w:eastAsia="zh-CN" w:bidi="ar-S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tabs>
        <w:tab w:val="center" w:pos="4153"/>
        <w:tab w:val="right" w:pos="8306"/>
      </w:tabs>
      <w:snapToGrid w:val="0"/>
      <w:jc w:val="center"/>
      <w:rPr>
        <w:rFonts w:ascii="等线" w:hAnsi="等线" w:eastAsia="等线" w:cs="Times New Roman"/>
        <w:kern w:val="2"/>
        <w:sz w:val="18"/>
        <w:szCs w:val="18"/>
        <w:lang w:val="en-US" w:eastAsia="zh-CN" w:bidi="ar-SA"/>
      </w:rPr>
    </w:pPr>
    <w:r>
      <w:rPr>
        <w:rFonts w:ascii="等线" w:hAnsi="等线" w:eastAsia="等线" w:cs="Times New Roman"/>
        <w:kern w:val="2"/>
        <w:sz w:val="18"/>
        <w:szCs w:val="18"/>
        <w:lang w:val="en-US" w:eastAsia="zh-CN" w:bidi="ar-SA"/>
      </w:rPr>
      <w:fldChar w:fldCharType="begin"/>
    </w:r>
    <w:r>
      <w:rPr>
        <w:rFonts w:ascii="等线" w:hAnsi="等线" w:eastAsia="等线" w:cs="Times New Roman"/>
        <w:kern w:val="2"/>
        <w:sz w:val="18"/>
        <w:szCs w:val="18"/>
        <w:lang w:val="en-US" w:eastAsia="zh-CN" w:bidi="ar-SA"/>
      </w:rPr>
      <w:instrText xml:space="preserve">PAGE   \* MERGEFORMAT</w:instrText>
    </w:r>
    <w:r>
      <w:rPr>
        <w:rFonts w:ascii="等线" w:hAnsi="等线" w:eastAsia="等线" w:cs="Times New Roman"/>
        <w:kern w:val="2"/>
        <w:sz w:val="18"/>
        <w:szCs w:val="18"/>
        <w:lang w:val="en-US" w:eastAsia="zh-CN" w:bidi="ar-SA"/>
      </w:rPr>
      <w:fldChar w:fldCharType="separate"/>
    </w:r>
    <w:r>
      <w:rPr>
        <w:rFonts w:ascii="等线" w:hAnsi="等线" w:eastAsia="等线" w:cs="Times New Roman"/>
        <w:kern w:val="2"/>
        <w:sz w:val="18"/>
        <w:szCs w:val="18"/>
        <w:lang w:val="zh-CN" w:eastAsia="zh-CN" w:bidi="ar-SA"/>
      </w:rPr>
      <w:t>3</w:t>
    </w:r>
    <w:r>
      <w:rPr>
        <w:rFonts w:ascii="等线" w:hAnsi="等线" w:eastAsia="等线" w:cs="Times New Roman"/>
        <w:kern w:val="2"/>
        <w:sz w:val="18"/>
        <w:szCs w:val="18"/>
        <w:lang w:val="en-US" w:eastAsia="zh-CN" w:bidi="ar-SA"/>
      </w:rPr>
      <w:fldChar w:fldCharType="end"/>
    </w:r>
  </w:p>
  <w:p>
    <w:pPr>
      <w:widowControl w:val="0"/>
      <w:tabs>
        <w:tab w:val="center" w:pos="4153"/>
        <w:tab w:val="right" w:pos="8306"/>
      </w:tabs>
      <w:snapToGrid w:val="0"/>
      <w:jc w:val="left"/>
      <w:rPr>
        <w:rFonts w:ascii="等线" w:hAnsi="等线" w:eastAsia="等线" w:cs="Times New Roman"/>
        <w:kern w:val="2"/>
        <w:sz w:val="18"/>
        <w:szCs w:val="18"/>
        <w:lang w:val="en-US" w:eastAsia="zh-CN" w:bidi="ar-SA"/>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napToGrid w:val="0"/>
      <w:jc w:val="left"/>
      <w:rPr>
        <w:rFonts w:asciiTheme="minorHAnsi" w:hAnsiTheme="minorHAnsi" w:eastAsiaTheme="minorEastAsia" w:cstheme="minorBidi"/>
        <w:kern w:val="0"/>
        <w:sz w:val="18"/>
        <w:szCs w:val="20"/>
        <w:lang w:val="en-US" w:eastAsia="zh-CN" w:bidi="ar-SA"/>
      </w:rPr>
    </w:pPr>
    <w:r>
      <w:rPr>
        <w:rFonts w:asciiTheme="minorHAnsi" w:hAnsiTheme="minorHAnsi" w:eastAsiaTheme="minorEastAsia" w:cstheme="minorBidi"/>
        <w:kern w:val="0"/>
        <w:sz w:val="18"/>
        <w:szCs w:val="20"/>
        <w:lang w:val="en-US" w:eastAsia="zh-CN"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widowControl w:val="0"/>
                            <w:snapToGrid w:val="0"/>
                            <w:jc w:val="left"/>
                            <w:rPr>
                              <w:rFonts w:asciiTheme="minorHAnsi" w:hAnsiTheme="minorHAnsi" w:eastAsiaTheme="minorEastAsia" w:cstheme="minorBidi"/>
                              <w:kern w:val="0"/>
                              <w:sz w:val="18"/>
                              <w:szCs w:val="20"/>
                              <w:lang w:val="en-US" w:eastAsia="zh-CN" w:bidi="ar-SA"/>
                            </w:rPr>
                          </w:pPr>
                          <w:r>
                            <w:rPr>
                              <w:rFonts w:asciiTheme="minorHAnsi" w:hAnsiTheme="minorHAnsi" w:eastAsiaTheme="minorEastAsia" w:cstheme="minorBidi"/>
                              <w:kern w:val="0"/>
                              <w:sz w:val="18"/>
                              <w:szCs w:val="20"/>
                              <w:lang w:val="en-US" w:eastAsia="zh-CN" w:bidi="ar-SA"/>
                            </w:rPr>
                            <w:fldChar w:fldCharType="begin"/>
                          </w:r>
                          <w:r>
                            <w:rPr>
                              <w:rFonts w:asciiTheme="minorHAnsi" w:hAnsiTheme="minorHAnsi" w:eastAsiaTheme="minorEastAsia" w:cstheme="minorBidi"/>
                              <w:kern w:val="0"/>
                              <w:sz w:val="18"/>
                              <w:szCs w:val="20"/>
                              <w:lang w:val="en-US" w:eastAsia="zh-CN" w:bidi="ar-SA"/>
                            </w:rPr>
                            <w:instrText xml:space="preserve"> PAGE  \* MERGEFORMAT </w:instrText>
                          </w:r>
                          <w:r>
                            <w:rPr>
                              <w:rFonts w:asciiTheme="minorHAnsi" w:hAnsiTheme="minorHAnsi" w:eastAsiaTheme="minorEastAsia" w:cstheme="minorBidi"/>
                              <w:kern w:val="0"/>
                              <w:sz w:val="18"/>
                              <w:szCs w:val="20"/>
                              <w:lang w:val="en-US" w:eastAsia="zh-CN" w:bidi="ar-SA"/>
                            </w:rPr>
                            <w:fldChar w:fldCharType="separate"/>
                          </w:r>
                          <w:r>
                            <w:rPr>
                              <w:rFonts w:asciiTheme="minorHAnsi" w:hAnsiTheme="minorHAnsi" w:eastAsiaTheme="minorEastAsia" w:cstheme="minorBidi"/>
                              <w:kern w:val="0"/>
                              <w:sz w:val="18"/>
                              <w:szCs w:val="20"/>
                              <w:lang w:val="en-US" w:eastAsia="zh-CN" w:bidi="ar-SA"/>
                            </w:rPr>
                            <w:t>1</w:t>
                          </w:r>
                          <w:r>
                            <w:rPr>
                              <w:rFonts w:asciiTheme="minorHAnsi" w:hAnsiTheme="minorHAnsi" w:eastAsiaTheme="minorEastAsia" w:cstheme="minorBidi"/>
                              <w:kern w:val="0"/>
                              <w:sz w:val="18"/>
                              <w:szCs w:val="20"/>
                              <w:lang w:val="en-US" w:eastAsia="zh-CN" w:bidi="ar-S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CrrMmbNwIAAHEEAAAOAAAAAAAAAAEAIAAAAB8BAABkcnMvZTJvRG9jLnht&#10;bFBLBQYAAAAABgAGAFkBAADIBQAAAAA=&#10;">
              <v:fill on="f" focussize="0,0"/>
              <v:stroke on="f" weight="0.5pt"/>
              <v:imagedata o:title=""/>
              <o:lock v:ext="edit" aspectratio="f"/>
              <v:textbox inset="0mm,0mm,0mm,0mm" style="mso-fit-shape-to-text:t;">
                <w:txbxContent>
                  <w:p>
                    <w:pPr>
                      <w:widowControl w:val="0"/>
                      <w:snapToGrid w:val="0"/>
                      <w:jc w:val="left"/>
                      <w:rPr>
                        <w:rFonts w:asciiTheme="minorHAnsi" w:hAnsiTheme="minorHAnsi" w:eastAsiaTheme="minorEastAsia" w:cstheme="minorBidi"/>
                        <w:kern w:val="0"/>
                        <w:sz w:val="18"/>
                        <w:szCs w:val="20"/>
                        <w:lang w:val="en-US" w:eastAsia="zh-CN" w:bidi="ar-SA"/>
                      </w:rPr>
                    </w:pPr>
                    <w:r>
                      <w:rPr>
                        <w:rFonts w:asciiTheme="minorHAnsi" w:hAnsiTheme="minorHAnsi" w:eastAsiaTheme="minorEastAsia" w:cstheme="minorBidi"/>
                        <w:kern w:val="0"/>
                        <w:sz w:val="18"/>
                        <w:szCs w:val="20"/>
                        <w:lang w:val="en-US" w:eastAsia="zh-CN" w:bidi="ar-SA"/>
                      </w:rPr>
                      <w:fldChar w:fldCharType="begin"/>
                    </w:r>
                    <w:r>
                      <w:rPr>
                        <w:rFonts w:asciiTheme="minorHAnsi" w:hAnsiTheme="minorHAnsi" w:eastAsiaTheme="minorEastAsia" w:cstheme="minorBidi"/>
                        <w:kern w:val="0"/>
                        <w:sz w:val="18"/>
                        <w:szCs w:val="20"/>
                        <w:lang w:val="en-US" w:eastAsia="zh-CN" w:bidi="ar-SA"/>
                      </w:rPr>
                      <w:instrText xml:space="preserve"> PAGE  \* MERGEFORMAT </w:instrText>
                    </w:r>
                    <w:r>
                      <w:rPr>
                        <w:rFonts w:asciiTheme="minorHAnsi" w:hAnsiTheme="minorHAnsi" w:eastAsiaTheme="minorEastAsia" w:cstheme="minorBidi"/>
                        <w:kern w:val="0"/>
                        <w:sz w:val="18"/>
                        <w:szCs w:val="20"/>
                        <w:lang w:val="en-US" w:eastAsia="zh-CN" w:bidi="ar-SA"/>
                      </w:rPr>
                      <w:fldChar w:fldCharType="separate"/>
                    </w:r>
                    <w:r>
                      <w:rPr>
                        <w:rFonts w:asciiTheme="minorHAnsi" w:hAnsiTheme="minorHAnsi" w:eastAsiaTheme="minorEastAsia" w:cstheme="minorBidi"/>
                        <w:kern w:val="0"/>
                        <w:sz w:val="18"/>
                        <w:szCs w:val="20"/>
                        <w:lang w:val="en-US" w:eastAsia="zh-CN" w:bidi="ar-SA"/>
                      </w:rPr>
                      <w:t>1</w:t>
                    </w:r>
                    <w:r>
                      <w:rPr>
                        <w:rFonts w:asciiTheme="minorHAnsi" w:hAnsiTheme="minorHAnsi" w:eastAsiaTheme="minorEastAsia" w:cstheme="minorBidi"/>
                        <w:kern w:val="0"/>
                        <w:sz w:val="18"/>
                        <w:szCs w:val="20"/>
                        <w:lang w:val="en-US" w:eastAsia="zh-CN" w:bidi="ar-S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C2902"/>
    <w:multiLevelType w:val="singleLevel"/>
    <w:tmpl w:val="89BC2902"/>
    <w:lvl w:ilvl="0" w:tentative="0">
      <w:start w:val="1"/>
      <w:numFmt w:val="decimal"/>
      <w:suff w:val="space"/>
      <w:lvlText w:val="%1."/>
      <w:lvlJc w:val="left"/>
    </w:lvl>
  </w:abstractNum>
  <w:abstractNum w:abstractNumId="1">
    <w:nsid w:val="9D5D34F2"/>
    <w:multiLevelType w:val="singleLevel"/>
    <w:tmpl w:val="9D5D34F2"/>
    <w:lvl w:ilvl="0" w:tentative="0">
      <w:start w:val="1"/>
      <w:numFmt w:val="decimal"/>
      <w:suff w:val="space"/>
      <w:lvlText w:val="（%1）"/>
      <w:lvlJc w:val="left"/>
    </w:lvl>
  </w:abstractNum>
  <w:abstractNum w:abstractNumId="2">
    <w:nsid w:val="A4D6D474"/>
    <w:multiLevelType w:val="singleLevel"/>
    <w:tmpl w:val="A4D6D474"/>
    <w:lvl w:ilvl="0" w:tentative="0">
      <w:start w:val="1"/>
      <w:numFmt w:val="decimal"/>
      <w:suff w:val="space"/>
      <w:lvlText w:val="%1."/>
      <w:lvlJc w:val="left"/>
    </w:lvl>
  </w:abstractNum>
  <w:abstractNum w:abstractNumId="3">
    <w:nsid w:val="C6F0D734"/>
    <w:multiLevelType w:val="singleLevel"/>
    <w:tmpl w:val="C6F0D734"/>
    <w:lvl w:ilvl="0" w:tentative="0">
      <w:start w:val="1"/>
      <w:numFmt w:val="decimal"/>
      <w:suff w:val="space"/>
      <w:lvlText w:val="%1."/>
      <w:lvlJc w:val="left"/>
    </w:lvl>
  </w:abstractNum>
  <w:abstractNum w:abstractNumId="4">
    <w:nsid w:val="D7C4834C"/>
    <w:multiLevelType w:val="multilevel"/>
    <w:tmpl w:val="D7C4834C"/>
    <w:lvl w:ilvl="0" w:tentative="0">
      <w:start w:val="1"/>
      <w:numFmt w:val="decimal"/>
      <w:suff w:val="space"/>
      <w:lvlText w:val="%1."/>
      <w:lvlJc w:val="left"/>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5">
    <w:nsid w:val="D95EE1D9"/>
    <w:multiLevelType w:val="singleLevel"/>
    <w:tmpl w:val="D95EE1D9"/>
    <w:lvl w:ilvl="0" w:tentative="0">
      <w:start w:val="1"/>
      <w:numFmt w:val="decimal"/>
      <w:suff w:val="nothing"/>
      <w:lvlText w:val="（%1）"/>
      <w:lvlJc w:val="left"/>
    </w:lvl>
  </w:abstractNum>
  <w:abstractNum w:abstractNumId="6">
    <w:nsid w:val="DE33A77D"/>
    <w:multiLevelType w:val="singleLevel"/>
    <w:tmpl w:val="DE33A77D"/>
    <w:lvl w:ilvl="0" w:tentative="0">
      <w:start w:val="1"/>
      <w:numFmt w:val="chineseCounting"/>
      <w:suff w:val="nothing"/>
      <w:lvlText w:val="%1、"/>
      <w:lvlJc w:val="left"/>
      <w:rPr>
        <w:rFonts w:hint="eastAsia"/>
      </w:rPr>
    </w:lvl>
  </w:abstractNum>
  <w:abstractNum w:abstractNumId="7">
    <w:nsid w:val="F0C0A8C4"/>
    <w:multiLevelType w:val="multilevel"/>
    <w:tmpl w:val="F0C0A8C4"/>
    <w:lvl w:ilvl="0" w:tentative="0">
      <w:start w:val="1"/>
      <w:numFmt w:val="decimal"/>
      <w:suff w:val="space"/>
      <w:lvlText w:val="%1."/>
      <w:lvlJc w:val="left"/>
    </w:lvl>
    <w:lvl w:ilvl="1" w:tentative="0">
      <w:start w:val="1"/>
      <w:numFmt w:val="decimal"/>
      <w:suff w:val="space"/>
      <w:lvlText w:val="%1.%2"/>
      <w:lvlJc w:val="left"/>
      <w:pPr>
        <w:ind w:left="24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8">
    <w:nsid w:val="05E547CB"/>
    <w:multiLevelType w:val="multilevel"/>
    <w:tmpl w:val="05E547CB"/>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
    <w:nsid w:val="10397054"/>
    <w:multiLevelType w:val="singleLevel"/>
    <w:tmpl w:val="10397054"/>
    <w:lvl w:ilvl="0" w:tentative="0">
      <w:start w:val="1"/>
      <w:numFmt w:val="decimal"/>
      <w:suff w:val="space"/>
      <w:lvlText w:val="（%1）"/>
      <w:lvlJc w:val="left"/>
    </w:lvl>
  </w:abstractNum>
  <w:abstractNum w:abstractNumId="10">
    <w:nsid w:val="13E3A03A"/>
    <w:multiLevelType w:val="singleLevel"/>
    <w:tmpl w:val="13E3A03A"/>
    <w:lvl w:ilvl="0" w:tentative="0">
      <w:start w:val="1"/>
      <w:numFmt w:val="bullet"/>
      <w:pStyle w:val="14"/>
      <w:lvlText w:val=""/>
      <w:lvlJc w:val="left"/>
      <w:pPr>
        <w:tabs>
          <w:tab w:val="left" w:pos="2040"/>
        </w:tabs>
        <w:ind w:left="2040" w:hanging="360"/>
      </w:pPr>
      <w:rPr>
        <w:rFonts w:hint="default" w:ascii="Wingdings" w:hAnsi="Wingdings"/>
      </w:rPr>
    </w:lvl>
  </w:abstractNum>
  <w:abstractNum w:abstractNumId="11">
    <w:nsid w:val="2DB5A9A2"/>
    <w:multiLevelType w:val="singleLevel"/>
    <w:tmpl w:val="2DB5A9A2"/>
    <w:lvl w:ilvl="0" w:tentative="0">
      <w:start w:val="1"/>
      <w:numFmt w:val="decimal"/>
      <w:suff w:val="space"/>
      <w:lvlText w:val="%1."/>
      <w:lvlJc w:val="left"/>
    </w:lvl>
  </w:abstractNum>
  <w:abstractNum w:abstractNumId="12">
    <w:nsid w:val="2EB26E6F"/>
    <w:multiLevelType w:val="singleLevel"/>
    <w:tmpl w:val="2EB26E6F"/>
    <w:lvl w:ilvl="0" w:tentative="0">
      <w:start w:val="1"/>
      <w:numFmt w:val="decimal"/>
      <w:suff w:val="space"/>
      <w:lvlText w:val="%1."/>
      <w:lvlJc w:val="left"/>
    </w:lvl>
  </w:abstractNum>
  <w:abstractNum w:abstractNumId="13">
    <w:nsid w:val="3E3DD61F"/>
    <w:multiLevelType w:val="singleLevel"/>
    <w:tmpl w:val="3E3DD61F"/>
    <w:lvl w:ilvl="0" w:tentative="0">
      <w:start w:val="1"/>
      <w:numFmt w:val="decimal"/>
      <w:lvlText w:val="%1."/>
      <w:lvlJc w:val="left"/>
      <w:pPr>
        <w:tabs>
          <w:tab w:val="left" w:pos="312"/>
        </w:tabs>
      </w:pPr>
    </w:lvl>
  </w:abstractNum>
  <w:abstractNum w:abstractNumId="14">
    <w:nsid w:val="57592BF2"/>
    <w:multiLevelType w:val="singleLevel"/>
    <w:tmpl w:val="57592BF2"/>
    <w:lvl w:ilvl="0" w:tentative="0">
      <w:start w:val="1"/>
      <w:numFmt w:val="decimal"/>
      <w:suff w:val="space"/>
      <w:lvlText w:val="（%1）"/>
      <w:lvlJc w:val="left"/>
    </w:lvl>
  </w:abstractNum>
  <w:abstractNum w:abstractNumId="15">
    <w:nsid w:val="5783F24F"/>
    <w:multiLevelType w:val="multilevel"/>
    <w:tmpl w:val="5783F24F"/>
    <w:lvl w:ilvl="0" w:tentative="0">
      <w:start w:val="1"/>
      <w:numFmt w:val="decimal"/>
      <w:suff w:val="space"/>
      <w:lvlText w:val="%1."/>
      <w:lvlJc w:val="left"/>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16">
    <w:nsid w:val="57D4EB46"/>
    <w:multiLevelType w:val="singleLevel"/>
    <w:tmpl w:val="57D4EB46"/>
    <w:lvl w:ilvl="0" w:tentative="0">
      <w:start w:val="5"/>
      <w:numFmt w:val="decimal"/>
      <w:suff w:val="space"/>
      <w:lvlText w:val="%1."/>
      <w:lvlJc w:val="left"/>
    </w:lvl>
  </w:abstractNum>
  <w:abstractNum w:abstractNumId="17">
    <w:nsid w:val="71763522"/>
    <w:multiLevelType w:val="singleLevel"/>
    <w:tmpl w:val="71763522"/>
    <w:lvl w:ilvl="0" w:tentative="0">
      <w:start w:val="2"/>
      <w:numFmt w:val="decimal"/>
      <w:suff w:val="nothing"/>
      <w:lvlText w:val="（%1）"/>
      <w:lvlJc w:val="left"/>
    </w:lvl>
  </w:abstractNum>
  <w:num w:numId="1">
    <w:abstractNumId w:val="10"/>
  </w:num>
  <w:num w:numId="2">
    <w:abstractNumId w:val="6"/>
  </w:num>
  <w:num w:numId="3">
    <w:abstractNumId w:val="13"/>
  </w:num>
  <w:num w:numId="4">
    <w:abstractNumId w:val="11"/>
  </w:num>
  <w:num w:numId="5">
    <w:abstractNumId w:val="14"/>
  </w:num>
  <w:num w:numId="6">
    <w:abstractNumId w:val="15"/>
  </w:num>
  <w:num w:numId="7">
    <w:abstractNumId w:val="17"/>
  </w:num>
  <w:num w:numId="8">
    <w:abstractNumId w:val="9"/>
  </w:num>
  <w:num w:numId="9">
    <w:abstractNumId w:val="7"/>
  </w:num>
  <w:num w:numId="10">
    <w:abstractNumId w:val="2"/>
  </w:num>
  <w:num w:numId="11">
    <w:abstractNumId w:val="16"/>
  </w:num>
  <w:num w:numId="12">
    <w:abstractNumId w:val="0"/>
  </w:num>
  <w:num w:numId="13">
    <w:abstractNumId w:val="12"/>
  </w:num>
  <w:num w:numId="14">
    <w:abstractNumId w:val="4"/>
  </w:num>
  <w:num w:numId="15">
    <w:abstractNumId w:val="1"/>
  </w:num>
  <w:num w:numId="16">
    <w:abstractNumId w:val="5"/>
  </w:num>
  <w:num w:numId="17">
    <w:abstractNumId w:val="3"/>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2"/>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UxNmEwNTI2ZjZmYjE0YmYyNjBiNWRiYWU1MjA3ZjIifQ=="/>
  </w:docVars>
  <w:rsids>
    <w:rsidRoot w:val="00E3580E"/>
    <w:rsid w:val="00052CD3"/>
    <w:rsid w:val="00080D98"/>
    <w:rsid w:val="000D22D8"/>
    <w:rsid w:val="001729AD"/>
    <w:rsid w:val="00177BF8"/>
    <w:rsid w:val="0018099E"/>
    <w:rsid w:val="001B0CD9"/>
    <w:rsid w:val="001C6363"/>
    <w:rsid w:val="001C7ACA"/>
    <w:rsid w:val="00267B02"/>
    <w:rsid w:val="002931EC"/>
    <w:rsid w:val="003C5BFE"/>
    <w:rsid w:val="00443541"/>
    <w:rsid w:val="00464984"/>
    <w:rsid w:val="004874D5"/>
    <w:rsid w:val="004E78DA"/>
    <w:rsid w:val="00502D1B"/>
    <w:rsid w:val="00575E35"/>
    <w:rsid w:val="005B4DDA"/>
    <w:rsid w:val="005D0FD9"/>
    <w:rsid w:val="005F481F"/>
    <w:rsid w:val="00650387"/>
    <w:rsid w:val="006B4F71"/>
    <w:rsid w:val="00736B04"/>
    <w:rsid w:val="00762AFD"/>
    <w:rsid w:val="007C7B54"/>
    <w:rsid w:val="007E31BF"/>
    <w:rsid w:val="00832AE1"/>
    <w:rsid w:val="00891076"/>
    <w:rsid w:val="008C11BA"/>
    <w:rsid w:val="008C6C96"/>
    <w:rsid w:val="00964E3E"/>
    <w:rsid w:val="009A37BE"/>
    <w:rsid w:val="009D204E"/>
    <w:rsid w:val="00A02F4A"/>
    <w:rsid w:val="00A10638"/>
    <w:rsid w:val="00A20ABE"/>
    <w:rsid w:val="00AA289B"/>
    <w:rsid w:val="00AA2BBE"/>
    <w:rsid w:val="00B65685"/>
    <w:rsid w:val="00B67DE0"/>
    <w:rsid w:val="00BB71F7"/>
    <w:rsid w:val="00C04340"/>
    <w:rsid w:val="00C225C5"/>
    <w:rsid w:val="00C57EBB"/>
    <w:rsid w:val="00C61CE6"/>
    <w:rsid w:val="00C7327C"/>
    <w:rsid w:val="00C84172"/>
    <w:rsid w:val="00C85F20"/>
    <w:rsid w:val="00CB73DD"/>
    <w:rsid w:val="00CD057E"/>
    <w:rsid w:val="00CF3752"/>
    <w:rsid w:val="00D242B6"/>
    <w:rsid w:val="00D4132C"/>
    <w:rsid w:val="00D465F0"/>
    <w:rsid w:val="00D531C8"/>
    <w:rsid w:val="00D84C89"/>
    <w:rsid w:val="00E3580E"/>
    <w:rsid w:val="00E40880"/>
    <w:rsid w:val="00E41F14"/>
    <w:rsid w:val="00E645F8"/>
    <w:rsid w:val="00E910B7"/>
    <w:rsid w:val="00EB1C0E"/>
    <w:rsid w:val="00EC4469"/>
    <w:rsid w:val="00EC5A14"/>
    <w:rsid w:val="00F33370"/>
    <w:rsid w:val="00F43007"/>
    <w:rsid w:val="00F46D15"/>
    <w:rsid w:val="01017DA9"/>
    <w:rsid w:val="01044DCF"/>
    <w:rsid w:val="010B7D84"/>
    <w:rsid w:val="010D427B"/>
    <w:rsid w:val="0111602F"/>
    <w:rsid w:val="01141165"/>
    <w:rsid w:val="011763A1"/>
    <w:rsid w:val="012007E5"/>
    <w:rsid w:val="01207AF0"/>
    <w:rsid w:val="01213866"/>
    <w:rsid w:val="01231F48"/>
    <w:rsid w:val="0123584C"/>
    <w:rsid w:val="012B197D"/>
    <w:rsid w:val="012B4701"/>
    <w:rsid w:val="01325A8F"/>
    <w:rsid w:val="013301B5"/>
    <w:rsid w:val="0136732D"/>
    <w:rsid w:val="01372C6E"/>
    <w:rsid w:val="013B4665"/>
    <w:rsid w:val="01437C9C"/>
    <w:rsid w:val="01462E8A"/>
    <w:rsid w:val="014734E6"/>
    <w:rsid w:val="014F71AA"/>
    <w:rsid w:val="015369BF"/>
    <w:rsid w:val="01582307"/>
    <w:rsid w:val="01586858"/>
    <w:rsid w:val="016078D7"/>
    <w:rsid w:val="01636499"/>
    <w:rsid w:val="01641DCA"/>
    <w:rsid w:val="016C168F"/>
    <w:rsid w:val="016D10E7"/>
    <w:rsid w:val="0172632E"/>
    <w:rsid w:val="01737D6C"/>
    <w:rsid w:val="017A6386"/>
    <w:rsid w:val="017B2F92"/>
    <w:rsid w:val="017F2CF3"/>
    <w:rsid w:val="01803C13"/>
    <w:rsid w:val="0180414B"/>
    <w:rsid w:val="01830099"/>
    <w:rsid w:val="01887C9C"/>
    <w:rsid w:val="01891B53"/>
    <w:rsid w:val="019323AB"/>
    <w:rsid w:val="01993D60"/>
    <w:rsid w:val="019B2BEF"/>
    <w:rsid w:val="019E0677"/>
    <w:rsid w:val="019F6CB7"/>
    <w:rsid w:val="01A00C4B"/>
    <w:rsid w:val="01A2371D"/>
    <w:rsid w:val="01A469B0"/>
    <w:rsid w:val="01A50654"/>
    <w:rsid w:val="01A66527"/>
    <w:rsid w:val="01AF5332"/>
    <w:rsid w:val="01B00625"/>
    <w:rsid w:val="01B11EE8"/>
    <w:rsid w:val="01B439E4"/>
    <w:rsid w:val="01B4632C"/>
    <w:rsid w:val="01B72D1A"/>
    <w:rsid w:val="01B80ADB"/>
    <w:rsid w:val="01BD4306"/>
    <w:rsid w:val="01BE7323"/>
    <w:rsid w:val="01C050C1"/>
    <w:rsid w:val="01C30851"/>
    <w:rsid w:val="01C310A5"/>
    <w:rsid w:val="01C66F45"/>
    <w:rsid w:val="01C80D3F"/>
    <w:rsid w:val="01C84DD7"/>
    <w:rsid w:val="01D76E0B"/>
    <w:rsid w:val="01E861CD"/>
    <w:rsid w:val="01EB42D0"/>
    <w:rsid w:val="01F243DA"/>
    <w:rsid w:val="01F3521E"/>
    <w:rsid w:val="01F82835"/>
    <w:rsid w:val="02005BDC"/>
    <w:rsid w:val="02031B2D"/>
    <w:rsid w:val="02070F9F"/>
    <w:rsid w:val="02086349"/>
    <w:rsid w:val="02091157"/>
    <w:rsid w:val="02092C94"/>
    <w:rsid w:val="020C31CB"/>
    <w:rsid w:val="020C4532"/>
    <w:rsid w:val="020E6922"/>
    <w:rsid w:val="02137E7B"/>
    <w:rsid w:val="021E1AEF"/>
    <w:rsid w:val="02217FDE"/>
    <w:rsid w:val="02232F8C"/>
    <w:rsid w:val="02257772"/>
    <w:rsid w:val="02281DA9"/>
    <w:rsid w:val="0228286A"/>
    <w:rsid w:val="02290C40"/>
    <w:rsid w:val="02300221"/>
    <w:rsid w:val="02340726"/>
    <w:rsid w:val="023870D5"/>
    <w:rsid w:val="02424AB8"/>
    <w:rsid w:val="02481A8E"/>
    <w:rsid w:val="02481EB7"/>
    <w:rsid w:val="024912E2"/>
    <w:rsid w:val="02497634"/>
    <w:rsid w:val="024E5AF3"/>
    <w:rsid w:val="0250441F"/>
    <w:rsid w:val="025111E4"/>
    <w:rsid w:val="02511F45"/>
    <w:rsid w:val="02532161"/>
    <w:rsid w:val="02595C07"/>
    <w:rsid w:val="025C2FF5"/>
    <w:rsid w:val="025C657D"/>
    <w:rsid w:val="025D08EA"/>
    <w:rsid w:val="0261662C"/>
    <w:rsid w:val="02621BE8"/>
    <w:rsid w:val="02691984"/>
    <w:rsid w:val="026F4AA1"/>
    <w:rsid w:val="026F4AFE"/>
    <w:rsid w:val="027239EE"/>
    <w:rsid w:val="0272440B"/>
    <w:rsid w:val="027361A1"/>
    <w:rsid w:val="02746F16"/>
    <w:rsid w:val="027A76EE"/>
    <w:rsid w:val="027C5214"/>
    <w:rsid w:val="027D1105"/>
    <w:rsid w:val="0281282A"/>
    <w:rsid w:val="02857815"/>
    <w:rsid w:val="02867A8E"/>
    <w:rsid w:val="02873BB9"/>
    <w:rsid w:val="029210D5"/>
    <w:rsid w:val="02943927"/>
    <w:rsid w:val="02970FD9"/>
    <w:rsid w:val="02972323"/>
    <w:rsid w:val="02972F89"/>
    <w:rsid w:val="029C6B5B"/>
    <w:rsid w:val="029D0AB9"/>
    <w:rsid w:val="02A46519"/>
    <w:rsid w:val="02A833E6"/>
    <w:rsid w:val="02A87AB1"/>
    <w:rsid w:val="02AA2BE5"/>
    <w:rsid w:val="02AA4304"/>
    <w:rsid w:val="02AB0289"/>
    <w:rsid w:val="02B50726"/>
    <w:rsid w:val="02B56978"/>
    <w:rsid w:val="02B91F78"/>
    <w:rsid w:val="02C06B04"/>
    <w:rsid w:val="02C20E90"/>
    <w:rsid w:val="02C2381D"/>
    <w:rsid w:val="02C27B00"/>
    <w:rsid w:val="02C84698"/>
    <w:rsid w:val="02C848FD"/>
    <w:rsid w:val="02CC0889"/>
    <w:rsid w:val="02D212D8"/>
    <w:rsid w:val="02D301F8"/>
    <w:rsid w:val="02D765E6"/>
    <w:rsid w:val="02DD1C24"/>
    <w:rsid w:val="02DF39F5"/>
    <w:rsid w:val="02E35293"/>
    <w:rsid w:val="02E47CE3"/>
    <w:rsid w:val="02E5559B"/>
    <w:rsid w:val="02E90454"/>
    <w:rsid w:val="02EE51B0"/>
    <w:rsid w:val="02F0175E"/>
    <w:rsid w:val="02F148A5"/>
    <w:rsid w:val="02F254D6"/>
    <w:rsid w:val="02F626E3"/>
    <w:rsid w:val="02F85854"/>
    <w:rsid w:val="02FE3E7B"/>
    <w:rsid w:val="03125B78"/>
    <w:rsid w:val="03127926"/>
    <w:rsid w:val="031A1681"/>
    <w:rsid w:val="031B3094"/>
    <w:rsid w:val="03211686"/>
    <w:rsid w:val="0321587C"/>
    <w:rsid w:val="032411DC"/>
    <w:rsid w:val="032578E5"/>
    <w:rsid w:val="03272347"/>
    <w:rsid w:val="032738A8"/>
    <w:rsid w:val="032F7D47"/>
    <w:rsid w:val="0331026F"/>
    <w:rsid w:val="03357917"/>
    <w:rsid w:val="0337493F"/>
    <w:rsid w:val="03390520"/>
    <w:rsid w:val="033E3B4F"/>
    <w:rsid w:val="0347432C"/>
    <w:rsid w:val="035352B0"/>
    <w:rsid w:val="035622F4"/>
    <w:rsid w:val="03575C81"/>
    <w:rsid w:val="036515D6"/>
    <w:rsid w:val="03710B53"/>
    <w:rsid w:val="037164F2"/>
    <w:rsid w:val="03751B2D"/>
    <w:rsid w:val="03836A76"/>
    <w:rsid w:val="038F0F77"/>
    <w:rsid w:val="0394658D"/>
    <w:rsid w:val="039E3388"/>
    <w:rsid w:val="039F1B33"/>
    <w:rsid w:val="039F3F41"/>
    <w:rsid w:val="03A0059A"/>
    <w:rsid w:val="03A1159F"/>
    <w:rsid w:val="03A76DA4"/>
    <w:rsid w:val="03A936FF"/>
    <w:rsid w:val="03A97F7B"/>
    <w:rsid w:val="03AA7B5F"/>
    <w:rsid w:val="03AC0005"/>
    <w:rsid w:val="03B0225A"/>
    <w:rsid w:val="03B307CF"/>
    <w:rsid w:val="03B91916"/>
    <w:rsid w:val="03C230FA"/>
    <w:rsid w:val="03C30C20"/>
    <w:rsid w:val="03C82119"/>
    <w:rsid w:val="03C84229"/>
    <w:rsid w:val="03C86237"/>
    <w:rsid w:val="03CA6453"/>
    <w:rsid w:val="03CB7B24"/>
    <w:rsid w:val="03D270B5"/>
    <w:rsid w:val="03D67F82"/>
    <w:rsid w:val="03E017D2"/>
    <w:rsid w:val="03E2723E"/>
    <w:rsid w:val="03E9062F"/>
    <w:rsid w:val="03F67248"/>
    <w:rsid w:val="03F8252C"/>
    <w:rsid w:val="03FC374B"/>
    <w:rsid w:val="03FD05D6"/>
    <w:rsid w:val="03FD78EB"/>
    <w:rsid w:val="0401641D"/>
    <w:rsid w:val="040412D5"/>
    <w:rsid w:val="040C25C7"/>
    <w:rsid w:val="040D668A"/>
    <w:rsid w:val="040E2188"/>
    <w:rsid w:val="04137DFA"/>
    <w:rsid w:val="04161698"/>
    <w:rsid w:val="041B198A"/>
    <w:rsid w:val="041B618B"/>
    <w:rsid w:val="0424696B"/>
    <w:rsid w:val="042567B9"/>
    <w:rsid w:val="0425705C"/>
    <w:rsid w:val="04267B2D"/>
    <w:rsid w:val="04273005"/>
    <w:rsid w:val="04282CDD"/>
    <w:rsid w:val="042F62B6"/>
    <w:rsid w:val="043164D2"/>
    <w:rsid w:val="04351BCD"/>
    <w:rsid w:val="04394442"/>
    <w:rsid w:val="04426D56"/>
    <w:rsid w:val="04474836"/>
    <w:rsid w:val="04497378"/>
    <w:rsid w:val="044D6493"/>
    <w:rsid w:val="044E2BE0"/>
    <w:rsid w:val="04510922"/>
    <w:rsid w:val="04577FC5"/>
    <w:rsid w:val="04583CF4"/>
    <w:rsid w:val="04590A01"/>
    <w:rsid w:val="045B39AD"/>
    <w:rsid w:val="045B70AB"/>
    <w:rsid w:val="045D4CC5"/>
    <w:rsid w:val="045F7B0A"/>
    <w:rsid w:val="04616029"/>
    <w:rsid w:val="046545BC"/>
    <w:rsid w:val="046643CE"/>
    <w:rsid w:val="04685075"/>
    <w:rsid w:val="04696787"/>
    <w:rsid w:val="046B20EE"/>
    <w:rsid w:val="046C6B64"/>
    <w:rsid w:val="047168CE"/>
    <w:rsid w:val="047832A9"/>
    <w:rsid w:val="04784101"/>
    <w:rsid w:val="04787212"/>
    <w:rsid w:val="0479444F"/>
    <w:rsid w:val="047B44CA"/>
    <w:rsid w:val="047B6BED"/>
    <w:rsid w:val="047D2B8E"/>
    <w:rsid w:val="04801A9E"/>
    <w:rsid w:val="048057D3"/>
    <w:rsid w:val="04846602"/>
    <w:rsid w:val="048B0601"/>
    <w:rsid w:val="04983BEF"/>
    <w:rsid w:val="049D12CA"/>
    <w:rsid w:val="049F51EA"/>
    <w:rsid w:val="04A22F2C"/>
    <w:rsid w:val="04A257ED"/>
    <w:rsid w:val="04A44EF6"/>
    <w:rsid w:val="04A45F97"/>
    <w:rsid w:val="04A47E89"/>
    <w:rsid w:val="04A9268A"/>
    <w:rsid w:val="04AC1A7D"/>
    <w:rsid w:val="04AD33D4"/>
    <w:rsid w:val="04B07A8D"/>
    <w:rsid w:val="04B303F2"/>
    <w:rsid w:val="04B350BC"/>
    <w:rsid w:val="04B36EE7"/>
    <w:rsid w:val="04B65A1E"/>
    <w:rsid w:val="04B80386"/>
    <w:rsid w:val="04BA6816"/>
    <w:rsid w:val="04BD7D66"/>
    <w:rsid w:val="04C10B93"/>
    <w:rsid w:val="04C57CF8"/>
    <w:rsid w:val="04C9495C"/>
    <w:rsid w:val="04CE5392"/>
    <w:rsid w:val="04CF27E2"/>
    <w:rsid w:val="04D70E27"/>
    <w:rsid w:val="04E470A0"/>
    <w:rsid w:val="04E6106A"/>
    <w:rsid w:val="04E82F1A"/>
    <w:rsid w:val="04EA6DAD"/>
    <w:rsid w:val="04EB6681"/>
    <w:rsid w:val="04F33787"/>
    <w:rsid w:val="04F35090"/>
    <w:rsid w:val="04F83787"/>
    <w:rsid w:val="05015B7C"/>
    <w:rsid w:val="050D18C6"/>
    <w:rsid w:val="05172057"/>
    <w:rsid w:val="0518296D"/>
    <w:rsid w:val="051C2CDE"/>
    <w:rsid w:val="05212DAC"/>
    <w:rsid w:val="05240CA2"/>
    <w:rsid w:val="052B41ED"/>
    <w:rsid w:val="052C3C0E"/>
    <w:rsid w:val="05313A49"/>
    <w:rsid w:val="05353DA0"/>
    <w:rsid w:val="05355B4E"/>
    <w:rsid w:val="05366AE9"/>
    <w:rsid w:val="05373C0D"/>
    <w:rsid w:val="053776F4"/>
    <w:rsid w:val="05385D98"/>
    <w:rsid w:val="054364BD"/>
    <w:rsid w:val="0548762F"/>
    <w:rsid w:val="054D2800"/>
    <w:rsid w:val="055230D9"/>
    <w:rsid w:val="05534352"/>
    <w:rsid w:val="055E3F57"/>
    <w:rsid w:val="056326BB"/>
    <w:rsid w:val="05632F1F"/>
    <w:rsid w:val="05650A05"/>
    <w:rsid w:val="056860EF"/>
    <w:rsid w:val="056971A0"/>
    <w:rsid w:val="056C64E5"/>
    <w:rsid w:val="05706D4F"/>
    <w:rsid w:val="05707E80"/>
    <w:rsid w:val="05717BAE"/>
    <w:rsid w:val="0575419C"/>
    <w:rsid w:val="05761CD9"/>
    <w:rsid w:val="057B5C57"/>
    <w:rsid w:val="057D1158"/>
    <w:rsid w:val="05812C55"/>
    <w:rsid w:val="05836FC7"/>
    <w:rsid w:val="05850C29"/>
    <w:rsid w:val="058D598A"/>
    <w:rsid w:val="059149D9"/>
    <w:rsid w:val="059207E8"/>
    <w:rsid w:val="059C64D5"/>
    <w:rsid w:val="059D57CB"/>
    <w:rsid w:val="05A01020"/>
    <w:rsid w:val="05A01219"/>
    <w:rsid w:val="05A81A33"/>
    <w:rsid w:val="05A94F98"/>
    <w:rsid w:val="05AA653C"/>
    <w:rsid w:val="05AC109E"/>
    <w:rsid w:val="05AD2CBF"/>
    <w:rsid w:val="05AE7BFE"/>
    <w:rsid w:val="05B13A99"/>
    <w:rsid w:val="05BD72A8"/>
    <w:rsid w:val="05C14567"/>
    <w:rsid w:val="05C24545"/>
    <w:rsid w:val="05CA098C"/>
    <w:rsid w:val="05CC1F5A"/>
    <w:rsid w:val="05D11D1B"/>
    <w:rsid w:val="05D834B5"/>
    <w:rsid w:val="05D9472B"/>
    <w:rsid w:val="05DA3DAA"/>
    <w:rsid w:val="05E023C5"/>
    <w:rsid w:val="05EA2DDC"/>
    <w:rsid w:val="05EF3F4F"/>
    <w:rsid w:val="05F41565"/>
    <w:rsid w:val="05F41DB5"/>
    <w:rsid w:val="05FB4360"/>
    <w:rsid w:val="0602087A"/>
    <w:rsid w:val="06025A06"/>
    <w:rsid w:val="060611D1"/>
    <w:rsid w:val="06063869"/>
    <w:rsid w:val="06064032"/>
    <w:rsid w:val="060A4C87"/>
    <w:rsid w:val="061338B3"/>
    <w:rsid w:val="06164129"/>
    <w:rsid w:val="06164D27"/>
    <w:rsid w:val="061B2548"/>
    <w:rsid w:val="061B2C9F"/>
    <w:rsid w:val="061C00A8"/>
    <w:rsid w:val="061C341A"/>
    <w:rsid w:val="062005AC"/>
    <w:rsid w:val="06221F7A"/>
    <w:rsid w:val="06227932"/>
    <w:rsid w:val="06267C39"/>
    <w:rsid w:val="062B146D"/>
    <w:rsid w:val="062D5483"/>
    <w:rsid w:val="063127B9"/>
    <w:rsid w:val="06345E06"/>
    <w:rsid w:val="06395FE5"/>
    <w:rsid w:val="06467ADA"/>
    <w:rsid w:val="064A1C94"/>
    <w:rsid w:val="064E7A24"/>
    <w:rsid w:val="064F2C3F"/>
    <w:rsid w:val="06504E83"/>
    <w:rsid w:val="06593708"/>
    <w:rsid w:val="065B02A0"/>
    <w:rsid w:val="065C1B78"/>
    <w:rsid w:val="065E4F1F"/>
    <w:rsid w:val="065E62C2"/>
    <w:rsid w:val="066466EB"/>
    <w:rsid w:val="06654367"/>
    <w:rsid w:val="066606B5"/>
    <w:rsid w:val="066C3365"/>
    <w:rsid w:val="066F06B5"/>
    <w:rsid w:val="06732DD2"/>
    <w:rsid w:val="06793750"/>
    <w:rsid w:val="067F52D3"/>
    <w:rsid w:val="067F6566"/>
    <w:rsid w:val="068428E9"/>
    <w:rsid w:val="06905732"/>
    <w:rsid w:val="06946A9D"/>
    <w:rsid w:val="06A0572A"/>
    <w:rsid w:val="06A06146"/>
    <w:rsid w:val="06A170B0"/>
    <w:rsid w:val="06A37841"/>
    <w:rsid w:val="06A50AB1"/>
    <w:rsid w:val="06A77900"/>
    <w:rsid w:val="06A95B70"/>
    <w:rsid w:val="06AC6482"/>
    <w:rsid w:val="06AF3197"/>
    <w:rsid w:val="06B048E3"/>
    <w:rsid w:val="06B478EB"/>
    <w:rsid w:val="06B56F46"/>
    <w:rsid w:val="06B745C6"/>
    <w:rsid w:val="06B80E29"/>
    <w:rsid w:val="06B937D6"/>
    <w:rsid w:val="06BD7EB1"/>
    <w:rsid w:val="06C24C18"/>
    <w:rsid w:val="06C27F3C"/>
    <w:rsid w:val="06C47634"/>
    <w:rsid w:val="06CD24E2"/>
    <w:rsid w:val="06CE0008"/>
    <w:rsid w:val="06DC3451"/>
    <w:rsid w:val="06DC697B"/>
    <w:rsid w:val="06DF2215"/>
    <w:rsid w:val="06DF5D71"/>
    <w:rsid w:val="06E131B1"/>
    <w:rsid w:val="06E710CA"/>
    <w:rsid w:val="06EA1921"/>
    <w:rsid w:val="06EA592F"/>
    <w:rsid w:val="06EB2968"/>
    <w:rsid w:val="06EB6DAF"/>
    <w:rsid w:val="06EC7257"/>
    <w:rsid w:val="06F23CF7"/>
    <w:rsid w:val="06F475A1"/>
    <w:rsid w:val="06F5520B"/>
    <w:rsid w:val="06F7755F"/>
    <w:rsid w:val="06F85085"/>
    <w:rsid w:val="06FA5880"/>
    <w:rsid w:val="06FA704F"/>
    <w:rsid w:val="06FB757B"/>
    <w:rsid w:val="07013F3A"/>
    <w:rsid w:val="07085267"/>
    <w:rsid w:val="070B47D1"/>
    <w:rsid w:val="070D6D82"/>
    <w:rsid w:val="07124C2B"/>
    <w:rsid w:val="07153E89"/>
    <w:rsid w:val="071E5B38"/>
    <w:rsid w:val="07222C2E"/>
    <w:rsid w:val="072B545A"/>
    <w:rsid w:val="073310F6"/>
    <w:rsid w:val="073742E4"/>
    <w:rsid w:val="07381BC3"/>
    <w:rsid w:val="073836D3"/>
    <w:rsid w:val="07387FB0"/>
    <w:rsid w:val="07392702"/>
    <w:rsid w:val="074151A5"/>
    <w:rsid w:val="07460884"/>
    <w:rsid w:val="074854FD"/>
    <w:rsid w:val="07491A5B"/>
    <w:rsid w:val="0749768F"/>
    <w:rsid w:val="074D4A77"/>
    <w:rsid w:val="074D6470"/>
    <w:rsid w:val="07506C6F"/>
    <w:rsid w:val="0751137D"/>
    <w:rsid w:val="075479AE"/>
    <w:rsid w:val="07554868"/>
    <w:rsid w:val="075955B5"/>
    <w:rsid w:val="075B50A5"/>
    <w:rsid w:val="076150B4"/>
    <w:rsid w:val="076504F4"/>
    <w:rsid w:val="076646E5"/>
    <w:rsid w:val="076C3B81"/>
    <w:rsid w:val="07754928"/>
    <w:rsid w:val="077B1B3F"/>
    <w:rsid w:val="078270A5"/>
    <w:rsid w:val="07853E8E"/>
    <w:rsid w:val="078726FB"/>
    <w:rsid w:val="078D30FE"/>
    <w:rsid w:val="07922DAA"/>
    <w:rsid w:val="07943000"/>
    <w:rsid w:val="079707BA"/>
    <w:rsid w:val="07996868"/>
    <w:rsid w:val="079A613C"/>
    <w:rsid w:val="07A66218"/>
    <w:rsid w:val="07A80520"/>
    <w:rsid w:val="07A9021B"/>
    <w:rsid w:val="07B03AFC"/>
    <w:rsid w:val="07B36D98"/>
    <w:rsid w:val="07B65E09"/>
    <w:rsid w:val="07B94814"/>
    <w:rsid w:val="07C17B6D"/>
    <w:rsid w:val="07CA4C73"/>
    <w:rsid w:val="07CB0DE8"/>
    <w:rsid w:val="07DE071F"/>
    <w:rsid w:val="07DE599F"/>
    <w:rsid w:val="07DF7DD1"/>
    <w:rsid w:val="07E5286B"/>
    <w:rsid w:val="07E86415"/>
    <w:rsid w:val="07F13EF7"/>
    <w:rsid w:val="080135BA"/>
    <w:rsid w:val="080A14EF"/>
    <w:rsid w:val="08143A78"/>
    <w:rsid w:val="08143F07"/>
    <w:rsid w:val="08144141"/>
    <w:rsid w:val="08174CE7"/>
    <w:rsid w:val="08194EC1"/>
    <w:rsid w:val="081B094F"/>
    <w:rsid w:val="081D1F36"/>
    <w:rsid w:val="0822060B"/>
    <w:rsid w:val="082557D4"/>
    <w:rsid w:val="082612E9"/>
    <w:rsid w:val="082B708E"/>
    <w:rsid w:val="082F2D28"/>
    <w:rsid w:val="082F43A2"/>
    <w:rsid w:val="08323FD7"/>
    <w:rsid w:val="08386B20"/>
    <w:rsid w:val="08397703"/>
    <w:rsid w:val="083A3B72"/>
    <w:rsid w:val="083D5702"/>
    <w:rsid w:val="08414D45"/>
    <w:rsid w:val="08444A26"/>
    <w:rsid w:val="084925D7"/>
    <w:rsid w:val="084B6833"/>
    <w:rsid w:val="084B6C7C"/>
    <w:rsid w:val="084D5407"/>
    <w:rsid w:val="08504DDE"/>
    <w:rsid w:val="08516931"/>
    <w:rsid w:val="08517143"/>
    <w:rsid w:val="0854482E"/>
    <w:rsid w:val="08560EF5"/>
    <w:rsid w:val="085D5AE7"/>
    <w:rsid w:val="08687B8B"/>
    <w:rsid w:val="086C13DA"/>
    <w:rsid w:val="086F75C9"/>
    <w:rsid w:val="086F7A65"/>
    <w:rsid w:val="08716E9D"/>
    <w:rsid w:val="0876529A"/>
    <w:rsid w:val="0878647D"/>
    <w:rsid w:val="087C3466"/>
    <w:rsid w:val="087E15BA"/>
    <w:rsid w:val="087E5AB3"/>
    <w:rsid w:val="08806D04"/>
    <w:rsid w:val="088452D6"/>
    <w:rsid w:val="08850B9A"/>
    <w:rsid w:val="08870B27"/>
    <w:rsid w:val="08897FF4"/>
    <w:rsid w:val="088B669A"/>
    <w:rsid w:val="088C3CD7"/>
    <w:rsid w:val="08911842"/>
    <w:rsid w:val="0892013F"/>
    <w:rsid w:val="089471CB"/>
    <w:rsid w:val="089670AE"/>
    <w:rsid w:val="08986B20"/>
    <w:rsid w:val="089A411B"/>
    <w:rsid w:val="089B216C"/>
    <w:rsid w:val="089D4136"/>
    <w:rsid w:val="089E6336"/>
    <w:rsid w:val="08A4584E"/>
    <w:rsid w:val="08AA0601"/>
    <w:rsid w:val="08AF0E7E"/>
    <w:rsid w:val="08B80A82"/>
    <w:rsid w:val="08C10475"/>
    <w:rsid w:val="08C16076"/>
    <w:rsid w:val="08C22966"/>
    <w:rsid w:val="08C67651"/>
    <w:rsid w:val="08CB6822"/>
    <w:rsid w:val="08CC031F"/>
    <w:rsid w:val="08D35DAA"/>
    <w:rsid w:val="08D37294"/>
    <w:rsid w:val="08D552CA"/>
    <w:rsid w:val="08DE1D2E"/>
    <w:rsid w:val="08E24354"/>
    <w:rsid w:val="08E361DE"/>
    <w:rsid w:val="08E80F22"/>
    <w:rsid w:val="08ED6E6B"/>
    <w:rsid w:val="08EF0964"/>
    <w:rsid w:val="08FA50E4"/>
    <w:rsid w:val="08FD22CC"/>
    <w:rsid w:val="08FD652C"/>
    <w:rsid w:val="08FF0070"/>
    <w:rsid w:val="0900337B"/>
    <w:rsid w:val="09010220"/>
    <w:rsid w:val="09041952"/>
    <w:rsid w:val="09081A2D"/>
    <w:rsid w:val="09106D0A"/>
    <w:rsid w:val="09117FA0"/>
    <w:rsid w:val="09153CCC"/>
    <w:rsid w:val="09177189"/>
    <w:rsid w:val="091D33B4"/>
    <w:rsid w:val="092C04C1"/>
    <w:rsid w:val="092D5F6F"/>
    <w:rsid w:val="092F3162"/>
    <w:rsid w:val="093305F6"/>
    <w:rsid w:val="09371CE5"/>
    <w:rsid w:val="093920CD"/>
    <w:rsid w:val="093A0C4D"/>
    <w:rsid w:val="093D1475"/>
    <w:rsid w:val="093D7EFE"/>
    <w:rsid w:val="094822F4"/>
    <w:rsid w:val="094C44E3"/>
    <w:rsid w:val="09505852"/>
    <w:rsid w:val="095C1EF7"/>
    <w:rsid w:val="095C557C"/>
    <w:rsid w:val="095F1E02"/>
    <w:rsid w:val="095F3199"/>
    <w:rsid w:val="096429CB"/>
    <w:rsid w:val="096C3401"/>
    <w:rsid w:val="096D1E04"/>
    <w:rsid w:val="09772BD9"/>
    <w:rsid w:val="097F70A9"/>
    <w:rsid w:val="09853444"/>
    <w:rsid w:val="098B3F8E"/>
    <w:rsid w:val="09934BB5"/>
    <w:rsid w:val="099A1DD0"/>
    <w:rsid w:val="099A2423"/>
    <w:rsid w:val="099C6924"/>
    <w:rsid w:val="099E57EB"/>
    <w:rsid w:val="09A0385D"/>
    <w:rsid w:val="09B010B1"/>
    <w:rsid w:val="09B260ED"/>
    <w:rsid w:val="09B40F95"/>
    <w:rsid w:val="09B5725D"/>
    <w:rsid w:val="09B66000"/>
    <w:rsid w:val="09B71227"/>
    <w:rsid w:val="09B863E1"/>
    <w:rsid w:val="09BA0384"/>
    <w:rsid w:val="09C35E1E"/>
    <w:rsid w:val="09C85D6F"/>
    <w:rsid w:val="09D929A3"/>
    <w:rsid w:val="09DB7DF4"/>
    <w:rsid w:val="09E96A79"/>
    <w:rsid w:val="09EA5569"/>
    <w:rsid w:val="09EB09DB"/>
    <w:rsid w:val="09EF451D"/>
    <w:rsid w:val="09F0797A"/>
    <w:rsid w:val="09F61D17"/>
    <w:rsid w:val="09F61D4D"/>
    <w:rsid w:val="09F626CE"/>
    <w:rsid w:val="09F82F54"/>
    <w:rsid w:val="0A023E3D"/>
    <w:rsid w:val="0A042B0D"/>
    <w:rsid w:val="0A07584F"/>
    <w:rsid w:val="0A0B37F4"/>
    <w:rsid w:val="0A0D2C0E"/>
    <w:rsid w:val="0A0D7099"/>
    <w:rsid w:val="0A0F4478"/>
    <w:rsid w:val="0A131686"/>
    <w:rsid w:val="0A1844B3"/>
    <w:rsid w:val="0A1977EC"/>
    <w:rsid w:val="0A285C81"/>
    <w:rsid w:val="0A2C507F"/>
    <w:rsid w:val="0A300921"/>
    <w:rsid w:val="0A307589"/>
    <w:rsid w:val="0A344626"/>
    <w:rsid w:val="0A366318"/>
    <w:rsid w:val="0A464557"/>
    <w:rsid w:val="0A4C3698"/>
    <w:rsid w:val="0A4C631C"/>
    <w:rsid w:val="0A50059C"/>
    <w:rsid w:val="0A5151D8"/>
    <w:rsid w:val="0A527929"/>
    <w:rsid w:val="0A577970"/>
    <w:rsid w:val="0A5B7E05"/>
    <w:rsid w:val="0A60088B"/>
    <w:rsid w:val="0A735F6D"/>
    <w:rsid w:val="0A747118"/>
    <w:rsid w:val="0A7B5B07"/>
    <w:rsid w:val="0A7E3AF3"/>
    <w:rsid w:val="0A800407"/>
    <w:rsid w:val="0A801B21"/>
    <w:rsid w:val="0A813377"/>
    <w:rsid w:val="0A851ADE"/>
    <w:rsid w:val="0A8530D4"/>
    <w:rsid w:val="0A876E4C"/>
    <w:rsid w:val="0A8D52F2"/>
    <w:rsid w:val="0A8E1F88"/>
    <w:rsid w:val="0A931346"/>
    <w:rsid w:val="0A94593A"/>
    <w:rsid w:val="0A981059"/>
    <w:rsid w:val="0A996075"/>
    <w:rsid w:val="0A9E4C0B"/>
    <w:rsid w:val="0A9E6C97"/>
    <w:rsid w:val="0A9E7981"/>
    <w:rsid w:val="0AA572D2"/>
    <w:rsid w:val="0AA65496"/>
    <w:rsid w:val="0AA817AD"/>
    <w:rsid w:val="0AAC5195"/>
    <w:rsid w:val="0AAD7774"/>
    <w:rsid w:val="0AAF2118"/>
    <w:rsid w:val="0AB33CEE"/>
    <w:rsid w:val="0AB61302"/>
    <w:rsid w:val="0AB72AB4"/>
    <w:rsid w:val="0AB77CB1"/>
    <w:rsid w:val="0ABE7B49"/>
    <w:rsid w:val="0AC302F4"/>
    <w:rsid w:val="0AC3578F"/>
    <w:rsid w:val="0AC51722"/>
    <w:rsid w:val="0AC86146"/>
    <w:rsid w:val="0ACC485F"/>
    <w:rsid w:val="0ACF1D5A"/>
    <w:rsid w:val="0ADA2FAB"/>
    <w:rsid w:val="0ADF574B"/>
    <w:rsid w:val="0AE1789B"/>
    <w:rsid w:val="0AE266B9"/>
    <w:rsid w:val="0AE30A64"/>
    <w:rsid w:val="0AEE7F78"/>
    <w:rsid w:val="0AEF2198"/>
    <w:rsid w:val="0AEF2288"/>
    <w:rsid w:val="0AEF3E82"/>
    <w:rsid w:val="0AEF4BDC"/>
    <w:rsid w:val="0AF171D2"/>
    <w:rsid w:val="0AF53045"/>
    <w:rsid w:val="0AF61C3A"/>
    <w:rsid w:val="0AF729B4"/>
    <w:rsid w:val="0AF74245"/>
    <w:rsid w:val="0AF75383"/>
    <w:rsid w:val="0AFE5B22"/>
    <w:rsid w:val="0AFF2E86"/>
    <w:rsid w:val="0B026E6F"/>
    <w:rsid w:val="0B043FF8"/>
    <w:rsid w:val="0B0760EA"/>
    <w:rsid w:val="0B085B7B"/>
    <w:rsid w:val="0B0E1F15"/>
    <w:rsid w:val="0B106E41"/>
    <w:rsid w:val="0B146CEA"/>
    <w:rsid w:val="0B237BFE"/>
    <w:rsid w:val="0B2533C4"/>
    <w:rsid w:val="0B2B3C7B"/>
    <w:rsid w:val="0B350656"/>
    <w:rsid w:val="0B381EF4"/>
    <w:rsid w:val="0B3B6363"/>
    <w:rsid w:val="0B3C7C36"/>
    <w:rsid w:val="0B3D39AE"/>
    <w:rsid w:val="0B435C1C"/>
    <w:rsid w:val="0B451BFA"/>
    <w:rsid w:val="0B464D13"/>
    <w:rsid w:val="0B465F4D"/>
    <w:rsid w:val="0B4765DB"/>
    <w:rsid w:val="0B4A5FAE"/>
    <w:rsid w:val="0B4B46CA"/>
    <w:rsid w:val="0B4C4571"/>
    <w:rsid w:val="0B4D7E38"/>
    <w:rsid w:val="0B515EF0"/>
    <w:rsid w:val="0B584344"/>
    <w:rsid w:val="0B5A29A2"/>
    <w:rsid w:val="0B603655"/>
    <w:rsid w:val="0B622494"/>
    <w:rsid w:val="0B676F7D"/>
    <w:rsid w:val="0B6F0BEC"/>
    <w:rsid w:val="0B806972"/>
    <w:rsid w:val="0B8769D7"/>
    <w:rsid w:val="0B8937BF"/>
    <w:rsid w:val="0B8C3FEE"/>
    <w:rsid w:val="0B8D6529"/>
    <w:rsid w:val="0B8F21FA"/>
    <w:rsid w:val="0B911D8C"/>
    <w:rsid w:val="0B914450"/>
    <w:rsid w:val="0B925AA8"/>
    <w:rsid w:val="0B945DFC"/>
    <w:rsid w:val="0B977FF1"/>
    <w:rsid w:val="0B996E37"/>
    <w:rsid w:val="0BA07041"/>
    <w:rsid w:val="0BA07C0E"/>
    <w:rsid w:val="0BA47589"/>
    <w:rsid w:val="0BB7132F"/>
    <w:rsid w:val="0BBA6DAD"/>
    <w:rsid w:val="0BBA7014"/>
    <w:rsid w:val="0BC06369"/>
    <w:rsid w:val="0BC2022B"/>
    <w:rsid w:val="0BC26BB8"/>
    <w:rsid w:val="0BC72C69"/>
    <w:rsid w:val="0BCE4339"/>
    <w:rsid w:val="0BD03841"/>
    <w:rsid w:val="0BD05882"/>
    <w:rsid w:val="0BD12803"/>
    <w:rsid w:val="0BD222CE"/>
    <w:rsid w:val="0BD240F7"/>
    <w:rsid w:val="0BD67DF0"/>
    <w:rsid w:val="0BDE2A9B"/>
    <w:rsid w:val="0BDF05C2"/>
    <w:rsid w:val="0BE21CA7"/>
    <w:rsid w:val="0BE678A2"/>
    <w:rsid w:val="0BEB6221"/>
    <w:rsid w:val="0BF44FDB"/>
    <w:rsid w:val="0BF56037"/>
    <w:rsid w:val="0BFA53FB"/>
    <w:rsid w:val="0BFA6DDB"/>
    <w:rsid w:val="0BFD4069"/>
    <w:rsid w:val="0C040028"/>
    <w:rsid w:val="0C061FF2"/>
    <w:rsid w:val="0C066135"/>
    <w:rsid w:val="0C0F46C9"/>
    <w:rsid w:val="0C1666D9"/>
    <w:rsid w:val="0C174EAA"/>
    <w:rsid w:val="0C210BDA"/>
    <w:rsid w:val="0C2433AF"/>
    <w:rsid w:val="0C250505"/>
    <w:rsid w:val="0C272694"/>
    <w:rsid w:val="0C2D0A20"/>
    <w:rsid w:val="0C2E4CB5"/>
    <w:rsid w:val="0C321E24"/>
    <w:rsid w:val="0C3555CE"/>
    <w:rsid w:val="0C390FAC"/>
    <w:rsid w:val="0C3C40B3"/>
    <w:rsid w:val="0C4403D3"/>
    <w:rsid w:val="0C496F9D"/>
    <w:rsid w:val="0C497F29"/>
    <w:rsid w:val="0C4A6383"/>
    <w:rsid w:val="0C543690"/>
    <w:rsid w:val="0C5C49CE"/>
    <w:rsid w:val="0C6F7B97"/>
    <w:rsid w:val="0C752EE2"/>
    <w:rsid w:val="0C754E91"/>
    <w:rsid w:val="0C770DFE"/>
    <w:rsid w:val="0C777589"/>
    <w:rsid w:val="0C7A22E4"/>
    <w:rsid w:val="0C7D22B4"/>
    <w:rsid w:val="0C7E427E"/>
    <w:rsid w:val="0C8A677F"/>
    <w:rsid w:val="0C913FB2"/>
    <w:rsid w:val="0C945850"/>
    <w:rsid w:val="0C973498"/>
    <w:rsid w:val="0C9879D0"/>
    <w:rsid w:val="0C9B6BDE"/>
    <w:rsid w:val="0C9E3828"/>
    <w:rsid w:val="0CA041EC"/>
    <w:rsid w:val="0CA27F6D"/>
    <w:rsid w:val="0CA75518"/>
    <w:rsid w:val="0CA76B66"/>
    <w:rsid w:val="0CA91CCA"/>
    <w:rsid w:val="0CB01BCB"/>
    <w:rsid w:val="0CB675B5"/>
    <w:rsid w:val="0CBB102F"/>
    <w:rsid w:val="0CBB319C"/>
    <w:rsid w:val="0CBB7C4B"/>
    <w:rsid w:val="0CBC071C"/>
    <w:rsid w:val="0CBF16C1"/>
    <w:rsid w:val="0CC16226"/>
    <w:rsid w:val="0CC779D3"/>
    <w:rsid w:val="0CCA74C4"/>
    <w:rsid w:val="0CCF4ADA"/>
    <w:rsid w:val="0CD3450C"/>
    <w:rsid w:val="0CDE1EA1"/>
    <w:rsid w:val="0CE02843"/>
    <w:rsid w:val="0CE53932"/>
    <w:rsid w:val="0CE872BE"/>
    <w:rsid w:val="0CEE4F60"/>
    <w:rsid w:val="0CEF0CD8"/>
    <w:rsid w:val="0CF30203"/>
    <w:rsid w:val="0D004C93"/>
    <w:rsid w:val="0D06216B"/>
    <w:rsid w:val="0D080EBF"/>
    <w:rsid w:val="0D0A2995"/>
    <w:rsid w:val="0D10137A"/>
    <w:rsid w:val="0D1066F9"/>
    <w:rsid w:val="0D132C19"/>
    <w:rsid w:val="0D1349C7"/>
    <w:rsid w:val="0D1544B2"/>
    <w:rsid w:val="0D164D36"/>
    <w:rsid w:val="0D171E03"/>
    <w:rsid w:val="0D177791"/>
    <w:rsid w:val="0D217829"/>
    <w:rsid w:val="0D2D6AE8"/>
    <w:rsid w:val="0D2F7B19"/>
    <w:rsid w:val="0D330BC5"/>
    <w:rsid w:val="0D38267F"/>
    <w:rsid w:val="0D3C216F"/>
    <w:rsid w:val="0D3E48E7"/>
    <w:rsid w:val="0D436DB3"/>
    <w:rsid w:val="0D4728C2"/>
    <w:rsid w:val="0D51729D"/>
    <w:rsid w:val="0D525752"/>
    <w:rsid w:val="0D5648B3"/>
    <w:rsid w:val="0D5B2C57"/>
    <w:rsid w:val="0D5C420B"/>
    <w:rsid w:val="0D5C4757"/>
    <w:rsid w:val="0D5D3E94"/>
    <w:rsid w:val="0D5E1321"/>
    <w:rsid w:val="0D5F1F83"/>
    <w:rsid w:val="0D6149B3"/>
    <w:rsid w:val="0D644439"/>
    <w:rsid w:val="0D65614D"/>
    <w:rsid w:val="0D660C1A"/>
    <w:rsid w:val="0D673DAB"/>
    <w:rsid w:val="0D687C1B"/>
    <w:rsid w:val="0D697D46"/>
    <w:rsid w:val="0D6C68F4"/>
    <w:rsid w:val="0D71419E"/>
    <w:rsid w:val="0D757075"/>
    <w:rsid w:val="0D7F02AE"/>
    <w:rsid w:val="0D845AC4"/>
    <w:rsid w:val="0D86353A"/>
    <w:rsid w:val="0D910107"/>
    <w:rsid w:val="0D915FDC"/>
    <w:rsid w:val="0D921D8F"/>
    <w:rsid w:val="0D941565"/>
    <w:rsid w:val="0D981B99"/>
    <w:rsid w:val="0DA10224"/>
    <w:rsid w:val="0DA258DC"/>
    <w:rsid w:val="0DA46EFA"/>
    <w:rsid w:val="0DA605FC"/>
    <w:rsid w:val="0DA67ADA"/>
    <w:rsid w:val="0DAB10A3"/>
    <w:rsid w:val="0DAF0B93"/>
    <w:rsid w:val="0DB066B9"/>
    <w:rsid w:val="0DB5363E"/>
    <w:rsid w:val="0DB86DF8"/>
    <w:rsid w:val="0DBF211B"/>
    <w:rsid w:val="0DC02C04"/>
    <w:rsid w:val="0DCB3F8A"/>
    <w:rsid w:val="0DCE5703"/>
    <w:rsid w:val="0DD07DC9"/>
    <w:rsid w:val="0DD36A09"/>
    <w:rsid w:val="0DD71D96"/>
    <w:rsid w:val="0DD81974"/>
    <w:rsid w:val="0DDD377D"/>
    <w:rsid w:val="0DDE58F7"/>
    <w:rsid w:val="0DDE73EA"/>
    <w:rsid w:val="0DE10621"/>
    <w:rsid w:val="0DE16873"/>
    <w:rsid w:val="0DE545B5"/>
    <w:rsid w:val="0DE819AF"/>
    <w:rsid w:val="0DE85EA4"/>
    <w:rsid w:val="0DE9205F"/>
    <w:rsid w:val="0DF61ADF"/>
    <w:rsid w:val="0DF70E8C"/>
    <w:rsid w:val="0DFC7B47"/>
    <w:rsid w:val="0DFE2A87"/>
    <w:rsid w:val="0E057123"/>
    <w:rsid w:val="0E057C6A"/>
    <w:rsid w:val="0E06277D"/>
    <w:rsid w:val="0E070EDC"/>
    <w:rsid w:val="0E0B3D2F"/>
    <w:rsid w:val="0E0B7D94"/>
    <w:rsid w:val="0E0D233D"/>
    <w:rsid w:val="0E0D7668"/>
    <w:rsid w:val="0E0E7C85"/>
    <w:rsid w:val="0E1171C8"/>
    <w:rsid w:val="0E1308B7"/>
    <w:rsid w:val="0E1949F8"/>
    <w:rsid w:val="0E22180B"/>
    <w:rsid w:val="0E286250"/>
    <w:rsid w:val="0E2A288A"/>
    <w:rsid w:val="0E323572"/>
    <w:rsid w:val="0E343A4B"/>
    <w:rsid w:val="0E3955AC"/>
    <w:rsid w:val="0E3C1CFB"/>
    <w:rsid w:val="0E3C619F"/>
    <w:rsid w:val="0E423016"/>
    <w:rsid w:val="0E436B53"/>
    <w:rsid w:val="0E47058B"/>
    <w:rsid w:val="0E4B63E2"/>
    <w:rsid w:val="0E503B05"/>
    <w:rsid w:val="0E5256B6"/>
    <w:rsid w:val="0E564766"/>
    <w:rsid w:val="0E570853"/>
    <w:rsid w:val="0E5F5D88"/>
    <w:rsid w:val="0E601E8E"/>
    <w:rsid w:val="0E6059EA"/>
    <w:rsid w:val="0E6151B4"/>
    <w:rsid w:val="0E63381E"/>
    <w:rsid w:val="0E683544"/>
    <w:rsid w:val="0E6D76B0"/>
    <w:rsid w:val="0E6F0CE9"/>
    <w:rsid w:val="0E71409B"/>
    <w:rsid w:val="0E7E40C2"/>
    <w:rsid w:val="0E847590"/>
    <w:rsid w:val="0E8A07EC"/>
    <w:rsid w:val="0E8F7A02"/>
    <w:rsid w:val="0E9723EA"/>
    <w:rsid w:val="0E9A47B2"/>
    <w:rsid w:val="0E9D182E"/>
    <w:rsid w:val="0EA004DC"/>
    <w:rsid w:val="0EA015B0"/>
    <w:rsid w:val="0EA0228A"/>
    <w:rsid w:val="0EA2573C"/>
    <w:rsid w:val="0EA508BC"/>
    <w:rsid w:val="0EA8721D"/>
    <w:rsid w:val="0EAA3109"/>
    <w:rsid w:val="0EAA3E90"/>
    <w:rsid w:val="0EAC4537"/>
    <w:rsid w:val="0EAD7D6E"/>
    <w:rsid w:val="0EB13CB9"/>
    <w:rsid w:val="0EB55AE3"/>
    <w:rsid w:val="0EB83A78"/>
    <w:rsid w:val="0EC12110"/>
    <w:rsid w:val="0EC266A4"/>
    <w:rsid w:val="0EC613F3"/>
    <w:rsid w:val="0EC85388"/>
    <w:rsid w:val="0ECA37AB"/>
    <w:rsid w:val="0ECA6384"/>
    <w:rsid w:val="0ED9579C"/>
    <w:rsid w:val="0EE30D43"/>
    <w:rsid w:val="0EEE56EB"/>
    <w:rsid w:val="0EF27647"/>
    <w:rsid w:val="0EF37803"/>
    <w:rsid w:val="0EFF2700"/>
    <w:rsid w:val="0EFF489D"/>
    <w:rsid w:val="0F00013E"/>
    <w:rsid w:val="0F023598"/>
    <w:rsid w:val="0F024154"/>
    <w:rsid w:val="0F087E2F"/>
    <w:rsid w:val="0F0942D3"/>
    <w:rsid w:val="0F096081"/>
    <w:rsid w:val="0F0D5446"/>
    <w:rsid w:val="0F0F2E88"/>
    <w:rsid w:val="0F1D1B2D"/>
    <w:rsid w:val="0F1D38DB"/>
    <w:rsid w:val="0F224A57"/>
    <w:rsid w:val="0F2743A8"/>
    <w:rsid w:val="0F2A1B00"/>
    <w:rsid w:val="0F2A7F65"/>
    <w:rsid w:val="0F2D0006"/>
    <w:rsid w:val="0F2E2047"/>
    <w:rsid w:val="0F384BB8"/>
    <w:rsid w:val="0F3F36C5"/>
    <w:rsid w:val="0F3F7CF5"/>
    <w:rsid w:val="0F435C60"/>
    <w:rsid w:val="0F436DEC"/>
    <w:rsid w:val="0F543075"/>
    <w:rsid w:val="0F5B2BE7"/>
    <w:rsid w:val="0F5D461F"/>
    <w:rsid w:val="0F627D60"/>
    <w:rsid w:val="0F6459AD"/>
    <w:rsid w:val="0F657030"/>
    <w:rsid w:val="0F694D72"/>
    <w:rsid w:val="0F6B4B6D"/>
    <w:rsid w:val="0F6E2001"/>
    <w:rsid w:val="0F7438F9"/>
    <w:rsid w:val="0F772F30"/>
    <w:rsid w:val="0F7A0CE0"/>
    <w:rsid w:val="0F7B1D4D"/>
    <w:rsid w:val="0F816D85"/>
    <w:rsid w:val="0F827BE2"/>
    <w:rsid w:val="0F8536DA"/>
    <w:rsid w:val="0F8D6EA2"/>
    <w:rsid w:val="0F8F47E3"/>
    <w:rsid w:val="0F927D7E"/>
    <w:rsid w:val="0F930041"/>
    <w:rsid w:val="0F963764"/>
    <w:rsid w:val="0F98106E"/>
    <w:rsid w:val="0F985946"/>
    <w:rsid w:val="0F987405"/>
    <w:rsid w:val="0F9967CD"/>
    <w:rsid w:val="0F9D4A1B"/>
    <w:rsid w:val="0FA41FAB"/>
    <w:rsid w:val="0FA704C4"/>
    <w:rsid w:val="0FA7589A"/>
    <w:rsid w:val="0FAC10EB"/>
    <w:rsid w:val="0FAF7946"/>
    <w:rsid w:val="0FB061D8"/>
    <w:rsid w:val="0FB26719"/>
    <w:rsid w:val="0FB33F34"/>
    <w:rsid w:val="0FB7564B"/>
    <w:rsid w:val="0FBC7598"/>
    <w:rsid w:val="0FCB42C4"/>
    <w:rsid w:val="0FD45593"/>
    <w:rsid w:val="0FD522F0"/>
    <w:rsid w:val="0FD8005B"/>
    <w:rsid w:val="0FD86850"/>
    <w:rsid w:val="0FDC19E8"/>
    <w:rsid w:val="0FDC434E"/>
    <w:rsid w:val="0FDE297D"/>
    <w:rsid w:val="0FE17D52"/>
    <w:rsid w:val="0FE20957"/>
    <w:rsid w:val="0FE47720"/>
    <w:rsid w:val="0FE73EE9"/>
    <w:rsid w:val="0FEA6F0A"/>
    <w:rsid w:val="0FEB2F72"/>
    <w:rsid w:val="0FEB6643"/>
    <w:rsid w:val="0FEC7947"/>
    <w:rsid w:val="0FED735A"/>
    <w:rsid w:val="0FF22992"/>
    <w:rsid w:val="0FF4448A"/>
    <w:rsid w:val="0FF52AA9"/>
    <w:rsid w:val="10067A3A"/>
    <w:rsid w:val="100875EA"/>
    <w:rsid w:val="100C368B"/>
    <w:rsid w:val="10145E5B"/>
    <w:rsid w:val="101651E5"/>
    <w:rsid w:val="101747CE"/>
    <w:rsid w:val="10183569"/>
    <w:rsid w:val="10222611"/>
    <w:rsid w:val="10225DF8"/>
    <w:rsid w:val="10235465"/>
    <w:rsid w:val="10297700"/>
    <w:rsid w:val="102D53BB"/>
    <w:rsid w:val="103D1A5F"/>
    <w:rsid w:val="1041118C"/>
    <w:rsid w:val="104D6442"/>
    <w:rsid w:val="104D76E4"/>
    <w:rsid w:val="105552F6"/>
    <w:rsid w:val="10563548"/>
    <w:rsid w:val="10615A49"/>
    <w:rsid w:val="1062446C"/>
    <w:rsid w:val="1063277B"/>
    <w:rsid w:val="10637A13"/>
    <w:rsid w:val="106419C8"/>
    <w:rsid w:val="106B58FC"/>
    <w:rsid w:val="10702C73"/>
    <w:rsid w:val="10703EDE"/>
    <w:rsid w:val="107C007A"/>
    <w:rsid w:val="107C2C7E"/>
    <w:rsid w:val="10802FF2"/>
    <w:rsid w:val="10805251"/>
    <w:rsid w:val="10805D1C"/>
    <w:rsid w:val="108241EC"/>
    <w:rsid w:val="108E275C"/>
    <w:rsid w:val="108F1A98"/>
    <w:rsid w:val="109140D0"/>
    <w:rsid w:val="109167D3"/>
    <w:rsid w:val="10997C68"/>
    <w:rsid w:val="109A3BD4"/>
    <w:rsid w:val="109B245A"/>
    <w:rsid w:val="10A02A15"/>
    <w:rsid w:val="10A0400E"/>
    <w:rsid w:val="10A20D0B"/>
    <w:rsid w:val="10A20FFE"/>
    <w:rsid w:val="10AC07ED"/>
    <w:rsid w:val="10B2683D"/>
    <w:rsid w:val="10B452D0"/>
    <w:rsid w:val="10B66BC9"/>
    <w:rsid w:val="10B73FB1"/>
    <w:rsid w:val="10B95DFE"/>
    <w:rsid w:val="10BD0508"/>
    <w:rsid w:val="10BF3671"/>
    <w:rsid w:val="10C031C3"/>
    <w:rsid w:val="10CC380A"/>
    <w:rsid w:val="10CD6E11"/>
    <w:rsid w:val="10CF50A9"/>
    <w:rsid w:val="10D34B99"/>
    <w:rsid w:val="10D40911"/>
    <w:rsid w:val="10D5129D"/>
    <w:rsid w:val="10D736B1"/>
    <w:rsid w:val="10D821AF"/>
    <w:rsid w:val="10DB17D5"/>
    <w:rsid w:val="10DB1C9F"/>
    <w:rsid w:val="10E11406"/>
    <w:rsid w:val="10E24A58"/>
    <w:rsid w:val="10E52487"/>
    <w:rsid w:val="10E64849"/>
    <w:rsid w:val="10EA1EE2"/>
    <w:rsid w:val="10ED62C9"/>
    <w:rsid w:val="10F45B00"/>
    <w:rsid w:val="10F67454"/>
    <w:rsid w:val="10F74511"/>
    <w:rsid w:val="10FD426E"/>
    <w:rsid w:val="11005262"/>
    <w:rsid w:val="110C3C07"/>
    <w:rsid w:val="110F3902"/>
    <w:rsid w:val="111A01C1"/>
    <w:rsid w:val="111D4066"/>
    <w:rsid w:val="11201095"/>
    <w:rsid w:val="11235730"/>
    <w:rsid w:val="11252648"/>
    <w:rsid w:val="11272147"/>
    <w:rsid w:val="1138517A"/>
    <w:rsid w:val="11387160"/>
    <w:rsid w:val="113D0261"/>
    <w:rsid w:val="113E3C0E"/>
    <w:rsid w:val="11422360"/>
    <w:rsid w:val="114408F4"/>
    <w:rsid w:val="11524785"/>
    <w:rsid w:val="1158509E"/>
    <w:rsid w:val="11591EC2"/>
    <w:rsid w:val="11624FF1"/>
    <w:rsid w:val="1164096F"/>
    <w:rsid w:val="11641C95"/>
    <w:rsid w:val="11651569"/>
    <w:rsid w:val="11694844"/>
    <w:rsid w:val="116C5FCF"/>
    <w:rsid w:val="11744246"/>
    <w:rsid w:val="11757139"/>
    <w:rsid w:val="11782737"/>
    <w:rsid w:val="117B2B3A"/>
    <w:rsid w:val="118169F3"/>
    <w:rsid w:val="11866F8D"/>
    <w:rsid w:val="1189484A"/>
    <w:rsid w:val="118C0B72"/>
    <w:rsid w:val="118E286E"/>
    <w:rsid w:val="118F3710"/>
    <w:rsid w:val="119211FE"/>
    <w:rsid w:val="11960AC4"/>
    <w:rsid w:val="119841A8"/>
    <w:rsid w:val="119A56B6"/>
    <w:rsid w:val="119C61F9"/>
    <w:rsid w:val="11A1409D"/>
    <w:rsid w:val="11A84792"/>
    <w:rsid w:val="11AF610A"/>
    <w:rsid w:val="11B52A7C"/>
    <w:rsid w:val="11B60016"/>
    <w:rsid w:val="11B6625F"/>
    <w:rsid w:val="11C407A2"/>
    <w:rsid w:val="11C643BE"/>
    <w:rsid w:val="11CC1466"/>
    <w:rsid w:val="11CF3202"/>
    <w:rsid w:val="11CF6E9F"/>
    <w:rsid w:val="11D31C55"/>
    <w:rsid w:val="11D64860"/>
    <w:rsid w:val="11D77818"/>
    <w:rsid w:val="11D94D44"/>
    <w:rsid w:val="11DA7004"/>
    <w:rsid w:val="11E14710"/>
    <w:rsid w:val="11E556EC"/>
    <w:rsid w:val="11E73282"/>
    <w:rsid w:val="11EF2ABE"/>
    <w:rsid w:val="11F766A7"/>
    <w:rsid w:val="11F8062F"/>
    <w:rsid w:val="11F86147"/>
    <w:rsid w:val="11FB7263"/>
    <w:rsid w:val="11FF19BD"/>
    <w:rsid w:val="11FF551A"/>
    <w:rsid w:val="120511CA"/>
    <w:rsid w:val="12072620"/>
    <w:rsid w:val="12074453"/>
    <w:rsid w:val="120F642F"/>
    <w:rsid w:val="12187542"/>
    <w:rsid w:val="121C487F"/>
    <w:rsid w:val="121F5BBC"/>
    <w:rsid w:val="121F5F7E"/>
    <w:rsid w:val="12224E20"/>
    <w:rsid w:val="122B630F"/>
    <w:rsid w:val="122C28B0"/>
    <w:rsid w:val="123023DE"/>
    <w:rsid w:val="1231086C"/>
    <w:rsid w:val="12311E3B"/>
    <w:rsid w:val="123A34B2"/>
    <w:rsid w:val="12404F19"/>
    <w:rsid w:val="124179BE"/>
    <w:rsid w:val="124D02E6"/>
    <w:rsid w:val="124E2148"/>
    <w:rsid w:val="12503FC7"/>
    <w:rsid w:val="12536C6A"/>
    <w:rsid w:val="1259093E"/>
    <w:rsid w:val="125D7A8C"/>
    <w:rsid w:val="12610A27"/>
    <w:rsid w:val="126443A1"/>
    <w:rsid w:val="12665CE5"/>
    <w:rsid w:val="126B7053"/>
    <w:rsid w:val="126D1CBF"/>
    <w:rsid w:val="126D4B79"/>
    <w:rsid w:val="126D6927"/>
    <w:rsid w:val="1273042B"/>
    <w:rsid w:val="12731139"/>
    <w:rsid w:val="128073DB"/>
    <w:rsid w:val="128E6FB3"/>
    <w:rsid w:val="12900868"/>
    <w:rsid w:val="12906AB9"/>
    <w:rsid w:val="12993BC0"/>
    <w:rsid w:val="129F1B77"/>
    <w:rsid w:val="12A668CB"/>
    <w:rsid w:val="12AE4669"/>
    <w:rsid w:val="12B15F6E"/>
    <w:rsid w:val="12B32D8C"/>
    <w:rsid w:val="12BC165D"/>
    <w:rsid w:val="12BE61AE"/>
    <w:rsid w:val="12C87B89"/>
    <w:rsid w:val="12CA151C"/>
    <w:rsid w:val="12CF1390"/>
    <w:rsid w:val="12CF66B9"/>
    <w:rsid w:val="12D9291A"/>
    <w:rsid w:val="12E0683B"/>
    <w:rsid w:val="12E26FC8"/>
    <w:rsid w:val="12EF4942"/>
    <w:rsid w:val="12F06B96"/>
    <w:rsid w:val="12F31522"/>
    <w:rsid w:val="12F641EE"/>
    <w:rsid w:val="12F7713B"/>
    <w:rsid w:val="12FC0B84"/>
    <w:rsid w:val="130348AB"/>
    <w:rsid w:val="1304765D"/>
    <w:rsid w:val="130D37CB"/>
    <w:rsid w:val="131119A8"/>
    <w:rsid w:val="1312467E"/>
    <w:rsid w:val="1319085D"/>
    <w:rsid w:val="13193394"/>
    <w:rsid w:val="131B45D5"/>
    <w:rsid w:val="131C54BB"/>
    <w:rsid w:val="13250FB0"/>
    <w:rsid w:val="13262CC4"/>
    <w:rsid w:val="13290D3B"/>
    <w:rsid w:val="132B03E2"/>
    <w:rsid w:val="132E5ABE"/>
    <w:rsid w:val="13381148"/>
    <w:rsid w:val="13433B2C"/>
    <w:rsid w:val="1345144A"/>
    <w:rsid w:val="1348010F"/>
    <w:rsid w:val="134F094E"/>
    <w:rsid w:val="13504FCA"/>
    <w:rsid w:val="13527516"/>
    <w:rsid w:val="13536BAC"/>
    <w:rsid w:val="13542CE0"/>
    <w:rsid w:val="13547644"/>
    <w:rsid w:val="135A007A"/>
    <w:rsid w:val="13612694"/>
    <w:rsid w:val="136247B4"/>
    <w:rsid w:val="136B2AD2"/>
    <w:rsid w:val="13773EEC"/>
    <w:rsid w:val="137A1724"/>
    <w:rsid w:val="137B4906"/>
    <w:rsid w:val="137B6357"/>
    <w:rsid w:val="137D09B2"/>
    <w:rsid w:val="1384502B"/>
    <w:rsid w:val="138959E3"/>
    <w:rsid w:val="138A1D2C"/>
    <w:rsid w:val="138C102F"/>
    <w:rsid w:val="138E2FF9"/>
    <w:rsid w:val="138F413B"/>
    <w:rsid w:val="13924F54"/>
    <w:rsid w:val="1393060F"/>
    <w:rsid w:val="139679D5"/>
    <w:rsid w:val="13974112"/>
    <w:rsid w:val="139879D4"/>
    <w:rsid w:val="139A31D1"/>
    <w:rsid w:val="139C7E9F"/>
    <w:rsid w:val="13B80EC8"/>
    <w:rsid w:val="13BF31B2"/>
    <w:rsid w:val="13C0517C"/>
    <w:rsid w:val="13C133CE"/>
    <w:rsid w:val="13C24A51"/>
    <w:rsid w:val="13C92B55"/>
    <w:rsid w:val="13CA1BEF"/>
    <w:rsid w:val="13CC0F3D"/>
    <w:rsid w:val="13CC3B21"/>
    <w:rsid w:val="13D053C0"/>
    <w:rsid w:val="13D3611F"/>
    <w:rsid w:val="13D36C5E"/>
    <w:rsid w:val="13D40D7B"/>
    <w:rsid w:val="13E147DA"/>
    <w:rsid w:val="13E40B0D"/>
    <w:rsid w:val="13E85226"/>
    <w:rsid w:val="13F932DB"/>
    <w:rsid w:val="13F9553D"/>
    <w:rsid w:val="13FB0C28"/>
    <w:rsid w:val="13FE6EF1"/>
    <w:rsid w:val="14033D19"/>
    <w:rsid w:val="140575E4"/>
    <w:rsid w:val="14061E4C"/>
    <w:rsid w:val="14076907"/>
    <w:rsid w:val="14117786"/>
    <w:rsid w:val="1419322E"/>
    <w:rsid w:val="141D78C5"/>
    <w:rsid w:val="14233C4A"/>
    <w:rsid w:val="14234A4B"/>
    <w:rsid w:val="142919FC"/>
    <w:rsid w:val="14292A24"/>
    <w:rsid w:val="142B0848"/>
    <w:rsid w:val="142B6A9A"/>
    <w:rsid w:val="1432607A"/>
    <w:rsid w:val="14335F47"/>
    <w:rsid w:val="143A3661"/>
    <w:rsid w:val="143A6CDD"/>
    <w:rsid w:val="143F7A7C"/>
    <w:rsid w:val="1448292D"/>
    <w:rsid w:val="144B0EEA"/>
    <w:rsid w:val="144B713C"/>
    <w:rsid w:val="144C6E32"/>
    <w:rsid w:val="144F5A29"/>
    <w:rsid w:val="1450017D"/>
    <w:rsid w:val="145267A1"/>
    <w:rsid w:val="1454016C"/>
    <w:rsid w:val="14545B87"/>
    <w:rsid w:val="14575B69"/>
    <w:rsid w:val="145926F6"/>
    <w:rsid w:val="145D2017"/>
    <w:rsid w:val="14606BBF"/>
    <w:rsid w:val="14624527"/>
    <w:rsid w:val="14636234"/>
    <w:rsid w:val="14665D24"/>
    <w:rsid w:val="146C7C3C"/>
    <w:rsid w:val="14711449"/>
    <w:rsid w:val="147246C9"/>
    <w:rsid w:val="14726477"/>
    <w:rsid w:val="14733102"/>
    <w:rsid w:val="1479169C"/>
    <w:rsid w:val="14803D26"/>
    <w:rsid w:val="148271FE"/>
    <w:rsid w:val="14843571"/>
    <w:rsid w:val="14902DA1"/>
    <w:rsid w:val="14911462"/>
    <w:rsid w:val="149B2415"/>
    <w:rsid w:val="14A0570F"/>
    <w:rsid w:val="14A0633F"/>
    <w:rsid w:val="14A10B0A"/>
    <w:rsid w:val="14A46AC3"/>
    <w:rsid w:val="14A94CED"/>
    <w:rsid w:val="14A95C11"/>
    <w:rsid w:val="14AF76CB"/>
    <w:rsid w:val="14B41848"/>
    <w:rsid w:val="14B46A8F"/>
    <w:rsid w:val="14B474C5"/>
    <w:rsid w:val="14B66F5B"/>
    <w:rsid w:val="14B940A6"/>
    <w:rsid w:val="14CB7588"/>
    <w:rsid w:val="14CC78F3"/>
    <w:rsid w:val="14CF1B1B"/>
    <w:rsid w:val="14D279B4"/>
    <w:rsid w:val="14DD32F0"/>
    <w:rsid w:val="14DF1BD5"/>
    <w:rsid w:val="14E07A2C"/>
    <w:rsid w:val="14E1675A"/>
    <w:rsid w:val="14E57C63"/>
    <w:rsid w:val="14E63301"/>
    <w:rsid w:val="14E953FD"/>
    <w:rsid w:val="14EE541C"/>
    <w:rsid w:val="14EF14C8"/>
    <w:rsid w:val="14EF3F6B"/>
    <w:rsid w:val="14F21366"/>
    <w:rsid w:val="14F3352F"/>
    <w:rsid w:val="14F36743"/>
    <w:rsid w:val="14F56A74"/>
    <w:rsid w:val="14FC58F2"/>
    <w:rsid w:val="14FE79A5"/>
    <w:rsid w:val="15003A82"/>
    <w:rsid w:val="150063A0"/>
    <w:rsid w:val="150117A8"/>
    <w:rsid w:val="15074494"/>
    <w:rsid w:val="150B001C"/>
    <w:rsid w:val="15121A08"/>
    <w:rsid w:val="15135793"/>
    <w:rsid w:val="15153797"/>
    <w:rsid w:val="15154F6B"/>
    <w:rsid w:val="151E1671"/>
    <w:rsid w:val="152119E5"/>
    <w:rsid w:val="15220000"/>
    <w:rsid w:val="15225262"/>
    <w:rsid w:val="152571A3"/>
    <w:rsid w:val="152E435F"/>
    <w:rsid w:val="152F5FAA"/>
    <w:rsid w:val="153E323D"/>
    <w:rsid w:val="153F3F2D"/>
    <w:rsid w:val="154406BF"/>
    <w:rsid w:val="15505450"/>
    <w:rsid w:val="155B33AF"/>
    <w:rsid w:val="155C2C83"/>
    <w:rsid w:val="155D0482"/>
    <w:rsid w:val="156009C5"/>
    <w:rsid w:val="1565422D"/>
    <w:rsid w:val="1566572F"/>
    <w:rsid w:val="156726E4"/>
    <w:rsid w:val="156C2EC6"/>
    <w:rsid w:val="156C7992"/>
    <w:rsid w:val="15710D11"/>
    <w:rsid w:val="1574215A"/>
    <w:rsid w:val="15761F97"/>
    <w:rsid w:val="15791641"/>
    <w:rsid w:val="157B13BC"/>
    <w:rsid w:val="157D0E9D"/>
    <w:rsid w:val="157F7533"/>
    <w:rsid w:val="15882032"/>
    <w:rsid w:val="15883A78"/>
    <w:rsid w:val="158C4D72"/>
    <w:rsid w:val="158D3108"/>
    <w:rsid w:val="158F12AA"/>
    <w:rsid w:val="158F4E06"/>
    <w:rsid w:val="158F714A"/>
    <w:rsid w:val="15922A63"/>
    <w:rsid w:val="15932B49"/>
    <w:rsid w:val="159A5CDC"/>
    <w:rsid w:val="159A6FEE"/>
    <w:rsid w:val="159E329B"/>
    <w:rsid w:val="159E6824"/>
    <w:rsid w:val="159F1F9D"/>
    <w:rsid w:val="15A60BA5"/>
    <w:rsid w:val="15AB2B75"/>
    <w:rsid w:val="15AC1E7C"/>
    <w:rsid w:val="15AC7CA9"/>
    <w:rsid w:val="15AE2DC8"/>
    <w:rsid w:val="15B45E9B"/>
    <w:rsid w:val="15B8423D"/>
    <w:rsid w:val="15B87207"/>
    <w:rsid w:val="15CC605B"/>
    <w:rsid w:val="15D171CD"/>
    <w:rsid w:val="15D54F0F"/>
    <w:rsid w:val="15E45511"/>
    <w:rsid w:val="15E555E5"/>
    <w:rsid w:val="15EB4DF3"/>
    <w:rsid w:val="15EE4223"/>
    <w:rsid w:val="15F6675E"/>
    <w:rsid w:val="15FB06EE"/>
    <w:rsid w:val="160022D2"/>
    <w:rsid w:val="16007AB2"/>
    <w:rsid w:val="160752E5"/>
    <w:rsid w:val="160E443B"/>
    <w:rsid w:val="16104199"/>
    <w:rsid w:val="16111CBF"/>
    <w:rsid w:val="16156872"/>
    <w:rsid w:val="1619582C"/>
    <w:rsid w:val="161B4433"/>
    <w:rsid w:val="161C1760"/>
    <w:rsid w:val="16214607"/>
    <w:rsid w:val="162172D7"/>
    <w:rsid w:val="162437A1"/>
    <w:rsid w:val="16257E60"/>
    <w:rsid w:val="16263C7C"/>
    <w:rsid w:val="162D71E8"/>
    <w:rsid w:val="162E461F"/>
    <w:rsid w:val="16324A4A"/>
    <w:rsid w:val="16410673"/>
    <w:rsid w:val="16443A44"/>
    <w:rsid w:val="164B6F7F"/>
    <w:rsid w:val="164C2CF7"/>
    <w:rsid w:val="16501384"/>
    <w:rsid w:val="165322D8"/>
    <w:rsid w:val="165A18B8"/>
    <w:rsid w:val="165D6D35"/>
    <w:rsid w:val="16600A22"/>
    <w:rsid w:val="16677B31"/>
    <w:rsid w:val="166B221D"/>
    <w:rsid w:val="166B5465"/>
    <w:rsid w:val="166B5873"/>
    <w:rsid w:val="16706804"/>
    <w:rsid w:val="16752C34"/>
    <w:rsid w:val="16761997"/>
    <w:rsid w:val="16765F7F"/>
    <w:rsid w:val="16775FC6"/>
    <w:rsid w:val="167A4FE3"/>
    <w:rsid w:val="1681473D"/>
    <w:rsid w:val="16817530"/>
    <w:rsid w:val="16830799"/>
    <w:rsid w:val="168B3820"/>
    <w:rsid w:val="16935F86"/>
    <w:rsid w:val="169408EA"/>
    <w:rsid w:val="16946B78"/>
    <w:rsid w:val="169916F7"/>
    <w:rsid w:val="16A10D7E"/>
    <w:rsid w:val="16A31C0B"/>
    <w:rsid w:val="16A353F9"/>
    <w:rsid w:val="16A448E1"/>
    <w:rsid w:val="16A6065A"/>
    <w:rsid w:val="16A60D5F"/>
    <w:rsid w:val="16A638BE"/>
    <w:rsid w:val="16AA2F16"/>
    <w:rsid w:val="16AB2114"/>
    <w:rsid w:val="16AE4F72"/>
    <w:rsid w:val="16B12199"/>
    <w:rsid w:val="16B56E58"/>
    <w:rsid w:val="16BB37A3"/>
    <w:rsid w:val="16BE584F"/>
    <w:rsid w:val="16BF701F"/>
    <w:rsid w:val="16C0050D"/>
    <w:rsid w:val="16C75500"/>
    <w:rsid w:val="16C775FE"/>
    <w:rsid w:val="16CA2F40"/>
    <w:rsid w:val="16CC16CE"/>
    <w:rsid w:val="16CF654F"/>
    <w:rsid w:val="16D30095"/>
    <w:rsid w:val="16D31A1B"/>
    <w:rsid w:val="16D60B11"/>
    <w:rsid w:val="16D87923"/>
    <w:rsid w:val="16DB1AC1"/>
    <w:rsid w:val="16DD47DB"/>
    <w:rsid w:val="16E060CA"/>
    <w:rsid w:val="16E10014"/>
    <w:rsid w:val="16E60DF9"/>
    <w:rsid w:val="16E875C5"/>
    <w:rsid w:val="16F32E01"/>
    <w:rsid w:val="16FC64CC"/>
    <w:rsid w:val="17014F36"/>
    <w:rsid w:val="170535D2"/>
    <w:rsid w:val="170651A4"/>
    <w:rsid w:val="170949A7"/>
    <w:rsid w:val="170D2E54"/>
    <w:rsid w:val="17187A03"/>
    <w:rsid w:val="171C5A81"/>
    <w:rsid w:val="171F70DD"/>
    <w:rsid w:val="17207BFF"/>
    <w:rsid w:val="172150F6"/>
    <w:rsid w:val="172171F6"/>
    <w:rsid w:val="17252038"/>
    <w:rsid w:val="172D42CE"/>
    <w:rsid w:val="172E1417"/>
    <w:rsid w:val="1737255D"/>
    <w:rsid w:val="17411885"/>
    <w:rsid w:val="17430688"/>
    <w:rsid w:val="174411E0"/>
    <w:rsid w:val="174672E5"/>
    <w:rsid w:val="174F66DD"/>
    <w:rsid w:val="17504430"/>
    <w:rsid w:val="17546308"/>
    <w:rsid w:val="175956CC"/>
    <w:rsid w:val="175A5403"/>
    <w:rsid w:val="17616DA6"/>
    <w:rsid w:val="17691BB2"/>
    <w:rsid w:val="17696F5D"/>
    <w:rsid w:val="176A5E19"/>
    <w:rsid w:val="176B183A"/>
    <w:rsid w:val="176E70B3"/>
    <w:rsid w:val="176E70C4"/>
    <w:rsid w:val="17702E89"/>
    <w:rsid w:val="17745F1B"/>
    <w:rsid w:val="17756461"/>
    <w:rsid w:val="177A4ECD"/>
    <w:rsid w:val="177D4252"/>
    <w:rsid w:val="17835914"/>
    <w:rsid w:val="178677B1"/>
    <w:rsid w:val="178A3AD7"/>
    <w:rsid w:val="178B0A17"/>
    <w:rsid w:val="17906A6C"/>
    <w:rsid w:val="17913549"/>
    <w:rsid w:val="17940548"/>
    <w:rsid w:val="179A0052"/>
    <w:rsid w:val="179E1BF7"/>
    <w:rsid w:val="17A55F78"/>
    <w:rsid w:val="17A70B2D"/>
    <w:rsid w:val="17B906D9"/>
    <w:rsid w:val="17BB4F50"/>
    <w:rsid w:val="17BE2E86"/>
    <w:rsid w:val="17C622CB"/>
    <w:rsid w:val="17C92852"/>
    <w:rsid w:val="17D00A3A"/>
    <w:rsid w:val="17D029EF"/>
    <w:rsid w:val="17D75986"/>
    <w:rsid w:val="17D86F39"/>
    <w:rsid w:val="17DC167A"/>
    <w:rsid w:val="17E4389C"/>
    <w:rsid w:val="17E72CD8"/>
    <w:rsid w:val="17E7572C"/>
    <w:rsid w:val="17E84BB2"/>
    <w:rsid w:val="17E87351"/>
    <w:rsid w:val="17ED3B41"/>
    <w:rsid w:val="17EE050A"/>
    <w:rsid w:val="17EF4FFC"/>
    <w:rsid w:val="17FB6783"/>
    <w:rsid w:val="17FE0021"/>
    <w:rsid w:val="18023FB5"/>
    <w:rsid w:val="18025D64"/>
    <w:rsid w:val="180A4C18"/>
    <w:rsid w:val="180E4708"/>
    <w:rsid w:val="1810433F"/>
    <w:rsid w:val="18147845"/>
    <w:rsid w:val="18167B10"/>
    <w:rsid w:val="18181E8D"/>
    <w:rsid w:val="181B0BD3"/>
    <w:rsid w:val="181F06C4"/>
    <w:rsid w:val="181F63D4"/>
    <w:rsid w:val="1821268E"/>
    <w:rsid w:val="182B350C"/>
    <w:rsid w:val="182D4122"/>
    <w:rsid w:val="182E4630"/>
    <w:rsid w:val="182F3072"/>
    <w:rsid w:val="18334789"/>
    <w:rsid w:val="18354663"/>
    <w:rsid w:val="18360C4F"/>
    <w:rsid w:val="18386A70"/>
    <w:rsid w:val="183B1275"/>
    <w:rsid w:val="184327DE"/>
    <w:rsid w:val="184A503E"/>
    <w:rsid w:val="184A510B"/>
    <w:rsid w:val="18535ABC"/>
    <w:rsid w:val="18557D7D"/>
    <w:rsid w:val="185D72AB"/>
    <w:rsid w:val="185F2DAF"/>
    <w:rsid w:val="1869193F"/>
    <w:rsid w:val="1871155F"/>
    <w:rsid w:val="18711565"/>
    <w:rsid w:val="187529D9"/>
    <w:rsid w:val="187B63C2"/>
    <w:rsid w:val="187F73B4"/>
    <w:rsid w:val="188B4AFF"/>
    <w:rsid w:val="188C7D85"/>
    <w:rsid w:val="188F7A9E"/>
    <w:rsid w:val="18975E70"/>
    <w:rsid w:val="18982224"/>
    <w:rsid w:val="189C1D14"/>
    <w:rsid w:val="18A24E51"/>
    <w:rsid w:val="18A3668F"/>
    <w:rsid w:val="18A6252E"/>
    <w:rsid w:val="18A706B9"/>
    <w:rsid w:val="18A816B7"/>
    <w:rsid w:val="18A830F0"/>
    <w:rsid w:val="18A9617F"/>
    <w:rsid w:val="18AB2B24"/>
    <w:rsid w:val="18AD0D68"/>
    <w:rsid w:val="18B142EE"/>
    <w:rsid w:val="18B23B44"/>
    <w:rsid w:val="18B32480"/>
    <w:rsid w:val="18B34A2A"/>
    <w:rsid w:val="18B352B0"/>
    <w:rsid w:val="18B4198B"/>
    <w:rsid w:val="18BA01FF"/>
    <w:rsid w:val="18BE7650"/>
    <w:rsid w:val="18C179CD"/>
    <w:rsid w:val="18CB6A1D"/>
    <w:rsid w:val="18D857B1"/>
    <w:rsid w:val="18D94D16"/>
    <w:rsid w:val="18DC027B"/>
    <w:rsid w:val="18DF1EB1"/>
    <w:rsid w:val="18E57F8F"/>
    <w:rsid w:val="18E64911"/>
    <w:rsid w:val="18F33E1D"/>
    <w:rsid w:val="18F45A9D"/>
    <w:rsid w:val="18F70F1F"/>
    <w:rsid w:val="18FA4C8D"/>
    <w:rsid w:val="18FB5146"/>
    <w:rsid w:val="18FC2175"/>
    <w:rsid w:val="18FD016F"/>
    <w:rsid w:val="18FF04F5"/>
    <w:rsid w:val="18FF6412"/>
    <w:rsid w:val="19085771"/>
    <w:rsid w:val="190A6308"/>
    <w:rsid w:val="190B50EC"/>
    <w:rsid w:val="190F5795"/>
    <w:rsid w:val="1912079B"/>
    <w:rsid w:val="19132319"/>
    <w:rsid w:val="19134114"/>
    <w:rsid w:val="19134827"/>
    <w:rsid w:val="19163C62"/>
    <w:rsid w:val="191C34A5"/>
    <w:rsid w:val="191D2C9B"/>
    <w:rsid w:val="191F16C7"/>
    <w:rsid w:val="191F46F3"/>
    <w:rsid w:val="19224845"/>
    <w:rsid w:val="19264E23"/>
    <w:rsid w:val="19287A4C"/>
    <w:rsid w:val="192D1125"/>
    <w:rsid w:val="192F3FF0"/>
    <w:rsid w:val="19314B52"/>
    <w:rsid w:val="193337F3"/>
    <w:rsid w:val="19365277"/>
    <w:rsid w:val="19366C94"/>
    <w:rsid w:val="193B5442"/>
    <w:rsid w:val="193C52A5"/>
    <w:rsid w:val="19400CFB"/>
    <w:rsid w:val="19452A7B"/>
    <w:rsid w:val="1946006F"/>
    <w:rsid w:val="194B373A"/>
    <w:rsid w:val="194B54E8"/>
    <w:rsid w:val="194B7296"/>
    <w:rsid w:val="194D237F"/>
    <w:rsid w:val="195357A7"/>
    <w:rsid w:val="19554B74"/>
    <w:rsid w:val="195C3F25"/>
    <w:rsid w:val="19630A84"/>
    <w:rsid w:val="19670574"/>
    <w:rsid w:val="196846DC"/>
    <w:rsid w:val="1968609A"/>
    <w:rsid w:val="196A08CD"/>
    <w:rsid w:val="196C5B8A"/>
    <w:rsid w:val="196E0308"/>
    <w:rsid w:val="196F4370"/>
    <w:rsid w:val="197343F3"/>
    <w:rsid w:val="19786206"/>
    <w:rsid w:val="197B4380"/>
    <w:rsid w:val="197B608A"/>
    <w:rsid w:val="19814E9C"/>
    <w:rsid w:val="198454CC"/>
    <w:rsid w:val="198465F3"/>
    <w:rsid w:val="198F7ACB"/>
    <w:rsid w:val="199649B5"/>
    <w:rsid w:val="199926F8"/>
    <w:rsid w:val="19A31619"/>
    <w:rsid w:val="19A3762F"/>
    <w:rsid w:val="19AD1CFF"/>
    <w:rsid w:val="19AF3A1B"/>
    <w:rsid w:val="19AF6F72"/>
    <w:rsid w:val="19AF7825"/>
    <w:rsid w:val="19B31183"/>
    <w:rsid w:val="19B80595"/>
    <w:rsid w:val="19BC350E"/>
    <w:rsid w:val="19BD0194"/>
    <w:rsid w:val="19BF795C"/>
    <w:rsid w:val="19C916C4"/>
    <w:rsid w:val="19C95E24"/>
    <w:rsid w:val="19CE05F3"/>
    <w:rsid w:val="19CE1B53"/>
    <w:rsid w:val="19D24DCA"/>
    <w:rsid w:val="19D46A04"/>
    <w:rsid w:val="19D754F4"/>
    <w:rsid w:val="19DF45AE"/>
    <w:rsid w:val="19E157F4"/>
    <w:rsid w:val="19E2568A"/>
    <w:rsid w:val="19E50FDE"/>
    <w:rsid w:val="19E877B3"/>
    <w:rsid w:val="19EF1920"/>
    <w:rsid w:val="19F416DC"/>
    <w:rsid w:val="19FA4C13"/>
    <w:rsid w:val="19FE1E73"/>
    <w:rsid w:val="19FE255B"/>
    <w:rsid w:val="19FE6418"/>
    <w:rsid w:val="1A006A76"/>
    <w:rsid w:val="1A026B5D"/>
    <w:rsid w:val="1A054EE9"/>
    <w:rsid w:val="1A057D8D"/>
    <w:rsid w:val="1A072B59"/>
    <w:rsid w:val="1A073B05"/>
    <w:rsid w:val="1A0A752D"/>
    <w:rsid w:val="1A0B3B5C"/>
    <w:rsid w:val="1A0B6F32"/>
    <w:rsid w:val="1A0C4BCD"/>
    <w:rsid w:val="1A0E6C42"/>
    <w:rsid w:val="1A1542BA"/>
    <w:rsid w:val="1A1600B2"/>
    <w:rsid w:val="1A18098A"/>
    <w:rsid w:val="1A187AC0"/>
    <w:rsid w:val="1A1E64FF"/>
    <w:rsid w:val="1A1F0750"/>
    <w:rsid w:val="1A24438C"/>
    <w:rsid w:val="1A280A3F"/>
    <w:rsid w:val="1A2B0289"/>
    <w:rsid w:val="1A2B66B5"/>
    <w:rsid w:val="1A310B82"/>
    <w:rsid w:val="1A3441CE"/>
    <w:rsid w:val="1A3D355B"/>
    <w:rsid w:val="1A481AA8"/>
    <w:rsid w:val="1A4927E5"/>
    <w:rsid w:val="1A495ECC"/>
    <w:rsid w:val="1A4A39F2"/>
    <w:rsid w:val="1A527A9E"/>
    <w:rsid w:val="1A5865FF"/>
    <w:rsid w:val="1A5A29EE"/>
    <w:rsid w:val="1A5B207C"/>
    <w:rsid w:val="1A5E0A43"/>
    <w:rsid w:val="1A5F0B00"/>
    <w:rsid w:val="1A5F3D37"/>
    <w:rsid w:val="1A634824"/>
    <w:rsid w:val="1A66082C"/>
    <w:rsid w:val="1A690F0C"/>
    <w:rsid w:val="1A691988"/>
    <w:rsid w:val="1A6970E8"/>
    <w:rsid w:val="1A6A545B"/>
    <w:rsid w:val="1A74215F"/>
    <w:rsid w:val="1A7566F2"/>
    <w:rsid w:val="1A770CC8"/>
    <w:rsid w:val="1A77464F"/>
    <w:rsid w:val="1A7A1B33"/>
    <w:rsid w:val="1A7C004F"/>
    <w:rsid w:val="1A7C6383"/>
    <w:rsid w:val="1A802E6C"/>
    <w:rsid w:val="1A825FE2"/>
    <w:rsid w:val="1A8B41C9"/>
    <w:rsid w:val="1A8D50A0"/>
    <w:rsid w:val="1A911621"/>
    <w:rsid w:val="1A937FFB"/>
    <w:rsid w:val="1A977D36"/>
    <w:rsid w:val="1AA43102"/>
    <w:rsid w:val="1AA878A9"/>
    <w:rsid w:val="1AAA66D6"/>
    <w:rsid w:val="1AAE10EC"/>
    <w:rsid w:val="1AB07CF9"/>
    <w:rsid w:val="1AB772D9"/>
    <w:rsid w:val="1ABB2456"/>
    <w:rsid w:val="1ABC6045"/>
    <w:rsid w:val="1AC64FF5"/>
    <w:rsid w:val="1AC76DF0"/>
    <w:rsid w:val="1AC968F2"/>
    <w:rsid w:val="1ACA64E8"/>
    <w:rsid w:val="1ACA67C8"/>
    <w:rsid w:val="1ACB68E1"/>
    <w:rsid w:val="1AD24430"/>
    <w:rsid w:val="1AD255F6"/>
    <w:rsid w:val="1AD30604"/>
    <w:rsid w:val="1AD41CB4"/>
    <w:rsid w:val="1AD94039"/>
    <w:rsid w:val="1AE87D36"/>
    <w:rsid w:val="1AEE125C"/>
    <w:rsid w:val="1AEF59B8"/>
    <w:rsid w:val="1AF01459"/>
    <w:rsid w:val="1AF71062"/>
    <w:rsid w:val="1AF90D4D"/>
    <w:rsid w:val="1AFC510C"/>
    <w:rsid w:val="1B0B6D57"/>
    <w:rsid w:val="1B0C120E"/>
    <w:rsid w:val="1B0D4108"/>
    <w:rsid w:val="1B0E67CD"/>
    <w:rsid w:val="1B0F0EC3"/>
    <w:rsid w:val="1B0F4711"/>
    <w:rsid w:val="1B12628B"/>
    <w:rsid w:val="1B130D13"/>
    <w:rsid w:val="1B1970BA"/>
    <w:rsid w:val="1B1B7BF4"/>
    <w:rsid w:val="1B1E770F"/>
    <w:rsid w:val="1B2A45A7"/>
    <w:rsid w:val="1B32070E"/>
    <w:rsid w:val="1B335FB7"/>
    <w:rsid w:val="1B374424"/>
    <w:rsid w:val="1B375D24"/>
    <w:rsid w:val="1B43291B"/>
    <w:rsid w:val="1B477BFC"/>
    <w:rsid w:val="1B486183"/>
    <w:rsid w:val="1B5B45DC"/>
    <w:rsid w:val="1B5B5FDA"/>
    <w:rsid w:val="1B5C578B"/>
    <w:rsid w:val="1B651694"/>
    <w:rsid w:val="1B6C0367"/>
    <w:rsid w:val="1B7371D9"/>
    <w:rsid w:val="1B7406C7"/>
    <w:rsid w:val="1B784C7F"/>
    <w:rsid w:val="1B79458F"/>
    <w:rsid w:val="1B7E3953"/>
    <w:rsid w:val="1B7E67C6"/>
    <w:rsid w:val="1B7F280B"/>
    <w:rsid w:val="1B8134CC"/>
    <w:rsid w:val="1B85484D"/>
    <w:rsid w:val="1B857136"/>
    <w:rsid w:val="1B862808"/>
    <w:rsid w:val="1B8D003A"/>
    <w:rsid w:val="1B913FEF"/>
    <w:rsid w:val="1B957BB4"/>
    <w:rsid w:val="1B971BA9"/>
    <w:rsid w:val="1B9F099B"/>
    <w:rsid w:val="1BA517A1"/>
    <w:rsid w:val="1BB6133F"/>
    <w:rsid w:val="1BB66F61"/>
    <w:rsid w:val="1BB959AA"/>
    <w:rsid w:val="1BC30FDD"/>
    <w:rsid w:val="1BC31CAE"/>
    <w:rsid w:val="1BC6633A"/>
    <w:rsid w:val="1BC70323"/>
    <w:rsid w:val="1BC752FA"/>
    <w:rsid w:val="1BC90051"/>
    <w:rsid w:val="1BC97C41"/>
    <w:rsid w:val="1BCD48DA"/>
    <w:rsid w:val="1BCD7E6B"/>
    <w:rsid w:val="1BCE0482"/>
    <w:rsid w:val="1BD118B1"/>
    <w:rsid w:val="1BD12E87"/>
    <w:rsid w:val="1BD72B13"/>
    <w:rsid w:val="1BD87507"/>
    <w:rsid w:val="1BDC279E"/>
    <w:rsid w:val="1BDD2D6F"/>
    <w:rsid w:val="1BDE0675"/>
    <w:rsid w:val="1BE614F8"/>
    <w:rsid w:val="1BEB7A9D"/>
    <w:rsid w:val="1BF234F2"/>
    <w:rsid w:val="1BF67FDC"/>
    <w:rsid w:val="1BFA5749"/>
    <w:rsid w:val="1C025112"/>
    <w:rsid w:val="1C0565D6"/>
    <w:rsid w:val="1C090E9C"/>
    <w:rsid w:val="1C0E6482"/>
    <w:rsid w:val="1C0F4EF3"/>
    <w:rsid w:val="1C12168A"/>
    <w:rsid w:val="1C132443"/>
    <w:rsid w:val="1C1D26ED"/>
    <w:rsid w:val="1C1F5987"/>
    <w:rsid w:val="1C241C3D"/>
    <w:rsid w:val="1C267F4F"/>
    <w:rsid w:val="1C2B4641"/>
    <w:rsid w:val="1C2F2E9F"/>
    <w:rsid w:val="1C3861F8"/>
    <w:rsid w:val="1C456157"/>
    <w:rsid w:val="1C4723EA"/>
    <w:rsid w:val="1C490921"/>
    <w:rsid w:val="1C49257F"/>
    <w:rsid w:val="1C4A7CD9"/>
    <w:rsid w:val="1C501F09"/>
    <w:rsid w:val="1C516588"/>
    <w:rsid w:val="1C522447"/>
    <w:rsid w:val="1C5264C8"/>
    <w:rsid w:val="1C56667E"/>
    <w:rsid w:val="1C597F1C"/>
    <w:rsid w:val="1C6012AB"/>
    <w:rsid w:val="1C603786"/>
    <w:rsid w:val="1C64435B"/>
    <w:rsid w:val="1C6D5805"/>
    <w:rsid w:val="1C760ACE"/>
    <w:rsid w:val="1C787886"/>
    <w:rsid w:val="1C7C7A64"/>
    <w:rsid w:val="1C80194D"/>
    <w:rsid w:val="1C842F55"/>
    <w:rsid w:val="1C864F11"/>
    <w:rsid w:val="1C8B140C"/>
    <w:rsid w:val="1C8B7161"/>
    <w:rsid w:val="1C8C20A0"/>
    <w:rsid w:val="1C8D11AB"/>
    <w:rsid w:val="1C8E4206"/>
    <w:rsid w:val="1C8F78EF"/>
    <w:rsid w:val="1C90290D"/>
    <w:rsid w:val="1C964CCC"/>
    <w:rsid w:val="1C99656B"/>
    <w:rsid w:val="1C9C6787"/>
    <w:rsid w:val="1CA4563B"/>
    <w:rsid w:val="1CAA0778"/>
    <w:rsid w:val="1CB32B6D"/>
    <w:rsid w:val="1CB33AD0"/>
    <w:rsid w:val="1CB91DEC"/>
    <w:rsid w:val="1CC156FE"/>
    <w:rsid w:val="1CC30290"/>
    <w:rsid w:val="1CC7757C"/>
    <w:rsid w:val="1CD203FA"/>
    <w:rsid w:val="1CD36D62"/>
    <w:rsid w:val="1CD6176F"/>
    <w:rsid w:val="1CDF1CDF"/>
    <w:rsid w:val="1CDF2D5E"/>
    <w:rsid w:val="1CDF2E64"/>
    <w:rsid w:val="1CDF6673"/>
    <w:rsid w:val="1CE123EB"/>
    <w:rsid w:val="1CE65C54"/>
    <w:rsid w:val="1CE75623"/>
    <w:rsid w:val="1CF24C02"/>
    <w:rsid w:val="1CF67955"/>
    <w:rsid w:val="1D005D35"/>
    <w:rsid w:val="1D01031E"/>
    <w:rsid w:val="1D04257E"/>
    <w:rsid w:val="1D05291B"/>
    <w:rsid w:val="1D061E52"/>
    <w:rsid w:val="1D076AC5"/>
    <w:rsid w:val="1D0C4F8F"/>
    <w:rsid w:val="1D0D796C"/>
    <w:rsid w:val="1D0F29C1"/>
    <w:rsid w:val="1D1207F7"/>
    <w:rsid w:val="1D145F06"/>
    <w:rsid w:val="1D154BE0"/>
    <w:rsid w:val="1D1E3640"/>
    <w:rsid w:val="1D222A36"/>
    <w:rsid w:val="1D2642A2"/>
    <w:rsid w:val="1D286EE6"/>
    <w:rsid w:val="1D310521"/>
    <w:rsid w:val="1D350989"/>
    <w:rsid w:val="1D3545D5"/>
    <w:rsid w:val="1D383FD6"/>
    <w:rsid w:val="1D3B4E59"/>
    <w:rsid w:val="1D3C1A50"/>
    <w:rsid w:val="1D4170C5"/>
    <w:rsid w:val="1D4218D7"/>
    <w:rsid w:val="1D4D5CD3"/>
    <w:rsid w:val="1D4E6761"/>
    <w:rsid w:val="1D591F60"/>
    <w:rsid w:val="1D5B1F3A"/>
    <w:rsid w:val="1D5E1BB3"/>
    <w:rsid w:val="1D5F2AD3"/>
    <w:rsid w:val="1D666D95"/>
    <w:rsid w:val="1D691539"/>
    <w:rsid w:val="1D705364"/>
    <w:rsid w:val="1D73025B"/>
    <w:rsid w:val="1D7355AB"/>
    <w:rsid w:val="1D776411"/>
    <w:rsid w:val="1D7819D0"/>
    <w:rsid w:val="1D792DEC"/>
    <w:rsid w:val="1D9751A0"/>
    <w:rsid w:val="1D983F49"/>
    <w:rsid w:val="1DA51673"/>
    <w:rsid w:val="1DAA4B96"/>
    <w:rsid w:val="1DAB5340"/>
    <w:rsid w:val="1DAF4298"/>
    <w:rsid w:val="1DB573D4"/>
    <w:rsid w:val="1DB65578"/>
    <w:rsid w:val="1DBA25A3"/>
    <w:rsid w:val="1DC1221D"/>
    <w:rsid w:val="1DCF66E8"/>
    <w:rsid w:val="1DD261D8"/>
    <w:rsid w:val="1DDA4CBB"/>
    <w:rsid w:val="1DE04776"/>
    <w:rsid w:val="1DE2596E"/>
    <w:rsid w:val="1DE318BC"/>
    <w:rsid w:val="1DE63A32"/>
    <w:rsid w:val="1DF120A7"/>
    <w:rsid w:val="1DF4689F"/>
    <w:rsid w:val="1DF5229C"/>
    <w:rsid w:val="1DF816DA"/>
    <w:rsid w:val="1DFF09B2"/>
    <w:rsid w:val="1DFF55C2"/>
    <w:rsid w:val="1E0233E2"/>
    <w:rsid w:val="1E025CEA"/>
    <w:rsid w:val="1E085B88"/>
    <w:rsid w:val="1E196591"/>
    <w:rsid w:val="1E1E012C"/>
    <w:rsid w:val="1E1F5BAF"/>
    <w:rsid w:val="1E2178BB"/>
    <w:rsid w:val="1E2411EB"/>
    <w:rsid w:val="1E2707B8"/>
    <w:rsid w:val="1E2A6E8A"/>
    <w:rsid w:val="1E2E78B2"/>
    <w:rsid w:val="1E311151"/>
    <w:rsid w:val="1E334401"/>
    <w:rsid w:val="1E3625F6"/>
    <w:rsid w:val="1E366767"/>
    <w:rsid w:val="1E39113C"/>
    <w:rsid w:val="1E4C46B6"/>
    <w:rsid w:val="1E4F7829"/>
    <w:rsid w:val="1E5B02F0"/>
    <w:rsid w:val="1E5B387D"/>
    <w:rsid w:val="1E5D6AF5"/>
    <w:rsid w:val="1E604D89"/>
    <w:rsid w:val="1E632413"/>
    <w:rsid w:val="1E65221B"/>
    <w:rsid w:val="1E691F90"/>
    <w:rsid w:val="1E6C4753"/>
    <w:rsid w:val="1E6E4153"/>
    <w:rsid w:val="1E6E6085"/>
    <w:rsid w:val="1E7070EB"/>
    <w:rsid w:val="1E741642"/>
    <w:rsid w:val="1E753ADA"/>
    <w:rsid w:val="1E7615B7"/>
    <w:rsid w:val="1E7828DC"/>
    <w:rsid w:val="1E7D0307"/>
    <w:rsid w:val="1E7E7DEE"/>
    <w:rsid w:val="1E806861"/>
    <w:rsid w:val="1E870D71"/>
    <w:rsid w:val="1E885E5D"/>
    <w:rsid w:val="1E9620D3"/>
    <w:rsid w:val="1E990AA4"/>
    <w:rsid w:val="1E9A536D"/>
    <w:rsid w:val="1EA049B5"/>
    <w:rsid w:val="1EAB0F03"/>
    <w:rsid w:val="1EAB78FF"/>
    <w:rsid w:val="1EB1193F"/>
    <w:rsid w:val="1EB15DEE"/>
    <w:rsid w:val="1EB35599"/>
    <w:rsid w:val="1EB970FD"/>
    <w:rsid w:val="1EC01F32"/>
    <w:rsid w:val="1EC041AD"/>
    <w:rsid w:val="1EC45AD1"/>
    <w:rsid w:val="1EC56A8E"/>
    <w:rsid w:val="1EC746CA"/>
    <w:rsid w:val="1EC8219B"/>
    <w:rsid w:val="1EC93137"/>
    <w:rsid w:val="1EC94019"/>
    <w:rsid w:val="1ED0096A"/>
    <w:rsid w:val="1ED44572"/>
    <w:rsid w:val="1ED50D55"/>
    <w:rsid w:val="1EDC3AD2"/>
    <w:rsid w:val="1EDF6DFF"/>
    <w:rsid w:val="1EE40F81"/>
    <w:rsid w:val="1EE53034"/>
    <w:rsid w:val="1EEA3A5F"/>
    <w:rsid w:val="1EEF7422"/>
    <w:rsid w:val="1EF336B4"/>
    <w:rsid w:val="1EFD123D"/>
    <w:rsid w:val="1EFF4DAB"/>
    <w:rsid w:val="1F040AF8"/>
    <w:rsid w:val="1F074B01"/>
    <w:rsid w:val="1F0B11D3"/>
    <w:rsid w:val="1F0D396C"/>
    <w:rsid w:val="1F0F37A0"/>
    <w:rsid w:val="1F1574B5"/>
    <w:rsid w:val="1F1D7927"/>
    <w:rsid w:val="1F1D7F1A"/>
    <w:rsid w:val="1F1F207D"/>
    <w:rsid w:val="1F271F5F"/>
    <w:rsid w:val="1F2765CD"/>
    <w:rsid w:val="1F283944"/>
    <w:rsid w:val="1F2C36C6"/>
    <w:rsid w:val="1F2D2773"/>
    <w:rsid w:val="1F2F552D"/>
    <w:rsid w:val="1F303956"/>
    <w:rsid w:val="1F3231B4"/>
    <w:rsid w:val="1F3800ED"/>
    <w:rsid w:val="1F39725E"/>
    <w:rsid w:val="1F3A1E60"/>
    <w:rsid w:val="1F3A4472"/>
    <w:rsid w:val="1F3E3810"/>
    <w:rsid w:val="1F42345E"/>
    <w:rsid w:val="1F460C2C"/>
    <w:rsid w:val="1F4629DA"/>
    <w:rsid w:val="1F4A2B88"/>
    <w:rsid w:val="1F4B7FF0"/>
    <w:rsid w:val="1F537636"/>
    <w:rsid w:val="1F60485C"/>
    <w:rsid w:val="1F607B77"/>
    <w:rsid w:val="1F6415A5"/>
    <w:rsid w:val="1F6B3F39"/>
    <w:rsid w:val="1F6B4525"/>
    <w:rsid w:val="1F6E455B"/>
    <w:rsid w:val="1F7322DF"/>
    <w:rsid w:val="1F751935"/>
    <w:rsid w:val="1F7B1866"/>
    <w:rsid w:val="1F7E03C6"/>
    <w:rsid w:val="1F8120EE"/>
    <w:rsid w:val="1F896D6A"/>
    <w:rsid w:val="1F8B4890"/>
    <w:rsid w:val="1F90634B"/>
    <w:rsid w:val="1F907953"/>
    <w:rsid w:val="1F912FCF"/>
    <w:rsid w:val="1F950C66"/>
    <w:rsid w:val="1F973235"/>
    <w:rsid w:val="1F9761A4"/>
    <w:rsid w:val="1F99613A"/>
    <w:rsid w:val="1F9B1ABB"/>
    <w:rsid w:val="1F9C6DF7"/>
    <w:rsid w:val="1F9F06F0"/>
    <w:rsid w:val="1FA30A6C"/>
    <w:rsid w:val="1FA32C58"/>
    <w:rsid w:val="1FA53BA4"/>
    <w:rsid w:val="1FA55C42"/>
    <w:rsid w:val="1FA713CD"/>
    <w:rsid w:val="1FA94D17"/>
    <w:rsid w:val="1FAB59E6"/>
    <w:rsid w:val="1FAC13D1"/>
    <w:rsid w:val="1FAC4405"/>
    <w:rsid w:val="1FB017D6"/>
    <w:rsid w:val="1FB56B13"/>
    <w:rsid w:val="1FBA777E"/>
    <w:rsid w:val="1FBF080A"/>
    <w:rsid w:val="1FBF58BF"/>
    <w:rsid w:val="1FC102B2"/>
    <w:rsid w:val="1FC1184A"/>
    <w:rsid w:val="1FC21B7A"/>
    <w:rsid w:val="1FCD6C57"/>
    <w:rsid w:val="1FCE3DAE"/>
    <w:rsid w:val="1FD55B10"/>
    <w:rsid w:val="1FD71884"/>
    <w:rsid w:val="1FDB75C6"/>
    <w:rsid w:val="1FDE4EC2"/>
    <w:rsid w:val="1FE13081"/>
    <w:rsid w:val="1FE3606E"/>
    <w:rsid w:val="1FE521F3"/>
    <w:rsid w:val="1FE62394"/>
    <w:rsid w:val="1FE637D7"/>
    <w:rsid w:val="1FEB3581"/>
    <w:rsid w:val="1FEF682C"/>
    <w:rsid w:val="1FF827B6"/>
    <w:rsid w:val="1FF95C9E"/>
    <w:rsid w:val="1FFB37C4"/>
    <w:rsid w:val="1FFD24A2"/>
    <w:rsid w:val="1FFD2DED"/>
    <w:rsid w:val="1FFF0860"/>
    <w:rsid w:val="200F7724"/>
    <w:rsid w:val="20100AD2"/>
    <w:rsid w:val="20126D60"/>
    <w:rsid w:val="201601C3"/>
    <w:rsid w:val="20175624"/>
    <w:rsid w:val="20204AEE"/>
    <w:rsid w:val="202A5E57"/>
    <w:rsid w:val="202B6D90"/>
    <w:rsid w:val="202C7E22"/>
    <w:rsid w:val="20313FB9"/>
    <w:rsid w:val="20346CD6"/>
    <w:rsid w:val="203B0007"/>
    <w:rsid w:val="203B1E13"/>
    <w:rsid w:val="203C353D"/>
    <w:rsid w:val="203C39A2"/>
    <w:rsid w:val="20407A64"/>
    <w:rsid w:val="20443CB9"/>
    <w:rsid w:val="20457D0E"/>
    <w:rsid w:val="20523600"/>
    <w:rsid w:val="20586E69"/>
    <w:rsid w:val="205C6F44"/>
    <w:rsid w:val="205D0C5E"/>
    <w:rsid w:val="205D2CAC"/>
    <w:rsid w:val="205E1FA5"/>
    <w:rsid w:val="205E737F"/>
    <w:rsid w:val="20631369"/>
    <w:rsid w:val="206B67EA"/>
    <w:rsid w:val="20735A50"/>
    <w:rsid w:val="207545DC"/>
    <w:rsid w:val="207812B9"/>
    <w:rsid w:val="20782A0A"/>
    <w:rsid w:val="207B7041"/>
    <w:rsid w:val="207E4939"/>
    <w:rsid w:val="208C71D9"/>
    <w:rsid w:val="208E661F"/>
    <w:rsid w:val="20940384"/>
    <w:rsid w:val="20987637"/>
    <w:rsid w:val="209A437D"/>
    <w:rsid w:val="20A025BE"/>
    <w:rsid w:val="20A13523"/>
    <w:rsid w:val="20B20C21"/>
    <w:rsid w:val="20BD5190"/>
    <w:rsid w:val="20C24078"/>
    <w:rsid w:val="20C31E08"/>
    <w:rsid w:val="20C472B3"/>
    <w:rsid w:val="20C72F89"/>
    <w:rsid w:val="20C83C2D"/>
    <w:rsid w:val="20CD5855"/>
    <w:rsid w:val="20D8591C"/>
    <w:rsid w:val="20DE4594"/>
    <w:rsid w:val="20E05F03"/>
    <w:rsid w:val="20E424AA"/>
    <w:rsid w:val="20E45C5F"/>
    <w:rsid w:val="20E837A7"/>
    <w:rsid w:val="20E93F65"/>
    <w:rsid w:val="20EA712D"/>
    <w:rsid w:val="20FC3928"/>
    <w:rsid w:val="20FE314A"/>
    <w:rsid w:val="20FE5F79"/>
    <w:rsid w:val="21075E26"/>
    <w:rsid w:val="21090163"/>
    <w:rsid w:val="211B1C44"/>
    <w:rsid w:val="21215438"/>
    <w:rsid w:val="2129610F"/>
    <w:rsid w:val="212A48F8"/>
    <w:rsid w:val="212C3E51"/>
    <w:rsid w:val="2130262B"/>
    <w:rsid w:val="21373301"/>
    <w:rsid w:val="213845A4"/>
    <w:rsid w:val="213E6C0A"/>
    <w:rsid w:val="21424995"/>
    <w:rsid w:val="21440924"/>
    <w:rsid w:val="2145715A"/>
    <w:rsid w:val="21463165"/>
    <w:rsid w:val="214844C3"/>
    <w:rsid w:val="21485471"/>
    <w:rsid w:val="2149055F"/>
    <w:rsid w:val="214C004F"/>
    <w:rsid w:val="214D6000"/>
    <w:rsid w:val="214E5B76"/>
    <w:rsid w:val="21534886"/>
    <w:rsid w:val="215533C5"/>
    <w:rsid w:val="21584EA5"/>
    <w:rsid w:val="215B3668"/>
    <w:rsid w:val="215D6BC3"/>
    <w:rsid w:val="216643CD"/>
    <w:rsid w:val="216929AF"/>
    <w:rsid w:val="216A7931"/>
    <w:rsid w:val="216F189E"/>
    <w:rsid w:val="21717535"/>
    <w:rsid w:val="21731DAF"/>
    <w:rsid w:val="217B4021"/>
    <w:rsid w:val="217C0935"/>
    <w:rsid w:val="217E7E91"/>
    <w:rsid w:val="2181722A"/>
    <w:rsid w:val="218840B4"/>
    <w:rsid w:val="21892999"/>
    <w:rsid w:val="218B7D40"/>
    <w:rsid w:val="21914242"/>
    <w:rsid w:val="21942239"/>
    <w:rsid w:val="219537A4"/>
    <w:rsid w:val="219C0FD7"/>
    <w:rsid w:val="219F60FF"/>
    <w:rsid w:val="21A5276F"/>
    <w:rsid w:val="21AA16B2"/>
    <w:rsid w:val="21AA36F4"/>
    <w:rsid w:val="21AA757E"/>
    <w:rsid w:val="21AF2F84"/>
    <w:rsid w:val="21B5128A"/>
    <w:rsid w:val="21B87493"/>
    <w:rsid w:val="21B96164"/>
    <w:rsid w:val="21BA09D2"/>
    <w:rsid w:val="21BC6F8D"/>
    <w:rsid w:val="21BF42AC"/>
    <w:rsid w:val="21BF6CED"/>
    <w:rsid w:val="21C347B6"/>
    <w:rsid w:val="21C87E9E"/>
    <w:rsid w:val="21CB71C6"/>
    <w:rsid w:val="21D27AC7"/>
    <w:rsid w:val="21E15CD5"/>
    <w:rsid w:val="21E36B90"/>
    <w:rsid w:val="21E52B87"/>
    <w:rsid w:val="21E825AB"/>
    <w:rsid w:val="21F50E74"/>
    <w:rsid w:val="21F91DA9"/>
    <w:rsid w:val="21F94701"/>
    <w:rsid w:val="22015FEE"/>
    <w:rsid w:val="220520D8"/>
    <w:rsid w:val="220B1445"/>
    <w:rsid w:val="220C5FFD"/>
    <w:rsid w:val="221072CF"/>
    <w:rsid w:val="221325B4"/>
    <w:rsid w:val="22146DBF"/>
    <w:rsid w:val="2217035E"/>
    <w:rsid w:val="22173086"/>
    <w:rsid w:val="221B014E"/>
    <w:rsid w:val="221B57B1"/>
    <w:rsid w:val="221C1CA2"/>
    <w:rsid w:val="2221772E"/>
    <w:rsid w:val="22265FD3"/>
    <w:rsid w:val="222A0391"/>
    <w:rsid w:val="222D32B6"/>
    <w:rsid w:val="222F482F"/>
    <w:rsid w:val="22337E49"/>
    <w:rsid w:val="22352FE1"/>
    <w:rsid w:val="223C4603"/>
    <w:rsid w:val="22402331"/>
    <w:rsid w:val="2242103D"/>
    <w:rsid w:val="22451F67"/>
    <w:rsid w:val="22470C4C"/>
    <w:rsid w:val="22471527"/>
    <w:rsid w:val="224A27FE"/>
    <w:rsid w:val="22575747"/>
    <w:rsid w:val="226014A0"/>
    <w:rsid w:val="226028CF"/>
    <w:rsid w:val="22626B9C"/>
    <w:rsid w:val="226412CC"/>
    <w:rsid w:val="226460A0"/>
    <w:rsid w:val="22656260"/>
    <w:rsid w:val="226715E5"/>
    <w:rsid w:val="226A0E31"/>
    <w:rsid w:val="226F6884"/>
    <w:rsid w:val="227D186C"/>
    <w:rsid w:val="227E7390"/>
    <w:rsid w:val="227F5862"/>
    <w:rsid w:val="22802924"/>
    <w:rsid w:val="22832BF1"/>
    <w:rsid w:val="22835CF3"/>
    <w:rsid w:val="2283710F"/>
    <w:rsid w:val="228527E4"/>
    <w:rsid w:val="228910F3"/>
    <w:rsid w:val="228A687E"/>
    <w:rsid w:val="228C53A7"/>
    <w:rsid w:val="228D4C74"/>
    <w:rsid w:val="228F226B"/>
    <w:rsid w:val="22986781"/>
    <w:rsid w:val="229960A8"/>
    <w:rsid w:val="22A55C69"/>
    <w:rsid w:val="22A923B4"/>
    <w:rsid w:val="22AC6603"/>
    <w:rsid w:val="22B13DEE"/>
    <w:rsid w:val="22B83BEE"/>
    <w:rsid w:val="22BA03DD"/>
    <w:rsid w:val="22BA53D6"/>
    <w:rsid w:val="22BD2FB3"/>
    <w:rsid w:val="22BE777D"/>
    <w:rsid w:val="22C34E6C"/>
    <w:rsid w:val="22C431AE"/>
    <w:rsid w:val="22C53012"/>
    <w:rsid w:val="22CA56D0"/>
    <w:rsid w:val="22D24584"/>
    <w:rsid w:val="22D658DC"/>
    <w:rsid w:val="22DA1DB7"/>
    <w:rsid w:val="22DF1C79"/>
    <w:rsid w:val="22E53BBB"/>
    <w:rsid w:val="22E55F04"/>
    <w:rsid w:val="22E569AE"/>
    <w:rsid w:val="22E72EA8"/>
    <w:rsid w:val="22E73A08"/>
    <w:rsid w:val="22E9024C"/>
    <w:rsid w:val="22E92090"/>
    <w:rsid w:val="22F4099F"/>
    <w:rsid w:val="22F83FEB"/>
    <w:rsid w:val="22F97F47"/>
    <w:rsid w:val="22FF35CB"/>
    <w:rsid w:val="23063CAF"/>
    <w:rsid w:val="230706D2"/>
    <w:rsid w:val="230D2C3F"/>
    <w:rsid w:val="230D5982"/>
    <w:rsid w:val="23117B65"/>
    <w:rsid w:val="23121B4A"/>
    <w:rsid w:val="23135E84"/>
    <w:rsid w:val="231D7EF5"/>
    <w:rsid w:val="2324378F"/>
    <w:rsid w:val="23272B22"/>
    <w:rsid w:val="232E3EB1"/>
    <w:rsid w:val="232F19D7"/>
    <w:rsid w:val="23312EAF"/>
    <w:rsid w:val="23325965"/>
    <w:rsid w:val="233804A4"/>
    <w:rsid w:val="23396C08"/>
    <w:rsid w:val="233A4B0D"/>
    <w:rsid w:val="234102CD"/>
    <w:rsid w:val="2346744C"/>
    <w:rsid w:val="23474F72"/>
    <w:rsid w:val="23496F3C"/>
    <w:rsid w:val="234F7DC9"/>
    <w:rsid w:val="23575BDF"/>
    <w:rsid w:val="235D0BD9"/>
    <w:rsid w:val="235E5A2E"/>
    <w:rsid w:val="23614286"/>
    <w:rsid w:val="23616034"/>
    <w:rsid w:val="23662640"/>
    <w:rsid w:val="236B2A0F"/>
    <w:rsid w:val="236B5402"/>
    <w:rsid w:val="237065DA"/>
    <w:rsid w:val="23722AF0"/>
    <w:rsid w:val="23791446"/>
    <w:rsid w:val="238307B1"/>
    <w:rsid w:val="238B3D62"/>
    <w:rsid w:val="238B640D"/>
    <w:rsid w:val="238C4775"/>
    <w:rsid w:val="23931F66"/>
    <w:rsid w:val="23983A20"/>
    <w:rsid w:val="239D2DE4"/>
    <w:rsid w:val="23A17298"/>
    <w:rsid w:val="23A45F21"/>
    <w:rsid w:val="23A71122"/>
    <w:rsid w:val="23A75EE1"/>
    <w:rsid w:val="23A777BF"/>
    <w:rsid w:val="23B02B18"/>
    <w:rsid w:val="23B26890"/>
    <w:rsid w:val="23B82884"/>
    <w:rsid w:val="23B95E70"/>
    <w:rsid w:val="23C06FEB"/>
    <w:rsid w:val="23C10881"/>
    <w:rsid w:val="23C710C3"/>
    <w:rsid w:val="23CB0ED0"/>
    <w:rsid w:val="23D120B3"/>
    <w:rsid w:val="23D63ADC"/>
    <w:rsid w:val="23D81A7B"/>
    <w:rsid w:val="23DA5DEF"/>
    <w:rsid w:val="23DF01E7"/>
    <w:rsid w:val="23DF4F24"/>
    <w:rsid w:val="23E14F55"/>
    <w:rsid w:val="23E20EB0"/>
    <w:rsid w:val="23F15E22"/>
    <w:rsid w:val="23F52C20"/>
    <w:rsid w:val="23FA0237"/>
    <w:rsid w:val="24006C15"/>
    <w:rsid w:val="2401637B"/>
    <w:rsid w:val="24021630"/>
    <w:rsid w:val="24037337"/>
    <w:rsid w:val="24064FA3"/>
    <w:rsid w:val="240746F2"/>
    <w:rsid w:val="2408147A"/>
    <w:rsid w:val="240B41C1"/>
    <w:rsid w:val="240D6212"/>
    <w:rsid w:val="24132780"/>
    <w:rsid w:val="24172B97"/>
    <w:rsid w:val="241810DF"/>
    <w:rsid w:val="241F11F0"/>
    <w:rsid w:val="241F4F39"/>
    <w:rsid w:val="242D5F16"/>
    <w:rsid w:val="24343749"/>
    <w:rsid w:val="243549A7"/>
    <w:rsid w:val="2439389C"/>
    <w:rsid w:val="244200D9"/>
    <w:rsid w:val="244F0FD2"/>
    <w:rsid w:val="2460453E"/>
    <w:rsid w:val="24650660"/>
    <w:rsid w:val="2468113A"/>
    <w:rsid w:val="246F0BF0"/>
    <w:rsid w:val="24732E3B"/>
    <w:rsid w:val="24733DD9"/>
    <w:rsid w:val="24790865"/>
    <w:rsid w:val="247B03C3"/>
    <w:rsid w:val="247D14FE"/>
    <w:rsid w:val="24891FAE"/>
    <w:rsid w:val="248C2FC2"/>
    <w:rsid w:val="248E7FDA"/>
    <w:rsid w:val="2493065F"/>
    <w:rsid w:val="249371C1"/>
    <w:rsid w:val="249441E7"/>
    <w:rsid w:val="24967EF4"/>
    <w:rsid w:val="249D7540"/>
    <w:rsid w:val="24A02EFC"/>
    <w:rsid w:val="24A40686"/>
    <w:rsid w:val="24A84546"/>
    <w:rsid w:val="24A864B6"/>
    <w:rsid w:val="24A92885"/>
    <w:rsid w:val="24AC1823"/>
    <w:rsid w:val="24AF4B7D"/>
    <w:rsid w:val="24B228BF"/>
    <w:rsid w:val="24B63543"/>
    <w:rsid w:val="24C06D8A"/>
    <w:rsid w:val="24C40815"/>
    <w:rsid w:val="24C71522"/>
    <w:rsid w:val="24CE49EA"/>
    <w:rsid w:val="24D428BE"/>
    <w:rsid w:val="24D5576B"/>
    <w:rsid w:val="24D64800"/>
    <w:rsid w:val="24DC25AF"/>
    <w:rsid w:val="24DF1D18"/>
    <w:rsid w:val="24E90E8E"/>
    <w:rsid w:val="24E94A9B"/>
    <w:rsid w:val="24F00B4F"/>
    <w:rsid w:val="24F72BD5"/>
    <w:rsid w:val="24F8164E"/>
    <w:rsid w:val="24F9229C"/>
    <w:rsid w:val="24FB30EE"/>
    <w:rsid w:val="2509511A"/>
    <w:rsid w:val="250E5D48"/>
    <w:rsid w:val="251D242F"/>
    <w:rsid w:val="251E044D"/>
    <w:rsid w:val="2522186B"/>
    <w:rsid w:val="2527505B"/>
    <w:rsid w:val="2537702A"/>
    <w:rsid w:val="25387269"/>
    <w:rsid w:val="253F039F"/>
    <w:rsid w:val="25410903"/>
    <w:rsid w:val="254537D8"/>
    <w:rsid w:val="25473008"/>
    <w:rsid w:val="254D1F81"/>
    <w:rsid w:val="254D4832"/>
    <w:rsid w:val="25502385"/>
    <w:rsid w:val="255026DA"/>
    <w:rsid w:val="255319AC"/>
    <w:rsid w:val="25532054"/>
    <w:rsid w:val="25553E19"/>
    <w:rsid w:val="255908BE"/>
    <w:rsid w:val="25617B68"/>
    <w:rsid w:val="256B0559"/>
    <w:rsid w:val="256D325E"/>
    <w:rsid w:val="256E4A38"/>
    <w:rsid w:val="25734D99"/>
    <w:rsid w:val="25755DC7"/>
    <w:rsid w:val="25783B09"/>
    <w:rsid w:val="257A344B"/>
    <w:rsid w:val="257C7E29"/>
    <w:rsid w:val="25867FD4"/>
    <w:rsid w:val="258F17A1"/>
    <w:rsid w:val="258F75FF"/>
    <w:rsid w:val="25941823"/>
    <w:rsid w:val="25956469"/>
    <w:rsid w:val="25965A6A"/>
    <w:rsid w:val="259832CA"/>
    <w:rsid w:val="259C5381"/>
    <w:rsid w:val="259F1096"/>
    <w:rsid w:val="25A06774"/>
    <w:rsid w:val="25AA6505"/>
    <w:rsid w:val="25AB12EC"/>
    <w:rsid w:val="25AB633E"/>
    <w:rsid w:val="25B3069D"/>
    <w:rsid w:val="25B52B93"/>
    <w:rsid w:val="25B761D7"/>
    <w:rsid w:val="25B7674F"/>
    <w:rsid w:val="25BA1A2C"/>
    <w:rsid w:val="25BA2F2C"/>
    <w:rsid w:val="25BE15D1"/>
    <w:rsid w:val="25C95073"/>
    <w:rsid w:val="25C96E85"/>
    <w:rsid w:val="25D4309B"/>
    <w:rsid w:val="25E1040B"/>
    <w:rsid w:val="25E30822"/>
    <w:rsid w:val="25E53BFB"/>
    <w:rsid w:val="25E929AA"/>
    <w:rsid w:val="25EB07A2"/>
    <w:rsid w:val="25ED2654"/>
    <w:rsid w:val="25FA040D"/>
    <w:rsid w:val="25FC3DF2"/>
    <w:rsid w:val="25FD0364"/>
    <w:rsid w:val="25FE0AFB"/>
    <w:rsid w:val="260D0305"/>
    <w:rsid w:val="26125525"/>
    <w:rsid w:val="26137CFA"/>
    <w:rsid w:val="26143832"/>
    <w:rsid w:val="26147F1F"/>
    <w:rsid w:val="261D5B57"/>
    <w:rsid w:val="261E32B9"/>
    <w:rsid w:val="262338E4"/>
    <w:rsid w:val="26240869"/>
    <w:rsid w:val="262612C3"/>
    <w:rsid w:val="262B0183"/>
    <w:rsid w:val="263712CE"/>
    <w:rsid w:val="263A1BF8"/>
    <w:rsid w:val="263B7C1F"/>
    <w:rsid w:val="263D1F9C"/>
    <w:rsid w:val="2648423E"/>
    <w:rsid w:val="264B2FF9"/>
    <w:rsid w:val="264D41A4"/>
    <w:rsid w:val="264D6D44"/>
    <w:rsid w:val="264E5338"/>
    <w:rsid w:val="265005E2"/>
    <w:rsid w:val="26527EB6"/>
    <w:rsid w:val="26572466"/>
    <w:rsid w:val="265754CC"/>
    <w:rsid w:val="26693D5F"/>
    <w:rsid w:val="266B0F56"/>
    <w:rsid w:val="266B2624"/>
    <w:rsid w:val="266B4AD8"/>
    <w:rsid w:val="26713044"/>
    <w:rsid w:val="267D1396"/>
    <w:rsid w:val="26827404"/>
    <w:rsid w:val="2684677B"/>
    <w:rsid w:val="268624ED"/>
    <w:rsid w:val="2694227D"/>
    <w:rsid w:val="26946800"/>
    <w:rsid w:val="26962499"/>
    <w:rsid w:val="269E2238"/>
    <w:rsid w:val="26A07959"/>
    <w:rsid w:val="26A455D9"/>
    <w:rsid w:val="26A864E6"/>
    <w:rsid w:val="26AA5266"/>
    <w:rsid w:val="26AB0E96"/>
    <w:rsid w:val="26AF70B6"/>
    <w:rsid w:val="26B11081"/>
    <w:rsid w:val="26B4291F"/>
    <w:rsid w:val="26BB0AC2"/>
    <w:rsid w:val="26BB1EFF"/>
    <w:rsid w:val="26C40A9F"/>
    <w:rsid w:val="26C41A4E"/>
    <w:rsid w:val="26D1527F"/>
    <w:rsid w:val="26D41D9C"/>
    <w:rsid w:val="26D77652"/>
    <w:rsid w:val="26E054C2"/>
    <w:rsid w:val="26E13DCC"/>
    <w:rsid w:val="26E608E7"/>
    <w:rsid w:val="26E95599"/>
    <w:rsid w:val="26EC58DC"/>
    <w:rsid w:val="26EF3957"/>
    <w:rsid w:val="26F2728C"/>
    <w:rsid w:val="26FE3B9A"/>
    <w:rsid w:val="270311B0"/>
    <w:rsid w:val="2705317A"/>
    <w:rsid w:val="2705521C"/>
    <w:rsid w:val="270F5985"/>
    <w:rsid w:val="27115711"/>
    <w:rsid w:val="271454AD"/>
    <w:rsid w:val="2719216A"/>
    <w:rsid w:val="271D2F8E"/>
    <w:rsid w:val="271E456D"/>
    <w:rsid w:val="27217E52"/>
    <w:rsid w:val="27263EF2"/>
    <w:rsid w:val="272711F0"/>
    <w:rsid w:val="272A1A72"/>
    <w:rsid w:val="272B1609"/>
    <w:rsid w:val="272C0707"/>
    <w:rsid w:val="273112C2"/>
    <w:rsid w:val="27381C5A"/>
    <w:rsid w:val="273852FE"/>
    <w:rsid w:val="273D1941"/>
    <w:rsid w:val="273F2493"/>
    <w:rsid w:val="27433CA3"/>
    <w:rsid w:val="27441EF5"/>
    <w:rsid w:val="27450BF0"/>
    <w:rsid w:val="27475541"/>
    <w:rsid w:val="274A6DDF"/>
    <w:rsid w:val="274C6FFB"/>
    <w:rsid w:val="274F43F6"/>
    <w:rsid w:val="27533EE6"/>
    <w:rsid w:val="275A0816"/>
    <w:rsid w:val="275B0463"/>
    <w:rsid w:val="275C37EE"/>
    <w:rsid w:val="275F1799"/>
    <w:rsid w:val="275F4685"/>
    <w:rsid w:val="27606603"/>
    <w:rsid w:val="27620068"/>
    <w:rsid w:val="276C144B"/>
    <w:rsid w:val="276F4797"/>
    <w:rsid w:val="277545C5"/>
    <w:rsid w:val="277702D7"/>
    <w:rsid w:val="27867F1C"/>
    <w:rsid w:val="278E4F1E"/>
    <w:rsid w:val="279D549A"/>
    <w:rsid w:val="279E01FA"/>
    <w:rsid w:val="27A06325"/>
    <w:rsid w:val="27AB5FF2"/>
    <w:rsid w:val="27AC404B"/>
    <w:rsid w:val="27B939C5"/>
    <w:rsid w:val="27BC1E7A"/>
    <w:rsid w:val="27BF3FDB"/>
    <w:rsid w:val="27C36058"/>
    <w:rsid w:val="27C46164"/>
    <w:rsid w:val="27C6290A"/>
    <w:rsid w:val="27C64E63"/>
    <w:rsid w:val="27CC3C98"/>
    <w:rsid w:val="27CC406E"/>
    <w:rsid w:val="27E13374"/>
    <w:rsid w:val="27E62F33"/>
    <w:rsid w:val="27EA339A"/>
    <w:rsid w:val="27EB293F"/>
    <w:rsid w:val="27EF4666"/>
    <w:rsid w:val="27F54CEC"/>
    <w:rsid w:val="27FB38C0"/>
    <w:rsid w:val="27FC457D"/>
    <w:rsid w:val="28000212"/>
    <w:rsid w:val="28037FA1"/>
    <w:rsid w:val="28041684"/>
    <w:rsid w:val="28085663"/>
    <w:rsid w:val="280E5984"/>
    <w:rsid w:val="281009B8"/>
    <w:rsid w:val="28126BBF"/>
    <w:rsid w:val="28127C99"/>
    <w:rsid w:val="281411CD"/>
    <w:rsid w:val="28162678"/>
    <w:rsid w:val="28164F13"/>
    <w:rsid w:val="28187D56"/>
    <w:rsid w:val="28275150"/>
    <w:rsid w:val="28276B7F"/>
    <w:rsid w:val="28312DD0"/>
    <w:rsid w:val="28333D17"/>
    <w:rsid w:val="2835231A"/>
    <w:rsid w:val="28360ABC"/>
    <w:rsid w:val="283711A1"/>
    <w:rsid w:val="28374AAF"/>
    <w:rsid w:val="283870F5"/>
    <w:rsid w:val="283B63BD"/>
    <w:rsid w:val="28463A4A"/>
    <w:rsid w:val="284E5C24"/>
    <w:rsid w:val="284F152B"/>
    <w:rsid w:val="285044F3"/>
    <w:rsid w:val="2858447E"/>
    <w:rsid w:val="285B5377"/>
    <w:rsid w:val="285B7D7C"/>
    <w:rsid w:val="285D392E"/>
    <w:rsid w:val="28613142"/>
    <w:rsid w:val="2862462E"/>
    <w:rsid w:val="286345FC"/>
    <w:rsid w:val="28667C49"/>
    <w:rsid w:val="286B1703"/>
    <w:rsid w:val="286E6DDD"/>
    <w:rsid w:val="28700AC7"/>
    <w:rsid w:val="287134BA"/>
    <w:rsid w:val="28746132"/>
    <w:rsid w:val="287E4F92"/>
    <w:rsid w:val="288051AE"/>
    <w:rsid w:val="2884003E"/>
    <w:rsid w:val="288665AC"/>
    <w:rsid w:val="288C0653"/>
    <w:rsid w:val="288C50AC"/>
    <w:rsid w:val="288F702E"/>
    <w:rsid w:val="28934117"/>
    <w:rsid w:val="28961519"/>
    <w:rsid w:val="289C18BC"/>
    <w:rsid w:val="289C3008"/>
    <w:rsid w:val="28A44A06"/>
    <w:rsid w:val="28A57C39"/>
    <w:rsid w:val="28A80261"/>
    <w:rsid w:val="28A864B3"/>
    <w:rsid w:val="28B208E1"/>
    <w:rsid w:val="28B25A48"/>
    <w:rsid w:val="28B33500"/>
    <w:rsid w:val="28B555A8"/>
    <w:rsid w:val="28B9246E"/>
    <w:rsid w:val="28BD4DD7"/>
    <w:rsid w:val="28BE0B66"/>
    <w:rsid w:val="28BF3029"/>
    <w:rsid w:val="28C63C18"/>
    <w:rsid w:val="28C849A8"/>
    <w:rsid w:val="28CC07BF"/>
    <w:rsid w:val="28CD6CD8"/>
    <w:rsid w:val="28D07266"/>
    <w:rsid w:val="28D7264F"/>
    <w:rsid w:val="28DA55D4"/>
    <w:rsid w:val="28DD795B"/>
    <w:rsid w:val="28E62B38"/>
    <w:rsid w:val="28E7211F"/>
    <w:rsid w:val="28E725A8"/>
    <w:rsid w:val="28E77BA0"/>
    <w:rsid w:val="28E9233C"/>
    <w:rsid w:val="28EB4964"/>
    <w:rsid w:val="28F14933"/>
    <w:rsid w:val="28F434A6"/>
    <w:rsid w:val="28F60DD4"/>
    <w:rsid w:val="28F7315B"/>
    <w:rsid w:val="28FB65E3"/>
    <w:rsid w:val="28FD0644"/>
    <w:rsid w:val="28FD68C7"/>
    <w:rsid w:val="291006B8"/>
    <w:rsid w:val="29156E5D"/>
    <w:rsid w:val="291727AB"/>
    <w:rsid w:val="2917540A"/>
    <w:rsid w:val="2920285F"/>
    <w:rsid w:val="29235B3A"/>
    <w:rsid w:val="2927562A"/>
    <w:rsid w:val="292902A4"/>
    <w:rsid w:val="29310375"/>
    <w:rsid w:val="29352B40"/>
    <w:rsid w:val="293712A2"/>
    <w:rsid w:val="293810C4"/>
    <w:rsid w:val="293B7327"/>
    <w:rsid w:val="293F312A"/>
    <w:rsid w:val="29424212"/>
    <w:rsid w:val="294262B9"/>
    <w:rsid w:val="29431BAE"/>
    <w:rsid w:val="29437F8A"/>
    <w:rsid w:val="294759E8"/>
    <w:rsid w:val="294C2F70"/>
    <w:rsid w:val="294F4615"/>
    <w:rsid w:val="295403E9"/>
    <w:rsid w:val="295D6ADE"/>
    <w:rsid w:val="295F1CB2"/>
    <w:rsid w:val="29605322"/>
    <w:rsid w:val="296158E7"/>
    <w:rsid w:val="29630FD4"/>
    <w:rsid w:val="2964062C"/>
    <w:rsid w:val="2964687E"/>
    <w:rsid w:val="296D52A1"/>
    <w:rsid w:val="297D5829"/>
    <w:rsid w:val="297D5830"/>
    <w:rsid w:val="29827B2E"/>
    <w:rsid w:val="29834178"/>
    <w:rsid w:val="29865CC7"/>
    <w:rsid w:val="298C5FF5"/>
    <w:rsid w:val="298D7242"/>
    <w:rsid w:val="298F31CF"/>
    <w:rsid w:val="299407E6"/>
    <w:rsid w:val="29945160"/>
    <w:rsid w:val="299627B0"/>
    <w:rsid w:val="299802D6"/>
    <w:rsid w:val="299B0448"/>
    <w:rsid w:val="299C30F1"/>
    <w:rsid w:val="299F19D2"/>
    <w:rsid w:val="29A40D6B"/>
    <w:rsid w:val="29A45B53"/>
    <w:rsid w:val="29AA0009"/>
    <w:rsid w:val="29AA7DB4"/>
    <w:rsid w:val="29B036B5"/>
    <w:rsid w:val="29B10E1A"/>
    <w:rsid w:val="29B772F9"/>
    <w:rsid w:val="29C241DE"/>
    <w:rsid w:val="29C448AF"/>
    <w:rsid w:val="29C879A0"/>
    <w:rsid w:val="29CA2459"/>
    <w:rsid w:val="29CA4207"/>
    <w:rsid w:val="29CC1CFC"/>
    <w:rsid w:val="29D86924"/>
    <w:rsid w:val="29D95D68"/>
    <w:rsid w:val="29DD3F3B"/>
    <w:rsid w:val="29DE3273"/>
    <w:rsid w:val="29DF4157"/>
    <w:rsid w:val="29E21551"/>
    <w:rsid w:val="29E307BC"/>
    <w:rsid w:val="29E46B85"/>
    <w:rsid w:val="29E9291C"/>
    <w:rsid w:val="29E96D83"/>
    <w:rsid w:val="29EF6D69"/>
    <w:rsid w:val="29F7287D"/>
    <w:rsid w:val="29FB2613"/>
    <w:rsid w:val="29FE3B8E"/>
    <w:rsid w:val="2A021BF3"/>
    <w:rsid w:val="2A0B3B50"/>
    <w:rsid w:val="2A166020"/>
    <w:rsid w:val="2A1B4642"/>
    <w:rsid w:val="2A1D409C"/>
    <w:rsid w:val="2A1F4744"/>
    <w:rsid w:val="2A2320CF"/>
    <w:rsid w:val="2A277653"/>
    <w:rsid w:val="2A30605C"/>
    <w:rsid w:val="2A35718D"/>
    <w:rsid w:val="2A3B777E"/>
    <w:rsid w:val="2A3D1827"/>
    <w:rsid w:val="2A3E46B1"/>
    <w:rsid w:val="2A401725"/>
    <w:rsid w:val="2A4738AF"/>
    <w:rsid w:val="2A532B82"/>
    <w:rsid w:val="2A571F3F"/>
    <w:rsid w:val="2A5979A0"/>
    <w:rsid w:val="2A5E151F"/>
    <w:rsid w:val="2A5F5886"/>
    <w:rsid w:val="2A611121"/>
    <w:rsid w:val="2A612DBE"/>
    <w:rsid w:val="2A6B7798"/>
    <w:rsid w:val="2A6C596E"/>
    <w:rsid w:val="2A7175A1"/>
    <w:rsid w:val="2A727AC6"/>
    <w:rsid w:val="2A752626"/>
    <w:rsid w:val="2A7610F3"/>
    <w:rsid w:val="2A7B200E"/>
    <w:rsid w:val="2A7C7BF7"/>
    <w:rsid w:val="2A8E16D9"/>
    <w:rsid w:val="2A8F7486"/>
    <w:rsid w:val="2A9B74D0"/>
    <w:rsid w:val="2A9E7255"/>
    <w:rsid w:val="2AA27047"/>
    <w:rsid w:val="2AA5080F"/>
    <w:rsid w:val="2AA739BC"/>
    <w:rsid w:val="2AAA4765"/>
    <w:rsid w:val="2AAC30E2"/>
    <w:rsid w:val="2AAD7DB1"/>
    <w:rsid w:val="2AAF1D7B"/>
    <w:rsid w:val="2AB70C30"/>
    <w:rsid w:val="2AB7478C"/>
    <w:rsid w:val="2AB8024A"/>
    <w:rsid w:val="2ABB0155"/>
    <w:rsid w:val="2ABE5B1A"/>
    <w:rsid w:val="2ABF7E0F"/>
    <w:rsid w:val="2AC75FE8"/>
    <w:rsid w:val="2ACA4DE4"/>
    <w:rsid w:val="2AD6400C"/>
    <w:rsid w:val="2AD6555A"/>
    <w:rsid w:val="2AD73AAA"/>
    <w:rsid w:val="2AE412F9"/>
    <w:rsid w:val="2AE80414"/>
    <w:rsid w:val="2AE93057"/>
    <w:rsid w:val="2AE962EB"/>
    <w:rsid w:val="2AF10FC4"/>
    <w:rsid w:val="2AF221B5"/>
    <w:rsid w:val="2AFA1BEF"/>
    <w:rsid w:val="2AFA655C"/>
    <w:rsid w:val="2AFB2D49"/>
    <w:rsid w:val="2B0A0935"/>
    <w:rsid w:val="2B0A1D97"/>
    <w:rsid w:val="2B0A5203"/>
    <w:rsid w:val="2B0C7D16"/>
    <w:rsid w:val="2B130CE6"/>
    <w:rsid w:val="2B1C20CD"/>
    <w:rsid w:val="2B230073"/>
    <w:rsid w:val="2B2515CB"/>
    <w:rsid w:val="2B25752B"/>
    <w:rsid w:val="2B274302"/>
    <w:rsid w:val="2B282F05"/>
    <w:rsid w:val="2B2B5F17"/>
    <w:rsid w:val="2B331284"/>
    <w:rsid w:val="2B354977"/>
    <w:rsid w:val="2B3719C5"/>
    <w:rsid w:val="2B376480"/>
    <w:rsid w:val="2B430715"/>
    <w:rsid w:val="2B44271B"/>
    <w:rsid w:val="2B481888"/>
    <w:rsid w:val="2B5917F8"/>
    <w:rsid w:val="2B5949B1"/>
    <w:rsid w:val="2B5A1A3C"/>
    <w:rsid w:val="2B5B780D"/>
    <w:rsid w:val="2B5D2D15"/>
    <w:rsid w:val="2B6111BC"/>
    <w:rsid w:val="2B612718"/>
    <w:rsid w:val="2B6200F2"/>
    <w:rsid w:val="2B636A95"/>
    <w:rsid w:val="2B6F5066"/>
    <w:rsid w:val="2B71099F"/>
    <w:rsid w:val="2B732E07"/>
    <w:rsid w:val="2B7D1204"/>
    <w:rsid w:val="2B7E39E7"/>
    <w:rsid w:val="2B7F0A18"/>
    <w:rsid w:val="2B8027DA"/>
    <w:rsid w:val="2B8C3147"/>
    <w:rsid w:val="2B8E2438"/>
    <w:rsid w:val="2B90559F"/>
    <w:rsid w:val="2B912078"/>
    <w:rsid w:val="2B955D28"/>
    <w:rsid w:val="2BA15BBA"/>
    <w:rsid w:val="2BA2121F"/>
    <w:rsid w:val="2BA215F0"/>
    <w:rsid w:val="2BA21FAD"/>
    <w:rsid w:val="2BA3260E"/>
    <w:rsid w:val="2BA47C5D"/>
    <w:rsid w:val="2BA8078D"/>
    <w:rsid w:val="2BAB3791"/>
    <w:rsid w:val="2BB61AE5"/>
    <w:rsid w:val="2BC43B92"/>
    <w:rsid w:val="2BC70162"/>
    <w:rsid w:val="2BD00DFF"/>
    <w:rsid w:val="2BD10CEF"/>
    <w:rsid w:val="2BD40E84"/>
    <w:rsid w:val="2BD66E93"/>
    <w:rsid w:val="2BD9141E"/>
    <w:rsid w:val="2BDE5160"/>
    <w:rsid w:val="2BE07D12"/>
    <w:rsid w:val="2BE2316D"/>
    <w:rsid w:val="2BE43568"/>
    <w:rsid w:val="2BE94C96"/>
    <w:rsid w:val="2BEA79C8"/>
    <w:rsid w:val="2BEB2F9E"/>
    <w:rsid w:val="2BF11F1F"/>
    <w:rsid w:val="2BF12828"/>
    <w:rsid w:val="2BF26AF0"/>
    <w:rsid w:val="2C015FA1"/>
    <w:rsid w:val="2C0460FA"/>
    <w:rsid w:val="2C0559CB"/>
    <w:rsid w:val="2C0D32DF"/>
    <w:rsid w:val="2C0D7863"/>
    <w:rsid w:val="2C116084"/>
    <w:rsid w:val="2C1278E8"/>
    <w:rsid w:val="2C15675A"/>
    <w:rsid w:val="2C157E00"/>
    <w:rsid w:val="2C17461C"/>
    <w:rsid w:val="2C1A44DE"/>
    <w:rsid w:val="2C1E29BF"/>
    <w:rsid w:val="2C1E4681"/>
    <w:rsid w:val="2C237B89"/>
    <w:rsid w:val="2C2C5018"/>
    <w:rsid w:val="2C2F3B77"/>
    <w:rsid w:val="2C31778E"/>
    <w:rsid w:val="2C3936FA"/>
    <w:rsid w:val="2C405E5E"/>
    <w:rsid w:val="2C513AFF"/>
    <w:rsid w:val="2C536736"/>
    <w:rsid w:val="2C5807EF"/>
    <w:rsid w:val="2C5E3501"/>
    <w:rsid w:val="2C602C01"/>
    <w:rsid w:val="2C624BCB"/>
    <w:rsid w:val="2C626979"/>
    <w:rsid w:val="2C627055"/>
    <w:rsid w:val="2C6426F1"/>
    <w:rsid w:val="2C6C3678"/>
    <w:rsid w:val="2C6E0B7D"/>
    <w:rsid w:val="2C731569"/>
    <w:rsid w:val="2C7566AC"/>
    <w:rsid w:val="2C806893"/>
    <w:rsid w:val="2C8C5B08"/>
    <w:rsid w:val="2C8E38A2"/>
    <w:rsid w:val="2C8E7DB1"/>
    <w:rsid w:val="2C940BB2"/>
    <w:rsid w:val="2C9411C3"/>
    <w:rsid w:val="2C976847"/>
    <w:rsid w:val="2C9B0FB9"/>
    <w:rsid w:val="2C9E7F03"/>
    <w:rsid w:val="2CA23219"/>
    <w:rsid w:val="2CA2397C"/>
    <w:rsid w:val="2CA43263"/>
    <w:rsid w:val="2CA46F92"/>
    <w:rsid w:val="2CA72E78"/>
    <w:rsid w:val="2CA843FA"/>
    <w:rsid w:val="2CAE1688"/>
    <w:rsid w:val="2CB216AE"/>
    <w:rsid w:val="2CB2345D"/>
    <w:rsid w:val="2CB371D5"/>
    <w:rsid w:val="2CBB2EFA"/>
    <w:rsid w:val="2CBC44CC"/>
    <w:rsid w:val="2CC00849"/>
    <w:rsid w:val="2CC05842"/>
    <w:rsid w:val="2CC12C31"/>
    <w:rsid w:val="2CC352FE"/>
    <w:rsid w:val="2CC5764A"/>
    <w:rsid w:val="2CC95E54"/>
    <w:rsid w:val="2CD1535C"/>
    <w:rsid w:val="2CD530E0"/>
    <w:rsid w:val="2CD613D6"/>
    <w:rsid w:val="2CD71115"/>
    <w:rsid w:val="2CD812B0"/>
    <w:rsid w:val="2CDE2BC5"/>
    <w:rsid w:val="2CDF1CD0"/>
    <w:rsid w:val="2CE65C7D"/>
    <w:rsid w:val="2CF26D71"/>
    <w:rsid w:val="2CF46E61"/>
    <w:rsid w:val="2CF61EDE"/>
    <w:rsid w:val="2CF75313"/>
    <w:rsid w:val="2CF92AE1"/>
    <w:rsid w:val="2CF954B7"/>
    <w:rsid w:val="2CFC70F4"/>
    <w:rsid w:val="2CFF7460"/>
    <w:rsid w:val="2D000018"/>
    <w:rsid w:val="2D01054B"/>
    <w:rsid w:val="2D044530"/>
    <w:rsid w:val="2D0839C4"/>
    <w:rsid w:val="2D095047"/>
    <w:rsid w:val="2D0B3D7B"/>
    <w:rsid w:val="2D0B75EF"/>
    <w:rsid w:val="2D0E4710"/>
    <w:rsid w:val="2D151C3D"/>
    <w:rsid w:val="2D155826"/>
    <w:rsid w:val="2D2554B3"/>
    <w:rsid w:val="2D255661"/>
    <w:rsid w:val="2D280B7D"/>
    <w:rsid w:val="2D2A2CC5"/>
    <w:rsid w:val="2D2A393B"/>
    <w:rsid w:val="2D371F49"/>
    <w:rsid w:val="2D396113"/>
    <w:rsid w:val="2D3E73E6"/>
    <w:rsid w:val="2D457C03"/>
    <w:rsid w:val="2D4D587B"/>
    <w:rsid w:val="2D4F2752"/>
    <w:rsid w:val="2D5926AB"/>
    <w:rsid w:val="2D5A7705"/>
    <w:rsid w:val="2D5D1702"/>
    <w:rsid w:val="2D641C47"/>
    <w:rsid w:val="2D677722"/>
    <w:rsid w:val="2D6C6D9B"/>
    <w:rsid w:val="2D6D0E47"/>
    <w:rsid w:val="2D727090"/>
    <w:rsid w:val="2D743AE8"/>
    <w:rsid w:val="2D7921CC"/>
    <w:rsid w:val="2D7C63D0"/>
    <w:rsid w:val="2D7D1B84"/>
    <w:rsid w:val="2D7D2A99"/>
    <w:rsid w:val="2D7F46F6"/>
    <w:rsid w:val="2D8017AD"/>
    <w:rsid w:val="2D8716F2"/>
    <w:rsid w:val="2D885FB0"/>
    <w:rsid w:val="2D8868B3"/>
    <w:rsid w:val="2D8F58B1"/>
    <w:rsid w:val="2D940DB4"/>
    <w:rsid w:val="2D97608D"/>
    <w:rsid w:val="2D977A59"/>
    <w:rsid w:val="2D9B3856"/>
    <w:rsid w:val="2D9B3904"/>
    <w:rsid w:val="2D9D5487"/>
    <w:rsid w:val="2D9E60D7"/>
    <w:rsid w:val="2DA3549B"/>
    <w:rsid w:val="2DA47F51"/>
    <w:rsid w:val="2DA5501C"/>
    <w:rsid w:val="2DAA42B1"/>
    <w:rsid w:val="2DAA682A"/>
    <w:rsid w:val="2DAC25A2"/>
    <w:rsid w:val="2DAD697B"/>
    <w:rsid w:val="2DB013D1"/>
    <w:rsid w:val="2DB26641"/>
    <w:rsid w:val="2DB50E33"/>
    <w:rsid w:val="2DBA4F87"/>
    <w:rsid w:val="2DC02F7B"/>
    <w:rsid w:val="2DC22F7B"/>
    <w:rsid w:val="2DC72F38"/>
    <w:rsid w:val="2DC84F02"/>
    <w:rsid w:val="2DC92A81"/>
    <w:rsid w:val="2DCA2A28"/>
    <w:rsid w:val="2DCA6ABE"/>
    <w:rsid w:val="2DCA729A"/>
    <w:rsid w:val="2DCC67A0"/>
    <w:rsid w:val="2DD23A7A"/>
    <w:rsid w:val="2DD40FCB"/>
    <w:rsid w:val="2DDA107B"/>
    <w:rsid w:val="2DE300D1"/>
    <w:rsid w:val="2DE955A4"/>
    <w:rsid w:val="2DF61A6F"/>
    <w:rsid w:val="2DF67CC1"/>
    <w:rsid w:val="2DF93567"/>
    <w:rsid w:val="2DF96685"/>
    <w:rsid w:val="2DFB0E33"/>
    <w:rsid w:val="2DFB47A1"/>
    <w:rsid w:val="2DFC70A1"/>
    <w:rsid w:val="2E040630"/>
    <w:rsid w:val="2E0423DE"/>
    <w:rsid w:val="2E066761"/>
    <w:rsid w:val="2E1468C4"/>
    <w:rsid w:val="2E1A1528"/>
    <w:rsid w:val="2E1F3018"/>
    <w:rsid w:val="2E200533"/>
    <w:rsid w:val="2E210184"/>
    <w:rsid w:val="2E2341DD"/>
    <w:rsid w:val="2E2824CA"/>
    <w:rsid w:val="2E29512F"/>
    <w:rsid w:val="2E2B796A"/>
    <w:rsid w:val="2E2C020B"/>
    <w:rsid w:val="2E310171"/>
    <w:rsid w:val="2E3658D7"/>
    <w:rsid w:val="2E366AB8"/>
    <w:rsid w:val="2E3E1D79"/>
    <w:rsid w:val="2E3F7374"/>
    <w:rsid w:val="2E414AE5"/>
    <w:rsid w:val="2E4245EE"/>
    <w:rsid w:val="2E473FEE"/>
    <w:rsid w:val="2E494294"/>
    <w:rsid w:val="2E4C3883"/>
    <w:rsid w:val="2E4F4D97"/>
    <w:rsid w:val="2E58329E"/>
    <w:rsid w:val="2E590042"/>
    <w:rsid w:val="2E5D370D"/>
    <w:rsid w:val="2E606953"/>
    <w:rsid w:val="2E62704A"/>
    <w:rsid w:val="2E670766"/>
    <w:rsid w:val="2E67398A"/>
    <w:rsid w:val="2E675364"/>
    <w:rsid w:val="2E6B420B"/>
    <w:rsid w:val="2E6C1D31"/>
    <w:rsid w:val="2E7035CF"/>
    <w:rsid w:val="2E7972C8"/>
    <w:rsid w:val="2E7C518F"/>
    <w:rsid w:val="2E800DF1"/>
    <w:rsid w:val="2E80518F"/>
    <w:rsid w:val="2E82446A"/>
    <w:rsid w:val="2E894691"/>
    <w:rsid w:val="2E8B0547"/>
    <w:rsid w:val="2E8D23D3"/>
    <w:rsid w:val="2E8E1CA7"/>
    <w:rsid w:val="2E9077CD"/>
    <w:rsid w:val="2E932916"/>
    <w:rsid w:val="2E945204"/>
    <w:rsid w:val="2E977742"/>
    <w:rsid w:val="2E987149"/>
    <w:rsid w:val="2E993F45"/>
    <w:rsid w:val="2E9B33F9"/>
    <w:rsid w:val="2EA26DD6"/>
    <w:rsid w:val="2EB12291"/>
    <w:rsid w:val="2EB77450"/>
    <w:rsid w:val="2EBE26AB"/>
    <w:rsid w:val="2EC102CF"/>
    <w:rsid w:val="2EC8033E"/>
    <w:rsid w:val="2ECB3816"/>
    <w:rsid w:val="2ECE050C"/>
    <w:rsid w:val="2ECE1E55"/>
    <w:rsid w:val="2ECF0A27"/>
    <w:rsid w:val="2ED31DB0"/>
    <w:rsid w:val="2EDE20C7"/>
    <w:rsid w:val="2EE41A0E"/>
    <w:rsid w:val="2EED0919"/>
    <w:rsid w:val="2EEE4A50"/>
    <w:rsid w:val="2EF11762"/>
    <w:rsid w:val="2EF17E5C"/>
    <w:rsid w:val="2EF22560"/>
    <w:rsid w:val="2EF93F4B"/>
    <w:rsid w:val="2EFF6271"/>
    <w:rsid w:val="2F04796F"/>
    <w:rsid w:val="2F066B4C"/>
    <w:rsid w:val="2F0735FF"/>
    <w:rsid w:val="2F081A5A"/>
    <w:rsid w:val="2F0C4C89"/>
    <w:rsid w:val="2F0D3DA3"/>
    <w:rsid w:val="2F15600D"/>
    <w:rsid w:val="2F1601E3"/>
    <w:rsid w:val="2F171C9D"/>
    <w:rsid w:val="2F191EB9"/>
    <w:rsid w:val="2F1A08A9"/>
    <w:rsid w:val="2F1C004F"/>
    <w:rsid w:val="2F212DDD"/>
    <w:rsid w:val="2F251C76"/>
    <w:rsid w:val="2F254A17"/>
    <w:rsid w:val="2F27202C"/>
    <w:rsid w:val="2F2A27CB"/>
    <w:rsid w:val="2F2E3020"/>
    <w:rsid w:val="2F2F27ED"/>
    <w:rsid w:val="2F303B49"/>
    <w:rsid w:val="2F313228"/>
    <w:rsid w:val="2F33495C"/>
    <w:rsid w:val="2F3C05AB"/>
    <w:rsid w:val="2F3E547B"/>
    <w:rsid w:val="2F3F2FA2"/>
    <w:rsid w:val="2F46600A"/>
    <w:rsid w:val="2F485FCE"/>
    <w:rsid w:val="2F4B3B31"/>
    <w:rsid w:val="2F5A7DDB"/>
    <w:rsid w:val="2F5C0644"/>
    <w:rsid w:val="2F5D36B2"/>
    <w:rsid w:val="2F642A08"/>
    <w:rsid w:val="2F6E4C8D"/>
    <w:rsid w:val="2F71799E"/>
    <w:rsid w:val="2F74558F"/>
    <w:rsid w:val="2F7768F0"/>
    <w:rsid w:val="2F7B4AEA"/>
    <w:rsid w:val="2F7B6B7C"/>
    <w:rsid w:val="2F7D0BFC"/>
    <w:rsid w:val="2F846602"/>
    <w:rsid w:val="2F8530AA"/>
    <w:rsid w:val="2F86221E"/>
    <w:rsid w:val="2F864264"/>
    <w:rsid w:val="2F8A246F"/>
    <w:rsid w:val="2F917F4B"/>
    <w:rsid w:val="2F940DCD"/>
    <w:rsid w:val="2FA61233"/>
    <w:rsid w:val="2FB06639"/>
    <w:rsid w:val="2FB303F4"/>
    <w:rsid w:val="2FB4573E"/>
    <w:rsid w:val="2FB56E1D"/>
    <w:rsid w:val="2FBC1590"/>
    <w:rsid w:val="2FC24836"/>
    <w:rsid w:val="2FC37139"/>
    <w:rsid w:val="2FCD67FF"/>
    <w:rsid w:val="2FD43BDB"/>
    <w:rsid w:val="2FD45DE0"/>
    <w:rsid w:val="2FD50DC3"/>
    <w:rsid w:val="2FDC6A42"/>
    <w:rsid w:val="2FDE015F"/>
    <w:rsid w:val="2FE21452"/>
    <w:rsid w:val="2FE36855"/>
    <w:rsid w:val="2FE55A68"/>
    <w:rsid w:val="2FE778C1"/>
    <w:rsid w:val="2FEE67A1"/>
    <w:rsid w:val="2FF16992"/>
    <w:rsid w:val="2FF41FDE"/>
    <w:rsid w:val="2FFC6171"/>
    <w:rsid w:val="2FFD4BC6"/>
    <w:rsid w:val="2FFE1750"/>
    <w:rsid w:val="30051B31"/>
    <w:rsid w:val="3006237F"/>
    <w:rsid w:val="30086806"/>
    <w:rsid w:val="30090AAE"/>
    <w:rsid w:val="300C37CC"/>
    <w:rsid w:val="3014689D"/>
    <w:rsid w:val="30183F1E"/>
    <w:rsid w:val="301A61F8"/>
    <w:rsid w:val="301F52AD"/>
    <w:rsid w:val="301F545A"/>
    <w:rsid w:val="30240B15"/>
    <w:rsid w:val="30246A80"/>
    <w:rsid w:val="30273D1D"/>
    <w:rsid w:val="3029260D"/>
    <w:rsid w:val="30297EDA"/>
    <w:rsid w:val="302C5C1C"/>
    <w:rsid w:val="30354AD0"/>
    <w:rsid w:val="30360F64"/>
    <w:rsid w:val="303A50FA"/>
    <w:rsid w:val="303B7C6D"/>
    <w:rsid w:val="30470360"/>
    <w:rsid w:val="3049057C"/>
    <w:rsid w:val="304D16A9"/>
    <w:rsid w:val="304E16EE"/>
    <w:rsid w:val="30544806"/>
    <w:rsid w:val="305667F5"/>
    <w:rsid w:val="30575512"/>
    <w:rsid w:val="30601F58"/>
    <w:rsid w:val="3061162A"/>
    <w:rsid w:val="30616D08"/>
    <w:rsid w:val="306A5296"/>
    <w:rsid w:val="306D1CFE"/>
    <w:rsid w:val="307025ED"/>
    <w:rsid w:val="30703191"/>
    <w:rsid w:val="3073425A"/>
    <w:rsid w:val="30791B3A"/>
    <w:rsid w:val="30805FDB"/>
    <w:rsid w:val="30852D42"/>
    <w:rsid w:val="308615B7"/>
    <w:rsid w:val="3086532C"/>
    <w:rsid w:val="309051B6"/>
    <w:rsid w:val="309275A7"/>
    <w:rsid w:val="309F7BCD"/>
    <w:rsid w:val="30A06B69"/>
    <w:rsid w:val="30A23E47"/>
    <w:rsid w:val="30A24D58"/>
    <w:rsid w:val="30A51F4E"/>
    <w:rsid w:val="30A6569D"/>
    <w:rsid w:val="30AE0F34"/>
    <w:rsid w:val="30B027E8"/>
    <w:rsid w:val="30B05F05"/>
    <w:rsid w:val="30B24A44"/>
    <w:rsid w:val="30B52813"/>
    <w:rsid w:val="30B57AC2"/>
    <w:rsid w:val="30B84656"/>
    <w:rsid w:val="30BA43E3"/>
    <w:rsid w:val="30BC360F"/>
    <w:rsid w:val="30D00561"/>
    <w:rsid w:val="30D139C1"/>
    <w:rsid w:val="30D14B15"/>
    <w:rsid w:val="30D65986"/>
    <w:rsid w:val="30D90014"/>
    <w:rsid w:val="30DD0CC4"/>
    <w:rsid w:val="30DD15BB"/>
    <w:rsid w:val="30DF2CD7"/>
    <w:rsid w:val="30DF67EA"/>
    <w:rsid w:val="30E24248"/>
    <w:rsid w:val="30E81B43"/>
    <w:rsid w:val="30F32296"/>
    <w:rsid w:val="30F625B2"/>
    <w:rsid w:val="30F85B11"/>
    <w:rsid w:val="30FF50DE"/>
    <w:rsid w:val="31015F42"/>
    <w:rsid w:val="3106021B"/>
    <w:rsid w:val="31061FC9"/>
    <w:rsid w:val="310A747F"/>
    <w:rsid w:val="310C4294"/>
    <w:rsid w:val="310F65A7"/>
    <w:rsid w:val="312267B4"/>
    <w:rsid w:val="31253BDD"/>
    <w:rsid w:val="3128113D"/>
    <w:rsid w:val="312F3EC4"/>
    <w:rsid w:val="312F62D9"/>
    <w:rsid w:val="313346AF"/>
    <w:rsid w:val="31334FC7"/>
    <w:rsid w:val="31357889"/>
    <w:rsid w:val="3136169B"/>
    <w:rsid w:val="313C46F6"/>
    <w:rsid w:val="313D6A41"/>
    <w:rsid w:val="31436D79"/>
    <w:rsid w:val="31473CF4"/>
    <w:rsid w:val="314A15C3"/>
    <w:rsid w:val="314B30D3"/>
    <w:rsid w:val="3152520E"/>
    <w:rsid w:val="31544D87"/>
    <w:rsid w:val="31590699"/>
    <w:rsid w:val="315A5082"/>
    <w:rsid w:val="315B522B"/>
    <w:rsid w:val="315D0E7A"/>
    <w:rsid w:val="3164188C"/>
    <w:rsid w:val="31674B18"/>
    <w:rsid w:val="316E33B4"/>
    <w:rsid w:val="317B2B05"/>
    <w:rsid w:val="317D30C4"/>
    <w:rsid w:val="317F0FFC"/>
    <w:rsid w:val="31800117"/>
    <w:rsid w:val="318111FC"/>
    <w:rsid w:val="31813D45"/>
    <w:rsid w:val="31856158"/>
    <w:rsid w:val="31864EB8"/>
    <w:rsid w:val="318D30B8"/>
    <w:rsid w:val="318E0D2E"/>
    <w:rsid w:val="318E6D18"/>
    <w:rsid w:val="319C292D"/>
    <w:rsid w:val="319C2A82"/>
    <w:rsid w:val="319F0A95"/>
    <w:rsid w:val="31A051C9"/>
    <w:rsid w:val="31A27A28"/>
    <w:rsid w:val="31A52164"/>
    <w:rsid w:val="31A83080"/>
    <w:rsid w:val="31A87524"/>
    <w:rsid w:val="31A95DDB"/>
    <w:rsid w:val="31A97850"/>
    <w:rsid w:val="31AA373C"/>
    <w:rsid w:val="31AE5F62"/>
    <w:rsid w:val="31B12042"/>
    <w:rsid w:val="31B250E0"/>
    <w:rsid w:val="31B34BBE"/>
    <w:rsid w:val="31B5579D"/>
    <w:rsid w:val="31B83178"/>
    <w:rsid w:val="31BA11D6"/>
    <w:rsid w:val="31BA1380"/>
    <w:rsid w:val="31BC3BEB"/>
    <w:rsid w:val="31CB053B"/>
    <w:rsid w:val="31D245A1"/>
    <w:rsid w:val="31DE0FE6"/>
    <w:rsid w:val="31DE3B22"/>
    <w:rsid w:val="31E00A6C"/>
    <w:rsid w:val="31E52168"/>
    <w:rsid w:val="31E71DFA"/>
    <w:rsid w:val="31EA3699"/>
    <w:rsid w:val="31F46FF8"/>
    <w:rsid w:val="31FC5799"/>
    <w:rsid w:val="320F1564"/>
    <w:rsid w:val="321B1AA4"/>
    <w:rsid w:val="321B7CF6"/>
    <w:rsid w:val="322540B8"/>
    <w:rsid w:val="322E5C7B"/>
    <w:rsid w:val="32335040"/>
    <w:rsid w:val="323420ED"/>
    <w:rsid w:val="32361136"/>
    <w:rsid w:val="32425283"/>
    <w:rsid w:val="32430FFB"/>
    <w:rsid w:val="32472787"/>
    <w:rsid w:val="32485077"/>
    <w:rsid w:val="32494863"/>
    <w:rsid w:val="324B0148"/>
    <w:rsid w:val="325338BB"/>
    <w:rsid w:val="32546373"/>
    <w:rsid w:val="3257627A"/>
    <w:rsid w:val="325E7BE3"/>
    <w:rsid w:val="326246BE"/>
    <w:rsid w:val="326359E2"/>
    <w:rsid w:val="326371CC"/>
    <w:rsid w:val="3269507D"/>
    <w:rsid w:val="326D3EFA"/>
    <w:rsid w:val="32700042"/>
    <w:rsid w:val="32717DF3"/>
    <w:rsid w:val="32735C95"/>
    <w:rsid w:val="327377C9"/>
    <w:rsid w:val="32780CA4"/>
    <w:rsid w:val="3282353D"/>
    <w:rsid w:val="32870EE7"/>
    <w:rsid w:val="32891103"/>
    <w:rsid w:val="328A3FE5"/>
    <w:rsid w:val="328C4750"/>
    <w:rsid w:val="329248B7"/>
    <w:rsid w:val="329641D3"/>
    <w:rsid w:val="32981347"/>
    <w:rsid w:val="329D2C38"/>
    <w:rsid w:val="329F434A"/>
    <w:rsid w:val="329F4B49"/>
    <w:rsid w:val="329F776B"/>
    <w:rsid w:val="32A03CD6"/>
    <w:rsid w:val="32A25251"/>
    <w:rsid w:val="32A93554"/>
    <w:rsid w:val="32B02312"/>
    <w:rsid w:val="32B37F2E"/>
    <w:rsid w:val="32B65A83"/>
    <w:rsid w:val="32B72DF8"/>
    <w:rsid w:val="32B97FF0"/>
    <w:rsid w:val="32BE5522"/>
    <w:rsid w:val="32BF0681"/>
    <w:rsid w:val="32C044C4"/>
    <w:rsid w:val="32C24615"/>
    <w:rsid w:val="32C71C0D"/>
    <w:rsid w:val="32CE74C9"/>
    <w:rsid w:val="32D81A36"/>
    <w:rsid w:val="32DF508C"/>
    <w:rsid w:val="32DF6F75"/>
    <w:rsid w:val="32E0684A"/>
    <w:rsid w:val="32E32ED9"/>
    <w:rsid w:val="32E77BD8"/>
    <w:rsid w:val="32EC6B8F"/>
    <w:rsid w:val="32EC7AEE"/>
    <w:rsid w:val="32F32D69"/>
    <w:rsid w:val="32F6606D"/>
    <w:rsid w:val="32F95CA6"/>
    <w:rsid w:val="32FC7B27"/>
    <w:rsid w:val="32FE6C27"/>
    <w:rsid w:val="32FF7114"/>
    <w:rsid w:val="33010C9A"/>
    <w:rsid w:val="3303263C"/>
    <w:rsid w:val="33064502"/>
    <w:rsid w:val="330B3C91"/>
    <w:rsid w:val="33122EA7"/>
    <w:rsid w:val="3312497A"/>
    <w:rsid w:val="33163DF2"/>
    <w:rsid w:val="33180CD3"/>
    <w:rsid w:val="331E66B0"/>
    <w:rsid w:val="331F5ACC"/>
    <w:rsid w:val="331F708D"/>
    <w:rsid w:val="33274478"/>
    <w:rsid w:val="332B21BB"/>
    <w:rsid w:val="332D0608"/>
    <w:rsid w:val="332D460B"/>
    <w:rsid w:val="33301DB6"/>
    <w:rsid w:val="33305A23"/>
    <w:rsid w:val="33322DA4"/>
    <w:rsid w:val="3341378C"/>
    <w:rsid w:val="33451BC8"/>
    <w:rsid w:val="334B460B"/>
    <w:rsid w:val="334C7E2A"/>
    <w:rsid w:val="33505792"/>
    <w:rsid w:val="33522800"/>
    <w:rsid w:val="33552D94"/>
    <w:rsid w:val="335A02C1"/>
    <w:rsid w:val="335B4AB3"/>
    <w:rsid w:val="335C49A0"/>
    <w:rsid w:val="335E091A"/>
    <w:rsid w:val="336C1169"/>
    <w:rsid w:val="336E0FD6"/>
    <w:rsid w:val="3370411F"/>
    <w:rsid w:val="337376BE"/>
    <w:rsid w:val="337716FE"/>
    <w:rsid w:val="338509E0"/>
    <w:rsid w:val="338567E9"/>
    <w:rsid w:val="338F447E"/>
    <w:rsid w:val="3390201E"/>
    <w:rsid w:val="33932701"/>
    <w:rsid w:val="33947A59"/>
    <w:rsid w:val="33961DA5"/>
    <w:rsid w:val="339B3289"/>
    <w:rsid w:val="339C0600"/>
    <w:rsid w:val="339C6C14"/>
    <w:rsid w:val="339E17DA"/>
    <w:rsid w:val="339F04B3"/>
    <w:rsid w:val="33A06705"/>
    <w:rsid w:val="33A317FE"/>
    <w:rsid w:val="33A60F1B"/>
    <w:rsid w:val="33A60F55"/>
    <w:rsid w:val="33AC2EC2"/>
    <w:rsid w:val="33B426F9"/>
    <w:rsid w:val="33B95A18"/>
    <w:rsid w:val="33BE46A4"/>
    <w:rsid w:val="33C24A1E"/>
    <w:rsid w:val="33C53668"/>
    <w:rsid w:val="33CA462E"/>
    <w:rsid w:val="33CF1F9F"/>
    <w:rsid w:val="33CF2B46"/>
    <w:rsid w:val="33D42CE3"/>
    <w:rsid w:val="33D463AE"/>
    <w:rsid w:val="33DC5263"/>
    <w:rsid w:val="33DD2863"/>
    <w:rsid w:val="33DE472A"/>
    <w:rsid w:val="33DE547F"/>
    <w:rsid w:val="33E34843"/>
    <w:rsid w:val="33E37778"/>
    <w:rsid w:val="33EC7B9C"/>
    <w:rsid w:val="33F22CD8"/>
    <w:rsid w:val="33F656C4"/>
    <w:rsid w:val="33FE12AA"/>
    <w:rsid w:val="340359B4"/>
    <w:rsid w:val="340364D7"/>
    <w:rsid w:val="340C0251"/>
    <w:rsid w:val="341F2A15"/>
    <w:rsid w:val="34207B82"/>
    <w:rsid w:val="34217B07"/>
    <w:rsid w:val="34230D21"/>
    <w:rsid w:val="34251695"/>
    <w:rsid w:val="34263F82"/>
    <w:rsid w:val="342C06C3"/>
    <w:rsid w:val="342C283D"/>
    <w:rsid w:val="342D3D10"/>
    <w:rsid w:val="342D7CA9"/>
    <w:rsid w:val="342F7FA6"/>
    <w:rsid w:val="34306259"/>
    <w:rsid w:val="343432F1"/>
    <w:rsid w:val="34367DA0"/>
    <w:rsid w:val="34396AD4"/>
    <w:rsid w:val="343C238F"/>
    <w:rsid w:val="34433534"/>
    <w:rsid w:val="344828D8"/>
    <w:rsid w:val="345469E9"/>
    <w:rsid w:val="345538D4"/>
    <w:rsid w:val="34675474"/>
    <w:rsid w:val="346763D8"/>
    <w:rsid w:val="346E367C"/>
    <w:rsid w:val="347528E2"/>
    <w:rsid w:val="34871B33"/>
    <w:rsid w:val="34877904"/>
    <w:rsid w:val="348C4EDB"/>
    <w:rsid w:val="349F4C0E"/>
    <w:rsid w:val="34A50280"/>
    <w:rsid w:val="34A915E9"/>
    <w:rsid w:val="34B15526"/>
    <w:rsid w:val="34B34EAD"/>
    <w:rsid w:val="34B47E4D"/>
    <w:rsid w:val="34B6287C"/>
    <w:rsid w:val="34BA1A48"/>
    <w:rsid w:val="34BF705E"/>
    <w:rsid w:val="34C20046"/>
    <w:rsid w:val="34C21100"/>
    <w:rsid w:val="34C26C52"/>
    <w:rsid w:val="34C74165"/>
    <w:rsid w:val="34C81959"/>
    <w:rsid w:val="34CA502B"/>
    <w:rsid w:val="34CB5A03"/>
    <w:rsid w:val="34D13A99"/>
    <w:rsid w:val="34D14809"/>
    <w:rsid w:val="34D66025"/>
    <w:rsid w:val="34D67F04"/>
    <w:rsid w:val="34D7150C"/>
    <w:rsid w:val="34D82830"/>
    <w:rsid w:val="34D87E69"/>
    <w:rsid w:val="34DF54E7"/>
    <w:rsid w:val="34E15227"/>
    <w:rsid w:val="34E2428A"/>
    <w:rsid w:val="34E33532"/>
    <w:rsid w:val="34E8012D"/>
    <w:rsid w:val="34EB4778"/>
    <w:rsid w:val="34EF18D2"/>
    <w:rsid w:val="34FA1E45"/>
    <w:rsid w:val="350158DF"/>
    <w:rsid w:val="3504237A"/>
    <w:rsid w:val="35054751"/>
    <w:rsid w:val="350C796F"/>
    <w:rsid w:val="350D4BE1"/>
    <w:rsid w:val="3513435D"/>
    <w:rsid w:val="351741C1"/>
    <w:rsid w:val="351B6A93"/>
    <w:rsid w:val="352275ED"/>
    <w:rsid w:val="352411E1"/>
    <w:rsid w:val="35254474"/>
    <w:rsid w:val="35274E68"/>
    <w:rsid w:val="352C6DA4"/>
    <w:rsid w:val="352E28D5"/>
    <w:rsid w:val="352F73A0"/>
    <w:rsid w:val="35365259"/>
    <w:rsid w:val="35370862"/>
    <w:rsid w:val="35422A7F"/>
    <w:rsid w:val="35463542"/>
    <w:rsid w:val="35474883"/>
    <w:rsid w:val="3547620A"/>
    <w:rsid w:val="35492DCC"/>
    <w:rsid w:val="354B1DD2"/>
    <w:rsid w:val="354E6235"/>
    <w:rsid w:val="35516F6C"/>
    <w:rsid w:val="35573D37"/>
    <w:rsid w:val="35612418"/>
    <w:rsid w:val="356255D3"/>
    <w:rsid w:val="356D45E5"/>
    <w:rsid w:val="357152F1"/>
    <w:rsid w:val="35717291"/>
    <w:rsid w:val="35764901"/>
    <w:rsid w:val="357660D3"/>
    <w:rsid w:val="357D65D2"/>
    <w:rsid w:val="357E1C36"/>
    <w:rsid w:val="357F234A"/>
    <w:rsid w:val="357F78F2"/>
    <w:rsid w:val="35812566"/>
    <w:rsid w:val="35843AA7"/>
    <w:rsid w:val="358844D7"/>
    <w:rsid w:val="358B0CEF"/>
    <w:rsid w:val="358D2CB9"/>
    <w:rsid w:val="359009FB"/>
    <w:rsid w:val="359510B7"/>
    <w:rsid w:val="35951B6D"/>
    <w:rsid w:val="35965761"/>
    <w:rsid w:val="359B0272"/>
    <w:rsid w:val="359E4EC6"/>
    <w:rsid w:val="35A1251F"/>
    <w:rsid w:val="35A4212D"/>
    <w:rsid w:val="35AB17ED"/>
    <w:rsid w:val="35AC602C"/>
    <w:rsid w:val="35B650AD"/>
    <w:rsid w:val="35B65DBF"/>
    <w:rsid w:val="35B96760"/>
    <w:rsid w:val="35BF0D0B"/>
    <w:rsid w:val="35C02C5D"/>
    <w:rsid w:val="35C438FC"/>
    <w:rsid w:val="35C661CB"/>
    <w:rsid w:val="35C8202E"/>
    <w:rsid w:val="35CE0DDC"/>
    <w:rsid w:val="35D42696"/>
    <w:rsid w:val="35D603A2"/>
    <w:rsid w:val="35D72186"/>
    <w:rsid w:val="35DA3A24"/>
    <w:rsid w:val="35DC779C"/>
    <w:rsid w:val="35DE1766"/>
    <w:rsid w:val="35E14DB3"/>
    <w:rsid w:val="35EC23BD"/>
    <w:rsid w:val="35EE41A7"/>
    <w:rsid w:val="35F12D83"/>
    <w:rsid w:val="35F268C9"/>
    <w:rsid w:val="35F8668E"/>
    <w:rsid w:val="35F920FC"/>
    <w:rsid w:val="35FD4EF4"/>
    <w:rsid w:val="36034D29"/>
    <w:rsid w:val="36045748"/>
    <w:rsid w:val="36077684"/>
    <w:rsid w:val="360845DB"/>
    <w:rsid w:val="360867E3"/>
    <w:rsid w:val="360A735F"/>
    <w:rsid w:val="360F48B7"/>
    <w:rsid w:val="36127662"/>
    <w:rsid w:val="3614186F"/>
    <w:rsid w:val="3623361D"/>
    <w:rsid w:val="36257FD9"/>
    <w:rsid w:val="362863C9"/>
    <w:rsid w:val="362B3DDA"/>
    <w:rsid w:val="362E3F9B"/>
    <w:rsid w:val="362F5B1E"/>
    <w:rsid w:val="36317AE8"/>
    <w:rsid w:val="36346DFE"/>
    <w:rsid w:val="3639699D"/>
    <w:rsid w:val="3640478C"/>
    <w:rsid w:val="36424BCE"/>
    <w:rsid w:val="36435878"/>
    <w:rsid w:val="36442226"/>
    <w:rsid w:val="36463490"/>
    <w:rsid w:val="3648329F"/>
    <w:rsid w:val="364E35E2"/>
    <w:rsid w:val="36511F38"/>
    <w:rsid w:val="365321C4"/>
    <w:rsid w:val="36551664"/>
    <w:rsid w:val="365732C7"/>
    <w:rsid w:val="365B6913"/>
    <w:rsid w:val="36663463"/>
    <w:rsid w:val="36710FB7"/>
    <w:rsid w:val="36724133"/>
    <w:rsid w:val="36745C27"/>
    <w:rsid w:val="3675490E"/>
    <w:rsid w:val="367C4ADB"/>
    <w:rsid w:val="367D0F7F"/>
    <w:rsid w:val="3684440F"/>
    <w:rsid w:val="36892D9A"/>
    <w:rsid w:val="36897390"/>
    <w:rsid w:val="368A62D0"/>
    <w:rsid w:val="368B2EFE"/>
    <w:rsid w:val="3696269D"/>
    <w:rsid w:val="369857B5"/>
    <w:rsid w:val="369D134C"/>
    <w:rsid w:val="369E4A52"/>
    <w:rsid w:val="36A47AEF"/>
    <w:rsid w:val="36A6107B"/>
    <w:rsid w:val="36A941D3"/>
    <w:rsid w:val="36AE738B"/>
    <w:rsid w:val="36AE7E4D"/>
    <w:rsid w:val="36AF6C5F"/>
    <w:rsid w:val="36B65E9E"/>
    <w:rsid w:val="36B85B13"/>
    <w:rsid w:val="36BE3B62"/>
    <w:rsid w:val="36BE3C31"/>
    <w:rsid w:val="36C3106A"/>
    <w:rsid w:val="36C40FA3"/>
    <w:rsid w:val="36C53202"/>
    <w:rsid w:val="36C94C72"/>
    <w:rsid w:val="36CA43D1"/>
    <w:rsid w:val="36CF41CF"/>
    <w:rsid w:val="36DB4894"/>
    <w:rsid w:val="36DE12F2"/>
    <w:rsid w:val="36E83F1F"/>
    <w:rsid w:val="36E932B6"/>
    <w:rsid w:val="36EE3652"/>
    <w:rsid w:val="36F31241"/>
    <w:rsid w:val="36F51070"/>
    <w:rsid w:val="36F673EE"/>
    <w:rsid w:val="36FC3DB1"/>
    <w:rsid w:val="36FE04A5"/>
    <w:rsid w:val="3700060A"/>
    <w:rsid w:val="370056AD"/>
    <w:rsid w:val="37033F75"/>
    <w:rsid w:val="37040D59"/>
    <w:rsid w:val="370D7641"/>
    <w:rsid w:val="37131129"/>
    <w:rsid w:val="37180A99"/>
    <w:rsid w:val="37184804"/>
    <w:rsid w:val="371A4D18"/>
    <w:rsid w:val="371C7472"/>
    <w:rsid w:val="3720190B"/>
    <w:rsid w:val="37243C1B"/>
    <w:rsid w:val="37287091"/>
    <w:rsid w:val="3729571E"/>
    <w:rsid w:val="372C701F"/>
    <w:rsid w:val="3730715C"/>
    <w:rsid w:val="3731311B"/>
    <w:rsid w:val="37321F5A"/>
    <w:rsid w:val="373408A5"/>
    <w:rsid w:val="373A0C1E"/>
    <w:rsid w:val="373F4487"/>
    <w:rsid w:val="374070DE"/>
    <w:rsid w:val="3741494B"/>
    <w:rsid w:val="37442EB7"/>
    <w:rsid w:val="37443747"/>
    <w:rsid w:val="374870C0"/>
    <w:rsid w:val="374E77C8"/>
    <w:rsid w:val="374F69DC"/>
    <w:rsid w:val="37502D61"/>
    <w:rsid w:val="375318EC"/>
    <w:rsid w:val="37573EA3"/>
    <w:rsid w:val="375F3051"/>
    <w:rsid w:val="37616ED6"/>
    <w:rsid w:val="37640266"/>
    <w:rsid w:val="37667FD8"/>
    <w:rsid w:val="376D7534"/>
    <w:rsid w:val="3772660A"/>
    <w:rsid w:val="37770BDD"/>
    <w:rsid w:val="37780297"/>
    <w:rsid w:val="377B4845"/>
    <w:rsid w:val="378C0D4E"/>
    <w:rsid w:val="378E4AC6"/>
    <w:rsid w:val="3793032E"/>
    <w:rsid w:val="379833E2"/>
    <w:rsid w:val="379B69EA"/>
    <w:rsid w:val="37A17C4F"/>
    <w:rsid w:val="37A20571"/>
    <w:rsid w:val="37A32AE6"/>
    <w:rsid w:val="37AC403D"/>
    <w:rsid w:val="37B25A57"/>
    <w:rsid w:val="37BE35FD"/>
    <w:rsid w:val="37C11BAF"/>
    <w:rsid w:val="37C44757"/>
    <w:rsid w:val="37C44D03"/>
    <w:rsid w:val="37CA4EEE"/>
    <w:rsid w:val="37CC2DB8"/>
    <w:rsid w:val="37CD7F1E"/>
    <w:rsid w:val="37CE3BFD"/>
    <w:rsid w:val="37D3136D"/>
    <w:rsid w:val="37D62B7D"/>
    <w:rsid w:val="37D71CEA"/>
    <w:rsid w:val="37D7646D"/>
    <w:rsid w:val="37D86E73"/>
    <w:rsid w:val="37DC1CD5"/>
    <w:rsid w:val="37DE7AD6"/>
    <w:rsid w:val="37E1109A"/>
    <w:rsid w:val="37E15FE5"/>
    <w:rsid w:val="37E77885"/>
    <w:rsid w:val="37EF1F86"/>
    <w:rsid w:val="37F06791"/>
    <w:rsid w:val="37F2281E"/>
    <w:rsid w:val="37F25055"/>
    <w:rsid w:val="37F565FF"/>
    <w:rsid w:val="3802077B"/>
    <w:rsid w:val="380240FD"/>
    <w:rsid w:val="380460F4"/>
    <w:rsid w:val="3805122C"/>
    <w:rsid w:val="380D12B4"/>
    <w:rsid w:val="380D6910"/>
    <w:rsid w:val="380E3748"/>
    <w:rsid w:val="381C47C8"/>
    <w:rsid w:val="381C6576"/>
    <w:rsid w:val="383C5FE0"/>
    <w:rsid w:val="383D413A"/>
    <w:rsid w:val="38475D2A"/>
    <w:rsid w:val="38477BCF"/>
    <w:rsid w:val="384E522B"/>
    <w:rsid w:val="384F24A7"/>
    <w:rsid w:val="384F3CB1"/>
    <w:rsid w:val="3852226E"/>
    <w:rsid w:val="3853376C"/>
    <w:rsid w:val="38561A88"/>
    <w:rsid w:val="3859075A"/>
    <w:rsid w:val="385A65E7"/>
    <w:rsid w:val="385D55F1"/>
    <w:rsid w:val="385D7976"/>
    <w:rsid w:val="385E429B"/>
    <w:rsid w:val="38624159"/>
    <w:rsid w:val="38646325"/>
    <w:rsid w:val="38695DE6"/>
    <w:rsid w:val="386B3A5B"/>
    <w:rsid w:val="386B4E07"/>
    <w:rsid w:val="386D0B7F"/>
    <w:rsid w:val="387243E8"/>
    <w:rsid w:val="387653CA"/>
    <w:rsid w:val="387828EA"/>
    <w:rsid w:val="387A73C9"/>
    <w:rsid w:val="387E769F"/>
    <w:rsid w:val="3884662A"/>
    <w:rsid w:val="38886367"/>
    <w:rsid w:val="388B2005"/>
    <w:rsid w:val="388C2881"/>
    <w:rsid w:val="388E7474"/>
    <w:rsid w:val="388F477D"/>
    <w:rsid w:val="388F4F9A"/>
    <w:rsid w:val="388F6147"/>
    <w:rsid w:val="38925F64"/>
    <w:rsid w:val="38940F0B"/>
    <w:rsid w:val="38993CC6"/>
    <w:rsid w:val="389C1E13"/>
    <w:rsid w:val="389C791D"/>
    <w:rsid w:val="389E5424"/>
    <w:rsid w:val="38A310FB"/>
    <w:rsid w:val="38A87E0A"/>
    <w:rsid w:val="38A93BB2"/>
    <w:rsid w:val="38AA6EBD"/>
    <w:rsid w:val="38AC248F"/>
    <w:rsid w:val="38AD5420"/>
    <w:rsid w:val="38AE178D"/>
    <w:rsid w:val="38B273A0"/>
    <w:rsid w:val="38B66756"/>
    <w:rsid w:val="38C308FB"/>
    <w:rsid w:val="38C849C5"/>
    <w:rsid w:val="38C96FCD"/>
    <w:rsid w:val="38CC3AF8"/>
    <w:rsid w:val="38D367D9"/>
    <w:rsid w:val="38DB6A3C"/>
    <w:rsid w:val="38DC1DD8"/>
    <w:rsid w:val="38DC5427"/>
    <w:rsid w:val="38DE5F53"/>
    <w:rsid w:val="38F117B0"/>
    <w:rsid w:val="38F27B88"/>
    <w:rsid w:val="38F54C24"/>
    <w:rsid w:val="38FD03D1"/>
    <w:rsid w:val="390453E0"/>
    <w:rsid w:val="39090018"/>
    <w:rsid w:val="39111E53"/>
    <w:rsid w:val="3911751B"/>
    <w:rsid w:val="3914724D"/>
    <w:rsid w:val="391639A4"/>
    <w:rsid w:val="391A1404"/>
    <w:rsid w:val="391D07F7"/>
    <w:rsid w:val="39263173"/>
    <w:rsid w:val="392A2F44"/>
    <w:rsid w:val="392C6FE4"/>
    <w:rsid w:val="392D4038"/>
    <w:rsid w:val="3936770E"/>
    <w:rsid w:val="394D229C"/>
    <w:rsid w:val="395A55A8"/>
    <w:rsid w:val="395B4E7C"/>
    <w:rsid w:val="395D0BF4"/>
    <w:rsid w:val="39627FB8"/>
    <w:rsid w:val="39653B7F"/>
    <w:rsid w:val="396561EC"/>
    <w:rsid w:val="396957EB"/>
    <w:rsid w:val="396B3311"/>
    <w:rsid w:val="396C1913"/>
    <w:rsid w:val="396C3C01"/>
    <w:rsid w:val="396E05E2"/>
    <w:rsid w:val="397F0B6A"/>
    <w:rsid w:val="398702CA"/>
    <w:rsid w:val="398D4AE2"/>
    <w:rsid w:val="39934616"/>
    <w:rsid w:val="39936B4C"/>
    <w:rsid w:val="39971B73"/>
    <w:rsid w:val="399F3E9D"/>
    <w:rsid w:val="39A271EA"/>
    <w:rsid w:val="39A630BD"/>
    <w:rsid w:val="39A86313"/>
    <w:rsid w:val="39AE60C8"/>
    <w:rsid w:val="39B4306C"/>
    <w:rsid w:val="39B5458C"/>
    <w:rsid w:val="39B734AF"/>
    <w:rsid w:val="39BC7231"/>
    <w:rsid w:val="39BF58CD"/>
    <w:rsid w:val="39C07F2A"/>
    <w:rsid w:val="39C173D5"/>
    <w:rsid w:val="39C30DEE"/>
    <w:rsid w:val="39C830F9"/>
    <w:rsid w:val="39C8341B"/>
    <w:rsid w:val="39CA4947"/>
    <w:rsid w:val="39CC14F3"/>
    <w:rsid w:val="39D948CA"/>
    <w:rsid w:val="39DA2245"/>
    <w:rsid w:val="39DB3C47"/>
    <w:rsid w:val="39DE630A"/>
    <w:rsid w:val="39E00291"/>
    <w:rsid w:val="39ED47D1"/>
    <w:rsid w:val="39EE7BDC"/>
    <w:rsid w:val="39F01723"/>
    <w:rsid w:val="39F630B2"/>
    <w:rsid w:val="39FD260D"/>
    <w:rsid w:val="39FD2F94"/>
    <w:rsid w:val="3A013C75"/>
    <w:rsid w:val="3A024CAE"/>
    <w:rsid w:val="3A0C69E4"/>
    <w:rsid w:val="3A123C36"/>
    <w:rsid w:val="3A1406B6"/>
    <w:rsid w:val="3A176647"/>
    <w:rsid w:val="3A183E8B"/>
    <w:rsid w:val="3A201D84"/>
    <w:rsid w:val="3A206B1E"/>
    <w:rsid w:val="3A2161EB"/>
    <w:rsid w:val="3A224433"/>
    <w:rsid w:val="3A2967CE"/>
    <w:rsid w:val="3A2B2AA0"/>
    <w:rsid w:val="3A2C7423"/>
    <w:rsid w:val="3A3214CC"/>
    <w:rsid w:val="3A3666BD"/>
    <w:rsid w:val="3A371445"/>
    <w:rsid w:val="3A3E487D"/>
    <w:rsid w:val="3A4028E8"/>
    <w:rsid w:val="3A40414F"/>
    <w:rsid w:val="3A443578"/>
    <w:rsid w:val="3A445910"/>
    <w:rsid w:val="3A4A561C"/>
    <w:rsid w:val="3A4E0707"/>
    <w:rsid w:val="3A502507"/>
    <w:rsid w:val="3A507EF8"/>
    <w:rsid w:val="3A526642"/>
    <w:rsid w:val="3A532654"/>
    <w:rsid w:val="3A563FC1"/>
    <w:rsid w:val="3A5E2E76"/>
    <w:rsid w:val="3A600652"/>
    <w:rsid w:val="3A6F1D50"/>
    <w:rsid w:val="3A72247D"/>
    <w:rsid w:val="3A723FEB"/>
    <w:rsid w:val="3A742699"/>
    <w:rsid w:val="3A7A757A"/>
    <w:rsid w:val="3A7A7584"/>
    <w:rsid w:val="3A8013C4"/>
    <w:rsid w:val="3A84753C"/>
    <w:rsid w:val="3A8723CC"/>
    <w:rsid w:val="3A8C7C59"/>
    <w:rsid w:val="3A922B1F"/>
    <w:rsid w:val="3A946897"/>
    <w:rsid w:val="3A9A1A78"/>
    <w:rsid w:val="3A9C399E"/>
    <w:rsid w:val="3A9F027C"/>
    <w:rsid w:val="3AA1349F"/>
    <w:rsid w:val="3AA20330"/>
    <w:rsid w:val="3AA27753"/>
    <w:rsid w:val="3AA42209"/>
    <w:rsid w:val="3AA45BF2"/>
    <w:rsid w:val="3AA51D80"/>
    <w:rsid w:val="3AA765CB"/>
    <w:rsid w:val="3AAF36D1"/>
    <w:rsid w:val="3AB121BB"/>
    <w:rsid w:val="3ABC2AC9"/>
    <w:rsid w:val="3AC03A36"/>
    <w:rsid w:val="3AC142F1"/>
    <w:rsid w:val="3AC37A18"/>
    <w:rsid w:val="3ACC2C17"/>
    <w:rsid w:val="3ACF169C"/>
    <w:rsid w:val="3AD16BD5"/>
    <w:rsid w:val="3AD655A2"/>
    <w:rsid w:val="3AD80004"/>
    <w:rsid w:val="3AD83785"/>
    <w:rsid w:val="3ADA6EB0"/>
    <w:rsid w:val="3ADB6274"/>
    <w:rsid w:val="3ADC6E4E"/>
    <w:rsid w:val="3AE151E5"/>
    <w:rsid w:val="3AE467DF"/>
    <w:rsid w:val="3AE62A08"/>
    <w:rsid w:val="3AE76615"/>
    <w:rsid w:val="3AEC48FA"/>
    <w:rsid w:val="3AEF2E86"/>
    <w:rsid w:val="3AF17928"/>
    <w:rsid w:val="3AF23ECA"/>
    <w:rsid w:val="3AF61300"/>
    <w:rsid w:val="3AF64E5C"/>
    <w:rsid w:val="3AF6669A"/>
    <w:rsid w:val="3AFB06C4"/>
    <w:rsid w:val="3AFD4F44"/>
    <w:rsid w:val="3AFE4D0B"/>
    <w:rsid w:val="3B0311B9"/>
    <w:rsid w:val="3B044178"/>
    <w:rsid w:val="3B0A599B"/>
    <w:rsid w:val="3B0B4275"/>
    <w:rsid w:val="3B0C0B24"/>
    <w:rsid w:val="3B173A98"/>
    <w:rsid w:val="3B173BF2"/>
    <w:rsid w:val="3B1A693F"/>
    <w:rsid w:val="3B1B0CE9"/>
    <w:rsid w:val="3B1D4CD4"/>
    <w:rsid w:val="3B2232D4"/>
    <w:rsid w:val="3B264EE0"/>
    <w:rsid w:val="3B2A329F"/>
    <w:rsid w:val="3B2B4EB0"/>
    <w:rsid w:val="3B331C0C"/>
    <w:rsid w:val="3B3F4A55"/>
    <w:rsid w:val="3B405151"/>
    <w:rsid w:val="3B464036"/>
    <w:rsid w:val="3B4F4CA9"/>
    <w:rsid w:val="3B526DCC"/>
    <w:rsid w:val="3B5B5607"/>
    <w:rsid w:val="3B5E6E75"/>
    <w:rsid w:val="3B60677A"/>
    <w:rsid w:val="3B6224F2"/>
    <w:rsid w:val="3B6D24F5"/>
    <w:rsid w:val="3B6E0E96"/>
    <w:rsid w:val="3B6E2755"/>
    <w:rsid w:val="3B6E70E8"/>
    <w:rsid w:val="3B7346FF"/>
    <w:rsid w:val="3B736CDC"/>
    <w:rsid w:val="3B774A76"/>
    <w:rsid w:val="3B7C46E8"/>
    <w:rsid w:val="3B7E23AF"/>
    <w:rsid w:val="3B7E69CB"/>
    <w:rsid w:val="3B8132BD"/>
    <w:rsid w:val="3B841F06"/>
    <w:rsid w:val="3B8F148F"/>
    <w:rsid w:val="3B98242C"/>
    <w:rsid w:val="3B9C0921"/>
    <w:rsid w:val="3B9C6106"/>
    <w:rsid w:val="3B9D352A"/>
    <w:rsid w:val="3BA1059E"/>
    <w:rsid w:val="3BA42B0A"/>
    <w:rsid w:val="3BA743A8"/>
    <w:rsid w:val="3BAD4B47"/>
    <w:rsid w:val="3BB002D7"/>
    <w:rsid w:val="3BB46028"/>
    <w:rsid w:val="3BB6621C"/>
    <w:rsid w:val="3BBB7E54"/>
    <w:rsid w:val="3BBC60A6"/>
    <w:rsid w:val="3BBC75D1"/>
    <w:rsid w:val="3BBD1E1E"/>
    <w:rsid w:val="3BBF5B96"/>
    <w:rsid w:val="3BC1546A"/>
    <w:rsid w:val="3BC15AE6"/>
    <w:rsid w:val="3BC4467B"/>
    <w:rsid w:val="3BC83446"/>
    <w:rsid w:val="3BC9431F"/>
    <w:rsid w:val="3BCB5986"/>
    <w:rsid w:val="3BCC2061"/>
    <w:rsid w:val="3BCD233D"/>
    <w:rsid w:val="3BD319CC"/>
    <w:rsid w:val="3BD412DA"/>
    <w:rsid w:val="3BD86C58"/>
    <w:rsid w:val="3BED2703"/>
    <w:rsid w:val="3BEE13AE"/>
    <w:rsid w:val="3BEE3B6F"/>
    <w:rsid w:val="3BF05D4F"/>
    <w:rsid w:val="3BF10997"/>
    <w:rsid w:val="3BF5780A"/>
    <w:rsid w:val="3BF72E59"/>
    <w:rsid w:val="3BFB1A37"/>
    <w:rsid w:val="3BFF41E4"/>
    <w:rsid w:val="3C006FAE"/>
    <w:rsid w:val="3C02216E"/>
    <w:rsid w:val="3C090BBF"/>
    <w:rsid w:val="3C095063"/>
    <w:rsid w:val="3C0B1C91"/>
    <w:rsid w:val="3C0D6901"/>
    <w:rsid w:val="3C0F1E1C"/>
    <w:rsid w:val="3C0F45C4"/>
    <w:rsid w:val="3C1001A0"/>
    <w:rsid w:val="3C157564"/>
    <w:rsid w:val="3C1C512B"/>
    <w:rsid w:val="3C1F6ED2"/>
    <w:rsid w:val="3C264B94"/>
    <w:rsid w:val="3C281788"/>
    <w:rsid w:val="3C2D302D"/>
    <w:rsid w:val="3C2D6FA3"/>
    <w:rsid w:val="3C2E51A3"/>
    <w:rsid w:val="3C2F5D6D"/>
    <w:rsid w:val="3C334F54"/>
    <w:rsid w:val="3C3814A4"/>
    <w:rsid w:val="3C387830"/>
    <w:rsid w:val="3C3C2D43"/>
    <w:rsid w:val="3C403A78"/>
    <w:rsid w:val="3C407959"/>
    <w:rsid w:val="3C4251B0"/>
    <w:rsid w:val="3C432795"/>
    <w:rsid w:val="3C48260D"/>
    <w:rsid w:val="3C485044"/>
    <w:rsid w:val="3C495460"/>
    <w:rsid w:val="3C4C63CA"/>
    <w:rsid w:val="3C4D337F"/>
    <w:rsid w:val="3C4F6E67"/>
    <w:rsid w:val="3C5013FF"/>
    <w:rsid w:val="3C5114D0"/>
    <w:rsid w:val="3C5462DE"/>
    <w:rsid w:val="3C5502A8"/>
    <w:rsid w:val="3C570FBE"/>
    <w:rsid w:val="3C5938F5"/>
    <w:rsid w:val="3C5B71D2"/>
    <w:rsid w:val="3C5E53AF"/>
    <w:rsid w:val="3C686A8A"/>
    <w:rsid w:val="3C6F7098"/>
    <w:rsid w:val="3C7016CE"/>
    <w:rsid w:val="3C714095"/>
    <w:rsid w:val="3C737607"/>
    <w:rsid w:val="3C771367"/>
    <w:rsid w:val="3C7921E9"/>
    <w:rsid w:val="3C7A1753"/>
    <w:rsid w:val="3C7A1ABD"/>
    <w:rsid w:val="3C7B55E4"/>
    <w:rsid w:val="3C830972"/>
    <w:rsid w:val="3C853F1C"/>
    <w:rsid w:val="3C8D6729"/>
    <w:rsid w:val="3C925213"/>
    <w:rsid w:val="3C94492D"/>
    <w:rsid w:val="3C965623"/>
    <w:rsid w:val="3C9A45A8"/>
    <w:rsid w:val="3CA56B3A"/>
    <w:rsid w:val="3CA70F28"/>
    <w:rsid w:val="3CAA4867"/>
    <w:rsid w:val="3CAC79B9"/>
    <w:rsid w:val="3CB13AB8"/>
    <w:rsid w:val="3CB46D7D"/>
    <w:rsid w:val="3CB55266"/>
    <w:rsid w:val="3CB7793C"/>
    <w:rsid w:val="3CB81A19"/>
    <w:rsid w:val="3CBC56FE"/>
    <w:rsid w:val="3CBC6341"/>
    <w:rsid w:val="3CBD50BF"/>
    <w:rsid w:val="3CC16D3F"/>
    <w:rsid w:val="3CC34AE5"/>
    <w:rsid w:val="3CC7056B"/>
    <w:rsid w:val="3CCA65A0"/>
    <w:rsid w:val="3CCC2B0D"/>
    <w:rsid w:val="3CCD0BC4"/>
    <w:rsid w:val="3CD22C45"/>
    <w:rsid w:val="3CD60BE5"/>
    <w:rsid w:val="3CDB07AE"/>
    <w:rsid w:val="3CDC0658"/>
    <w:rsid w:val="3CE116D3"/>
    <w:rsid w:val="3CE162E7"/>
    <w:rsid w:val="3CE23FFF"/>
    <w:rsid w:val="3CE41E03"/>
    <w:rsid w:val="3CE51764"/>
    <w:rsid w:val="3CEB253C"/>
    <w:rsid w:val="3CF11D7F"/>
    <w:rsid w:val="3CF4361D"/>
    <w:rsid w:val="3CF568EC"/>
    <w:rsid w:val="3CFE1A11"/>
    <w:rsid w:val="3D0156BE"/>
    <w:rsid w:val="3D053A7C"/>
    <w:rsid w:val="3D0714CA"/>
    <w:rsid w:val="3D08158A"/>
    <w:rsid w:val="3D0C2743"/>
    <w:rsid w:val="3D0C6BB9"/>
    <w:rsid w:val="3D0D33AB"/>
    <w:rsid w:val="3D112421"/>
    <w:rsid w:val="3D1E09A4"/>
    <w:rsid w:val="3D2044EF"/>
    <w:rsid w:val="3D2D6B2F"/>
    <w:rsid w:val="3D2E3078"/>
    <w:rsid w:val="3D3659E4"/>
    <w:rsid w:val="3D471934"/>
    <w:rsid w:val="3D497FBC"/>
    <w:rsid w:val="3D4A148F"/>
    <w:rsid w:val="3D5F7A13"/>
    <w:rsid w:val="3D60593D"/>
    <w:rsid w:val="3D6962D3"/>
    <w:rsid w:val="3D6A38DF"/>
    <w:rsid w:val="3D6B36DE"/>
    <w:rsid w:val="3D874491"/>
    <w:rsid w:val="3D87623F"/>
    <w:rsid w:val="3D8F50C4"/>
    <w:rsid w:val="3D94095C"/>
    <w:rsid w:val="3D9F50BB"/>
    <w:rsid w:val="3DA07E5F"/>
    <w:rsid w:val="3DA43295"/>
    <w:rsid w:val="3DA60DBB"/>
    <w:rsid w:val="3DA70F36"/>
    <w:rsid w:val="3DA908A0"/>
    <w:rsid w:val="3DAB715D"/>
    <w:rsid w:val="3DAE5EC2"/>
    <w:rsid w:val="3DAE7DCE"/>
    <w:rsid w:val="3DB159B2"/>
    <w:rsid w:val="3DB26A4B"/>
    <w:rsid w:val="3DBA5C3A"/>
    <w:rsid w:val="3DBC344D"/>
    <w:rsid w:val="3DBF00CF"/>
    <w:rsid w:val="3DC9257A"/>
    <w:rsid w:val="3DC95A8B"/>
    <w:rsid w:val="3DCB6A74"/>
    <w:rsid w:val="3DD54684"/>
    <w:rsid w:val="3DD564C3"/>
    <w:rsid w:val="3DD57856"/>
    <w:rsid w:val="3DDE0B48"/>
    <w:rsid w:val="3DE25B6C"/>
    <w:rsid w:val="3DE6565C"/>
    <w:rsid w:val="3DE701FE"/>
    <w:rsid w:val="3DE74F30"/>
    <w:rsid w:val="3DEB2C72"/>
    <w:rsid w:val="3DEB7990"/>
    <w:rsid w:val="3DF0506E"/>
    <w:rsid w:val="3DF149B1"/>
    <w:rsid w:val="3DF65025"/>
    <w:rsid w:val="3DFC17A7"/>
    <w:rsid w:val="3DFD29A6"/>
    <w:rsid w:val="3DFD6502"/>
    <w:rsid w:val="3E03620E"/>
    <w:rsid w:val="3E0C379E"/>
    <w:rsid w:val="3E104487"/>
    <w:rsid w:val="3E1D0952"/>
    <w:rsid w:val="3E1E5B17"/>
    <w:rsid w:val="3E235316"/>
    <w:rsid w:val="3E235947"/>
    <w:rsid w:val="3E24093C"/>
    <w:rsid w:val="3E27259A"/>
    <w:rsid w:val="3E281F2B"/>
    <w:rsid w:val="3E2A006A"/>
    <w:rsid w:val="3E2D50C6"/>
    <w:rsid w:val="3E334F1E"/>
    <w:rsid w:val="3E344619"/>
    <w:rsid w:val="3E35213F"/>
    <w:rsid w:val="3E391C30"/>
    <w:rsid w:val="3E3A663A"/>
    <w:rsid w:val="3E3A73E3"/>
    <w:rsid w:val="3E3F4C76"/>
    <w:rsid w:val="3E3F73A7"/>
    <w:rsid w:val="3E5527E2"/>
    <w:rsid w:val="3E562A67"/>
    <w:rsid w:val="3E5A17AD"/>
    <w:rsid w:val="3E5B7702"/>
    <w:rsid w:val="3E5C147A"/>
    <w:rsid w:val="3E5D1219"/>
    <w:rsid w:val="3E5D1630"/>
    <w:rsid w:val="3E605D79"/>
    <w:rsid w:val="3E634FAF"/>
    <w:rsid w:val="3E664265"/>
    <w:rsid w:val="3E680921"/>
    <w:rsid w:val="3E6B7FCA"/>
    <w:rsid w:val="3E6F7963"/>
    <w:rsid w:val="3E7162AE"/>
    <w:rsid w:val="3E740EBA"/>
    <w:rsid w:val="3E8160DA"/>
    <w:rsid w:val="3E817133"/>
    <w:rsid w:val="3E841FA7"/>
    <w:rsid w:val="3E85413A"/>
    <w:rsid w:val="3E897D84"/>
    <w:rsid w:val="3E8E07A6"/>
    <w:rsid w:val="3E912E79"/>
    <w:rsid w:val="3EA847F2"/>
    <w:rsid w:val="3EA92717"/>
    <w:rsid w:val="3EB23EB7"/>
    <w:rsid w:val="3EB72B54"/>
    <w:rsid w:val="3EBA244F"/>
    <w:rsid w:val="3ED50DF5"/>
    <w:rsid w:val="3ED52C17"/>
    <w:rsid w:val="3EDA4180"/>
    <w:rsid w:val="3EDD777D"/>
    <w:rsid w:val="3EDE27D7"/>
    <w:rsid w:val="3EE14075"/>
    <w:rsid w:val="3EE15410"/>
    <w:rsid w:val="3EE41DD1"/>
    <w:rsid w:val="3EE52344"/>
    <w:rsid w:val="3EE65614"/>
    <w:rsid w:val="3EE80F60"/>
    <w:rsid w:val="3EEE07F8"/>
    <w:rsid w:val="3EEF784D"/>
    <w:rsid w:val="3EF26F72"/>
    <w:rsid w:val="3EF27DD2"/>
    <w:rsid w:val="3F010273"/>
    <w:rsid w:val="3F056592"/>
    <w:rsid w:val="3F11495A"/>
    <w:rsid w:val="3F14143C"/>
    <w:rsid w:val="3F177A97"/>
    <w:rsid w:val="3F1B6A16"/>
    <w:rsid w:val="3F1F3C47"/>
    <w:rsid w:val="3F2112DE"/>
    <w:rsid w:val="3F261A88"/>
    <w:rsid w:val="3F2720AF"/>
    <w:rsid w:val="3F2B0DAF"/>
    <w:rsid w:val="3F316DAB"/>
    <w:rsid w:val="3F39625E"/>
    <w:rsid w:val="3F440272"/>
    <w:rsid w:val="3F4574DA"/>
    <w:rsid w:val="3F4B5B5E"/>
    <w:rsid w:val="3F4B6C90"/>
    <w:rsid w:val="3F4C14EF"/>
    <w:rsid w:val="3F522077"/>
    <w:rsid w:val="3F522A2A"/>
    <w:rsid w:val="3F592ADF"/>
    <w:rsid w:val="3F5A650B"/>
    <w:rsid w:val="3F5B3E28"/>
    <w:rsid w:val="3F5E0891"/>
    <w:rsid w:val="3F6031EC"/>
    <w:rsid w:val="3F645126"/>
    <w:rsid w:val="3F650802"/>
    <w:rsid w:val="3F6827AF"/>
    <w:rsid w:val="3F7104F7"/>
    <w:rsid w:val="3F7160CC"/>
    <w:rsid w:val="3F74633C"/>
    <w:rsid w:val="3F7938EA"/>
    <w:rsid w:val="3F890593"/>
    <w:rsid w:val="3F9058A8"/>
    <w:rsid w:val="3F95689F"/>
    <w:rsid w:val="3F9904AC"/>
    <w:rsid w:val="3F9C6353"/>
    <w:rsid w:val="3FA638B5"/>
    <w:rsid w:val="3FAA40F9"/>
    <w:rsid w:val="3FAB42DE"/>
    <w:rsid w:val="3FAC4683"/>
    <w:rsid w:val="3FAF687E"/>
    <w:rsid w:val="3FB019F3"/>
    <w:rsid w:val="3FB329A2"/>
    <w:rsid w:val="3FB52F51"/>
    <w:rsid w:val="3FB62E0C"/>
    <w:rsid w:val="3FB66FCC"/>
    <w:rsid w:val="3FB71B3C"/>
    <w:rsid w:val="3FC21BA0"/>
    <w:rsid w:val="3FC45529"/>
    <w:rsid w:val="3FC72484"/>
    <w:rsid w:val="3FC82845"/>
    <w:rsid w:val="3FC94057"/>
    <w:rsid w:val="3FCC0881"/>
    <w:rsid w:val="3FCE63A8"/>
    <w:rsid w:val="3FD65C03"/>
    <w:rsid w:val="3FD74587"/>
    <w:rsid w:val="3FDA4E1B"/>
    <w:rsid w:val="3FDB43DA"/>
    <w:rsid w:val="3FDE4346"/>
    <w:rsid w:val="3FE11ABA"/>
    <w:rsid w:val="3FE7624D"/>
    <w:rsid w:val="3FE94BD7"/>
    <w:rsid w:val="3FF20172"/>
    <w:rsid w:val="3FF714A8"/>
    <w:rsid w:val="3FF81229"/>
    <w:rsid w:val="3FF96422"/>
    <w:rsid w:val="3FFD1E63"/>
    <w:rsid w:val="40010EF3"/>
    <w:rsid w:val="40014EE0"/>
    <w:rsid w:val="4003513D"/>
    <w:rsid w:val="40042B5D"/>
    <w:rsid w:val="40114D22"/>
    <w:rsid w:val="401251F4"/>
    <w:rsid w:val="401266D9"/>
    <w:rsid w:val="4014461A"/>
    <w:rsid w:val="40172880"/>
    <w:rsid w:val="40180C28"/>
    <w:rsid w:val="402022DE"/>
    <w:rsid w:val="40217CE4"/>
    <w:rsid w:val="402B6A5D"/>
    <w:rsid w:val="4033684C"/>
    <w:rsid w:val="403468FB"/>
    <w:rsid w:val="40397424"/>
    <w:rsid w:val="403B1563"/>
    <w:rsid w:val="403E39AC"/>
    <w:rsid w:val="40405564"/>
    <w:rsid w:val="40432BB8"/>
    <w:rsid w:val="40564282"/>
    <w:rsid w:val="405E087F"/>
    <w:rsid w:val="405F207C"/>
    <w:rsid w:val="40671C80"/>
    <w:rsid w:val="40672358"/>
    <w:rsid w:val="406E4984"/>
    <w:rsid w:val="406F60E2"/>
    <w:rsid w:val="40706B5C"/>
    <w:rsid w:val="407266AE"/>
    <w:rsid w:val="40751F09"/>
    <w:rsid w:val="40763DA4"/>
    <w:rsid w:val="407B0CCF"/>
    <w:rsid w:val="407F76A2"/>
    <w:rsid w:val="40873D5C"/>
    <w:rsid w:val="408B43F2"/>
    <w:rsid w:val="409D5514"/>
    <w:rsid w:val="409E05F5"/>
    <w:rsid w:val="409F5B4F"/>
    <w:rsid w:val="40A02416"/>
    <w:rsid w:val="40AD06B3"/>
    <w:rsid w:val="40AF442B"/>
    <w:rsid w:val="40B02A5C"/>
    <w:rsid w:val="40B84D47"/>
    <w:rsid w:val="40B9613B"/>
    <w:rsid w:val="40BD72A3"/>
    <w:rsid w:val="40BD7F53"/>
    <w:rsid w:val="40C02C53"/>
    <w:rsid w:val="40C04C42"/>
    <w:rsid w:val="40C33A32"/>
    <w:rsid w:val="40C70288"/>
    <w:rsid w:val="40C720FB"/>
    <w:rsid w:val="40C770F8"/>
    <w:rsid w:val="40C81C9F"/>
    <w:rsid w:val="40CB061C"/>
    <w:rsid w:val="40CD027A"/>
    <w:rsid w:val="40CE724E"/>
    <w:rsid w:val="40D27627"/>
    <w:rsid w:val="40D61E81"/>
    <w:rsid w:val="40DB2728"/>
    <w:rsid w:val="40E165AE"/>
    <w:rsid w:val="40F843A5"/>
    <w:rsid w:val="40FD4F29"/>
    <w:rsid w:val="40FF7B85"/>
    <w:rsid w:val="4102085A"/>
    <w:rsid w:val="41032081"/>
    <w:rsid w:val="41035FA5"/>
    <w:rsid w:val="410743DE"/>
    <w:rsid w:val="410D4CAE"/>
    <w:rsid w:val="4115056A"/>
    <w:rsid w:val="41160006"/>
    <w:rsid w:val="41170448"/>
    <w:rsid w:val="41223B95"/>
    <w:rsid w:val="41287D39"/>
    <w:rsid w:val="4131666C"/>
    <w:rsid w:val="41364227"/>
    <w:rsid w:val="41390199"/>
    <w:rsid w:val="41395AA3"/>
    <w:rsid w:val="41400D97"/>
    <w:rsid w:val="4144738B"/>
    <w:rsid w:val="414555A4"/>
    <w:rsid w:val="41483ADF"/>
    <w:rsid w:val="414E7258"/>
    <w:rsid w:val="41562C5B"/>
    <w:rsid w:val="41601281"/>
    <w:rsid w:val="41657749"/>
    <w:rsid w:val="41662976"/>
    <w:rsid w:val="416C4D63"/>
    <w:rsid w:val="416C59A5"/>
    <w:rsid w:val="416D614F"/>
    <w:rsid w:val="4170137B"/>
    <w:rsid w:val="417E204F"/>
    <w:rsid w:val="41872CF1"/>
    <w:rsid w:val="4189248C"/>
    <w:rsid w:val="418A5390"/>
    <w:rsid w:val="41910459"/>
    <w:rsid w:val="41965875"/>
    <w:rsid w:val="419942DE"/>
    <w:rsid w:val="419D6876"/>
    <w:rsid w:val="41A01FC6"/>
    <w:rsid w:val="41A27001"/>
    <w:rsid w:val="41A70716"/>
    <w:rsid w:val="41A73354"/>
    <w:rsid w:val="41AA0FC1"/>
    <w:rsid w:val="41B65345"/>
    <w:rsid w:val="41B806E8"/>
    <w:rsid w:val="41B94E35"/>
    <w:rsid w:val="41BC428A"/>
    <w:rsid w:val="41BF7940"/>
    <w:rsid w:val="41D20A0F"/>
    <w:rsid w:val="41D42390"/>
    <w:rsid w:val="41D80A96"/>
    <w:rsid w:val="41DF2AEE"/>
    <w:rsid w:val="41E20D15"/>
    <w:rsid w:val="41E2438C"/>
    <w:rsid w:val="41E838FF"/>
    <w:rsid w:val="41E85CFB"/>
    <w:rsid w:val="41EA4D10"/>
    <w:rsid w:val="41EE16B8"/>
    <w:rsid w:val="41F12821"/>
    <w:rsid w:val="41F458D5"/>
    <w:rsid w:val="41F61BE6"/>
    <w:rsid w:val="41F73FBD"/>
    <w:rsid w:val="41F804B1"/>
    <w:rsid w:val="41FA1194"/>
    <w:rsid w:val="41FD11C6"/>
    <w:rsid w:val="42004812"/>
    <w:rsid w:val="4201488A"/>
    <w:rsid w:val="42074B61"/>
    <w:rsid w:val="42091919"/>
    <w:rsid w:val="420A6FAA"/>
    <w:rsid w:val="420E0199"/>
    <w:rsid w:val="420E33D3"/>
    <w:rsid w:val="420F4A55"/>
    <w:rsid w:val="420F6EBB"/>
    <w:rsid w:val="42186000"/>
    <w:rsid w:val="421A58D4"/>
    <w:rsid w:val="421F4058"/>
    <w:rsid w:val="42233FB3"/>
    <w:rsid w:val="4225313E"/>
    <w:rsid w:val="422B5D33"/>
    <w:rsid w:val="42300571"/>
    <w:rsid w:val="423A0574"/>
    <w:rsid w:val="423B3A9C"/>
    <w:rsid w:val="423D0F96"/>
    <w:rsid w:val="42424E2B"/>
    <w:rsid w:val="42486569"/>
    <w:rsid w:val="424B72CB"/>
    <w:rsid w:val="424C5CAA"/>
    <w:rsid w:val="42574009"/>
    <w:rsid w:val="425C5EED"/>
    <w:rsid w:val="42674502"/>
    <w:rsid w:val="426938F4"/>
    <w:rsid w:val="426941B4"/>
    <w:rsid w:val="426C0E4F"/>
    <w:rsid w:val="427051ED"/>
    <w:rsid w:val="42725710"/>
    <w:rsid w:val="42731488"/>
    <w:rsid w:val="42746839"/>
    <w:rsid w:val="427A20D1"/>
    <w:rsid w:val="427A3F30"/>
    <w:rsid w:val="427C3704"/>
    <w:rsid w:val="42832791"/>
    <w:rsid w:val="429513FF"/>
    <w:rsid w:val="42954B33"/>
    <w:rsid w:val="42A45AE6"/>
    <w:rsid w:val="42A548A2"/>
    <w:rsid w:val="42AB259C"/>
    <w:rsid w:val="42AB5884"/>
    <w:rsid w:val="42B172B7"/>
    <w:rsid w:val="42B91F04"/>
    <w:rsid w:val="42BF210F"/>
    <w:rsid w:val="42BF773B"/>
    <w:rsid w:val="42C10446"/>
    <w:rsid w:val="42C358C8"/>
    <w:rsid w:val="42C45840"/>
    <w:rsid w:val="42C46125"/>
    <w:rsid w:val="42C52FE1"/>
    <w:rsid w:val="42C568BF"/>
    <w:rsid w:val="42CB3072"/>
    <w:rsid w:val="42D068DB"/>
    <w:rsid w:val="42D15A7C"/>
    <w:rsid w:val="42D877E3"/>
    <w:rsid w:val="42DC527F"/>
    <w:rsid w:val="42DE0FF8"/>
    <w:rsid w:val="42E13A0E"/>
    <w:rsid w:val="42E17DA2"/>
    <w:rsid w:val="42E813C0"/>
    <w:rsid w:val="42E91084"/>
    <w:rsid w:val="42E934F8"/>
    <w:rsid w:val="42E95DC2"/>
    <w:rsid w:val="42EE71D6"/>
    <w:rsid w:val="42F00936"/>
    <w:rsid w:val="42FE1A53"/>
    <w:rsid w:val="42FF2D1C"/>
    <w:rsid w:val="430640AA"/>
    <w:rsid w:val="430A7002"/>
    <w:rsid w:val="430E1887"/>
    <w:rsid w:val="430E6037"/>
    <w:rsid w:val="43104F29"/>
    <w:rsid w:val="431472AB"/>
    <w:rsid w:val="43152DA6"/>
    <w:rsid w:val="431F2C85"/>
    <w:rsid w:val="4329195E"/>
    <w:rsid w:val="432B1D63"/>
    <w:rsid w:val="43321D6F"/>
    <w:rsid w:val="43452DD1"/>
    <w:rsid w:val="4349650B"/>
    <w:rsid w:val="434D1CD9"/>
    <w:rsid w:val="435209F6"/>
    <w:rsid w:val="43533887"/>
    <w:rsid w:val="43560B8E"/>
    <w:rsid w:val="435A7F52"/>
    <w:rsid w:val="435E1C0C"/>
    <w:rsid w:val="435E5C94"/>
    <w:rsid w:val="436125D0"/>
    <w:rsid w:val="43657D9A"/>
    <w:rsid w:val="43667B79"/>
    <w:rsid w:val="43686B13"/>
    <w:rsid w:val="43723592"/>
    <w:rsid w:val="437348AA"/>
    <w:rsid w:val="43745558"/>
    <w:rsid w:val="43803E5D"/>
    <w:rsid w:val="43816108"/>
    <w:rsid w:val="438219D4"/>
    <w:rsid w:val="43833CD8"/>
    <w:rsid w:val="43880F63"/>
    <w:rsid w:val="438B74D5"/>
    <w:rsid w:val="43A22025"/>
    <w:rsid w:val="43A55E31"/>
    <w:rsid w:val="43AB222C"/>
    <w:rsid w:val="43AC4C52"/>
    <w:rsid w:val="43B22BA6"/>
    <w:rsid w:val="43B43B06"/>
    <w:rsid w:val="43B4503F"/>
    <w:rsid w:val="43BB1FCC"/>
    <w:rsid w:val="43BD2CC7"/>
    <w:rsid w:val="43C659F5"/>
    <w:rsid w:val="43C9229E"/>
    <w:rsid w:val="43CB4F91"/>
    <w:rsid w:val="43D020E1"/>
    <w:rsid w:val="43D30AF4"/>
    <w:rsid w:val="43D877F5"/>
    <w:rsid w:val="43D9356D"/>
    <w:rsid w:val="43D946E9"/>
    <w:rsid w:val="43DB3001"/>
    <w:rsid w:val="43DC273C"/>
    <w:rsid w:val="43DF7967"/>
    <w:rsid w:val="43E0340E"/>
    <w:rsid w:val="43E07BB8"/>
    <w:rsid w:val="43E414F5"/>
    <w:rsid w:val="43E57388"/>
    <w:rsid w:val="43EA5BEF"/>
    <w:rsid w:val="43EC14F2"/>
    <w:rsid w:val="43F36B39"/>
    <w:rsid w:val="43FD0F94"/>
    <w:rsid w:val="43FE2FD4"/>
    <w:rsid w:val="44000FD4"/>
    <w:rsid w:val="44015BAF"/>
    <w:rsid w:val="4403141B"/>
    <w:rsid w:val="4404683C"/>
    <w:rsid w:val="44093E45"/>
    <w:rsid w:val="440B219C"/>
    <w:rsid w:val="440B70DD"/>
    <w:rsid w:val="441507D1"/>
    <w:rsid w:val="441B5E9C"/>
    <w:rsid w:val="44221393"/>
    <w:rsid w:val="442A70F4"/>
    <w:rsid w:val="442B52D2"/>
    <w:rsid w:val="442F112C"/>
    <w:rsid w:val="442F777D"/>
    <w:rsid w:val="44337121"/>
    <w:rsid w:val="44374CFD"/>
    <w:rsid w:val="44427222"/>
    <w:rsid w:val="44442E62"/>
    <w:rsid w:val="444513A2"/>
    <w:rsid w:val="44481A40"/>
    <w:rsid w:val="44523886"/>
    <w:rsid w:val="445D0C54"/>
    <w:rsid w:val="44632262"/>
    <w:rsid w:val="446948F1"/>
    <w:rsid w:val="446A44AB"/>
    <w:rsid w:val="446C71A7"/>
    <w:rsid w:val="446E622D"/>
    <w:rsid w:val="4477025B"/>
    <w:rsid w:val="447F2A73"/>
    <w:rsid w:val="44896004"/>
    <w:rsid w:val="449004A8"/>
    <w:rsid w:val="4496744E"/>
    <w:rsid w:val="44992F67"/>
    <w:rsid w:val="449979A8"/>
    <w:rsid w:val="449C6A74"/>
    <w:rsid w:val="449E27C4"/>
    <w:rsid w:val="449F47B6"/>
    <w:rsid w:val="44A702C0"/>
    <w:rsid w:val="44AA3933"/>
    <w:rsid w:val="44AA701E"/>
    <w:rsid w:val="44AB7881"/>
    <w:rsid w:val="44AE67A8"/>
    <w:rsid w:val="44B04B83"/>
    <w:rsid w:val="44B4618C"/>
    <w:rsid w:val="44B57B36"/>
    <w:rsid w:val="44B67473"/>
    <w:rsid w:val="44B85878"/>
    <w:rsid w:val="44B971D4"/>
    <w:rsid w:val="44BB2022"/>
    <w:rsid w:val="44BC2C73"/>
    <w:rsid w:val="44BE0EA8"/>
    <w:rsid w:val="44C01965"/>
    <w:rsid w:val="44C16AAC"/>
    <w:rsid w:val="44C9538F"/>
    <w:rsid w:val="44CA6FED"/>
    <w:rsid w:val="44CF1A70"/>
    <w:rsid w:val="44D1580F"/>
    <w:rsid w:val="44D24AA9"/>
    <w:rsid w:val="44D37FBC"/>
    <w:rsid w:val="44D426B2"/>
    <w:rsid w:val="44E91DA0"/>
    <w:rsid w:val="44EA4BDC"/>
    <w:rsid w:val="44F048EE"/>
    <w:rsid w:val="44F92271"/>
    <w:rsid w:val="44FA0924"/>
    <w:rsid w:val="44FC5765"/>
    <w:rsid w:val="44FD79BA"/>
    <w:rsid w:val="450103C2"/>
    <w:rsid w:val="450E47A6"/>
    <w:rsid w:val="450F4328"/>
    <w:rsid w:val="4511400A"/>
    <w:rsid w:val="45126D36"/>
    <w:rsid w:val="4512725F"/>
    <w:rsid w:val="45232CF2"/>
    <w:rsid w:val="45256F21"/>
    <w:rsid w:val="452A22D2"/>
    <w:rsid w:val="452A7B79"/>
    <w:rsid w:val="45327D49"/>
    <w:rsid w:val="453431DB"/>
    <w:rsid w:val="45345371"/>
    <w:rsid w:val="453B57BD"/>
    <w:rsid w:val="453D7631"/>
    <w:rsid w:val="454413B2"/>
    <w:rsid w:val="454D737F"/>
    <w:rsid w:val="4551515C"/>
    <w:rsid w:val="455530C7"/>
    <w:rsid w:val="455E01CE"/>
    <w:rsid w:val="45627D2E"/>
    <w:rsid w:val="456744C7"/>
    <w:rsid w:val="4568104C"/>
    <w:rsid w:val="456926CF"/>
    <w:rsid w:val="456A18B9"/>
    <w:rsid w:val="456C328C"/>
    <w:rsid w:val="456F0706"/>
    <w:rsid w:val="45747072"/>
    <w:rsid w:val="45795020"/>
    <w:rsid w:val="457A7B12"/>
    <w:rsid w:val="45800144"/>
    <w:rsid w:val="45801494"/>
    <w:rsid w:val="45821F09"/>
    <w:rsid w:val="4582326B"/>
    <w:rsid w:val="458C732D"/>
    <w:rsid w:val="458D460F"/>
    <w:rsid w:val="458D711B"/>
    <w:rsid w:val="45904BD8"/>
    <w:rsid w:val="45940BB5"/>
    <w:rsid w:val="45941E41"/>
    <w:rsid w:val="459C6F7F"/>
    <w:rsid w:val="459D29E8"/>
    <w:rsid w:val="459E0642"/>
    <w:rsid w:val="459F1732"/>
    <w:rsid w:val="45A13F65"/>
    <w:rsid w:val="45A35BE1"/>
    <w:rsid w:val="45A52571"/>
    <w:rsid w:val="45A641ED"/>
    <w:rsid w:val="45A93D1A"/>
    <w:rsid w:val="45B557B6"/>
    <w:rsid w:val="45BC1AF1"/>
    <w:rsid w:val="45BC6267"/>
    <w:rsid w:val="45BF72AF"/>
    <w:rsid w:val="45BF7E22"/>
    <w:rsid w:val="45C36122"/>
    <w:rsid w:val="45C67B21"/>
    <w:rsid w:val="45CB57BB"/>
    <w:rsid w:val="45CD3597"/>
    <w:rsid w:val="45CE4889"/>
    <w:rsid w:val="45CE7839"/>
    <w:rsid w:val="45D778A3"/>
    <w:rsid w:val="45D93CF8"/>
    <w:rsid w:val="45DD7344"/>
    <w:rsid w:val="45E3190C"/>
    <w:rsid w:val="45E76415"/>
    <w:rsid w:val="45EA0D31"/>
    <w:rsid w:val="45EA150D"/>
    <w:rsid w:val="45F96148"/>
    <w:rsid w:val="45FA3231"/>
    <w:rsid w:val="45FC52AC"/>
    <w:rsid w:val="45FF06B2"/>
    <w:rsid w:val="4606410C"/>
    <w:rsid w:val="46091496"/>
    <w:rsid w:val="460B69CC"/>
    <w:rsid w:val="460D74FE"/>
    <w:rsid w:val="460F3276"/>
    <w:rsid w:val="461B7355"/>
    <w:rsid w:val="461C388C"/>
    <w:rsid w:val="461F15C7"/>
    <w:rsid w:val="462D52F5"/>
    <w:rsid w:val="462E5DF2"/>
    <w:rsid w:val="46333408"/>
    <w:rsid w:val="46362EF9"/>
    <w:rsid w:val="463A31D1"/>
    <w:rsid w:val="463A5483"/>
    <w:rsid w:val="464078D3"/>
    <w:rsid w:val="4646298C"/>
    <w:rsid w:val="46462C76"/>
    <w:rsid w:val="464652F0"/>
    <w:rsid w:val="464C4E2C"/>
    <w:rsid w:val="46584C1D"/>
    <w:rsid w:val="465B470D"/>
    <w:rsid w:val="465F28D5"/>
    <w:rsid w:val="46674E60"/>
    <w:rsid w:val="466A4950"/>
    <w:rsid w:val="466B1918"/>
    <w:rsid w:val="466B770E"/>
    <w:rsid w:val="467B79F8"/>
    <w:rsid w:val="467D255F"/>
    <w:rsid w:val="467F7C9F"/>
    <w:rsid w:val="46805F22"/>
    <w:rsid w:val="4687556D"/>
    <w:rsid w:val="468C77F7"/>
    <w:rsid w:val="468E460E"/>
    <w:rsid w:val="468E6891"/>
    <w:rsid w:val="469176A3"/>
    <w:rsid w:val="46966AFE"/>
    <w:rsid w:val="4698158B"/>
    <w:rsid w:val="46983ADC"/>
    <w:rsid w:val="46A1247D"/>
    <w:rsid w:val="46A71013"/>
    <w:rsid w:val="46A8124D"/>
    <w:rsid w:val="46AE2714"/>
    <w:rsid w:val="46AE7DD8"/>
    <w:rsid w:val="46B1257F"/>
    <w:rsid w:val="46B324FE"/>
    <w:rsid w:val="46B56E76"/>
    <w:rsid w:val="46B67B95"/>
    <w:rsid w:val="46B85FC3"/>
    <w:rsid w:val="46BA1F74"/>
    <w:rsid w:val="46BD0F24"/>
    <w:rsid w:val="46BF0F8D"/>
    <w:rsid w:val="46C2724B"/>
    <w:rsid w:val="46C44060"/>
    <w:rsid w:val="46C6427C"/>
    <w:rsid w:val="46C75D99"/>
    <w:rsid w:val="46CD41E6"/>
    <w:rsid w:val="46D2354C"/>
    <w:rsid w:val="46D26719"/>
    <w:rsid w:val="46D35896"/>
    <w:rsid w:val="46D52711"/>
    <w:rsid w:val="46D91229"/>
    <w:rsid w:val="46DD15C6"/>
    <w:rsid w:val="46E21401"/>
    <w:rsid w:val="46EA544F"/>
    <w:rsid w:val="46EA5C7B"/>
    <w:rsid w:val="46EB2095"/>
    <w:rsid w:val="46ED6573"/>
    <w:rsid w:val="46EE49C2"/>
    <w:rsid w:val="46EE50A4"/>
    <w:rsid w:val="46EF63DC"/>
    <w:rsid w:val="46F0301E"/>
    <w:rsid w:val="46F12E6D"/>
    <w:rsid w:val="46F1770B"/>
    <w:rsid w:val="46F36C54"/>
    <w:rsid w:val="46F951E5"/>
    <w:rsid w:val="46FF32EA"/>
    <w:rsid w:val="47046889"/>
    <w:rsid w:val="47055C07"/>
    <w:rsid w:val="470E53D5"/>
    <w:rsid w:val="47116300"/>
    <w:rsid w:val="47134FE8"/>
    <w:rsid w:val="471B5214"/>
    <w:rsid w:val="471C1EF2"/>
    <w:rsid w:val="471D6AD1"/>
    <w:rsid w:val="471D7878"/>
    <w:rsid w:val="47232C3A"/>
    <w:rsid w:val="4723347D"/>
    <w:rsid w:val="47295681"/>
    <w:rsid w:val="472A26AC"/>
    <w:rsid w:val="472B0583"/>
    <w:rsid w:val="4733668B"/>
    <w:rsid w:val="4739083A"/>
    <w:rsid w:val="473E02B7"/>
    <w:rsid w:val="47424D52"/>
    <w:rsid w:val="47486A40"/>
    <w:rsid w:val="47492400"/>
    <w:rsid w:val="47495A3D"/>
    <w:rsid w:val="47572B07"/>
    <w:rsid w:val="4757493E"/>
    <w:rsid w:val="47585A9A"/>
    <w:rsid w:val="475A49C5"/>
    <w:rsid w:val="47616007"/>
    <w:rsid w:val="47637138"/>
    <w:rsid w:val="476B76CA"/>
    <w:rsid w:val="476D24E0"/>
    <w:rsid w:val="4770545C"/>
    <w:rsid w:val="477702CB"/>
    <w:rsid w:val="47775577"/>
    <w:rsid w:val="477A04D7"/>
    <w:rsid w:val="477D7D36"/>
    <w:rsid w:val="47817A8E"/>
    <w:rsid w:val="478563C6"/>
    <w:rsid w:val="478A452B"/>
    <w:rsid w:val="478C2A98"/>
    <w:rsid w:val="478E02A1"/>
    <w:rsid w:val="479413A3"/>
    <w:rsid w:val="47941C85"/>
    <w:rsid w:val="4799729B"/>
    <w:rsid w:val="479B6D32"/>
    <w:rsid w:val="479C13EB"/>
    <w:rsid w:val="479E3B5A"/>
    <w:rsid w:val="47A345C4"/>
    <w:rsid w:val="47A93E40"/>
    <w:rsid w:val="47AC3472"/>
    <w:rsid w:val="47B16438"/>
    <w:rsid w:val="47B21776"/>
    <w:rsid w:val="47B33247"/>
    <w:rsid w:val="47B71E17"/>
    <w:rsid w:val="47B7571E"/>
    <w:rsid w:val="47B8344E"/>
    <w:rsid w:val="47BC49A0"/>
    <w:rsid w:val="47BD56E5"/>
    <w:rsid w:val="47BF2915"/>
    <w:rsid w:val="47C55475"/>
    <w:rsid w:val="47C63E08"/>
    <w:rsid w:val="47C85DD2"/>
    <w:rsid w:val="47C86CFC"/>
    <w:rsid w:val="47CF39BE"/>
    <w:rsid w:val="47D26C51"/>
    <w:rsid w:val="47DD7AD0"/>
    <w:rsid w:val="47DE3ECD"/>
    <w:rsid w:val="47E0450C"/>
    <w:rsid w:val="47E25E1B"/>
    <w:rsid w:val="47E51CFE"/>
    <w:rsid w:val="47E805D3"/>
    <w:rsid w:val="47EC7D13"/>
    <w:rsid w:val="47F045E0"/>
    <w:rsid w:val="48032AD9"/>
    <w:rsid w:val="480660D7"/>
    <w:rsid w:val="48110B7A"/>
    <w:rsid w:val="48121518"/>
    <w:rsid w:val="48147F28"/>
    <w:rsid w:val="481806DB"/>
    <w:rsid w:val="481C1C7A"/>
    <w:rsid w:val="481D7AAE"/>
    <w:rsid w:val="482B417E"/>
    <w:rsid w:val="482D56C4"/>
    <w:rsid w:val="482D6D54"/>
    <w:rsid w:val="482F3821"/>
    <w:rsid w:val="483925C3"/>
    <w:rsid w:val="483A14AB"/>
    <w:rsid w:val="48430B65"/>
    <w:rsid w:val="48461E94"/>
    <w:rsid w:val="484860C4"/>
    <w:rsid w:val="48515DC8"/>
    <w:rsid w:val="485E04E5"/>
    <w:rsid w:val="48610AE9"/>
    <w:rsid w:val="48653621"/>
    <w:rsid w:val="486A1135"/>
    <w:rsid w:val="486C0E54"/>
    <w:rsid w:val="486E2853"/>
    <w:rsid w:val="48757329"/>
    <w:rsid w:val="4879763E"/>
    <w:rsid w:val="487A3570"/>
    <w:rsid w:val="48804A9C"/>
    <w:rsid w:val="48850DC0"/>
    <w:rsid w:val="488D761F"/>
    <w:rsid w:val="489565B3"/>
    <w:rsid w:val="489716FB"/>
    <w:rsid w:val="489A7E9C"/>
    <w:rsid w:val="48A00E0E"/>
    <w:rsid w:val="48A44912"/>
    <w:rsid w:val="48A67764"/>
    <w:rsid w:val="48AA2D18"/>
    <w:rsid w:val="48AA7124"/>
    <w:rsid w:val="48AE62EA"/>
    <w:rsid w:val="48B84099"/>
    <w:rsid w:val="48BA63E5"/>
    <w:rsid w:val="48BC4A06"/>
    <w:rsid w:val="48BD345D"/>
    <w:rsid w:val="48BF7D2B"/>
    <w:rsid w:val="48C22822"/>
    <w:rsid w:val="48C325D3"/>
    <w:rsid w:val="48D13041"/>
    <w:rsid w:val="48D82045"/>
    <w:rsid w:val="48D83DF3"/>
    <w:rsid w:val="48D95437"/>
    <w:rsid w:val="48DB1B35"/>
    <w:rsid w:val="48E56107"/>
    <w:rsid w:val="48E61440"/>
    <w:rsid w:val="48EA7806"/>
    <w:rsid w:val="48F350D1"/>
    <w:rsid w:val="48F37B94"/>
    <w:rsid w:val="48F60B83"/>
    <w:rsid w:val="48F75A1D"/>
    <w:rsid w:val="48FD7CFE"/>
    <w:rsid w:val="48FE649B"/>
    <w:rsid w:val="4906799A"/>
    <w:rsid w:val="49074670"/>
    <w:rsid w:val="4910358D"/>
    <w:rsid w:val="491958B9"/>
    <w:rsid w:val="491D1353"/>
    <w:rsid w:val="491F5EC6"/>
    <w:rsid w:val="491F7C74"/>
    <w:rsid w:val="49221512"/>
    <w:rsid w:val="492360B3"/>
    <w:rsid w:val="49262DB0"/>
    <w:rsid w:val="4926444D"/>
    <w:rsid w:val="49266EAB"/>
    <w:rsid w:val="49274D05"/>
    <w:rsid w:val="492928A1"/>
    <w:rsid w:val="492B6005"/>
    <w:rsid w:val="49313094"/>
    <w:rsid w:val="49315BB1"/>
    <w:rsid w:val="493308BF"/>
    <w:rsid w:val="49357497"/>
    <w:rsid w:val="49357CB0"/>
    <w:rsid w:val="493A4AAE"/>
    <w:rsid w:val="493F24FC"/>
    <w:rsid w:val="49402B6C"/>
    <w:rsid w:val="49453A90"/>
    <w:rsid w:val="494674A6"/>
    <w:rsid w:val="49492647"/>
    <w:rsid w:val="494D5F89"/>
    <w:rsid w:val="494F7DDD"/>
    <w:rsid w:val="49500FA3"/>
    <w:rsid w:val="495023FB"/>
    <w:rsid w:val="4950445A"/>
    <w:rsid w:val="49520049"/>
    <w:rsid w:val="4956580F"/>
    <w:rsid w:val="4957740E"/>
    <w:rsid w:val="495B6FDA"/>
    <w:rsid w:val="495D254A"/>
    <w:rsid w:val="495D3DF8"/>
    <w:rsid w:val="495E6EA1"/>
    <w:rsid w:val="495F6F59"/>
    <w:rsid w:val="4961203A"/>
    <w:rsid w:val="49622292"/>
    <w:rsid w:val="496C146C"/>
    <w:rsid w:val="4970355D"/>
    <w:rsid w:val="49703A35"/>
    <w:rsid w:val="497242AF"/>
    <w:rsid w:val="49746212"/>
    <w:rsid w:val="4976415E"/>
    <w:rsid w:val="497C19B5"/>
    <w:rsid w:val="498673D2"/>
    <w:rsid w:val="498A08F0"/>
    <w:rsid w:val="4992019B"/>
    <w:rsid w:val="499A379E"/>
    <w:rsid w:val="499B6895"/>
    <w:rsid w:val="499C7517"/>
    <w:rsid w:val="499D52EC"/>
    <w:rsid w:val="49A00C98"/>
    <w:rsid w:val="49A567C9"/>
    <w:rsid w:val="49A861D1"/>
    <w:rsid w:val="49A97DE2"/>
    <w:rsid w:val="49B02067"/>
    <w:rsid w:val="49B22896"/>
    <w:rsid w:val="49B43537"/>
    <w:rsid w:val="49BA4BD9"/>
    <w:rsid w:val="49BB0A0C"/>
    <w:rsid w:val="49BB1589"/>
    <w:rsid w:val="49C455C3"/>
    <w:rsid w:val="49C46777"/>
    <w:rsid w:val="49C9126E"/>
    <w:rsid w:val="49CC1AA2"/>
    <w:rsid w:val="49CD2AE9"/>
    <w:rsid w:val="49D76CD8"/>
    <w:rsid w:val="49D85622"/>
    <w:rsid w:val="49D92D54"/>
    <w:rsid w:val="49DA4F57"/>
    <w:rsid w:val="49EA0282"/>
    <w:rsid w:val="49EF7646"/>
    <w:rsid w:val="49F033BE"/>
    <w:rsid w:val="49F06870"/>
    <w:rsid w:val="49F17862"/>
    <w:rsid w:val="4A08433A"/>
    <w:rsid w:val="4A0B1FA6"/>
    <w:rsid w:val="4A1809EE"/>
    <w:rsid w:val="4A1968C6"/>
    <w:rsid w:val="4A290593"/>
    <w:rsid w:val="4A2C4097"/>
    <w:rsid w:val="4A2C7FBF"/>
    <w:rsid w:val="4A34774F"/>
    <w:rsid w:val="4A367DC9"/>
    <w:rsid w:val="4A385DC6"/>
    <w:rsid w:val="4A436F6A"/>
    <w:rsid w:val="4A44252C"/>
    <w:rsid w:val="4A4554B8"/>
    <w:rsid w:val="4A4F6337"/>
    <w:rsid w:val="4A511BB0"/>
    <w:rsid w:val="4A557521"/>
    <w:rsid w:val="4A5C5634"/>
    <w:rsid w:val="4A653DAC"/>
    <w:rsid w:val="4A674035"/>
    <w:rsid w:val="4A683E2D"/>
    <w:rsid w:val="4A690FAF"/>
    <w:rsid w:val="4A7364C9"/>
    <w:rsid w:val="4A757926"/>
    <w:rsid w:val="4A797DE0"/>
    <w:rsid w:val="4A7A1CD7"/>
    <w:rsid w:val="4A7B537E"/>
    <w:rsid w:val="4A7B5E55"/>
    <w:rsid w:val="4A7D1643"/>
    <w:rsid w:val="4A824BA6"/>
    <w:rsid w:val="4A834233"/>
    <w:rsid w:val="4A837BF7"/>
    <w:rsid w:val="4A8A5A40"/>
    <w:rsid w:val="4A8B09F3"/>
    <w:rsid w:val="4A8B43C9"/>
    <w:rsid w:val="4A900C68"/>
    <w:rsid w:val="4A9B5A20"/>
    <w:rsid w:val="4A9E2E1A"/>
    <w:rsid w:val="4AA246B9"/>
    <w:rsid w:val="4AA26464"/>
    <w:rsid w:val="4AA33382"/>
    <w:rsid w:val="4AA466DB"/>
    <w:rsid w:val="4AA64F47"/>
    <w:rsid w:val="4AA863C1"/>
    <w:rsid w:val="4AAB6C21"/>
    <w:rsid w:val="4AAC3789"/>
    <w:rsid w:val="4AAE12AF"/>
    <w:rsid w:val="4AAE5753"/>
    <w:rsid w:val="4AB30AAE"/>
    <w:rsid w:val="4ABC2D4A"/>
    <w:rsid w:val="4ABE2AE5"/>
    <w:rsid w:val="4ABF7097"/>
    <w:rsid w:val="4AC03B87"/>
    <w:rsid w:val="4AC06393"/>
    <w:rsid w:val="4AC42881"/>
    <w:rsid w:val="4AC72371"/>
    <w:rsid w:val="4ACB764B"/>
    <w:rsid w:val="4AD16E75"/>
    <w:rsid w:val="4AD3008D"/>
    <w:rsid w:val="4AD350A4"/>
    <w:rsid w:val="4AD764A4"/>
    <w:rsid w:val="4ADA1681"/>
    <w:rsid w:val="4ADF5E03"/>
    <w:rsid w:val="4AEB2504"/>
    <w:rsid w:val="4AED1DBA"/>
    <w:rsid w:val="4AF51A4F"/>
    <w:rsid w:val="4AF62C56"/>
    <w:rsid w:val="4AF8077D"/>
    <w:rsid w:val="4AF82570"/>
    <w:rsid w:val="4B06798C"/>
    <w:rsid w:val="4B0E6A3E"/>
    <w:rsid w:val="4B105DBC"/>
    <w:rsid w:val="4B1355B6"/>
    <w:rsid w:val="4B1664E2"/>
    <w:rsid w:val="4B1A5D0E"/>
    <w:rsid w:val="4B2257F9"/>
    <w:rsid w:val="4B245008"/>
    <w:rsid w:val="4B245A16"/>
    <w:rsid w:val="4B2772B4"/>
    <w:rsid w:val="4B2B1A79"/>
    <w:rsid w:val="4B2C0426"/>
    <w:rsid w:val="4B2C6678"/>
    <w:rsid w:val="4B2D58AE"/>
    <w:rsid w:val="4B2D6C05"/>
    <w:rsid w:val="4B310E2D"/>
    <w:rsid w:val="4B320132"/>
    <w:rsid w:val="4B371829"/>
    <w:rsid w:val="4B3A5748"/>
    <w:rsid w:val="4B3A6FE7"/>
    <w:rsid w:val="4B3C5727"/>
    <w:rsid w:val="4B4C55F8"/>
    <w:rsid w:val="4B571947"/>
    <w:rsid w:val="4B5E6C72"/>
    <w:rsid w:val="4B6A6AB1"/>
    <w:rsid w:val="4B6C49E5"/>
    <w:rsid w:val="4B6D2F19"/>
    <w:rsid w:val="4B7557F7"/>
    <w:rsid w:val="4B82435B"/>
    <w:rsid w:val="4B83273C"/>
    <w:rsid w:val="4B854878"/>
    <w:rsid w:val="4B8778CD"/>
    <w:rsid w:val="4B9B7FB0"/>
    <w:rsid w:val="4BA876A8"/>
    <w:rsid w:val="4BAA5463"/>
    <w:rsid w:val="4BAD1869"/>
    <w:rsid w:val="4BAF1783"/>
    <w:rsid w:val="4BAF33E3"/>
    <w:rsid w:val="4BB26B7D"/>
    <w:rsid w:val="4BBE4157"/>
    <w:rsid w:val="4BBF74EC"/>
    <w:rsid w:val="4BC9159F"/>
    <w:rsid w:val="4BD27220"/>
    <w:rsid w:val="4BD30473"/>
    <w:rsid w:val="4BD86D57"/>
    <w:rsid w:val="4BDD24D2"/>
    <w:rsid w:val="4BDE0226"/>
    <w:rsid w:val="4BE312D6"/>
    <w:rsid w:val="4BE331DB"/>
    <w:rsid w:val="4BE40D01"/>
    <w:rsid w:val="4BEB3013"/>
    <w:rsid w:val="4BFC24EE"/>
    <w:rsid w:val="4C001FDF"/>
    <w:rsid w:val="4C0845B9"/>
    <w:rsid w:val="4C0A69B9"/>
    <w:rsid w:val="4C101AF6"/>
    <w:rsid w:val="4C12586E"/>
    <w:rsid w:val="4C13619C"/>
    <w:rsid w:val="4C143CE2"/>
    <w:rsid w:val="4C167C35"/>
    <w:rsid w:val="4C1930A0"/>
    <w:rsid w:val="4C1A4723"/>
    <w:rsid w:val="4C1B0BC7"/>
    <w:rsid w:val="4C204A92"/>
    <w:rsid w:val="4C2577FF"/>
    <w:rsid w:val="4C2832E3"/>
    <w:rsid w:val="4C2B0D22"/>
    <w:rsid w:val="4C2E1CC1"/>
    <w:rsid w:val="4C32269B"/>
    <w:rsid w:val="4C3457E4"/>
    <w:rsid w:val="4C384C3D"/>
    <w:rsid w:val="4C3C0B3D"/>
    <w:rsid w:val="4C3C28EB"/>
    <w:rsid w:val="4C3E2B07"/>
    <w:rsid w:val="4C3E48B5"/>
    <w:rsid w:val="4C4A14AC"/>
    <w:rsid w:val="4C4B1E4A"/>
    <w:rsid w:val="4C4E4FDD"/>
    <w:rsid w:val="4C4E5A55"/>
    <w:rsid w:val="4C5C4D3B"/>
    <w:rsid w:val="4C6A599C"/>
    <w:rsid w:val="4C6D4932"/>
    <w:rsid w:val="4C86651A"/>
    <w:rsid w:val="4C8F5834"/>
    <w:rsid w:val="4C9240F7"/>
    <w:rsid w:val="4CA7245A"/>
    <w:rsid w:val="4CA95D3E"/>
    <w:rsid w:val="4CB07C88"/>
    <w:rsid w:val="4CB4212F"/>
    <w:rsid w:val="4CB541CC"/>
    <w:rsid w:val="4CB86415"/>
    <w:rsid w:val="4CB9218D"/>
    <w:rsid w:val="4CBD3A2C"/>
    <w:rsid w:val="4CBF2147"/>
    <w:rsid w:val="4CC45A35"/>
    <w:rsid w:val="4CC94FBD"/>
    <w:rsid w:val="4CCE2C6A"/>
    <w:rsid w:val="4CCF375F"/>
    <w:rsid w:val="4CEC2985"/>
    <w:rsid w:val="4CED6F5E"/>
    <w:rsid w:val="4CF100A3"/>
    <w:rsid w:val="4CF17B79"/>
    <w:rsid w:val="4CF27F10"/>
    <w:rsid w:val="4CF4062E"/>
    <w:rsid w:val="4CF431C6"/>
    <w:rsid w:val="4CF80B4D"/>
    <w:rsid w:val="4CFA4C80"/>
    <w:rsid w:val="4CFB09F8"/>
    <w:rsid w:val="4CFE0CCC"/>
    <w:rsid w:val="4D063625"/>
    <w:rsid w:val="4D090A1F"/>
    <w:rsid w:val="4D0A0E03"/>
    <w:rsid w:val="4D0F1DAD"/>
    <w:rsid w:val="4D0F1DE0"/>
    <w:rsid w:val="4D102397"/>
    <w:rsid w:val="4D102794"/>
    <w:rsid w:val="4D145BD5"/>
    <w:rsid w:val="4D167D6E"/>
    <w:rsid w:val="4D1900AA"/>
    <w:rsid w:val="4D1C23CB"/>
    <w:rsid w:val="4D1C2599"/>
    <w:rsid w:val="4D267823"/>
    <w:rsid w:val="4D272B73"/>
    <w:rsid w:val="4D280A86"/>
    <w:rsid w:val="4D3502C1"/>
    <w:rsid w:val="4D3A1670"/>
    <w:rsid w:val="4D3A5965"/>
    <w:rsid w:val="4D3B2BA3"/>
    <w:rsid w:val="4D405DB8"/>
    <w:rsid w:val="4D410246"/>
    <w:rsid w:val="4D447ACC"/>
    <w:rsid w:val="4D4C4DB0"/>
    <w:rsid w:val="4D504306"/>
    <w:rsid w:val="4D531869"/>
    <w:rsid w:val="4D5A1BC9"/>
    <w:rsid w:val="4D5A1DF1"/>
    <w:rsid w:val="4D5C122A"/>
    <w:rsid w:val="4D663F2B"/>
    <w:rsid w:val="4D673568"/>
    <w:rsid w:val="4D6A6664"/>
    <w:rsid w:val="4D6B6E96"/>
    <w:rsid w:val="4D6C1F47"/>
    <w:rsid w:val="4D7678F6"/>
    <w:rsid w:val="4D796160"/>
    <w:rsid w:val="4D7A36CB"/>
    <w:rsid w:val="4D7B2AC0"/>
    <w:rsid w:val="4D824589"/>
    <w:rsid w:val="4D83238D"/>
    <w:rsid w:val="4D864FA1"/>
    <w:rsid w:val="4D8E7176"/>
    <w:rsid w:val="4D8F1F25"/>
    <w:rsid w:val="4D907ADE"/>
    <w:rsid w:val="4D93263F"/>
    <w:rsid w:val="4D93589B"/>
    <w:rsid w:val="4D975BC8"/>
    <w:rsid w:val="4D9F2768"/>
    <w:rsid w:val="4D9F3131"/>
    <w:rsid w:val="4DA36860"/>
    <w:rsid w:val="4DA77A39"/>
    <w:rsid w:val="4DAA2DF3"/>
    <w:rsid w:val="4DAF2A8E"/>
    <w:rsid w:val="4DB203CE"/>
    <w:rsid w:val="4DB32F5A"/>
    <w:rsid w:val="4DBA514A"/>
    <w:rsid w:val="4DBE6EA4"/>
    <w:rsid w:val="4DC24DEA"/>
    <w:rsid w:val="4DC42B98"/>
    <w:rsid w:val="4DC564B9"/>
    <w:rsid w:val="4DCE1C69"/>
    <w:rsid w:val="4DD03C33"/>
    <w:rsid w:val="4DD42115"/>
    <w:rsid w:val="4DDF5C24"/>
    <w:rsid w:val="4DE03A45"/>
    <w:rsid w:val="4DE1708D"/>
    <w:rsid w:val="4DE430CC"/>
    <w:rsid w:val="4DE43B63"/>
    <w:rsid w:val="4DE4512B"/>
    <w:rsid w:val="4DF47FA2"/>
    <w:rsid w:val="4DF53699"/>
    <w:rsid w:val="4DF60B23"/>
    <w:rsid w:val="4DF63134"/>
    <w:rsid w:val="4DFA0CB0"/>
    <w:rsid w:val="4DFD1DF6"/>
    <w:rsid w:val="4E011D6D"/>
    <w:rsid w:val="4E035DB6"/>
    <w:rsid w:val="4E0373C2"/>
    <w:rsid w:val="4E0631B0"/>
    <w:rsid w:val="4E080364"/>
    <w:rsid w:val="4E121B55"/>
    <w:rsid w:val="4E191136"/>
    <w:rsid w:val="4E1B282B"/>
    <w:rsid w:val="4E1C74B5"/>
    <w:rsid w:val="4E1F448C"/>
    <w:rsid w:val="4E23096D"/>
    <w:rsid w:val="4E2728E6"/>
    <w:rsid w:val="4E2F6BAB"/>
    <w:rsid w:val="4E351C41"/>
    <w:rsid w:val="4E373ED8"/>
    <w:rsid w:val="4E387150"/>
    <w:rsid w:val="4E3F346B"/>
    <w:rsid w:val="4E434961"/>
    <w:rsid w:val="4E4D0DDF"/>
    <w:rsid w:val="4E4E3DD0"/>
    <w:rsid w:val="4E552CA5"/>
    <w:rsid w:val="4E575F07"/>
    <w:rsid w:val="4E592BD4"/>
    <w:rsid w:val="4E6B07CA"/>
    <w:rsid w:val="4E714D85"/>
    <w:rsid w:val="4E72328C"/>
    <w:rsid w:val="4E761827"/>
    <w:rsid w:val="4E7B2B8D"/>
    <w:rsid w:val="4E7E71EB"/>
    <w:rsid w:val="4E7F64F1"/>
    <w:rsid w:val="4E810A89"/>
    <w:rsid w:val="4E872543"/>
    <w:rsid w:val="4E922FFC"/>
    <w:rsid w:val="4E984750"/>
    <w:rsid w:val="4E992277"/>
    <w:rsid w:val="4E9B245D"/>
    <w:rsid w:val="4E9B7D9D"/>
    <w:rsid w:val="4E9F1430"/>
    <w:rsid w:val="4EA62512"/>
    <w:rsid w:val="4EA918F7"/>
    <w:rsid w:val="4EA94205"/>
    <w:rsid w:val="4EAA4484"/>
    <w:rsid w:val="4EAD5D22"/>
    <w:rsid w:val="4EB24A1E"/>
    <w:rsid w:val="4EB470B0"/>
    <w:rsid w:val="4EB66985"/>
    <w:rsid w:val="4EB85C2B"/>
    <w:rsid w:val="4EBD5DF9"/>
    <w:rsid w:val="4EC56BC8"/>
    <w:rsid w:val="4EC56D86"/>
    <w:rsid w:val="4EC966C5"/>
    <w:rsid w:val="4ECB2CC2"/>
    <w:rsid w:val="4ED13458"/>
    <w:rsid w:val="4ED67027"/>
    <w:rsid w:val="4EDB57AF"/>
    <w:rsid w:val="4EDC198E"/>
    <w:rsid w:val="4EDE17B5"/>
    <w:rsid w:val="4EDE600D"/>
    <w:rsid w:val="4EE03C2E"/>
    <w:rsid w:val="4EE348C8"/>
    <w:rsid w:val="4EE61D62"/>
    <w:rsid w:val="4EEA4880"/>
    <w:rsid w:val="4EED611E"/>
    <w:rsid w:val="4EF433CA"/>
    <w:rsid w:val="4EF529CD"/>
    <w:rsid w:val="4EF62B6C"/>
    <w:rsid w:val="4EFA2AB9"/>
    <w:rsid w:val="4EFE7134"/>
    <w:rsid w:val="4F044A22"/>
    <w:rsid w:val="4F0516BA"/>
    <w:rsid w:val="4F0973FC"/>
    <w:rsid w:val="4F10078B"/>
    <w:rsid w:val="4F102AAD"/>
    <w:rsid w:val="4F105C92"/>
    <w:rsid w:val="4F1418FD"/>
    <w:rsid w:val="4F183BE6"/>
    <w:rsid w:val="4F1E09DB"/>
    <w:rsid w:val="4F2A1121"/>
    <w:rsid w:val="4F2C0179"/>
    <w:rsid w:val="4F2E0C11"/>
    <w:rsid w:val="4F3105A4"/>
    <w:rsid w:val="4F343D4D"/>
    <w:rsid w:val="4F3A57E3"/>
    <w:rsid w:val="4F3B1580"/>
    <w:rsid w:val="4F42646A"/>
    <w:rsid w:val="4F443F90"/>
    <w:rsid w:val="4F4531D3"/>
    <w:rsid w:val="4F477E65"/>
    <w:rsid w:val="4F4C1CDC"/>
    <w:rsid w:val="4F520A65"/>
    <w:rsid w:val="4F602385"/>
    <w:rsid w:val="4F625AD8"/>
    <w:rsid w:val="4F672F12"/>
    <w:rsid w:val="4F674BCA"/>
    <w:rsid w:val="4F675ED1"/>
    <w:rsid w:val="4F6B59C1"/>
    <w:rsid w:val="4F6E6F23"/>
    <w:rsid w:val="4F6F2AB0"/>
    <w:rsid w:val="4F6F4A0F"/>
    <w:rsid w:val="4F702C6B"/>
    <w:rsid w:val="4F711DB9"/>
    <w:rsid w:val="4F7156CC"/>
    <w:rsid w:val="4F727E5D"/>
    <w:rsid w:val="4F79232C"/>
    <w:rsid w:val="4F8E6E2A"/>
    <w:rsid w:val="4F8F3A50"/>
    <w:rsid w:val="4F935F7F"/>
    <w:rsid w:val="4F967BDF"/>
    <w:rsid w:val="4F97346B"/>
    <w:rsid w:val="4F9A0054"/>
    <w:rsid w:val="4F9B3EA6"/>
    <w:rsid w:val="4F9D3290"/>
    <w:rsid w:val="4FA06318"/>
    <w:rsid w:val="4FA41888"/>
    <w:rsid w:val="4FA56B4D"/>
    <w:rsid w:val="4FA91628"/>
    <w:rsid w:val="4FA91AB7"/>
    <w:rsid w:val="4FB11DBF"/>
    <w:rsid w:val="4FB1539E"/>
    <w:rsid w:val="4FB732C0"/>
    <w:rsid w:val="4FB80990"/>
    <w:rsid w:val="4FBB4ACE"/>
    <w:rsid w:val="4FC136E7"/>
    <w:rsid w:val="4FCC2F58"/>
    <w:rsid w:val="4FD24A8F"/>
    <w:rsid w:val="4FD844A6"/>
    <w:rsid w:val="4FDB395E"/>
    <w:rsid w:val="4FE46F56"/>
    <w:rsid w:val="4FE70854"/>
    <w:rsid w:val="4FE92D8A"/>
    <w:rsid w:val="4FE93322"/>
    <w:rsid w:val="4FF04E83"/>
    <w:rsid w:val="4FF56780"/>
    <w:rsid w:val="4FF82FCD"/>
    <w:rsid w:val="4FFA1DA8"/>
    <w:rsid w:val="5003084A"/>
    <w:rsid w:val="50067498"/>
    <w:rsid w:val="50071620"/>
    <w:rsid w:val="500B500F"/>
    <w:rsid w:val="500C19CB"/>
    <w:rsid w:val="500D6A78"/>
    <w:rsid w:val="5019494D"/>
    <w:rsid w:val="501C3A50"/>
    <w:rsid w:val="50224B06"/>
    <w:rsid w:val="50243DC2"/>
    <w:rsid w:val="50267B3A"/>
    <w:rsid w:val="502B6EFE"/>
    <w:rsid w:val="502E382D"/>
    <w:rsid w:val="502F2E92"/>
    <w:rsid w:val="50362EF9"/>
    <w:rsid w:val="5039786D"/>
    <w:rsid w:val="503B1837"/>
    <w:rsid w:val="503F6741"/>
    <w:rsid w:val="50406E4E"/>
    <w:rsid w:val="50407A59"/>
    <w:rsid w:val="50416722"/>
    <w:rsid w:val="504547E3"/>
    <w:rsid w:val="50497336"/>
    <w:rsid w:val="504B0035"/>
    <w:rsid w:val="504D3319"/>
    <w:rsid w:val="50507683"/>
    <w:rsid w:val="5051105B"/>
    <w:rsid w:val="50562232"/>
    <w:rsid w:val="505948E3"/>
    <w:rsid w:val="505C355C"/>
    <w:rsid w:val="505D014C"/>
    <w:rsid w:val="50612832"/>
    <w:rsid w:val="5064435A"/>
    <w:rsid w:val="50655046"/>
    <w:rsid w:val="506C1659"/>
    <w:rsid w:val="506D39BB"/>
    <w:rsid w:val="506E36EA"/>
    <w:rsid w:val="50720FD1"/>
    <w:rsid w:val="50730073"/>
    <w:rsid w:val="50741864"/>
    <w:rsid w:val="507977C0"/>
    <w:rsid w:val="507B046A"/>
    <w:rsid w:val="507B60CF"/>
    <w:rsid w:val="507D4F4A"/>
    <w:rsid w:val="5080549C"/>
    <w:rsid w:val="50835324"/>
    <w:rsid w:val="50841BB7"/>
    <w:rsid w:val="50875729"/>
    <w:rsid w:val="509B22D6"/>
    <w:rsid w:val="50A32F39"/>
    <w:rsid w:val="50A55C69"/>
    <w:rsid w:val="50A56850"/>
    <w:rsid w:val="50A70C7B"/>
    <w:rsid w:val="50AA42C7"/>
    <w:rsid w:val="50AA6401"/>
    <w:rsid w:val="50AC430F"/>
    <w:rsid w:val="50B0470B"/>
    <w:rsid w:val="50B851CE"/>
    <w:rsid w:val="50BA0BE5"/>
    <w:rsid w:val="50BE7D72"/>
    <w:rsid w:val="50C25AB5"/>
    <w:rsid w:val="50C53825"/>
    <w:rsid w:val="50CA6229"/>
    <w:rsid w:val="50CD2817"/>
    <w:rsid w:val="50D70E34"/>
    <w:rsid w:val="50DE1A20"/>
    <w:rsid w:val="50DE6667"/>
    <w:rsid w:val="50E70841"/>
    <w:rsid w:val="50E76465"/>
    <w:rsid w:val="50F575D9"/>
    <w:rsid w:val="50F83999"/>
    <w:rsid w:val="51065C9E"/>
    <w:rsid w:val="511427D3"/>
    <w:rsid w:val="511A58F1"/>
    <w:rsid w:val="51211149"/>
    <w:rsid w:val="51216039"/>
    <w:rsid w:val="512C5624"/>
    <w:rsid w:val="512F6EC2"/>
    <w:rsid w:val="513663DB"/>
    <w:rsid w:val="513833F9"/>
    <w:rsid w:val="51396CBD"/>
    <w:rsid w:val="513C54D2"/>
    <w:rsid w:val="513E0EB3"/>
    <w:rsid w:val="51400CBB"/>
    <w:rsid w:val="51452242"/>
    <w:rsid w:val="514C537E"/>
    <w:rsid w:val="515376B9"/>
    <w:rsid w:val="51575083"/>
    <w:rsid w:val="515C2E14"/>
    <w:rsid w:val="515E4151"/>
    <w:rsid w:val="51622043"/>
    <w:rsid w:val="5163251D"/>
    <w:rsid w:val="5169052A"/>
    <w:rsid w:val="51691755"/>
    <w:rsid w:val="516C5A20"/>
    <w:rsid w:val="51703763"/>
    <w:rsid w:val="517224F3"/>
    <w:rsid w:val="51800EE8"/>
    <w:rsid w:val="5181771E"/>
    <w:rsid w:val="51883C9A"/>
    <w:rsid w:val="518F170F"/>
    <w:rsid w:val="51952BC5"/>
    <w:rsid w:val="51954F77"/>
    <w:rsid w:val="519B6306"/>
    <w:rsid w:val="519E5909"/>
    <w:rsid w:val="519E78D2"/>
    <w:rsid w:val="519F2D2C"/>
    <w:rsid w:val="51A215D3"/>
    <w:rsid w:val="51A451BA"/>
    <w:rsid w:val="51B007CA"/>
    <w:rsid w:val="51B2723B"/>
    <w:rsid w:val="51B33EFA"/>
    <w:rsid w:val="51B71C82"/>
    <w:rsid w:val="51BD6D20"/>
    <w:rsid w:val="51C21086"/>
    <w:rsid w:val="51C71491"/>
    <w:rsid w:val="51C838E3"/>
    <w:rsid w:val="51CE3DE8"/>
    <w:rsid w:val="51D34090"/>
    <w:rsid w:val="51D72D57"/>
    <w:rsid w:val="51DE2EDE"/>
    <w:rsid w:val="51DE6B69"/>
    <w:rsid w:val="51DF28D6"/>
    <w:rsid w:val="51E27A91"/>
    <w:rsid w:val="51E5039F"/>
    <w:rsid w:val="51E50D09"/>
    <w:rsid w:val="51E732F9"/>
    <w:rsid w:val="51E91768"/>
    <w:rsid w:val="51EC318F"/>
    <w:rsid w:val="51ED625C"/>
    <w:rsid w:val="51F712B8"/>
    <w:rsid w:val="51FC4A5B"/>
    <w:rsid w:val="51FD3F5E"/>
    <w:rsid w:val="51FF2114"/>
    <w:rsid w:val="52010037"/>
    <w:rsid w:val="520B0763"/>
    <w:rsid w:val="520B6D6E"/>
    <w:rsid w:val="52157172"/>
    <w:rsid w:val="5217598C"/>
    <w:rsid w:val="521E4261"/>
    <w:rsid w:val="5222097A"/>
    <w:rsid w:val="522602C5"/>
    <w:rsid w:val="52263EE2"/>
    <w:rsid w:val="52265797"/>
    <w:rsid w:val="52280467"/>
    <w:rsid w:val="522A27CF"/>
    <w:rsid w:val="522B2D96"/>
    <w:rsid w:val="52316B3E"/>
    <w:rsid w:val="52374280"/>
    <w:rsid w:val="523A6B31"/>
    <w:rsid w:val="523F1387"/>
    <w:rsid w:val="52410C5B"/>
    <w:rsid w:val="5244074B"/>
    <w:rsid w:val="52442D54"/>
    <w:rsid w:val="524B7D2C"/>
    <w:rsid w:val="524E491B"/>
    <w:rsid w:val="52516D08"/>
    <w:rsid w:val="52554706"/>
    <w:rsid w:val="526079A7"/>
    <w:rsid w:val="52612386"/>
    <w:rsid w:val="52623ABC"/>
    <w:rsid w:val="526A6404"/>
    <w:rsid w:val="526D3444"/>
    <w:rsid w:val="526F3629"/>
    <w:rsid w:val="5276383A"/>
    <w:rsid w:val="52783E71"/>
    <w:rsid w:val="52862B12"/>
    <w:rsid w:val="52882A51"/>
    <w:rsid w:val="528C16EB"/>
    <w:rsid w:val="528C614E"/>
    <w:rsid w:val="5294522F"/>
    <w:rsid w:val="52957497"/>
    <w:rsid w:val="529855FD"/>
    <w:rsid w:val="529A4104"/>
    <w:rsid w:val="52A35472"/>
    <w:rsid w:val="52A47C0E"/>
    <w:rsid w:val="52A6710E"/>
    <w:rsid w:val="52B24C19"/>
    <w:rsid w:val="52B40951"/>
    <w:rsid w:val="52BA5554"/>
    <w:rsid w:val="52BE04FE"/>
    <w:rsid w:val="52C01350"/>
    <w:rsid w:val="52C14A1A"/>
    <w:rsid w:val="52C90449"/>
    <w:rsid w:val="52CC5E32"/>
    <w:rsid w:val="52CC76D1"/>
    <w:rsid w:val="52CF270B"/>
    <w:rsid w:val="52CF6267"/>
    <w:rsid w:val="52D532BE"/>
    <w:rsid w:val="52D6499F"/>
    <w:rsid w:val="52D65847"/>
    <w:rsid w:val="52D7511B"/>
    <w:rsid w:val="52D83D75"/>
    <w:rsid w:val="52E24E57"/>
    <w:rsid w:val="52E252F7"/>
    <w:rsid w:val="52E75B7C"/>
    <w:rsid w:val="52EA4FDB"/>
    <w:rsid w:val="52F21A03"/>
    <w:rsid w:val="52F537F4"/>
    <w:rsid w:val="52FF004D"/>
    <w:rsid w:val="53053B16"/>
    <w:rsid w:val="53053D0D"/>
    <w:rsid w:val="530B0CD4"/>
    <w:rsid w:val="530B66FD"/>
    <w:rsid w:val="531050EF"/>
    <w:rsid w:val="53105DAE"/>
    <w:rsid w:val="53154F7C"/>
    <w:rsid w:val="53193BE6"/>
    <w:rsid w:val="53195C14"/>
    <w:rsid w:val="531E532B"/>
    <w:rsid w:val="53225DE2"/>
    <w:rsid w:val="53233749"/>
    <w:rsid w:val="532A7941"/>
    <w:rsid w:val="53310CD0"/>
    <w:rsid w:val="53394028"/>
    <w:rsid w:val="533B38FC"/>
    <w:rsid w:val="533E6F18"/>
    <w:rsid w:val="53426BBF"/>
    <w:rsid w:val="53427FA8"/>
    <w:rsid w:val="534D53DE"/>
    <w:rsid w:val="534E0309"/>
    <w:rsid w:val="534E311E"/>
    <w:rsid w:val="53511372"/>
    <w:rsid w:val="535126EC"/>
    <w:rsid w:val="5356226F"/>
    <w:rsid w:val="535B3F9E"/>
    <w:rsid w:val="53691933"/>
    <w:rsid w:val="53760DD8"/>
    <w:rsid w:val="537C15C1"/>
    <w:rsid w:val="537E7FD9"/>
    <w:rsid w:val="538057C2"/>
    <w:rsid w:val="53874193"/>
    <w:rsid w:val="5392563E"/>
    <w:rsid w:val="53952289"/>
    <w:rsid w:val="53987DB3"/>
    <w:rsid w:val="539B6029"/>
    <w:rsid w:val="539C4087"/>
    <w:rsid w:val="53A32676"/>
    <w:rsid w:val="53A53847"/>
    <w:rsid w:val="53A96AB8"/>
    <w:rsid w:val="53AE2320"/>
    <w:rsid w:val="53B25E52"/>
    <w:rsid w:val="53B4516A"/>
    <w:rsid w:val="53BA6F17"/>
    <w:rsid w:val="53C54664"/>
    <w:rsid w:val="53C61C25"/>
    <w:rsid w:val="53C658BC"/>
    <w:rsid w:val="53CC50EF"/>
    <w:rsid w:val="53DB6F34"/>
    <w:rsid w:val="53E150D9"/>
    <w:rsid w:val="53E421E6"/>
    <w:rsid w:val="53EC109A"/>
    <w:rsid w:val="53EC1857"/>
    <w:rsid w:val="53FA5969"/>
    <w:rsid w:val="540566A6"/>
    <w:rsid w:val="54065CEC"/>
    <w:rsid w:val="540939FA"/>
    <w:rsid w:val="540B1521"/>
    <w:rsid w:val="540F762E"/>
    <w:rsid w:val="54175EDF"/>
    <w:rsid w:val="54183C3E"/>
    <w:rsid w:val="541F4FCC"/>
    <w:rsid w:val="542021A5"/>
    <w:rsid w:val="54224ABC"/>
    <w:rsid w:val="542543BE"/>
    <w:rsid w:val="54273E81"/>
    <w:rsid w:val="542842F3"/>
    <w:rsid w:val="5429247E"/>
    <w:rsid w:val="542E1840"/>
    <w:rsid w:val="54330F82"/>
    <w:rsid w:val="54333F3D"/>
    <w:rsid w:val="543511B8"/>
    <w:rsid w:val="543672DA"/>
    <w:rsid w:val="543E3FE6"/>
    <w:rsid w:val="54414F42"/>
    <w:rsid w:val="544C4D8B"/>
    <w:rsid w:val="544C7E09"/>
    <w:rsid w:val="544E765F"/>
    <w:rsid w:val="54534C76"/>
    <w:rsid w:val="545A462C"/>
    <w:rsid w:val="545A7086"/>
    <w:rsid w:val="546106DE"/>
    <w:rsid w:val="546926EB"/>
    <w:rsid w:val="546935EB"/>
    <w:rsid w:val="54694499"/>
    <w:rsid w:val="546C5D7F"/>
    <w:rsid w:val="546D1ABE"/>
    <w:rsid w:val="546D21DB"/>
    <w:rsid w:val="546E47F5"/>
    <w:rsid w:val="54702D57"/>
    <w:rsid w:val="54704386"/>
    <w:rsid w:val="54745318"/>
    <w:rsid w:val="54754BEC"/>
    <w:rsid w:val="547A52F1"/>
    <w:rsid w:val="547C5F7A"/>
    <w:rsid w:val="547E1797"/>
    <w:rsid w:val="54834A12"/>
    <w:rsid w:val="548A79DA"/>
    <w:rsid w:val="548D1E9D"/>
    <w:rsid w:val="548E2032"/>
    <w:rsid w:val="549037F6"/>
    <w:rsid w:val="54914D2D"/>
    <w:rsid w:val="54920EE8"/>
    <w:rsid w:val="5493440E"/>
    <w:rsid w:val="54956660"/>
    <w:rsid w:val="54963DA0"/>
    <w:rsid w:val="54A0435F"/>
    <w:rsid w:val="54A31759"/>
    <w:rsid w:val="54A71D29"/>
    <w:rsid w:val="54A743C9"/>
    <w:rsid w:val="54AD1579"/>
    <w:rsid w:val="54AE6D43"/>
    <w:rsid w:val="54B4022F"/>
    <w:rsid w:val="54B43966"/>
    <w:rsid w:val="54B47C57"/>
    <w:rsid w:val="54BA11FF"/>
    <w:rsid w:val="54BA6E1F"/>
    <w:rsid w:val="54C17112"/>
    <w:rsid w:val="54C227E0"/>
    <w:rsid w:val="54C64427"/>
    <w:rsid w:val="54D315C4"/>
    <w:rsid w:val="54D43BFA"/>
    <w:rsid w:val="54D6053B"/>
    <w:rsid w:val="54DC4C6B"/>
    <w:rsid w:val="54DC6E47"/>
    <w:rsid w:val="54DE52B3"/>
    <w:rsid w:val="54E21E0C"/>
    <w:rsid w:val="54E2227B"/>
    <w:rsid w:val="54E30ACD"/>
    <w:rsid w:val="54E35B29"/>
    <w:rsid w:val="54E51D72"/>
    <w:rsid w:val="54E61BBB"/>
    <w:rsid w:val="54E80C2F"/>
    <w:rsid w:val="54EF259B"/>
    <w:rsid w:val="54EF5661"/>
    <w:rsid w:val="54F1212A"/>
    <w:rsid w:val="54F77CF7"/>
    <w:rsid w:val="54F975CB"/>
    <w:rsid w:val="55006947"/>
    <w:rsid w:val="550265A3"/>
    <w:rsid w:val="55097E56"/>
    <w:rsid w:val="550E48DE"/>
    <w:rsid w:val="5511469E"/>
    <w:rsid w:val="55114C5C"/>
    <w:rsid w:val="55124B31"/>
    <w:rsid w:val="55130130"/>
    <w:rsid w:val="55154190"/>
    <w:rsid w:val="55182ABF"/>
    <w:rsid w:val="551B65FD"/>
    <w:rsid w:val="551C3B27"/>
    <w:rsid w:val="551D20D7"/>
    <w:rsid w:val="55260B40"/>
    <w:rsid w:val="55284471"/>
    <w:rsid w:val="552A59D6"/>
    <w:rsid w:val="55325A37"/>
    <w:rsid w:val="55371493"/>
    <w:rsid w:val="55371A2E"/>
    <w:rsid w:val="553D1E59"/>
    <w:rsid w:val="553F3C63"/>
    <w:rsid w:val="553F4D49"/>
    <w:rsid w:val="554028EA"/>
    <w:rsid w:val="55410F0D"/>
    <w:rsid w:val="554476D3"/>
    <w:rsid w:val="55450A62"/>
    <w:rsid w:val="55452F19"/>
    <w:rsid w:val="55455BF6"/>
    <w:rsid w:val="55540CA5"/>
    <w:rsid w:val="55545183"/>
    <w:rsid w:val="555604F2"/>
    <w:rsid w:val="555D3FFE"/>
    <w:rsid w:val="555E06D4"/>
    <w:rsid w:val="556163B5"/>
    <w:rsid w:val="556D1D67"/>
    <w:rsid w:val="556D4C19"/>
    <w:rsid w:val="556F7686"/>
    <w:rsid w:val="557747EE"/>
    <w:rsid w:val="557943A5"/>
    <w:rsid w:val="55827588"/>
    <w:rsid w:val="55833339"/>
    <w:rsid w:val="55835045"/>
    <w:rsid w:val="55855303"/>
    <w:rsid w:val="558C490B"/>
    <w:rsid w:val="558F09D2"/>
    <w:rsid w:val="558F1109"/>
    <w:rsid w:val="558F6181"/>
    <w:rsid w:val="55945546"/>
    <w:rsid w:val="55957201"/>
    <w:rsid w:val="559612BE"/>
    <w:rsid w:val="55970198"/>
    <w:rsid w:val="559C6EE0"/>
    <w:rsid w:val="559D301D"/>
    <w:rsid w:val="559D43FA"/>
    <w:rsid w:val="559F1B3B"/>
    <w:rsid w:val="55A35789"/>
    <w:rsid w:val="55A57E73"/>
    <w:rsid w:val="55A6040A"/>
    <w:rsid w:val="55AC0F0B"/>
    <w:rsid w:val="55C44CFF"/>
    <w:rsid w:val="55C46700"/>
    <w:rsid w:val="55CA0F67"/>
    <w:rsid w:val="55CF47D0"/>
    <w:rsid w:val="55D27455"/>
    <w:rsid w:val="55D3496E"/>
    <w:rsid w:val="55DA0456"/>
    <w:rsid w:val="55DB1802"/>
    <w:rsid w:val="55DB3175"/>
    <w:rsid w:val="55E50A19"/>
    <w:rsid w:val="55E93AE3"/>
    <w:rsid w:val="55F07611"/>
    <w:rsid w:val="55F348E9"/>
    <w:rsid w:val="55F85AD5"/>
    <w:rsid w:val="55FA081A"/>
    <w:rsid w:val="55FC242E"/>
    <w:rsid w:val="55FD30EB"/>
    <w:rsid w:val="55FE163A"/>
    <w:rsid w:val="56035998"/>
    <w:rsid w:val="560439A2"/>
    <w:rsid w:val="560449D6"/>
    <w:rsid w:val="56076315"/>
    <w:rsid w:val="560A2BB2"/>
    <w:rsid w:val="56121EB3"/>
    <w:rsid w:val="56130B60"/>
    <w:rsid w:val="5613290E"/>
    <w:rsid w:val="561A1EEF"/>
    <w:rsid w:val="56205F83"/>
    <w:rsid w:val="56237980"/>
    <w:rsid w:val="562B092C"/>
    <w:rsid w:val="562E14F6"/>
    <w:rsid w:val="562E7748"/>
    <w:rsid w:val="56300F2A"/>
    <w:rsid w:val="56352885"/>
    <w:rsid w:val="56384D84"/>
    <w:rsid w:val="563B55EC"/>
    <w:rsid w:val="563E58EF"/>
    <w:rsid w:val="56411671"/>
    <w:rsid w:val="56446F6C"/>
    <w:rsid w:val="56483449"/>
    <w:rsid w:val="56491403"/>
    <w:rsid w:val="564D4072"/>
    <w:rsid w:val="565D3B8A"/>
    <w:rsid w:val="56617B1E"/>
    <w:rsid w:val="566363D6"/>
    <w:rsid w:val="5669176D"/>
    <w:rsid w:val="566B56EB"/>
    <w:rsid w:val="56753C8D"/>
    <w:rsid w:val="567A6FD2"/>
    <w:rsid w:val="568104EF"/>
    <w:rsid w:val="56851B83"/>
    <w:rsid w:val="56864071"/>
    <w:rsid w:val="568B06F7"/>
    <w:rsid w:val="568C0006"/>
    <w:rsid w:val="568D7467"/>
    <w:rsid w:val="568F066A"/>
    <w:rsid w:val="56951575"/>
    <w:rsid w:val="56966AFF"/>
    <w:rsid w:val="5697353F"/>
    <w:rsid w:val="56991B10"/>
    <w:rsid w:val="569C3F31"/>
    <w:rsid w:val="56A25A40"/>
    <w:rsid w:val="56AE653C"/>
    <w:rsid w:val="56B15EC0"/>
    <w:rsid w:val="56B40C1F"/>
    <w:rsid w:val="56C347E8"/>
    <w:rsid w:val="56C360E3"/>
    <w:rsid w:val="56CE4A87"/>
    <w:rsid w:val="56D76331"/>
    <w:rsid w:val="56E12A0D"/>
    <w:rsid w:val="56E47444"/>
    <w:rsid w:val="56E71EC2"/>
    <w:rsid w:val="56E878F7"/>
    <w:rsid w:val="56F26B86"/>
    <w:rsid w:val="56F706AE"/>
    <w:rsid w:val="56F919E5"/>
    <w:rsid w:val="56FC7846"/>
    <w:rsid w:val="57023663"/>
    <w:rsid w:val="57037347"/>
    <w:rsid w:val="57037C29"/>
    <w:rsid w:val="57045951"/>
    <w:rsid w:val="57052050"/>
    <w:rsid w:val="57081581"/>
    <w:rsid w:val="570B199B"/>
    <w:rsid w:val="57105851"/>
    <w:rsid w:val="571100C3"/>
    <w:rsid w:val="571132F2"/>
    <w:rsid w:val="5714693E"/>
    <w:rsid w:val="57152D23"/>
    <w:rsid w:val="57154464"/>
    <w:rsid w:val="571B5F1F"/>
    <w:rsid w:val="57201787"/>
    <w:rsid w:val="57204FA9"/>
    <w:rsid w:val="5728063B"/>
    <w:rsid w:val="572F5526"/>
    <w:rsid w:val="57322D7F"/>
    <w:rsid w:val="57327464"/>
    <w:rsid w:val="57380761"/>
    <w:rsid w:val="573B2778"/>
    <w:rsid w:val="57407733"/>
    <w:rsid w:val="574148B8"/>
    <w:rsid w:val="574952D1"/>
    <w:rsid w:val="57497DF5"/>
    <w:rsid w:val="574A6593"/>
    <w:rsid w:val="574C05C4"/>
    <w:rsid w:val="574D1084"/>
    <w:rsid w:val="575148BB"/>
    <w:rsid w:val="57516EF7"/>
    <w:rsid w:val="575265BF"/>
    <w:rsid w:val="57566F57"/>
    <w:rsid w:val="576074E4"/>
    <w:rsid w:val="57634084"/>
    <w:rsid w:val="57682C5C"/>
    <w:rsid w:val="57765C4C"/>
    <w:rsid w:val="57794FE0"/>
    <w:rsid w:val="57796C8D"/>
    <w:rsid w:val="57815251"/>
    <w:rsid w:val="57836066"/>
    <w:rsid w:val="57846D8C"/>
    <w:rsid w:val="57884788"/>
    <w:rsid w:val="578C0BCA"/>
    <w:rsid w:val="57952FA8"/>
    <w:rsid w:val="57976C6F"/>
    <w:rsid w:val="5798745C"/>
    <w:rsid w:val="579D05BD"/>
    <w:rsid w:val="579E7AF2"/>
    <w:rsid w:val="57A06E5D"/>
    <w:rsid w:val="57A82ED1"/>
    <w:rsid w:val="57A852D8"/>
    <w:rsid w:val="57AA6F52"/>
    <w:rsid w:val="57AC661C"/>
    <w:rsid w:val="57AF48B9"/>
    <w:rsid w:val="57B020D0"/>
    <w:rsid w:val="57B24E60"/>
    <w:rsid w:val="57B71519"/>
    <w:rsid w:val="57B86CDB"/>
    <w:rsid w:val="57BC6716"/>
    <w:rsid w:val="57BE3D95"/>
    <w:rsid w:val="57C06AC6"/>
    <w:rsid w:val="57C2639A"/>
    <w:rsid w:val="57C35F98"/>
    <w:rsid w:val="57C5558B"/>
    <w:rsid w:val="57D305A7"/>
    <w:rsid w:val="57D80E3F"/>
    <w:rsid w:val="57D8796C"/>
    <w:rsid w:val="57DB745C"/>
    <w:rsid w:val="57DE6F4C"/>
    <w:rsid w:val="57E10104"/>
    <w:rsid w:val="57E336D3"/>
    <w:rsid w:val="57E837D2"/>
    <w:rsid w:val="57EB172B"/>
    <w:rsid w:val="57EF2D2E"/>
    <w:rsid w:val="57EF5E2B"/>
    <w:rsid w:val="57F0691A"/>
    <w:rsid w:val="57F40292"/>
    <w:rsid w:val="57F9479F"/>
    <w:rsid w:val="57FA3D86"/>
    <w:rsid w:val="58024877"/>
    <w:rsid w:val="58062A08"/>
    <w:rsid w:val="58075BF2"/>
    <w:rsid w:val="5809221B"/>
    <w:rsid w:val="580A7D41"/>
    <w:rsid w:val="580B5F93"/>
    <w:rsid w:val="580C1D0B"/>
    <w:rsid w:val="58102B5B"/>
    <w:rsid w:val="58107F17"/>
    <w:rsid w:val="5812664C"/>
    <w:rsid w:val="5818245E"/>
    <w:rsid w:val="581B7ADB"/>
    <w:rsid w:val="5822508B"/>
    <w:rsid w:val="58253466"/>
    <w:rsid w:val="58270DB6"/>
    <w:rsid w:val="58272449"/>
    <w:rsid w:val="582B0C3E"/>
    <w:rsid w:val="58357E05"/>
    <w:rsid w:val="58366D88"/>
    <w:rsid w:val="583A23D4"/>
    <w:rsid w:val="583A5806"/>
    <w:rsid w:val="583B614D"/>
    <w:rsid w:val="583D120E"/>
    <w:rsid w:val="583D7329"/>
    <w:rsid w:val="58404799"/>
    <w:rsid w:val="584A0F2F"/>
    <w:rsid w:val="584A30B0"/>
    <w:rsid w:val="584C1B15"/>
    <w:rsid w:val="584F2DA0"/>
    <w:rsid w:val="585056F4"/>
    <w:rsid w:val="585131E6"/>
    <w:rsid w:val="58533AED"/>
    <w:rsid w:val="585B234B"/>
    <w:rsid w:val="585D0C27"/>
    <w:rsid w:val="585E1DAA"/>
    <w:rsid w:val="58637C97"/>
    <w:rsid w:val="58730A74"/>
    <w:rsid w:val="58811218"/>
    <w:rsid w:val="58845D45"/>
    <w:rsid w:val="588505A7"/>
    <w:rsid w:val="5890016E"/>
    <w:rsid w:val="58931910"/>
    <w:rsid w:val="58937D37"/>
    <w:rsid w:val="5895218A"/>
    <w:rsid w:val="58977827"/>
    <w:rsid w:val="58A17DC9"/>
    <w:rsid w:val="58A27F7A"/>
    <w:rsid w:val="58AA5207"/>
    <w:rsid w:val="58AC7A82"/>
    <w:rsid w:val="58AE74DA"/>
    <w:rsid w:val="58B001F9"/>
    <w:rsid w:val="58B54151"/>
    <w:rsid w:val="58B73C18"/>
    <w:rsid w:val="58B978CB"/>
    <w:rsid w:val="58BF15E9"/>
    <w:rsid w:val="58C54FCD"/>
    <w:rsid w:val="58C825A0"/>
    <w:rsid w:val="58C94A90"/>
    <w:rsid w:val="58C94DE9"/>
    <w:rsid w:val="58CF2EBE"/>
    <w:rsid w:val="58D34E52"/>
    <w:rsid w:val="58D65821"/>
    <w:rsid w:val="58D9787E"/>
    <w:rsid w:val="58E56FAC"/>
    <w:rsid w:val="58ED0B01"/>
    <w:rsid w:val="58ED7447"/>
    <w:rsid w:val="58EE31BF"/>
    <w:rsid w:val="58EF37CF"/>
    <w:rsid w:val="58EF535C"/>
    <w:rsid w:val="58F00CE5"/>
    <w:rsid w:val="58F346A1"/>
    <w:rsid w:val="58F509F1"/>
    <w:rsid w:val="58F702C5"/>
    <w:rsid w:val="58FA1F94"/>
    <w:rsid w:val="58FB12F4"/>
    <w:rsid w:val="590040F1"/>
    <w:rsid w:val="59036C6A"/>
    <w:rsid w:val="59060509"/>
    <w:rsid w:val="5907412F"/>
    <w:rsid w:val="590D5EE8"/>
    <w:rsid w:val="591075D9"/>
    <w:rsid w:val="591E4D6B"/>
    <w:rsid w:val="591E61AC"/>
    <w:rsid w:val="591F233E"/>
    <w:rsid w:val="5922006D"/>
    <w:rsid w:val="59263334"/>
    <w:rsid w:val="59284923"/>
    <w:rsid w:val="592C090B"/>
    <w:rsid w:val="592E76D0"/>
    <w:rsid w:val="592F36B6"/>
    <w:rsid w:val="59333E87"/>
    <w:rsid w:val="59346CA4"/>
    <w:rsid w:val="593A4598"/>
    <w:rsid w:val="593D143C"/>
    <w:rsid w:val="593F3A1A"/>
    <w:rsid w:val="594373A7"/>
    <w:rsid w:val="59462FFB"/>
    <w:rsid w:val="5947415A"/>
    <w:rsid w:val="595003F6"/>
    <w:rsid w:val="595C281E"/>
    <w:rsid w:val="595D53C4"/>
    <w:rsid w:val="595F7F75"/>
    <w:rsid w:val="59641949"/>
    <w:rsid w:val="596A140C"/>
    <w:rsid w:val="596F60AE"/>
    <w:rsid w:val="59715CD0"/>
    <w:rsid w:val="597B0D1F"/>
    <w:rsid w:val="5981515B"/>
    <w:rsid w:val="59821704"/>
    <w:rsid w:val="5983147C"/>
    <w:rsid w:val="5983761E"/>
    <w:rsid w:val="598558D1"/>
    <w:rsid w:val="59865F76"/>
    <w:rsid w:val="59870F98"/>
    <w:rsid w:val="598B4E36"/>
    <w:rsid w:val="59967ADE"/>
    <w:rsid w:val="59971C6D"/>
    <w:rsid w:val="59997F3C"/>
    <w:rsid w:val="599B0D47"/>
    <w:rsid w:val="599B46D7"/>
    <w:rsid w:val="59B47F65"/>
    <w:rsid w:val="59B9557B"/>
    <w:rsid w:val="59BB5797"/>
    <w:rsid w:val="59BC506B"/>
    <w:rsid w:val="59BD150F"/>
    <w:rsid w:val="59C416EA"/>
    <w:rsid w:val="59C7413C"/>
    <w:rsid w:val="59C77C52"/>
    <w:rsid w:val="59C87211"/>
    <w:rsid w:val="59CA59DA"/>
    <w:rsid w:val="59CC2FFD"/>
    <w:rsid w:val="59CF39A4"/>
    <w:rsid w:val="59D14FBA"/>
    <w:rsid w:val="59D830CD"/>
    <w:rsid w:val="59DC2A13"/>
    <w:rsid w:val="59E01C2D"/>
    <w:rsid w:val="59E52B65"/>
    <w:rsid w:val="59EB3691"/>
    <w:rsid w:val="59EE1517"/>
    <w:rsid w:val="59EF5441"/>
    <w:rsid w:val="59FF57B4"/>
    <w:rsid w:val="5A012CB6"/>
    <w:rsid w:val="5A0A008F"/>
    <w:rsid w:val="5A0C1B4F"/>
    <w:rsid w:val="5A0F7891"/>
    <w:rsid w:val="5A1A164E"/>
    <w:rsid w:val="5A1D7FB0"/>
    <w:rsid w:val="5A221372"/>
    <w:rsid w:val="5A2314FB"/>
    <w:rsid w:val="5A250154"/>
    <w:rsid w:val="5A2E0E59"/>
    <w:rsid w:val="5A3410A5"/>
    <w:rsid w:val="5A3522CD"/>
    <w:rsid w:val="5A3530DC"/>
    <w:rsid w:val="5A3822B8"/>
    <w:rsid w:val="5A395C01"/>
    <w:rsid w:val="5A3C4CE4"/>
    <w:rsid w:val="5A3E2A82"/>
    <w:rsid w:val="5A3E53BB"/>
    <w:rsid w:val="5A3F2E62"/>
    <w:rsid w:val="5A4240B6"/>
    <w:rsid w:val="5A425850"/>
    <w:rsid w:val="5A447C3C"/>
    <w:rsid w:val="5A456470"/>
    <w:rsid w:val="5A4861B3"/>
    <w:rsid w:val="5A4968FF"/>
    <w:rsid w:val="5A4E4978"/>
    <w:rsid w:val="5A503136"/>
    <w:rsid w:val="5A543C1B"/>
    <w:rsid w:val="5A5A4FB0"/>
    <w:rsid w:val="5A5D05FC"/>
    <w:rsid w:val="5A5F4374"/>
    <w:rsid w:val="5A603A55"/>
    <w:rsid w:val="5A6159BD"/>
    <w:rsid w:val="5A623E64"/>
    <w:rsid w:val="5A690D4F"/>
    <w:rsid w:val="5A6B3A0D"/>
    <w:rsid w:val="5A6D03B6"/>
    <w:rsid w:val="5A6E3292"/>
    <w:rsid w:val="5A6E34A8"/>
    <w:rsid w:val="5A705F4B"/>
    <w:rsid w:val="5A746DF2"/>
    <w:rsid w:val="5A7616BE"/>
    <w:rsid w:val="5A7D2245"/>
    <w:rsid w:val="5A7E3FA7"/>
    <w:rsid w:val="5A7E4A56"/>
    <w:rsid w:val="5A81078E"/>
    <w:rsid w:val="5A843DDB"/>
    <w:rsid w:val="5A8961E2"/>
    <w:rsid w:val="5A8B1A08"/>
    <w:rsid w:val="5A917E3A"/>
    <w:rsid w:val="5A950619"/>
    <w:rsid w:val="5A963550"/>
    <w:rsid w:val="5A971D60"/>
    <w:rsid w:val="5A981634"/>
    <w:rsid w:val="5AA1213B"/>
    <w:rsid w:val="5AA64A5C"/>
    <w:rsid w:val="5AA81E47"/>
    <w:rsid w:val="5AA85A3A"/>
    <w:rsid w:val="5AB25AFB"/>
    <w:rsid w:val="5AB47ADA"/>
    <w:rsid w:val="5AB50438"/>
    <w:rsid w:val="5ABA77FD"/>
    <w:rsid w:val="5ABE5227"/>
    <w:rsid w:val="5AC33A75"/>
    <w:rsid w:val="5AC42429"/>
    <w:rsid w:val="5AC63BF3"/>
    <w:rsid w:val="5ACC7530"/>
    <w:rsid w:val="5ACD538E"/>
    <w:rsid w:val="5AD05272"/>
    <w:rsid w:val="5AD55BA9"/>
    <w:rsid w:val="5AD60C24"/>
    <w:rsid w:val="5ADC6993"/>
    <w:rsid w:val="5ADF1011"/>
    <w:rsid w:val="5AE05E0B"/>
    <w:rsid w:val="5AE36348"/>
    <w:rsid w:val="5AE42ACB"/>
    <w:rsid w:val="5AEE74A6"/>
    <w:rsid w:val="5AF076C2"/>
    <w:rsid w:val="5AF727FF"/>
    <w:rsid w:val="5B002175"/>
    <w:rsid w:val="5B12588A"/>
    <w:rsid w:val="5B1262B0"/>
    <w:rsid w:val="5B163AB0"/>
    <w:rsid w:val="5B176115"/>
    <w:rsid w:val="5B221A02"/>
    <w:rsid w:val="5B2264B1"/>
    <w:rsid w:val="5B2335F4"/>
    <w:rsid w:val="5B312BC1"/>
    <w:rsid w:val="5B327682"/>
    <w:rsid w:val="5B352FD5"/>
    <w:rsid w:val="5B3556D2"/>
    <w:rsid w:val="5B3B3C7D"/>
    <w:rsid w:val="5B3C46B5"/>
    <w:rsid w:val="5B41671D"/>
    <w:rsid w:val="5B440603"/>
    <w:rsid w:val="5B513FEB"/>
    <w:rsid w:val="5B516E2C"/>
    <w:rsid w:val="5B526759"/>
    <w:rsid w:val="5B5B35B3"/>
    <w:rsid w:val="5B612CF4"/>
    <w:rsid w:val="5B6210A0"/>
    <w:rsid w:val="5B677DCA"/>
    <w:rsid w:val="5B6B4F9B"/>
    <w:rsid w:val="5B6D486F"/>
    <w:rsid w:val="5B71764E"/>
    <w:rsid w:val="5B7312AC"/>
    <w:rsid w:val="5B7857D5"/>
    <w:rsid w:val="5B793214"/>
    <w:rsid w:val="5B7C2D39"/>
    <w:rsid w:val="5B85605C"/>
    <w:rsid w:val="5B87686F"/>
    <w:rsid w:val="5B8B1199"/>
    <w:rsid w:val="5B8B34BD"/>
    <w:rsid w:val="5B8D0623"/>
    <w:rsid w:val="5B962018"/>
    <w:rsid w:val="5B967EE3"/>
    <w:rsid w:val="5B991E70"/>
    <w:rsid w:val="5B9D4172"/>
    <w:rsid w:val="5BAB18A8"/>
    <w:rsid w:val="5BAD110F"/>
    <w:rsid w:val="5BAD1A85"/>
    <w:rsid w:val="5BB24978"/>
    <w:rsid w:val="5BB306E3"/>
    <w:rsid w:val="5BB40455"/>
    <w:rsid w:val="5BB4249E"/>
    <w:rsid w:val="5BB814B8"/>
    <w:rsid w:val="5BBC75A4"/>
    <w:rsid w:val="5BBE331C"/>
    <w:rsid w:val="5BC16969"/>
    <w:rsid w:val="5BC80E6E"/>
    <w:rsid w:val="5BCA0056"/>
    <w:rsid w:val="5BD609E6"/>
    <w:rsid w:val="5BD82630"/>
    <w:rsid w:val="5BDC19F5"/>
    <w:rsid w:val="5BDC7C1A"/>
    <w:rsid w:val="5BED4FF5"/>
    <w:rsid w:val="5BF27F86"/>
    <w:rsid w:val="5BF3746A"/>
    <w:rsid w:val="5BF91B67"/>
    <w:rsid w:val="5BFB5910"/>
    <w:rsid w:val="5BFC5BF3"/>
    <w:rsid w:val="5BFD2097"/>
    <w:rsid w:val="5BFD6FCE"/>
    <w:rsid w:val="5C013209"/>
    <w:rsid w:val="5C034B3A"/>
    <w:rsid w:val="5C0351D3"/>
    <w:rsid w:val="5C0E2186"/>
    <w:rsid w:val="5C124FFE"/>
    <w:rsid w:val="5C1271C4"/>
    <w:rsid w:val="5C136DDF"/>
    <w:rsid w:val="5C1372DE"/>
    <w:rsid w:val="5C155957"/>
    <w:rsid w:val="5C273792"/>
    <w:rsid w:val="5C277114"/>
    <w:rsid w:val="5C286DA1"/>
    <w:rsid w:val="5C2B592A"/>
    <w:rsid w:val="5C2C0286"/>
    <w:rsid w:val="5C2C472A"/>
    <w:rsid w:val="5C2E2250"/>
    <w:rsid w:val="5C2F39B3"/>
    <w:rsid w:val="5C381321"/>
    <w:rsid w:val="5C42297F"/>
    <w:rsid w:val="5C471D06"/>
    <w:rsid w:val="5C5123E2"/>
    <w:rsid w:val="5C52616A"/>
    <w:rsid w:val="5C5920A1"/>
    <w:rsid w:val="5C593045"/>
    <w:rsid w:val="5C5E7002"/>
    <w:rsid w:val="5C6904EE"/>
    <w:rsid w:val="5C6A7000"/>
    <w:rsid w:val="5C703E0D"/>
    <w:rsid w:val="5C7A1582"/>
    <w:rsid w:val="5C8C5183"/>
    <w:rsid w:val="5C904CB9"/>
    <w:rsid w:val="5C91181F"/>
    <w:rsid w:val="5C952E62"/>
    <w:rsid w:val="5C9C215C"/>
    <w:rsid w:val="5CA4528C"/>
    <w:rsid w:val="5CA455F4"/>
    <w:rsid w:val="5CA861B3"/>
    <w:rsid w:val="5CA93FCD"/>
    <w:rsid w:val="5CAA4F27"/>
    <w:rsid w:val="5CAA714B"/>
    <w:rsid w:val="5CB11BE9"/>
    <w:rsid w:val="5CBC6124"/>
    <w:rsid w:val="5CC13302"/>
    <w:rsid w:val="5CC21CCA"/>
    <w:rsid w:val="5CC35CA8"/>
    <w:rsid w:val="5CC45DBD"/>
    <w:rsid w:val="5CC81BD5"/>
    <w:rsid w:val="5CC977C8"/>
    <w:rsid w:val="5CCC49F6"/>
    <w:rsid w:val="5CCE725A"/>
    <w:rsid w:val="5CCE758F"/>
    <w:rsid w:val="5CCF1F84"/>
    <w:rsid w:val="5CCF5C7E"/>
    <w:rsid w:val="5CD1112B"/>
    <w:rsid w:val="5CD56B70"/>
    <w:rsid w:val="5CDA40DB"/>
    <w:rsid w:val="5CDC4F0C"/>
    <w:rsid w:val="5CDC7EFE"/>
    <w:rsid w:val="5CE241EB"/>
    <w:rsid w:val="5CE32E02"/>
    <w:rsid w:val="5CE5561F"/>
    <w:rsid w:val="5CE770B7"/>
    <w:rsid w:val="5CE9261B"/>
    <w:rsid w:val="5CE96177"/>
    <w:rsid w:val="5CF201EA"/>
    <w:rsid w:val="5CFF0D6B"/>
    <w:rsid w:val="5D081979"/>
    <w:rsid w:val="5D08473E"/>
    <w:rsid w:val="5D120878"/>
    <w:rsid w:val="5D137C8F"/>
    <w:rsid w:val="5D157EB0"/>
    <w:rsid w:val="5D177188"/>
    <w:rsid w:val="5D180999"/>
    <w:rsid w:val="5D1D22C5"/>
    <w:rsid w:val="5D1D4073"/>
    <w:rsid w:val="5D1E5270"/>
    <w:rsid w:val="5D211DB5"/>
    <w:rsid w:val="5D260644"/>
    <w:rsid w:val="5D26561D"/>
    <w:rsid w:val="5D283143"/>
    <w:rsid w:val="5D291694"/>
    <w:rsid w:val="5D321D86"/>
    <w:rsid w:val="5D3513BC"/>
    <w:rsid w:val="5D382C1A"/>
    <w:rsid w:val="5D3970FE"/>
    <w:rsid w:val="5D3F223B"/>
    <w:rsid w:val="5D423AD9"/>
    <w:rsid w:val="5D4538A3"/>
    <w:rsid w:val="5D465E28"/>
    <w:rsid w:val="5D4B0BE0"/>
    <w:rsid w:val="5D5007AD"/>
    <w:rsid w:val="5D551A5E"/>
    <w:rsid w:val="5D577585"/>
    <w:rsid w:val="5D587747"/>
    <w:rsid w:val="5D5C103F"/>
    <w:rsid w:val="5D5E1CF1"/>
    <w:rsid w:val="5D616655"/>
    <w:rsid w:val="5D6213D4"/>
    <w:rsid w:val="5D6865BA"/>
    <w:rsid w:val="5D6D0B56"/>
    <w:rsid w:val="5D6E7128"/>
    <w:rsid w:val="5D6F2D39"/>
    <w:rsid w:val="5D705C14"/>
    <w:rsid w:val="5D714BFC"/>
    <w:rsid w:val="5D731EE5"/>
    <w:rsid w:val="5D791EC8"/>
    <w:rsid w:val="5D79574D"/>
    <w:rsid w:val="5D796D82"/>
    <w:rsid w:val="5D7D3FE1"/>
    <w:rsid w:val="5D7E7207"/>
    <w:rsid w:val="5D8562D2"/>
    <w:rsid w:val="5D8714F7"/>
    <w:rsid w:val="5D883BE2"/>
    <w:rsid w:val="5D884FD3"/>
    <w:rsid w:val="5D8A1834"/>
    <w:rsid w:val="5D8F6448"/>
    <w:rsid w:val="5D923908"/>
    <w:rsid w:val="5D924BBA"/>
    <w:rsid w:val="5D9407D9"/>
    <w:rsid w:val="5DA100D5"/>
    <w:rsid w:val="5DA11B55"/>
    <w:rsid w:val="5DA1671E"/>
    <w:rsid w:val="5DA45DDB"/>
    <w:rsid w:val="5DAB167E"/>
    <w:rsid w:val="5DB1138B"/>
    <w:rsid w:val="5DB1142D"/>
    <w:rsid w:val="5DB449D7"/>
    <w:rsid w:val="5DB66FAB"/>
    <w:rsid w:val="5DBE13B2"/>
    <w:rsid w:val="5DBF512A"/>
    <w:rsid w:val="5DBF56D2"/>
    <w:rsid w:val="5DC10EA2"/>
    <w:rsid w:val="5DC94EAA"/>
    <w:rsid w:val="5DC9667E"/>
    <w:rsid w:val="5DD9443E"/>
    <w:rsid w:val="5DDC3F2E"/>
    <w:rsid w:val="5DDE1827"/>
    <w:rsid w:val="5DE0344F"/>
    <w:rsid w:val="5DE137E5"/>
    <w:rsid w:val="5DE13B4B"/>
    <w:rsid w:val="5DE17815"/>
    <w:rsid w:val="5DEC7001"/>
    <w:rsid w:val="5DEF7E92"/>
    <w:rsid w:val="5DF05E5F"/>
    <w:rsid w:val="5DF911E9"/>
    <w:rsid w:val="5DFB7811"/>
    <w:rsid w:val="5DFC3176"/>
    <w:rsid w:val="5DFE3466"/>
    <w:rsid w:val="5E021BE6"/>
    <w:rsid w:val="5E03770C"/>
    <w:rsid w:val="5E04669A"/>
    <w:rsid w:val="5E047B42"/>
    <w:rsid w:val="5E0B1125"/>
    <w:rsid w:val="5E0F573E"/>
    <w:rsid w:val="5E164717"/>
    <w:rsid w:val="5E181FF2"/>
    <w:rsid w:val="5E1B66B2"/>
    <w:rsid w:val="5E2C648C"/>
    <w:rsid w:val="5E300107"/>
    <w:rsid w:val="5E344916"/>
    <w:rsid w:val="5E365ACE"/>
    <w:rsid w:val="5E3A5DC1"/>
    <w:rsid w:val="5E3D6048"/>
    <w:rsid w:val="5E43047A"/>
    <w:rsid w:val="5E473A9D"/>
    <w:rsid w:val="5E4C5828"/>
    <w:rsid w:val="5E4C6F4A"/>
    <w:rsid w:val="5E503354"/>
    <w:rsid w:val="5E5249D9"/>
    <w:rsid w:val="5E5256BF"/>
    <w:rsid w:val="5E56783C"/>
    <w:rsid w:val="5E5B391D"/>
    <w:rsid w:val="5E5E4943"/>
    <w:rsid w:val="5E5F681E"/>
    <w:rsid w:val="5E616929"/>
    <w:rsid w:val="5E650F0F"/>
    <w:rsid w:val="5E694493"/>
    <w:rsid w:val="5E6A0AC6"/>
    <w:rsid w:val="5E6D08DD"/>
    <w:rsid w:val="5E700203"/>
    <w:rsid w:val="5E742553"/>
    <w:rsid w:val="5E766130"/>
    <w:rsid w:val="5E79740E"/>
    <w:rsid w:val="5E7A0A4B"/>
    <w:rsid w:val="5E7B0BDE"/>
    <w:rsid w:val="5E7D43BC"/>
    <w:rsid w:val="5E7E5674"/>
    <w:rsid w:val="5E7F3237"/>
    <w:rsid w:val="5E802B0B"/>
    <w:rsid w:val="5E843B4A"/>
    <w:rsid w:val="5E856373"/>
    <w:rsid w:val="5E897C12"/>
    <w:rsid w:val="5E8A398A"/>
    <w:rsid w:val="5E8F1FF0"/>
    <w:rsid w:val="5E903AFB"/>
    <w:rsid w:val="5E944335"/>
    <w:rsid w:val="5E9807B9"/>
    <w:rsid w:val="5E9A2539"/>
    <w:rsid w:val="5E9F531B"/>
    <w:rsid w:val="5EA225BC"/>
    <w:rsid w:val="5EA51946"/>
    <w:rsid w:val="5EAC1A00"/>
    <w:rsid w:val="5EB06FC4"/>
    <w:rsid w:val="5EBB1D95"/>
    <w:rsid w:val="5EBE3544"/>
    <w:rsid w:val="5EC1349B"/>
    <w:rsid w:val="5EC249B9"/>
    <w:rsid w:val="5EC947A2"/>
    <w:rsid w:val="5ECA1FD8"/>
    <w:rsid w:val="5ECC1F57"/>
    <w:rsid w:val="5ED341CD"/>
    <w:rsid w:val="5ED4696B"/>
    <w:rsid w:val="5ED644D8"/>
    <w:rsid w:val="5EE17A4E"/>
    <w:rsid w:val="5EEC01A1"/>
    <w:rsid w:val="5EEC6B72"/>
    <w:rsid w:val="5EEE700D"/>
    <w:rsid w:val="5EF431E8"/>
    <w:rsid w:val="5EFA466C"/>
    <w:rsid w:val="5EFD0650"/>
    <w:rsid w:val="5F014138"/>
    <w:rsid w:val="5F020816"/>
    <w:rsid w:val="5F027BDF"/>
    <w:rsid w:val="5F062D3D"/>
    <w:rsid w:val="5F090D52"/>
    <w:rsid w:val="5F0C7F46"/>
    <w:rsid w:val="5F11097E"/>
    <w:rsid w:val="5F135AD9"/>
    <w:rsid w:val="5F181329"/>
    <w:rsid w:val="5F197E63"/>
    <w:rsid w:val="5F1C2834"/>
    <w:rsid w:val="5F1F0576"/>
    <w:rsid w:val="5F250216"/>
    <w:rsid w:val="5F2931A3"/>
    <w:rsid w:val="5F362A86"/>
    <w:rsid w:val="5F383A14"/>
    <w:rsid w:val="5F3A5E30"/>
    <w:rsid w:val="5F3A7914"/>
    <w:rsid w:val="5F3B167C"/>
    <w:rsid w:val="5F3E6C4E"/>
    <w:rsid w:val="5F3F29C6"/>
    <w:rsid w:val="5F441D8B"/>
    <w:rsid w:val="5F454B86"/>
    <w:rsid w:val="5F46283F"/>
    <w:rsid w:val="5F4726FA"/>
    <w:rsid w:val="5F480F41"/>
    <w:rsid w:val="5F4D23F1"/>
    <w:rsid w:val="5F5070CC"/>
    <w:rsid w:val="5F645F89"/>
    <w:rsid w:val="5F65288D"/>
    <w:rsid w:val="5F66156B"/>
    <w:rsid w:val="5F661CA7"/>
    <w:rsid w:val="5F661D01"/>
    <w:rsid w:val="5F666AAC"/>
    <w:rsid w:val="5F677827"/>
    <w:rsid w:val="5F681234"/>
    <w:rsid w:val="5F6F5E8B"/>
    <w:rsid w:val="5F70492E"/>
    <w:rsid w:val="5F721709"/>
    <w:rsid w:val="5F742670"/>
    <w:rsid w:val="5F744410"/>
    <w:rsid w:val="5F7675D0"/>
    <w:rsid w:val="5F7A0D18"/>
    <w:rsid w:val="5F7F73C0"/>
    <w:rsid w:val="5F8139F4"/>
    <w:rsid w:val="5F8E6ACA"/>
    <w:rsid w:val="5F9216A3"/>
    <w:rsid w:val="5F9A0168"/>
    <w:rsid w:val="5F9B0B4A"/>
    <w:rsid w:val="5F9E76ED"/>
    <w:rsid w:val="5FA25E8E"/>
    <w:rsid w:val="5FA34062"/>
    <w:rsid w:val="5FAB3BB8"/>
    <w:rsid w:val="5FAE12AA"/>
    <w:rsid w:val="5FC7753F"/>
    <w:rsid w:val="5FCD770E"/>
    <w:rsid w:val="5FCE26B8"/>
    <w:rsid w:val="5FD14004"/>
    <w:rsid w:val="5FD16405"/>
    <w:rsid w:val="5FDA21E8"/>
    <w:rsid w:val="5FE13D36"/>
    <w:rsid w:val="5FE557EC"/>
    <w:rsid w:val="5FEB68CA"/>
    <w:rsid w:val="5FEC07C1"/>
    <w:rsid w:val="5FED2422"/>
    <w:rsid w:val="5FF144B7"/>
    <w:rsid w:val="5FF55F4C"/>
    <w:rsid w:val="5FF600B7"/>
    <w:rsid w:val="5FF607C4"/>
    <w:rsid w:val="5FF90DC7"/>
    <w:rsid w:val="5FFB68ED"/>
    <w:rsid w:val="5FFC200D"/>
    <w:rsid w:val="600168C7"/>
    <w:rsid w:val="60093A2E"/>
    <w:rsid w:val="600B1F1F"/>
    <w:rsid w:val="60117ECF"/>
    <w:rsid w:val="60147DA4"/>
    <w:rsid w:val="60172FFB"/>
    <w:rsid w:val="60193851"/>
    <w:rsid w:val="60222833"/>
    <w:rsid w:val="602F0186"/>
    <w:rsid w:val="60356D91"/>
    <w:rsid w:val="60361BAD"/>
    <w:rsid w:val="6037335C"/>
    <w:rsid w:val="60380C34"/>
    <w:rsid w:val="603E7D7E"/>
    <w:rsid w:val="604031DB"/>
    <w:rsid w:val="6044502D"/>
    <w:rsid w:val="604C0EF7"/>
    <w:rsid w:val="60513939"/>
    <w:rsid w:val="6055022A"/>
    <w:rsid w:val="6055507D"/>
    <w:rsid w:val="60561D75"/>
    <w:rsid w:val="6056540E"/>
    <w:rsid w:val="605D5E0D"/>
    <w:rsid w:val="605F17B4"/>
    <w:rsid w:val="60611002"/>
    <w:rsid w:val="6061643F"/>
    <w:rsid w:val="60623E1F"/>
    <w:rsid w:val="607131BE"/>
    <w:rsid w:val="60714E01"/>
    <w:rsid w:val="60723264"/>
    <w:rsid w:val="607377E3"/>
    <w:rsid w:val="607641C6"/>
    <w:rsid w:val="607D470B"/>
    <w:rsid w:val="6086721E"/>
    <w:rsid w:val="60870E78"/>
    <w:rsid w:val="6087530D"/>
    <w:rsid w:val="608B350E"/>
    <w:rsid w:val="608C5A13"/>
    <w:rsid w:val="60912DAE"/>
    <w:rsid w:val="60976E00"/>
    <w:rsid w:val="60AB42FB"/>
    <w:rsid w:val="60AC7BE7"/>
    <w:rsid w:val="60AE0913"/>
    <w:rsid w:val="60AF4ADF"/>
    <w:rsid w:val="60B160EA"/>
    <w:rsid w:val="60B3261B"/>
    <w:rsid w:val="60B33643"/>
    <w:rsid w:val="60B371C8"/>
    <w:rsid w:val="60BB42CE"/>
    <w:rsid w:val="60BB459F"/>
    <w:rsid w:val="60BE0AE9"/>
    <w:rsid w:val="60C60726"/>
    <w:rsid w:val="60C8067A"/>
    <w:rsid w:val="60C82547"/>
    <w:rsid w:val="60CA4511"/>
    <w:rsid w:val="60CB1591"/>
    <w:rsid w:val="60CD7695"/>
    <w:rsid w:val="60CF494B"/>
    <w:rsid w:val="60D246D0"/>
    <w:rsid w:val="60D430BC"/>
    <w:rsid w:val="60D72F78"/>
    <w:rsid w:val="60DF1762"/>
    <w:rsid w:val="60E00A1D"/>
    <w:rsid w:val="60E048D5"/>
    <w:rsid w:val="60E538A3"/>
    <w:rsid w:val="60F0649E"/>
    <w:rsid w:val="60F35816"/>
    <w:rsid w:val="60F97A9B"/>
    <w:rsid w:val="60FA7E7D"/>
    <w:rsid w:val="60FD1BF8"/>
    <w:rsid w:val="60FE3AFB"/>
    <w:rsid w:val="610C5250"/>
    <w:rsid w:val="610C5B76"/>
    <w:rsid w:val="610C629B"/>
    <w:rsid w:val="610C70F8"/>
    <w:rsid w:val="610C76EE"/>
    <w:rsid w:val="610F6495"/>
    <w:rsid w:val="610F7ADC"/>
    <w:rsid w:val="6111263D"/>
    <w:rsid w:val="61127044"/>
    <w:rsid w:val="61147A32"/>
    <w:rsid w:val="611A0837"/>
    <w:rsid w:val="611A2DA3"/>
    <w:rsid w:val="611A6F14"/>
    <w:rsid w:val="611B41D3"/>
    <w:rsid w:val="611F7BBE"/>
    <w:rsid w:val="6122434D"/>
    <w:rsid w:val="612719CE"/>
    <w:rsid w:val="612861BC"/>
    <w:rsid w:val="6129316A"/>
    <w:rsid w:val="612A4DC2"/>
    <w:rsid w:val="612A5EE5"/>
    <w:rsid w:val="612A7C83"/>
    <w:rsid w:val="612B0336"/>
    <w:rsid w:val="612D6B7D"/>
    <w:rsid w:val="61334045"/>
    <w:rsid w:val="61335CDB"/>
    <w:rsid w:val="61363509"/>
    <w:rsid w:val="613B0F6B"/>
    <w:rsid w:val="61407C51"/>
    <w:rsid w:val="61492FD0"/>
    <w:rsid w:val="614D52B5"/>
    <w:rsid w:val="61540553"/>
    <w:rsid w:val="61543232"/>
    <w:rsid w:val="6156790C"/>
    <w:rsid w:val="6158248A"/>
    <w:rsid w:val="61587D6F"/>
    <w:rsid w:val="615A4EF5"/>
    <w:rsid w:val="615C785F"/>
    <w:rsid w:val="615F4C5A"/>
    <w:rsid w:val="61644FE7"/>
    <w:rsid w:val="6164686A"/>
    <w:rsid w:val="616E4528"/>
    <w:rsid w:val="61720E31"/>
    <w:rsid w:val="61736385"/>
    <w:rsid w:val="617701F5"/>
    <w:rsid w:val="61785BA4"/>
    <w:rsid w:val="617A2A42"/>
    <w:rsid w:val="61811074"/>
    <w:rsid w:val="61823612"/>
    <w:rsid w:val="61932B55"/>
    <w:rsid w:val="619B1F32"/>
    <w:rsid w:val="619D39D4"/>
    <w:rsid w:val="619F0059"/>
    <w:rsid w:val="61A5642F"/>
    <w:rsid w:val="61A70152"/>
    <w:rsid w:val="61A909F1"/>
    <w:rsid w:val="61AE197B"/>
    <w:rsid w:val="61AF5651"/>
    <w:rsid w:val="61B052CF"/>
    <w:rsid w:val="61B42529"/>
    <w:rsid w:val="61B73502"/>
    <w:rsid w:val="61BC04F6"/>
    <w:rsid w:val="61BD2B79"/>
    <w:rsid w:val="61C15914"/>
    <w:rsid w:val="61C6117D"/>
    <w:rsid w:val="61C72126"/>
    <w:rsid w:val="61C92322"/>
    <w:rsid w:val="61D712D5"/>
    <w:rsid w:val="61DC5AEA"/>
    <w:rsid w:val="61E15FB7"/>
    <w:rsid w:val="61E82A7D"/>
    <w:rsid w:val="61E873DA"/>
    <w:rsid w:val="61F41232"/>
    <w:rsid w:val="61F71336"/>
    <w:rsid w:val="61F77588"/>
    <w:rsid w:val="61F86348"/>
    <w:rsid w:val="61F95869"/>
    <w:rsid w:val="62050C82"/>
    <w:rsid w:val="620D7CFC"/>
    <w:rsid w:val="621041A6"/>
    <w:rsid w:val="621A071E"/>
    <w:rsid w:val="621B3218"/>
    <w:rsid w:val="621B6CC8"/>
    <w:rsid w:val="621E7ECE"/>
    <w:rsid w:val="62200A31"/>
    <w:rsid w:val="62221E0D"/>
    <w:rsid w:val="62250FC8"/>
    <w:rsid w:val="62257C51"/>
    <w:rsid w:val="62293607"/>
    <w:rsid w:val="622D58D2"/>
    <w:rsid w:val="62335F3F"/>
    <w:rsid w:val="6249158B"/>
    <w:rsid w:val="624B1FDE"/>
    <w:rsid w:val="624B61B2"/>
    <w:rsid w:val="625B566F"/>
    <w:rsid w:val="625C73EB"/>
    <w:rsid w:val="62600BF4"/>
    <w:rsid w:val="62610804"/>
    <w:rsid w:val="6261590B"/>
    <w:rsid w:val="62634F10"/>
    <w:rsid w:val="62651E55"/>
    <w:rsid w:val="62660E3D"/>
    <w:rsid w:val="62687C46"/>
    <w:rsid w:val="62697E9C"/>
    <w:rsid w:val="626C2D78"/>
    <w:rsid w:val="626D397C"/>
    <w:rsid w:val="626E3CC8"/>
    <w:rsid w:val="62791D4B"/>
    <w:rsid w:val="627D3951"/>
    <w:rsid w:val="6285656B"/>
    <w:rsid w:val="628841B8"/>
    <w:rsid w:val="628C2EB8"/>
    <w:rsid w:val="62920336"/>
    <w:rsid w:val="62970AFF"/>
    <w:rsid w:val="62994C73"/>
    <w:rsid w:val="629A7990"/>
    <w:rsid w:val="629D2462"/>
    <w:rsid w:val="629E18EF"/>
    <w:rsid w:val="62A04734"/>
    <w:rsid w:val="62A50D92"/>
    <w:rsid w:val="62A74B0A"/>
    <w:rsid w:val="62A768B8"/>
    <w:rsid w:val="62AD67B6"/>
    <w:rsid w:val="62AE2023"/>
    <w:rsid w:val="62AE6062"/>
    <w:rsid w:val="62B937F7"/>
    <w:rsid w:val="62BA24A2"/>
    <w:rsid w:val="62BE0F00"/>
    <w:rsid w:val="62BE43D2"/>
    <w:rsid w:val="62BF00A6"/>
    <w:rsid w:val="62C217B6"/>
    <w:rsid w:val="62CD0E1C"/>
    <w:rsid w:val="62CD7748"/>
    <w:rsid w:val="62CE02E9"/>
    <w:rsid w:val="62D30F8A"/>
    <w:rsid w:val="62D82519"/>
    <w:rsid w:val="62D86992"/>
    <w:rsid w:val="62DA5E27"/>
    <w:rsid w:val="62DC4519"/>
    <w:rsid w:val="62DE42A4"/>
    <w:rsid w:val="62DF2ABE"/>
    <w:rsid w:val="62E013B1"/>
    <w:rsid w:val="62E01EC4"/>
    <w:rsid w:val="62E17727"/>
    <w:rsid w:val="62E278F0"/>
    <w:rsid w:val="62EA49F7"/>
    <w:rsid w:val="62EC5C38"/>
    <w:rsid w:val="62EF200D"/>
    <w:rsid w:val="62FC3A81"/>
    <w:rsid w:val="62FD47EF"/>
    <w:rsid w:val="62FD7F32"/>
    <w:rsid w:val="630162F6"/>
    <w:rsid w:val="630547C5"/>
    <w:rsid w:val="63076944"/>
    <w:rsid w:val="630A33CD"/>
    <w:rsid w:val="630B228C"/>
    <w:rsid w:val="630D6478"/>
    <w:rsid w:val="630F6C8D"/>
    <w:rsid w:val="63147CC6"/>
    <w:rsid w:val="63184C6C"/>
    <w:rsid w:val="63190757"/>
    <w:rsid w:val="631A4A47"/>
    <w:rsid w:val="631C5D60"/>
    <w:rsid w:val="631D653F"/>
    <w:rsid w:val="631F6B73"/>
    <w:rsid w:val="63275C4B"/>
    <w:rsid w:val="632A4016"/>
    <w:rsid w:val="632C223A"/>
    <w:rsid w:val="632D08AA"/>
    <w:rsid w:val="63311F80"/>
    <w:rsid w:val="633B1E87"/>
    <w:rsid w:val="633E3785"/>
    <w:rsid w:val="63400343"/>
    <w:rsid w:val="63401365"/>
    <w:rsid w:val="63475591"/>
    <w:rsid w:val="634973A8"/>
    <w:rsid w:val="635330EC"/>
    <w:rsid w:val="635B76A3"/>
    <w:rsid w:val="63652B79"/>
    <w:rsid w:val="636B11B1"/>
    <w:rsid w:val="636C7B02"/>
    <w:rsid w:val="636E440A"/>
    <w:rsid w:val="63702418"/>
    <w:rsid w:val="63706C05"/>
    <w:rsid w:val="63750765"/>
    <w:rsid w:val="63773E7B"/>
    <w:rsid w:val="637830FB"/>
    <w:rsid w:val="637916C8"/>
    <w:rsid w:val="637C6F72"/>
    <w:rsid w:val="637D1D0F"/>
    <w:rsid w:val="63816E79"/>
    <w:rsid w:val="63877A66"/>
    <w:rsid w:val="639318AD"/>
    <w:rsid w:val="63956E21"/>
    <w:rsid w:val="639C53D2"/>
    <w:rsid w:val="63A37553"/>
    <w:rsid w:val="63A47706"/>
    <w:rsid w:val="63A73190"/>
    <w:rsid w:val="63A80370"/>
    <w:rsid w:val="63AA1345"/>
    <w:rsid w:val="63AF02B3"/>
    <w:rsid w:val="63B34D1F"/>
    <w:rsid w:val="63B36AD9"/>
    <w:rsid w:val="63B73B5B"/>
    <w:rsid w:val="63BC6393"/>
    <w:rsid w:val="63C10369"/>
    <w:rsid w:val="63C84CDC"/>
    <w:rsid w:val="63D23E09"/>
    <w:rsid w:val="63D41FBE"/>
    <w:rsid w:val="63D77671"/>
    <w:rsid w:val="63D807C9"/>
    <w:rsid w:val="63D80B91"/>
    <w:rsid w:val="63DD6924"/>
    <w:rsid w:val="63DD7B2A"/>
    <w:rsid w:val="63DE7DC0"/>
    <w:rsid w:val="63E2149B"/>
    <w:rsid w:val="63EB4ECB"/>
    <w:rsid w:val="63FC77FF"/>
    <w:rsid w:val="63FF1866"/>
    <w:rsid w:val="6401024A"/>
    <w:rsid w:val="64015A35"/>
    <w:rsid w:val="64016D84"/>
    <w:rsid w:val="64025CCB"/>
    <w:rsid w:val="64043E83"/>
    <w:rsid w:val="64077E60"/>
    <w:rsid w:val="640C2128"/>
    <w:rsid w:val="640F079D"/>
    <w:rsid w:val="6412307A"/>
    <w:rsid w:val="641372BC"/>
    <w:rsid w:val="641A130C"/>
    <w:rsid w:val="641B3078"/>
    <w:rsid w:val="641C0181"/>
    <w:rsid w:val="6420379D"/>
    <w:rsid w:val="64257BD1"/>
    <w:rsid w:val="642C4A3E"/>
    <w:rsid w:val="6432146B"/>
    <w:rsid w:val="64322AF9"/>
    <w:rsid w:val="643B585D"/>
    <w:rsid w:val="643C6145"/>
    <w:rsid w:val="64436AB5"/>
    <w:rsid w:val="644D3D14"/>
    <w:rsid w:val="6451723D"/>
    <w:rsid w:val="64573C08"/>
    <w:rsid w:val="64587970"/>
    <w:rsid w:val="6459706F"/>
    <w:rsid w:val="645C2E28"/>
    <w:rsid w:val="645D1DB9"/>
    <w:rsid w:val="645D628E"/>
    <w:rsid w:val="645E651F"/>
    <w:rsid w:val="64623690"/>
    <w:rsid w:val="646507D9"/>
    <w:rsid w:val="64693CD7"/>
    <w:rsid w:val="6469735E"/>
    <w:rsid w:val="646A4041"/>
    <w:rsid w:val="647543EB"/>
    <w:rsid w:val="64766E30"/>
    <w:rsid w:val="647924D6"/>
    <w:rsid w:val="647A7DFB"/>
    <w:rsid w:val="647B7FFD"/>
    <w:rsid w:val="648619C5"/>
    <w:rsid w:val="648C2202"/>
    <w:rsid w:val="64916FED"/>
    <w:rsid w:val="64924634"/>
    <w:rsid w:val="649578F3"/>
    <w:rsid w:val="649752E4"/>
    <w:rsid w:val="649C10AD"/>
    <w:rsid w:val="64A01811"/>
    <w:rsid w:val="64A05E79"/>
    <w:rsid w:val="64A2280B"/>
    <w:rsid w:val="64A63434"/>
    <w:rsid w:val="64AB3381"/>
    <w:rsid w:val="64AE5D21"/>
    <w:rsid w:val="64B67287"/>
    <w:rsid w:val="64B81EB5"/>
    <w:rsid w:val="64C20C65"/>
    <w:rsid w:val="64C30C1E"/>
    <w:rsid w:val="64C82500"/>
    <w:rsid w:val="64C94FF0"/>
    <w:rsid w:val="64CA0F84"/>
    <w:rsid w:val="64CA3DD2"/>
    <w:rsid w:val="64CD45D0"/>
    <w:rsid w:val="64D21BE7"/>
    <w:rsid w:val="64D36C14"/>
    <w:rsid w:val="64E022C0"/>
    <w:rsid w:val="64E03F34"/>
    <w:rsid w:val="64E17A10"/>
    <w:rsid w:val="64E35BA2"/>
    <w:rsid w:val="64EB370D"/>
    <w:rsid w:val="64ED7C96"/>
    <w:rsid w:val="64EF322F"/>
    <w:rsid w:val="64F827C1"/>
    <w:rsid w:val="6502063C"/>
    <w:rsid w:val="6502071E"/>
    <w:rsid w:val="65033B84"/>
    <w:rsid w:val="65051FBC"/>
    <w:rsid w:val="65065AB6"/>
    <w:rsid w:val="6512149A"/>
    <w:rsid w:val="65132ADF"/>
    <w:rsid w:val="651D26A1"/>
    <w:rsid w:val="651F307E"/>
    <w:rsid w:val="65202952"/>
    <w:rsid w:val="652A3402"/>
    <w:rsid w:val="652A557F"/>
    <w:rsid w:val="652F3F54"/>
    <w:rsid w:val="6531690D"/>
    <w:rsid w:val="653914B1"/>
    <w:rsid w:val="65415223"/>
    <w:rsid w:val="654628C9"/>
    <w:rsid w:val="65467B16"/>
    <w:rsid w:val="654776BB"/>
    <w:rsid w:val="654A0B91"/>
    <w:rsid w:val="654A5B37"/>
    <w:rsid w:val="654E3E14"/>
    <w:rsid w:val="6556794C"/>
    <w:rsid w:val="656124B3"/>
    <w:rsid w:val="656909FE"/>
    <w:rsid w:val="656B71BD"/>
    <w:rsid w:val="6578278E"/>
    <w:rsid w:val="657D1B52"/>
    <w:rsid w:val="6581322A"/>
    <w:rsid w:val="65820F0E"/>
    <w:rsid w:val="65855B94"/>
    <w:rsid w:val="658662EE"/>
    <w:rsid w:val="6587477F"/>
    <w:rsid w:val="65886CE5"/>
    <w:rsid w:val="658D105A"/>
    <w:rsid w:val="65930D07"/>
    <w:rsid w:val="65A73C7A"/>
    <w:rsid w:val="65A96DEB"/>
    <w:rsid w:val="65B31A18"/>
    <w:rsid w:val="65B47EDF"/>
    <w:rsid w:val="65B70D83"/>
    <w:rsid w:val="65CC6C7E"/>
    <w:rsid w:val="65D427DB"/>
    <w:rsid w:val="65D827AA"/>
    <w:rsid w:val="65DA6FA5"/>
    <w:rsid w:val="65DE4CE7"/>
    <w:rsid w:val="65E252EE"/>
    <w:rsid w:val="65E5228A"/>
    <w:rsid w:val="65E95DEF"/>
    <w:rsid w:val="65F04A1A"/>
    <w:rsid w:val="65F242EE"/>
    <w:rsid w:val="65F34BCA"/>
    <w:rsid w:val="65FE557F"/>
    <w:rsid w:val="65FE7137"/>
    <w:rsid w:val="66020D12"/>
    <w:rsid w:val="660C0B62"/>
    <w:rsid w:val="660E6FC0"/>
    <w:rsid w:val="66110EC7"/>
    <w:rsid w:val="66154481"/>
    <w:rsid w:val="661A02DA"/>
    <w:rsid w:val="661A55F3"/>
    <w:rsid w:val="661C1A68"/>
    <w:rsid w:val="662356C6"/>
    <w:rsid w:val="662C36BF"/>
    <w:rsid w:val="66307D70"/>
    <w:rsid w:val="6633019D"/>
    <w:rsid w:val="66341D23"/>
    <w:rsid w:val="663A7A43"/>
    <w:rsid w:val="663C7C5F"/>
    <w:rsid w:val="663D3A56"/>
    <w:rsid w:val="663E374A"/>
    <w:rsid w:val="664002BE"/>
    <w:rsid w:val="66456B14"/>
    <w:rsid w:val="66467226"/>
    <w:rsid w:val="6646766D"/>
    <w:rsid w:val="66475879"/>
    <w:rsid w:val="664870DE"/>
    <w:rsid w:val="66495ED8"/>
    <w:rsid w:val="665931F4"/>
    <w:rsid w:val="665A4EDB"/>
    <w:rsid w:val="665E75A0"/>
    <w:rsid w:val="665F7066"/>
    <w:rsid w:val="66612387"/>
    <w:rsid w:val="66631C4F"/>
    <w:rsid w:val="666431AD"/>
    <w:rsid w:val="66646249"/>
    <w:rsid w:val="66682803"/>
    <w:rsid w:val="666F4237"/>
    <w:rsid w:val="66723681"/>
    <w:rsid w:val="66723DA6"/>
    <w:rsid w:val="66761EE6"/>
    <w:rsid w:val="667E3DD4"/>
    <w:rsid w:val="667E4280"/>
    <w:rsid w:val="667E5B82"/>
    <w:rsid w:val="6681678C"/>
    <w:rsid w:val="668C4743"/>
    <w:rsid w:val="66931BEC"/>
    <w:rsid w:val="66996E60"/>
    <w:rsid w:val="669C6179"/>
    <w:rsid w:val="669D352A"/>
    <w:rsid w:val="66A454F2"/>
    <w:rsid w:val="66A74F3F"/>
    <w:rsid w:val="66A96D21"/>
    <w:rsid w:val="66AF4D91"/>
    <w:rsid w:val="66AF79A6"/>
    <w:rsid w:val="66B30BD3"/>
    <w:rsid w:val="66B650CD"/>
    <w:rsid w:val="66B912B0"/>
    <w:rsid w:val="66B9305E"/>
    <w:rsid w:val="66BB7AE0"/>
    <w:rsid w:val="66BC2339"/>
    <w:rsid w:val="66BD5B8A"/>
    <w:rsid w:val="66C03632"/>
    <w:rsid w:val="66C304E6"/>
    <w:rsid w:val="66C477A6"/>
    <w:rsid w:val="66C70092"/>
    <w:rsid w:val="66CE3A79"/>
    <w:rsid w:val="66D53FF1"/>
    <w:rsid w:val="66EB03AE"/>
    <w:rsid w:val="66EC277A"/>
    <w:rsid w:val="66ED0FFC"/>
    <w:rsid w:val="66ED4AB6"/>
    <w:rsid w:val="66F422E8"/>
    <w:rsid w:val="66FE3167"/>
    <w:rsid w:val="6705488D"/>
    <w:rsid w:val="670A34FC"/>
    <w:rsid w:val="670A63F8"/>
    <w:rsid w:val="670E2E3D"/>
    <w:rsid w:val="670E33AA"/>
    <w:rsid w:val="671473D7"/>
    <w:rsid w:val="671604E7"/>
    <w:rsid w:val="67194F00"/>
    <w:rsid w:val="67252C90"/>
    <w:rsid w:val="6727127D"/>
    <w:rsid w:val="672A0297"/>
    <w:rsid w:val="672E40D5"/>
    <w:rsid w:val="672E57FA"/>
    <w:rsid w:val="6737032F"/>
    <w:rsid w:val="673821D5"/>
    <w:rsid w:val="6739288B"/>
    <w:rsid w:val="6747066A"/>
    <w:rsid w:val="675375CF"/>
    <w:rsid w:val="675826C2"/>
    <w:rsid w:val="67584625"/>
    <w:rsid w:val="67587852"/>
    <w:rsid w:val="675C63DC"/>
    <w:rsid w:val="675F16E0"/>
    <w:rsid w:val="67604DBC"/>
    <w:rsid w:val="676776F7"/>
    <w:rsid w:val="676A4358"/>
    <w:rsid w:val="67717495"/>
    <w:rsid w:val="677526EE"/>
    <w:rsid w:val="677531D6"/>
    <w:rsid w:val="6776387B"/>
    <w:rsid w:val="6779459B"/>
    <w:rsid w:val="678278F4"/>
    <w:rsid w:val="67836389"/>
    <w:rsid w:val="67845968"/>
    <w:rsid w:val="67854E2C"/>
    <w:rsid w:val="678846A7"/>
    <w:rsid w:val="678951A4"/>
    <w:rsid w:val="678C0773"/>
    <w:rsid w:val="679118E5"/>
    <w:rsid w:val="6791279C"/>
    <w:rsid w:val="67966EFB"/>
    <w:rsid w:val="6798435C"/>
    <w:rsid w:val="67987117"/>
    <w:rsid w:val="679B2764"/>
    <w:rsid w:val="67AD27D7"/>
    <w:rsid w:val="67AE06E9"/>
    <w:rsid w:val="67B0620F"/>
    <w:rsid w:val="67BA5C01"/>
    <w:rsid w:val="67BA708E"/>
    <w:rsid w:val="67BD26DA"/>
    <w:rsid w:val="67C3109B"/>
    <w:rsid w:val="67C31806"/>
    <w:rsid w:val="67C47F0C"/>
    <w:rsid w:val="67C62FB3"/>
    <w:rsid w:val="67CD5013"/>
    <w:rsid w:val="67CF2647"/>
    <w:rsid w:val="67CF4726"/>
    <w:rsid w:val="67D16931"/>
    <w:rsid w:val="67D31EFE"/>
    <w:rsid w:val="67DB6D92"/>
    <w:rsid w:val="67E45EB9"/>
    <w:rsid w:val="67E51B87"/>
    <w:rsid w:val="67E902FD"/>
    <w:rsid w:val="67E97065"/>
    <w:rsid w:val="67F634C9"/>
    <w:rsid w:val="67F72090"/>
    <w:rsid w:val="67FF35EF"/>
    <w:rsid w:val="68011838"/>
    <w:rsid w:val="68037FDF"/>
    <w:rsid w:val="68091DC3"/>
    <w:rsid w:val="68127979"/>
    <w:rsid w:val="681361C5"/>
    <w:rsid w:val="68142C42"/>
    <w:rsid w:val="68151AB0"/>
    <w:rsid w:val="68172D5E"/>
    <w:rsid w:val="681A3403"/>
    <w:rsid w:val="681D261C"/>
    <w:rsid w:val="6828621E"/>
    <w:rsid w:val="682A7C88"/>
    <w:rsid w:val="683C524E"/>
    <w:rsid w:val="683D600D"/>
    <w:rsid w:val="683E7EEC"/>
    <w:rsid w:val="6841155D"/>
    <w:rsid w:val="68416A59"/>
    <w:rsid w:val="684352D5"/>
    <w:rsid w:val="684611D7"/>
    <w:rsid w:val="68464DC5"/>
    <w:rsid w:val="68511756"/>
    <w:rsid w:val="685230BB"/>
    <w:rsid w:val="68544A88"/>
    <w:rsid w:val="68585A0D"/>
    <w:rsid w:val="685A28EA"/>
    <w:rsid w:val="685B786B"/>
    <w:rsid w:val="685E23F3"/>
    <w:rsid w:val="68670F13"/>
    <w:rsid w:val="686F3ED2"/>
    <w:rsid w:val="686F7842"/>
    <w:rsid w:val="687078B0"/>
    <w:rsid w:val="68720205"/>
    <w:rsid w:val="68731391"/>
    <w:rsid w:val="68747FC1"/>
    <w:rsid w:val="68907DEF"/>
    <w:rsid w:val="68925915"/>
    <w:rsid w:val="68994EF5"/>
    <w:rsid w:val="68AA7102"/>
    <w:rsid w:val="68B2190A"/>
    <w:rsid w:val="68B2519B"/>
    <w:rsid w:val="68B63144"/>
    <w:rsid w:val="68BD3BC7"/>
    <w:rsid w:val="68BD52C3"/>
    <w:rsid w:val="68C161FA"/>
    <w:rsid w:val="68C53B3E"/>
    <w:rsid w:val="68C901BB"/>
    <w:rsid w:val="68D92A15"/>
    <w:rsid w:val="68DB4723"/>
    <w:rsid w:val="68DC11D9"/>
    <w:rsid w:val="68DC4739"/>
    <w:rsid w:val="68DD1DE6"/>
    <w:rsid w:val="68E04191"/>
    <w:rsid w:val="68E47FED"/>
    <w:rsid w:val="68E9504B"/>
    <w:rsid w:val="68EB4E0B"/>
    <w:rsid w:val="68EF077E"/>
    <w:rsid w:val="68F0088D"/>
    <w:rsid w:val="68FC7232"/>
    <w:rsid w:val="6901203E"/>
    <w:rsid w:val="69036A27"/>
    <w:rsid w:val="69116ACA"/>
    <w:rsid w:val="691C62D0"/>
    <w:rsid w:val="69210824"/>
    <w:rsid w:val="69260A14"/>
    <w:rsid w:val="692A1FF1"/>
    <w:rsid w:val="692D5624"/>
    <w:rsid w:val="6934422B"/>
    <w:rsid w:val="69344839"/>
    <w:rsid w:val="6935288E"/>
    <w:rsid w:val="69371955"/>
    <w:rsid w:val="69385685"/>
    <w:rsid w:val="693C5FA2"/>
    <w:rsid w:val="69402BF8"/>
    <w:rsid w:val="6941314D"/>
    <w:rsid w:val="694D153E"/>
    <w:rsid w:val="69531548"/>
    <w:rsid w:val="69551A76"/>
    <w:rsid w:val="695E52B7"/>
    <w:rsid w:val="69600855"/>
    <w:rsid w:val="69640903"/>
    <w:rsid w:val="696A4AE4"/>
    <w:rsid w:val="696C6F94"/>
    <w:rsid w:val="696E4FC3"/>
    <w:rsid w:val="696E7ABF"/>
    <w:rsid w:val="696F3EA8"/>
    <w:rsid w:val="696F5446"/>
    <w:rsid w:val="69744294"/>
    <w:rsid w:val="6975577E"/>
    <w:rsid w:val="69757BD6"/>
    <w:rsid w:val="69783528"/>
    <w:rsid w:val="69784FBE"/>
    <w:rsid w:val="697F233D"/>
    <w:rsid w:val="698010DB"/>
    <w:rsid w:val="69845BA5"/>
    <w:rsid w:val="69913E1E"/>
    <w:rsid w:val="69992CD3"/>
    <w:rsid w:val="699F077D"/>
    <w:rsid w:val="699F2B6C"/>
    <w:rsid w:val="69AA5BBC"/>
    <w:rsid w:val="69AF24F6"/>
    <w:rsid w:val="69B12607"/>
    <w:rsid w:val="69B1626F"/>
    <w:rsid w:val="69B25B26"/>
    <w:rsid w:val="69B266DE"/>
    <w:rsid w:val="69B44B75"/>
    <w:rsid w:val="69B776F2"/>
    <w:rsid w:val="69B81F46"/>
    <w:rsid w:val="69B87885"/>
    <w:rsid w:val="69BA11A7"/>
    <w:rsid w:val="69C30AC0"/>
    <w:rsid w:val="69C40803"/>
    <w:rsid w:val="69C43AEF"/>
    <w:rsid w:val="69C650CD"/>
    <w:rsid w:val="69C66504"/>
    <w:rsid w:val="69C66CD0"/>
    <w:rsid w:val="69C906D2"/>
    <w:rsid w:val="69D11D34"/>
    <w:rsid w:val="69D53AF9"/>
    <w:rsid w:val="69D64DD2"/>
    <w:rsid w:val="69DB0968"/>
    <w:rsid w:val="69DC7D20"/>
    <w:rsid w:val="69E06B54"/>
    <w:rsid w:val="69E173EA"/>
    <w:rsid w:val="69E54278"/>
    <w:rsid w:val="69EF253C"/>
    <w:rsid w:val="69F04FE9"/>
    <w:rsid w:val="69F06D97"/>
    <w:rsid w:val="69F109A3"/>
    <w:rsid w:val="6A0067D7"/>
    <w:rsid w:val="6A1047C4"/>
    <w:rsid w:val="6A1265C0"/>
    <w:rsid w:val="6A143022"/>
    <w:rsid w:val="6A1973EB"/>
    <w:rsid w:val="6A1E7E12"/>
    <w:rsid w:val="6A221DF4"/>
    <w:rsid w:val="6A2313FB"/>
    <w:rsid w:val="6A26111C"/>
    <w:rsid w:val="6A291911"/>
    <w:rsid w:val="6A413A96"/>
    <w:rsid w:val="6A435E96"/>
    <w:rsid w:val="6A44663C"/>
    <w:rsid w:val="6A460108"/>
    <w:rsid w:val="6A49718E"/>
    <w:rsid w:val="6A4C271E"/>
    <w:rsid w:val="6A4F2E1A"/>
    <w:rsid w:val="6A521800"/>
    <w:rsid w:val="6A5469E4"/>
    <w:rsid w:val="6A5A325D"/>
    <w:rsid w:val="6A5B3471"/>
    <w:rsid w:val="6A5C442C"/>
    <w:rsid w:val="6A694087"/>
    <w:rsid w:val="6A6A5225"/>
    <w:rsid w:val="6A6A6101"/>
    <w:rsid w:val="6A6B28C1"/>
    <w:rsid w:val="6A6E0176"/>
    <w:rsid w:val="6A7157A9"/>
    <w:rsid w:val="6A793769"/>
    <w:rsid w:val="6A8246F4"/>
    <w:rsid w:val="6A883473"/>
    <w:rsid w:val="6A883982"/>
    <w:rsid w:val="6A8D6CDC"/>
    <w:rsid w:val="6A8E57CD"/>
    <w:rsid w:val="6A995680"/>
    <w:rsid w:val="6A9E2C97"/>
    <w:rsid w:val="6A9F2904"/>
    <w:rsid w:val="6AA4583E"/>
    <w:rsid w:val="6AA61BD5"/>
    <w:rsid w:val="6AA86AB1"/>
    <w:rsid w:val="6ABD4DBC"/>
    <w:rsid w:val="6AC344AB"/>
    <w:rsid w:val="6ACB4E31"/>
    <w:rsid w:val="6ACB678B"/>
    <w:rsid w:val="6ACE029F"/>
    <w:rsid w:val="6AD17B23"/>
    <w:rsid w:val="6AD22940"/>
    <w:rsid w:val="6AD55800"/>
    <w:rsid w:val="6AD77E2D"/>
    <w:rsid w:val="6AD77F57"/>
    <w:rsid w:val="6AD903BB"/>
    <w:rsid w:val="6ADA5212"/>
    <w:rsid w:val="6ADC1E9D"/>
    <w:rsid w:val="6ADE3832"/>
    <w:rsid w:val="6ADF06DE"/>
    <w:rsid w:val="6AE30927"/>
    <w:rsid w:val="6AE549F8"/>
    <w:rsid w:val="6AE74869"/>
    <w:rsid w:val="6AE82164"/>
    <w:rsid w:val="6AEC5EBB"/>
    <w:rsid w:val="6AED777A"/>
    <w:rsid w:val="6AF24D91"/>
    <w:rsid w:val="6AF77361"/>
    <w:rsid w:val="6AFA59F3"/>
    <w:rsid w:val="6B013226"/>
    <w:rsid w:val="6B025A6F"/>
    <w:rsid w:val="6B046E59"/>
    <w:rsid w:val="6B066991"/>
    <w:rsid w:val="6B0D1BCA"/>
    <w:rsid w:val="6B1116BB"/>
    <w:rsid w:val="6B1940CB"/>
    <w:rsid w:val="6B1C4F90"/>
    <w:rsid w:val="6B1F0677"/>
    <w:rsid w:val="6B25268C"/>
    <w:rsid w:val="6B273C50"/>
    <w:rsid w:val="6B2A452A"/>
    <w:rsid w:val="6B2A5874"/>
    <w:rsid w:val="6B2B3DFF"/>
    <w:rsid w:val="6B385EB4"/>
    <w:rsid w:val="6B3C1670"/>
    <w:rsid w:val="6B43739A"/>
    <w:rsid w:val="6B454EC0"/>
    <w:rsid w:val="6B476C2D"/>
    <w:rsid w:val="6B496724"/>
    <w:rsid w:val="6B4B1036"/>
    <w:rsid w:val="6B4F5D3F"/>
    <w:rsid w:val="6B4F61BF"/>
    <w:rsid w:val="6B507294"/>
    <w:rsid w:val="6B5216DD"/>
    <w:rsid w:val="6B554422"/>
    <w:rsid w:val="6B5C045C"/>
    <w:rsid w:val="6B5C220A"/>
    <w:rsid w:val="6B5E41D4"/>
    <w:rsid w:val="6B684B4C"/>
    <w:rsid w:val="6B81028B"/>
    <w:rsid w:val="6B822EE9"/>
    <w:rsid w:val="6B845F39"/>
    <w:rsid w:val="6B87197D"/>
    <w:rsid w:val="6B895BD2"/>
    <w:rsid w:val="6B8A0AC6"/>
    <w:rsid w:val="6B8D1BAD"/>
    <w:rsid w:val="6B91660C"/>
    <w:rsid w:val="6B95347C"/>
    <w:rsid w:val="6B9853AF"/>
    <w:rsid w:val="6BA348FB"/>
    <w:rsid w:val="6BAA0D42"/>
    <w:rsid w:val="6BAA5BA6"/>
    <w:rsid w:val="6BAD30F8"/>
    <w:rsid w:val="6BB7368E"/>
    <w:rsid w:val="6BBB3E48"/>
    <w:rsid w:val="6BC26511"/>
    <w:rsid w:val="6BC37D58"/>
    <w:rsid w:val="6BC63F3A"/>
    <w:rsid w:val="6BD050D2"/>
    <w:rsid w:val="6BD525D8"/>
    <w:rsid w:val="6BDD0389"/>
    <w:rsid w:val="6BDD2F6C"/>
    <w:rsid w:val="6BDE1541"/>
    <w:rsid w:val="6BDE4E99"/>
    <w:rsid w:val="6BE12084"/>
    <w:rsid w:val="6BF110CF"/>
    <w:rsid w:val="6BF26915"/>
    <w:rsid w:val="6BF637E3"/>
    <w:rsid w:val="6BF83D38"/>
    <w:rsid w:val="6BF84E53"/>
    <w:rsid w:val="6BF8798E"/>
    <w:rsid w:val="6BFB1A23"/>
    <w:rsid w:val="6BFD39ED"/>
    <w:rsid w:val="6BFF1513"/>
    <w:rsid w:val="6C001882"/>
    <w:rsid w:val="6C0139F0"/>
    <w:rsid w:val="6C052128"/>
    <w:rsid w:val="6C090C57"/>
    <w:rsid w:val="6C0B4CC4"/>
    <w:rsid w:val="6C1270FF"/>
    <w:rsid w:val="6C13669E"/>
    <w:rsid w:val="6C152208"/>
    <w:rsid w:val="6C164AAF"/>
    <w:rsid w:val="6C190CFF"/>
    <w:rsid w:val="6C1A00FB"/>
    <w:rsid w:val="6C1C314D"/>
    <w:rsid w:val="6C1C3356"/>
    <w:rsid w:val="6C1F36D1"/>
    <w:rsid w:val="6C2008BD"/>
    <w:rsid w:val="6C21592D"/>
    <w:rsid w:val="6C256AA0"/>
    <w:rsid w:val="6C2934E8"/>
    <w:rsid w:val="6C2B3640"/>
    <w:rsid w:val="6C2C1662"/>
    <w:rsid w:val="6C341537"/>
    <w:rsid w:val="6C3746D6"/>
    <w:rsid w:val="6C3876CA"/>
    <w:rsid w:val="6C391CA7"/>
    <w:rsid w:val="6C3F3781"/>
    <w:rsid w:val="6C3F3F7C"/>
    <w:rsid w:val="6C3F4006"/>
    <w:rsid w:val="6C414E16"/>
    <w:rsid w:val="6C4242DA"/>
    <w:rsid w:val="6C431C4F"/>
    <w:rsid w:val="6C4476FA"/>
    <w:rsid w:val="6C453A26"/>
    <w:rsid w:val="6C467464"/>
    <w:rsid w:val="6C4D0140"/>
    <w:rsid w:val="6C4F47B7"/>
    <w:rsid w:val="6C504377"/>
    <w:rsid w:val="6C547DE8"/>
    <w:rsid w:val="6C57134F"/>
    <w:rsid w:val="6C5775A1"/>
    <w:rsid w:val="6C5A6D52"/>
    <w:rsid w:val="6C5C4BB7"/>
    <w:rsid w:val="6C64761B"/>
    <w:rsid w:val="6C6B559C"/>
    <w:rsid w:val="6C6E6699"/>
    <w:rsid w:val="6C7308D9"/>
    <w:rsid w:val="6C74510B"/>
    <w:rsid w:val="6C76021C"/>
    <w:rsid w:val="6C77797C"/>
    <w:rsid w:val="6C7C0DB6"/>
    <w:rsid w:val="6C8D09BE"/>
    <w:rsid w:val="6C917A19"/>
    <w:rsid w:val="6C971DBA"/>
    <w:rsid w:val="6C9C1458"/>
    <w:rsid w:val="6CAA7EAD"/>
    <w:rsid w:val="6CAB51F7"/>
    <w:rsid w:val="6CAE643E"/>
    <w:rsid w:val="6CB0430A"/>
    <w:rsid w:val="6CB26F15"/>
    <w:rsid w:val="6CB669EB"/>
    <w:rsid w:val="6CCA67F5"/>
    <w:rsid w:val="6CD429A0"/>
    <w:rsid w:val="6CD44D6B"/>
    <w:rsid w:val="6CD53438"/>
    <w:rsid w:val="6CDB1910"/>
    <w:rsid w:val="6CE36B4B"/>
    <w:rsid w:val="6CE46DF0"/>
    <w:rsid w:val="6CEC150E"/>
    <w:rsid w:val="6CED6E0A"/>
    <w:rsid w:val="6CF9021D"/>
    <w:rsid w:val="6CFB26FD"/>
    <w:rsid w:val="6CFD3965"/>
    <w:rsid w:val="6CFE5E7F"/>
    <w:rsid w:val="6D013E44"/>
    <w:rsid w:val="6D1234C8"/>
    <w:rsid w:val="6D1359FB"/>
    <w:rsid w:val="6D1763FC"/>
    <w:rsid w:val="6D181AF9"/>
    <w:rsid w:val="6D1E1E6D"/>
    <w:rsid w:val="6D212ED6"/>
    <w:rsid w:val="6D221D5A"/>
    <w:rsid w:val="6D230CB7"/>
    <w:rsid w:val="6D287DD7"/>
    <w:rsid w:val="6D2B5B1E"/>
    <w:rsid w:val="6D2C6D8E"/>
    <w:rsid w:val="6D2F1E6A"/>
    <w:rsid w:val="6D303E5D"/>
    <w:rsid w:val="6D350F65"/>
    <w:rsid w:val="6D413DAD"/>
    <w:rsid w:val="6D454822"/>
    <w:rsid w:val="6D475C2D"/>
    <w:rsid w:val="6D524541"/>
    <w:rsid w:val="6D5672EA"/>
    <w:rsid w:val="6D5D5F11"/>
    <w:rsid w:val="6D5E47ED"/>
    <w:rsid w:val="6D60461E"/>
    <w:rsid w:val="6D652AF4"/>
    <w:rsid w:val="6D6539A0"/>
    <w:rsid w:val="6D655CEE"/>
    <w:rsid w:val="6D6B4264"/>
    <w:rsid w:val="6D6C1375"/>
    <w:rsid w:val="6D7221B9"/>
    <w:rsid w:val="6D74033C"/>
    <w:rsid w:val="6D780E19"/>
    <w:rsid w:val="6D7D22A5"/>
    <w:rsid w:val="6D7F296A"/>
    <w:rsid w:val="6D8141AA"/>
    <w:rsid w:val="6D83643A"/>
    <w:rsid w:val="6D85612D"/>
    <w:rsid w:val="6D8D489C"/>
    <w:rsid w:val="6D967B0A"/>
    <w:rsid w:val="6D986F75"/>
    <w:rsid w:val="6D9E6B0A"/>
    <w:rsid w:val="6DA47B21"/>
    <w:rsid w:val="6DA61459"/>
    <w:rsid w:val="6DA76C84"/>
    <w:rsid w:val="6DB02FDD"/>
    <w:rsid w:val="6DB427D1"/>
    <w:rsid w:val="6DB47310"/>
    <w:rsid w:val="6DBB6A0D"/>
    <w:rsid w:val="6DBC1D8B"/>
    <w:rsid w:val="6DBD764E"/>
    <w:rsid w:val="6DBE13AC"/>
    <w:rsid w:val="6DC2475E"/>
    <w:rsid w:val="6DC5712B"/>
    <w:rsid w:val="6DCB3599"/>
    <w:rsid w:val="6DCC303E"/>
    <w:rsid w:val="6DCD5EEB"/>
    <w:rsid w:val="6DD30A37"/>
    <w:rsid w:val="6DD71864"/>
    <w:rsid w:val="6DDD441D"/>
    <w:rsid w:val="6DDF3059"/>
    <w:rsid w:val="6DE63034"/>
    <w:rsid w:val="6DE704B1"/>
    <w:rsid w:val="6DEC5AC7"/>
    <w:rsid w:val="6DF130DE"/>
    <w:rsid w:val="6DF13F1B"/>
    <w:rsid w:val="6DF2036B"/>
    <w:rsid w:val="6DF55674"/>
    <w:rsid w:val="6DF63C69"/>
    <w:rsid w:val="6E022344"/>
    <w:rsid w:val="6E030F2D"/>
    <w:rsid w:val="6E0E5A3E"/>
    <w:rsid w:val="6E1010AF"/>
    <w:rsid w:val="6E193B7A"/>
    <w:rsid w:val="6E1E7093"/>
    <w:rsid w:val="6E226710"/>
    <w:rsid w:val="6E233ABF"/>
    <w:rsid w:val="6E250FD9"/>
    <w:rsid w:val="6E27620E"/>
    <w:rsid w:val="6E281C6D"/>
    <w:rsid w:val="6E3A26AB"/>
    <w:rsid w:val="6E3E600B"/>
    <w:rsid w:val="6E4334F3"/>
    <w:rsid w:val="6E4574F2"/>
    <w:rsid w:val="6E492F1A"/>
    <w:rsid w:val="6E494CC8"/>
    <w:rsid w:val="6E4A6B8C"/>
    <w:rsid w:val="6E4F6056"/>
    <w:rsid w:val="6E566833"/>
    <w:rsid w:val="6E587601"/>
    <w:rsid w:val="6E590265"/>
    <w:rsid w:val="6E602011"/>
    <w:rsid w:val="6E674A87"/>
    <w:rsid w:val="6E695364"/>
    <w:rsid w:val="6E6A4E4D"/>
    <w:rsid w:val="6E70000E"/>
    <w:rsid w:val="6E737F96"/>
    <w:rsid w:val="6E744072"/>
    <w:rsid w:val="6E851A78"/>
    <w:rsid w:val="6E871B8D"/>
    <w:rsid w:val="6E957F0D"/>
    <w:rsid w:val="6E972A43"/>
    <w:rsid w:val="6E9A19C7"/>
    <w:rsid w:val="6E9E4EA3"/>
    <w:rsid w:val="6E9F7FE1"/>
    <w:rsid w:val="6EA14B04"/>
    <w:rsid w:val="6EA42846"/>
    <w:rsid w:val="6EAA516E"/>
    <w:rsid w:val="6EAB637C"/>
    <w:rsid w:val="6EB071D1"/>
    <w:rsid w:val="6EB72EEC"/>
    <w:rsid w:val="6EBC5733"/>
    <w:rsid w:val="6EC440DF"/>
    <w:rsid w:val="6EC648B3"/>
    <w:rsid w:val="6EC84F2F"/>
    <w:rsid w:val="6EC978BE"/>
    <w:rsid w:val="6ECD58F9"/>
    <w:rsid w:val="6ECE7E07"/>
    <w:rsid w:val="6ED22F0F"/>
    <w:rsid w:val="6ED26EEB"/>
    <w:rsid w:val="6ED3187C"/>
    <w:rsid w:val="6ED86196"/>
    <w:rsid w:val="6EDC1FE0"/>
    <w:rsid w:val="6EDD6D63"/>
    <w:rsid w:val="6EDF0F11"/>
    <w:rsid w:val="6EDF6383"/>
    <w:rsid w:val="6EE113A4"/>
    <w:rsid w:val="6EEB6902"/>
    <w:rsid w:val="6EEB6CE5"/>
    <w:rsid w:val="6EEC3E21"/>
    <w:rsid w:val="6EEE2A89"/>
    <w:rsid w:val="6EF16C22"/>
    <w:rsid w:val="6EF274D9"/>
    <w:rsid w:val="6EF83DD7"/>
    <w:rsid w:val="6EF95E62"/>
    <w:rsid w:val="6EFA07C6"/>
    <w:rsid w:val="6EFA4214"/>
    <w:rsid w:val="6EFC7F8C"/>
    <w:rsid w:val="6EFE2749"/>
    <w:rsid w:val="6EFF09BF"/>
    <w:rsid w:val="6F011A46"/>
    <w:rsid w:val="6F030D06"/>
    <w:rsid w:val="6F030FB4"/>
    <w:rsid w:val="6F05121A"/>
    <w:rsid w:val="6F0859D8"/>
    <w:rsid w:val="6F092045"/>
    <w:rsid w:val="6F094CB0"/>
    <w:rsid w:val="6F1103E5"/>
    <w:rsid w:val="6F1654F2"/>
    <w:rsid w:val="6F165C23"/>
    <w:rsid w:val="6F1756D8"/>
    <w:rsid w:val="6F2B0871"/>
    <w:rsid w:val="6F2B6AC3"/>
    <w:rsid w:val="6F2C03CD"/>
    <w:rsid w:val="6F3040D9"/>
    <w:rsid w:val="6F3F5FD1"/>
    <w:rsid w:val="6F410095"/>
    <w:rsid w:val="6F42621A"/>
    <w:rsid w:val="6F466A9E"/>
    <w:rsid w:val="6F502CE5"/>
    <w:rsid w:val="6F505649"/>
    <w:rsid w:val="6F51652A"/>
    <w:rsid w:val="6F6948C0"/>
    <w:rsid w:val="6F712728"/>
    <w:rsid w:val="6F73194A"/>
    <w:rsid w:val="6F7C731F"/>
    <w:rsid w:val="6F7D30DE"/>
    <w:rsid w:val="6F7E47DB"/>
    <w:rsid w:val="6F80261F"/>
    <w:rsid w:val="6F830CBF"/>
    <w:rsid w:val="6F836FCE"/>
    <w:rsid w:val="6F855C67"/>
    <w:rsid w:val="6F881820"/>
    <w:rsid w:val="6F885CC3"/>
    <w:rsid w:val="6F8D32DA"/>
    <w:rsid w:val="6F917C7D"/>
    <w:rsid w:val="6F946416"/>
    <w:rsid w:val="6F955B30"/>
    <w:rsid w:val="6F962654"/>
    <w:rsid w:val="6F9A176F"/>
    <w:rsid w:val="6FA22496"/>
    <w:rsid w:val="6FA43C2D"/>
    <w:rsid w:val="6FA67EF8"/>
    <w:rsid w:val="6FAB19FA"/>
    <w:rsid w:val="6FAF13ED"/>
    <w:rsid w:val="6FB44055"/>
    <w:rsid w:val="6FB447C9"/>
    <w:rsid w:val="6FB62831"/>
    <w:rsid w:val="6FBA295A"/>
    <w:rsid w:val="6FBF1211"/>
    <w:rsid w:val="6FBF3A3B"/>
    <w:rsid w:val="6FC12511"/>
    <w:rsid w:val="6FC50CC6"/>
    <w:rsid w:val="6FC575C6"/>
    <w:rsid w:val="6FC628AC"/>
    <w:rsid w:val="6FC70FEC"/>
    <w:rsid w:val="6FC80D63"/>
    <w:rsid w:val="6FCB2F5F"/>
    <w:rsid w:val="6FD02E8D"/>
    <w:rsid w:val="6FE253D4"/>
    <w:rsid w:val="6FE253E5"/>
    <w:rsid w:val="6FE46D0A"/>
    <w:rsid w:val="6FE5484F"/>
    <w:rsid w:val="6FED55F9"/>
    <w:rsid w:val="6FFD1E01"/>
    <w:rsid w:val="70027205"/>
    <w:rsid w:val="7003718F"/>
    <w:rsid w:val="70045CAD"/>
    <w:rsid w:val="700A0795"/>
    <w:rsid w:val="700A3022"/>
    <w:rsid w:val="700D6055"/>
    <w:rsid w:val="70124AF0"/>
    <w:rsid w:val="701557A9"/>
    <w:rsid w:val="70157426"/>
    <w:rsid w:val="701B617F"/>
    <w:rsid w:val="701B7D3D"/>
    <w:rsid w:val="701D27F2"/>
    <w:rsid w:val="701F74FE"/>
    <w:rsid w:val="70251764"/>
    <w:rsid w:val="702552C0"/>
    <w:rsid w:val="702D0C71"/>
    <w:rsid w:val="702F1BCD"/>
    <w:rsid w:val="702F5A17"/>
    <w:rsid w:val="703025E3"/>
    <w:rsid w:val="70391526"/>
    <w:rsid w:val="70397B2E"/>
    <w:rsid w:val="703C1AF2"/>
    <w:rsid w:val="703D5F48"/>
    <w:rsid w:val="703E6382"/>
    <w:rsid w:val="703F47CD"/>
    <w:rsid w:val="704020FA"/>
    <w:rsid w:val="70476155"/>
    <w:rsid w:val="70521BB1"/>
    <w:rsid w:val="70530695"/>
    <w:rsid w:val="705C0686"/>
    <w:rsid w:val="70624AA5"/>
    <w:rsid w:val="706347FA"/>
    <w:rsid w:val="70645DE9"/>
    <w:rsid w:val="70672583"/>
    <w:rsid w:val="706A076E"/>
    <w:rsid w:val="706B72E9"/>
    <w:rsid w:val="7073427E"/>
    <w:rsid w:val="707703C6"/>
    <w:rsid w:val="70785D38"/>
    <w:rsid w:val="707924DE"/>
    <w:rsid w:val="707A7240"/>
    <w:rsid w:val="707F724D"/>
    <w:rsid w:val="70820965"/>
    <w:rsid w:val="708A2490"/>
    <w:rsid w:val="708C2FB6"/>
    <w:rsid w:val="708E10B8"/>
    <w:rsid w:val="7093000E"/>
    <w:rsid w:val="70952446"/>
    <w:rsid w:val="709A7A5C"/>
    <w:rsid w:val="709F5073"/>
    <w:rsid w:val="70A22892"/>
    <w:rsid w:val="70A86F08"/>
    <w:rsid w:val="70B12FF8"/>
    <w:rsid w:val="70B166D1"/>
    <w:rsid w:val="70B22511"/>
    <w:rsid w:val="70B452BC"/>
    <w:rsid w:val="70BA4772"/>
    <w:rsid w:val="70BC3377"/>
    <w:rsid w:val="70BF65BA"/>
    <w:rsid w:val="70CA108C"/>
    <w:rsid w:val="70D3259D"/>
    <w:rsid w:val="70D37897"/>
    <w:rsid w:val="70D37EBE"/>
    <w:rsid w:val="70D46DE8"/>
    <w:rsid w:val="70D5314C"/>
    <w:rsid w:val="70D6480D"/>
    <w:rsid w:val="70E46F2A"/>
    <w:rsid w:val="70E970B4"/>
    <w:rsid w:val="70F31F6D"/>
    <w:rsid w:val="70F33611"/>
    <w:rsid w:val="70FA4428"/>
    <w:rsid w:val="70FB7D0E"/>
    <w:rsid w:val="71003DE3"/>
    <w:rsid w:val="710203C4"/>
    <w:rsid w:val="71031AA6"/>
    <w:rsid w:val="7104581E"/>
    <w:rsid w:val="71084C3D"/>
    <w:rsid w:val="710B1736"/>
    <w:rsid w:val="710F044A"/>
    <w:rsid w:val="711B4EA6"/>
    <w:rsid w:val="711B69C2"/>
    <w:rsid w:val="71201650"/>
    <w:rsid w:val="71233EF6"/>
    <w:rsid w:val="712612F0"/>
    <w:rsid w:val="712C0089"/>
    <w:rsid w:val="712E7A17"/>
    <w:rsid w:val="71333A0D"/>
    <w:rsid w:val="71367F51"/>
    <w:rsid w:val="71421DD4"/>
    <w:rsid w:val="714734AD"/>
    <w:rsid w:val="714D2290"/>
    <w:rsid w:val="714F0A66"/>
    <w:rsid w:val="71527EB0"/>
    <w:rsid w:val="71594887"/>
    <w:rsid w:val="715A543E"/>
    <w:rsid w:val="715D5E53"/>
    <w:rsid w:val="71635F5C"/>
    <w:rsid w:val="716562BC"/>
    <w:rsid w:val="71672F07"/>
    <w:rsid w:val="716C7B4C"/>
    <w:rsid w:val="71704C61"/>
    <w:rsid w:val="71766B9D"/>
    <w:rsid w:val="717F1456"/>
    <w:rsid w:val="717F7BE0"/>
    <w:rsid w:val="718A4E8A"/>
    <w:rsid w:val="718C06C8"/>
    <w:rsid w:val="71930BD3"/>
    <w:rsid w:val="7195377D"/>
    <w:rsid w:val="719721EE"/>
    <w:rsid w:val="71975A9D"/>
    <w:rsid w:val="719B7F30"/>
    <w:rsid w:val="719F6E44"/>
    <w:rsid w:val="71A07496"/>
    <w:rsid w:val="71AC656D"/>
    <w:rsid w:val="71AF5F44"/>
    <w:rsid w:val="71B72099"/>
    <w:rsid w:val="71BA53B9"/>
    <w:rsid w:val="71C019AC"/>
    <w:rsid w:val="71E15445"/>
    <w:rsid w:val="71E27F8C"/>
    <w:rsid w:val="71E37FE1"/>
    <w:rsid w:val="71E759E0"/>
    <w:rsid w:val="71E76837"/>
    <w:rsid w:val="71F00B3D"/>
    <w:rsid w:val="71F41151"/>
    <w:rsid w:val="71F41C95"/>
    <w:rsid w:val="71FB20C0"/>
    <w:rsid w:val="71FC5476"/>
    <w:rsid w:val="72030A57"/>
    <w:rsid w:val="72090944"/>
    <w:rsid w:val="72097936"/>
    <w:rsid w:val="720D5015"/>
    <w:rsid w:val="7210243F"/>
    <w:rsid w:val="72170A72"/>
    <w:rsid w:val="721C3A9F"/>
    <w:rsid w:val="721F7EEB"/>
    <w:rsid w:val="72200435"/>
    <w:rsid w:val="722315F1"/>
    <w:rsid w:val="722570B1"/>
    <w:rsid w:val="722F3262"/>
    <w:rsid w:val="72317208"/>
    <w:rsid w:val="723414D5"/>
    <w:rsid w:val="72363559"/>
    <w:rsid w:val="72392E45"/>
    <w:rsid w:val="723D3896"/>
    <w:rsid w:val="723E2669"/>
    <w:rsid w:val="723E5DB4"/>
    <w:rsid w:val="72426FFA"/>
    <w:rsid w:val="7251239D"/>
    <w:rsid w:val="72567431"/>
    <w:rsid w:val="725A0E4E"/>
    <w:rsid w:val="725C503F"/>
    <w:rsid w:val="726245AA"/>
    <w:rsid w:val="726522EC"/>
    <w:rsid w:val="72653947"/>
    <w:rsid w:val="726944D6"/>
    <w:rsid w:val="727049DE"/>
    <w:rsid w:val="727131F3"/>
    <w:rsid w:val="727147ED"/>
    <w:rsid w:val="72743CEF"/>
    <w:rsid w:val="7275396F"/>
    <w:rsid w:val="7276127B"/>
    <w:rsid w:val="727E6B96"/>
    <w:rsid w:val="72800ED4"/>
    <w:rsid w:val="72904389"/>
    <w:rsid w:val="7298612F"/>
    <w:rsid w:val="72A07A51"/>
    <w:rsid w:val="72A65382"/>
    <w:rsid w:val="72AD76B6"/>
    <w:rsid w:val="72C139C6"/>
    <w:rsid w:val="72CB2371"/>
    <w:rsid w:val="72D728E3"/>
    <w:rsid w:val="72DF5BFA"/>
    <w:rsid w:val="72E0339F"/>
    <w:rsid w:val="72E17BC5"/>
    <w:rsid w:val="72E40B34"/>
    <w:rsid w:val="72EC2688"/>
    <w:rsid w:val="72F01BB6"/>
    <w:rsid w:val="72F072B0"/>
    <w:rsid w:val="72F07E08"/>
    <w:rsid w:val="72F1282E"/>
    <w:rsid w:val="72F43A0C"/>
    <w:rsid w:val="72F6757D"/>
    <w:rsid w:val="72FF0A25"/>
    <w:rsid w:val="73025C98"/>
    <w:rsid w:val="730438B3"/>
    <w:rsid w:val="731037D9"/>
    <w:rsid w:val="731B7B5F"/>
    <w:rsid w:val="731E2BC7"/>
    <w:rsid w:val="731F249B"/>
    <w:rsid w:val="732855E2"/>
    <w:rsid w:val="732C1FC1"/>
    <w:rsid w:val="733158E0"/>
    <w:rsid w:val="73353A6C"/>
    <w:rsid w:val="73383726"/>
    <w:rsid w:val="733D7717"/>
    <w:rsid w:val="7349598F"/>
    <w:rsid w:val="734C5836"/>
    <w:rsid w:val="734F19AD"/>
    <w:rsid w:val="73507CCF"/>
    <w:rsid w:val="73526806"/>
    <w:rsid w:val="73556C1C"/>
    <w:rsid w:val="73594378"/>
    <w:rsid w:val="735E082A"/>
    <w:rsid w:val="735F7B4C"/>
    <w:rsid w:val="73644352"/>
    <w:rsid w:val="7364685B"/>
    <w:rsid w:val="736A56BF"/>
    <w:rsid w:val="73740A39"/>
    <w:rsid w:val="73824229"/>
    <w:rsid w:val="738362F2"/>
    <w:rsid w:val="738D2E91"/>
    <w:rsid w:val="739001B7"/>
    <w:rsid w:val="73A01530"/>
    <w:rsid w:val="73A0182E"/>
    <w:rsid w:val="73A61D75"/>
    <w:rsid w:val="73AB3FFD"/>
    <w:rsid w:val="73AE4F1D"/>
    <w:rsid w:val="73AF56DD"/>
    <w:rsid w:val="73B057E9"/>
    <w:rsid w:val="73B10181"/>
    <w:rsid w:val="73B15730"/>
    <w:rsid w:val="73B21561"/>
    <w:rsid w:val="73BE4B6D"/>
    <w:rsid w:val="73BF55DB"/>
    <w:rsid w:val="73C8044D"/>
    <w:rsid w:val="73C876E2"/>
    <w:rsid w:val="73CB1645"/>
    <w:rsid w:val="73CE0806"/>
    <w:rsid w:val="73D47729"/>
    <w:rsid w:val="73D5257E"/>
    <w:rsid w:val="73E25A74"/>
    <w:rsid w:val="73E76F91"/>
    <w:rsid w:val="73E819A5"/>
    <w:rsid w:val="73EB05CF"/>
    <w:rsid w:val="73EB6821"/>
    <w:rsid w:val="73ED4347"/>
    <w:rsid w:val="73F112D6"/>
    <w:rsid w:val="73F15E96"/>
    <w:rsid w:val="73F36140"/>
    <w:rsid w:val="73F54526"/>
    <w:rsid w:val="73F73D09"/>
    <w:rsid w:val="73F90394"/>
    <w:rsid w:val="73FB5727"/>
    <w:rsid w:val="74012809"/>
    <w:rsid w:val="74105C0A"/>
    <w:rsid w:val="741337FF"/>
    <w:rsid w:val="74165C25"/>
    <w:rsid w:val="7418684A"/>
    <w:rsid w:val="741D2E7E"/>
    <w:rsid w:val="742A3671"/>
    <w:rsid w:val="742D799F"/>
    <w:rsid w:val="7438503D"/>
    <w:rsid w:val="743D5B60"/>
    <w:rsid w:val="743E1047"/>
    <w:rsid w:val="744463E4"/>
    <w:rsid w:val="74455F31"/>
    <w:rsid w:val="74493F52"/>
    <w:rsid w:val="745078D0"/>
    <w:rsid w:val="7456013E"/>
    <w:rsid w:val="74561208"/>
    <w:rsid w:val="74573C7D"/>
    <w:rsid w:val="745A0297"/>
    <w:rsid w:val="745D0743"/>
    <w:rsid w:val="745D1DF2"/>
    <w:rsid w:val="746748B4"/>
    <w:rsid w:val="7469245C"/>
    <w:rsid w:val="746B02DE"/>
    <w:rsid w:val="746D7236"/>
    <w:rsid w:val="7470070A"/>
    <w:rsid w:val="74716D26"/>
    <w:rsid w:val="74746816"/>
    <w:rsid w:val="747C0427"/>
    <w:rsid w:val="747C7B03"/>
    <w:rsid w:val="7480340D"/>
    <w:rsid w:val="748050C8"/>
    <w:rsid w:val="7481100B"/>
    <w:rsid w:val="74861C89"/>
    <w:rsid w:val="74863F93"/>
    <w:rsid w:val="74883614"/>
    <w:rsid w:val="749312CB"/>
    <w:rsid w:val="74940D67"/>
    <w:rsid w:val="749C48A6"/>
    <w:rsid w:val="74A144D3"/>
    <w:rsid w:val="74A83017"/>
    <w:rsid w:val="74A92DB1"/>
    <w:rsid w:val="74AD2004"/>
    <w:rsid w:val="74AD2FE1"/>
    <w:rsid w:val="74B43B24"/>
    <w:rsid w:val="74B65081"/>
    <w:rsid w:val="74C652C4"/>
    <w:rsid w:val="74C96D9D"/>
    <w:rsid w:val="74D05E32"/>
    <w:rsid w:val="74D3353D"/>
    <w:rsid w:val="74D377B7"/>
    <w:rsid w:val="74D47A9C"/>
    <w:rsid w:val="74D703E1"/>
    <w:rsid w:val="74D73693"/>
    <w:rsid w:val="74D95A94"/>
    <w:rsid w:val="74DC5D39"/>
    <w:rsid w:val="74DD0693"/>
    <w:rsid w:val="74E03F9D"/>
    <w:rsid w:val="74E66303"/>
    <w:rsid w:val="74E66641"/>
    <w:rsid w:val="74E71189"/>
    <w:rsid w:val="74E77FFF"/>
    <w:rsid w:val="74EC6A40"/>
    <w:rsid w:val="74F11BE7"/>
    <w:rsid w:val="74F35C97"/>
    <w:rsid w:val="74F37229"/>
    <w:rsid w:val="74F45B9C"/>
    <w:rsid w:val="74FC6F38"/>
    <w:rsid w:val="74FF2FA7"/>
    <w:rsid w:val="75035007"/>
    <w:rsid w:val="75037125"/>
    <w:rsid w:val="7504746A"/>
    <w:rsid w:val="750F179B"/>
    <w:rsid w:val="750F1A37"/>
    <w:rsid w:val="751128FC"/>
    <w:rsid w:val="75145A45"/>
    <w:rsid w:val="751634FE"/>
    <w:rsid w:val="751E4096"/>
    <w:rsid w:val="75211CF0"/>
    <w:rsid w:val="75241FEA"/>
    <w:rsid w:val="752B7F16"/>
    <w:rsid w:val="752C0E9F"/>
    <w:rsid w:val="753016A8"/>
    <w:rsid w:val="753F177D"/>
    <w:rsid w:val="7544268D"/>
    <w:rsid w:val="754C5594"/>
    <w:rsid w:val="75560FE8"/>
    <w:rsid w:val="755634B9"/>
    <w:rsid w:val="755A2E0E"/>
    <w:rsid w:val="75610B49"/>
    <w:rsid w:val="75640917"/>
    <w:rsid w:val="756A7000"/>
    <w:rsid w:val="75751540"/>
    <w:rsid w:val="75787C5A"/>
    <w:rsid w:val="75790B8C"/>
    <w:rsid w:val="75805BB6"/>
    <w:rsid w:val="758354A2"/>
    <w:rsid w:val="75894543"/>
    <w:rsid w:val="758A21BC"/>
    <w:rsid w:val="758C2619"/>
    <w:rsid w:val="75976523"/>
    <w:rsid w:val="759B72E6"/>
    <w:rsid w:val="759C4EF4"/>
    <w:rsid w:val="759E7102"/>
    <w:rsid w:val="75A05205"/>
    <w:rsid w:val="75A37EBA"/>
    <w:rsid w:val="75AD0232"/>
    <w:rsid w:val="75B144DC"/>
    <w:rsid w:val="75B65A81"/>
    <w:rsid w:val="75BB61BC"/>
    <w:rsid w:val="75BC5701"/>
    <w:rsid w:val="75BF1BC5"/>
    <w:rsid w:val="75C128B8"/>
    <w:rsid w:val="75C22A91"/>
    <w:rsid w:val="75C61709"/>
    <w:rsid w:val="75CA0DE4"/>
    <w:rsid w:val="75CB0AC7"/>
    <w:rsid w:val="75CC4039"/>
    <w:rsid w:val="75CD5A50"/>
    <w:rsid w:val="75D05CCE"/>
    <w:rsid w:val="75D06D38"/>
    <w:rsid w:val="75D37A22"/>
    <w:rsid w:val="75D8385C"/>
    <w:rsid w:val="75DA32E5"/>
    <w:rsid w:val="75E35A02"/>
    <w:rsid w:val="75EA1F29"/>
    <w:rsid w:val="75ED6880"/>
    <w:rsid w:val="75EF463B"/>
    <w:rsid w:val="75F96221"/>
    <w:rsid w:val="75FD10F2"/>
    <w:rsid w:val="76004806"/>
    <w:rsid w:val="760140DA"/>
    <w:rsid w:val="7606408C"/>
    <w:rsid w:val="76071E66"/>
    <w:rsid w:val="76082766"/>
    <w:rsid w:val="760B4F58"/>
    <w:rsid w:val="760E58F2"/>
    <w:rsid w:val="761C3A1F"/>
    <w:rsid w:val="761C7D99"/>
    <w:rsid w:val="761F544A"/>
    <w:rsid w:val="76214099"/>
    <w:rsid w:val="762656E4"/>
    <w:rsid w:val="76277FE4"/>
    <w:rsid w:val="762A18ED"/>
    <w:rsid w:val="762D3121"/>
    <w:rsid w:val="76315454"/>
    <w:rsid w:val="76316710"/>
    <w:rsid w:val="76367EA1"/>
    <w:rsid w:val="76373058"/>
    <w:rsid w:val="76397D18"/>
    <w:rsid w:val="763B3A90"/>
    <w:rsid w:val="763B3D06"/>
    <w:rsid w:val="763F7C1C"/>
    <w:rsid w:val="76477EF3"/>
    <w:rsid w:val="764A3CD3"/>
    <w:rsid w:val="764A7757"/>
    <w:rsid w:val="764C7A4B"/>
    <w:rsid w:val="764D5571"/>
    <w:rsid w:val="76507A9D"/>
    <w:rsid w:val="76533F0B"/>
    <w:rsid w:val="765661D4"/>
    <w:rsid w:val="76580A47"/>
    <w:rsid w:val="765B2E6F"/>
    <w:rsid w:val="76614845"/>
    <w:rsid w:val="76644F65"/>
    <w:rsid w:val="76654E7F"/>
    <w:rsid w:val="76671D59"/>
    <w:rsid w:val="76675C3B"/>
    <w:rsid w:val="766C59F7"/>
    <w:rsid w:val="767228B5"/>
    <w:rsid w:val="76794EAF"/>
    <w:rsid w:val="767E1BCE"/>
    <w:rsid w:val="767E329D"/>
    <w:rsid w:val="7682647B"/>
    <w:rsid w:val="76832D41"/>
    <w:rsid w:val="768A2321"/>
    <w:rsid w:val="768C6099"/>
    <w:rsid w:val="769A6A08"/>
    <w:rsid w:val="769B008A"/>
    <w:rsid w:val="769D2054"/>
    <w:rsid w:val="769F1C96"/>
    <w:rsid w:val="769F667C"/>
    <w:rsid w:val="769F6864"/>
    <w:rsid w:val="76A32642"/>
    <w:rsid w:val="76A53BED"/>
    <w:rsid w:val="76AB3F46"/>
    <w:rsid w:val="76AD3CD2"/>
    <w:rsid w:val="76AF0EED"/>
    <w:rsid w:val="76B25017"/>
    <w:rsid w:val="76B44B7C"/>
    <w:rsid w:val="76B51574"/>
    <w:rsid w:val="76B52298"/>
    <w:rsid w:val="76BB24DB"/>
    <w:rsid w:val="76BE5FD4"/>
    <w:rsid w:val="76BF071E"/>
    <w:rsid w:val="76CD072A"/>
    <w:rsid w:val="76CD3907"/>
    <w:rsid w:val="76CE0460"/>
    <w:rsid w:val="76CF109E"/>
    <w:rsid w:val="76CF6530"/>
    <w:rsid w:val="76D12520"/>
    <w:rsid w:val="76D17F50"/>
    <w:rsid w:val="76D2457D"/>
    <w:rsid w:val="76D3008E"/>
    <w:rsid w:val="76D34F81"/>
    <w:rsid w:val="76D64A64"/>
    <w:rsid w:val="76D860BA"/>
    <w:rsid w:val="76D966AC"/>
    <w:rsid w:val="76E01F41"/>
    <w:rsid w:val="76E40E51"/>
    <w:rsid w:val="76E77696"/>
    <w:rsid w:val="76E77774"/>
    <w:rsid w:val="76ED4281"/>
    <w:rsid w:val="76EE6E72"/>
    <w:rsid w:val="76EF6C97"/>
    <w:rsid w:val="76F529A6"/>
    <w:rsid w:val="76F6287A"/>
    <w:rsid w:val="770611C6"/>
    <w:rsid w:val="77091483"/>
    <w:rsid w:val="770B11D8"/>
    <w:rsid w:val="770C0F88"/>
    <w:rsid w:val="770C6193"/>
    <w:rsid w:val="770E7401"/>
    <w:rsid w:val="77104CB6"/>
    <w:rsid w:val="771137B1"/>
    <w:rsid w:val="77126D41"/>
    <w:rsid w:val="771D5CCB"/>
    <w:rsid w:val="772306F8"/>
    <w:rsid w:val="77275DC2"/>
    <w:rsid w:val="77277D4B"/>
    <w:rsid w:val="772E7150"/>
    <w:rsid w:val="7730030E"/>
    <w:rsid w:val="7735770E"/>
    <w:rsid w:val="77453F58"/>
    <w:rsid w:val="774C3A9F"/>
    <w:rsid w:val="774E334F"/>
    <w:rsid w:val="77520274"/>
    <w:rsid w:val="775841CD"/>
    <w:rsid w:val="77585F7B"/>
    <w:rsid w:val="775E3C1A"/>
    <w:rsid w:val="776112D4"/>
    <w:rsid w:val="77664F93"/>
    <w:rsid w:val="776F2028"/>
    <w:rsid w:val="7770350F"/>
    <w:rsid w:val="777059BB"/>
    <w:rsid w:val="777613EC"/>
    <w:rsid w:val="7778661E"/>
    <w:rsid w:val="777A1857"/>
    <w:rsid w:val="777D59E2"/>
    <w:rsid w:val="777F0496"/>
    <w:rsid w:val="7782124A"/>
    <w:rsid w:val="778422CE"/>
    <w:rsid w:val="778721B7"/>
    <w:rsid w:val="77893C52"/>
    <w:rsid w:val="778E4BDC"/>
    <w:rsid w:val="778E7BEF"/>
    <w:rsid w:val="778F3379"/>
    <w:rsid w:val="77901C9E"/>
    <w:rsid w:val="77905715"/>
    <w:rsid w:val="7798319D"/>
    <w:rsid w:val="77A35292"/>
    <w:rsid w:val="77A73B7B"/>
    <w:rsid w:val="77A80CB1"/>
    <w:rsid w:val="77A91023"/>
    <w:rsid w:val="77B164B3"/>
    <w:rsid w:val="77B4189C"/>
    <w:rsid w:val="77B661C7"/>
    <w:rsid w:val="77C217CE"/>
    <w:rsid w:val="77C47A51"/>
    <w:rsid w:val="77C60F55"/>
    <w:rsid w:val="77C67389"/>
    <w:rsid w:val="77CD4D9A"/>
    <w:rsid w:val="77D4784B"/>
    <w:rsid w:val="77DC6F3D"/>
    <w:rsid w:val="77E07A92"/>
    <w:rsid w:val="77E51202"/>
    <w:rsid w:val="77EA418E"/>
    <w:rsid w:val="77EC2FA6"/>
    <w:rsid w:val="77EE25AC"/>
    <w:rsid w:val="77F14D19"/>
    <w:rsid w:val="77F22330"/>
    <w:rsid w:val="77F521E0"/>
    <w:rsid w:val="77FC0FFD"/>
    <w:rsid w:val="77FF5B8E"/>
    <w:rsid w:val="78007550"/>
    <w:rsid w:val="780250F0"/>
    <w:rsid w:val="78054355"/>
    <w:rsid w:val="780A42B6"/>
    <w:rsid w:val="780C20BB"/>
    <w:rsid w:val="780D6D66"/>
    <w:rsid w:val="781C0E7F"/>
    <w:rsid w:val="781E04D4"/>
    <w:rsid w:val="781E5B7E"/>
    <w:rsid w:val="7820118F"/>
    <w:rsid w:val="782B5E90"/>
    <w:rsid w:val="782F3180"/>
    <w:rsid w:val="7833750B"/>
    <w:rsid w:val="78420859"/>
    <w:rsid w:val="78473460"/>
    <w:rsid w:val="78476B80"/>
    <w:rsid w:val="784C0116"/>
    <w:rsid w:val="784D1858"/>
    <w:rsid w:val="784D2257"/>
    <w:rsid w:val="785030F6"/>
    <w:rsid w:val="785260F7"/>
    <w:rsid w:val="78565D1D"/>
    <w:rsid w:val="785B0E59"/>
    <w:rsid w:val="785B3F75"/>
    <w:rsid w:val="785B7AEC"/>
    <w:rsid w:val="785C7CED"/>
    <w:rsid w:val="785E5813"/>
    <w:rsid w:val="78633BB9"/>
    <w:rsid w:val="7866480C"/>
    <w:rsid w:val="78695D2B"/>
    <w:rsid w:val="78697340"/>
    <w:rsid w:val="786E205E"/>
    <w:rsid w:val="787119EB"/>
    <w:rsid w:val="78723A52"/>
    <w:rsid w:val="787C1597"/>
    <w:rsid w:val="788208F8"/>
    <w:rsid w:val="7883171E"/>
    <w:rsid w:val="78852DA0"/>
    <w:rsid w:val="788B2898"/>
    <w:rsid w:val="78917805"/>
    <w:rsid w:val="78931961"/>
    <w:rsid w:val="78931D48"/>
    <w:rsid w:val="78965E4A"/>
    <w:rsid w:val="789E6309"/>
    <w:rsid w:val="78AA493F"/>
    <w:rsid w:val="78AC2A23"/>
    <w:rsid w:val="78AD22F7"/>
    <w:rsid w:val="78B25709"/>
    <w:rsid w:val="78BA00D2"/>
    <w:rsid w:val="78BA152E"/>
    <w:rsid w:val="78C22246"/>
    <w:rsid w:val="78C563D4"/>
    <w:rsid w:val="78CA10FB"/>
    <w:rsid w:val="78CD0377"/>
    <w:rsid w:val="78CF226D"/>
    <w:rsid w:val="78D36A6B"/>
    <w:rsid w:val="78D6038F"/>
    <w:rsid w:val="78D74152"/>
    <w:rsid w:val="78DD498A"/>
    <w:rsid w:val="78E46179"/>
    <w:rsid w:val="78E8332F"/>
    <w:rsid w:val="78EF2783"/>
    <w:rsid w:val="78F1327B"/>
    <w:rsid w:val="78F166CE"/>
    <w:rsid w:val="78F16E83"/>
    <w:rsid w:val="78F87697"/>
    <w:rsid w:val="78FB12B4"/>
    <w:rsid w:val="78FF5307"/>
    <w:rsid w:val="7904460D"/>
    <w:rsid w:val="79084E9E"/>
    <w:rsid w:val="790E2D96"/>
    <w:rsid w:val="790E7A95"/>
    <w:rsid w:val="79112886"/>
    <w:rsid w:val="7915054A"/>
    <w:rsid w:val="79166140"/>
    <w:rsid w:val="791F5C70"/>
    <w:rsid w:val="79233CD2"/>
    <w:rsid w:val="792F71B0"/>
    <w:rsid w:val="793119E3"/>
    <w:rsid w:val="79312F28"/>
    <w:rsid w:val="79361772"/>
    <w:rsid w:val="793A1D16"/>
    <w:rsid w:val="793B5291"/>
    <w:rsid w:val="793D7B1F"/>
    <w:rsid w:val="79433E60"/>
    <w:rsid w:val="79515378"/>
    <w:rsid w:val="795378C2"/>
    <w:rsid w:val="79553815"/>
    <w:rsid w:val="79580D8B"/>
    <w:rsid w:val="795D0A33"/>
    <w:rsid w:val="796138D7"/>
    <w:rsid w:val="7961683A"/>
    <w:rsid w:val="79651524"/>
    <w:rsid w:val="7969129E"/>
    <w:rsid w:val="796A2308"/>
    <w:rsid w:val="796B47EC"/>
    <w:rsid w:val="796F62A7"/>
    <w:rsid w:val="797A48CF"/>
    <w:rsid w:val="79821614"/>
    <w:rsid w:val="7985274B"/>
    <w:rsid w:val="79872B48"/>
    <w:rsid w:val="79892D64"/>
    <w:rsid w:val="79892F17"/>
    <w:rsid w:val="798B2638"/>
    <w:rsid w:val="798E36DA"/>
    <w:rsid w:val="79902D65"/>
    <w:rsid w:val="79947930"/>
    <w:rsid w:val="799559BB"/>
    <w:rsid w:val="79991008"/>
    <w:rsid w:val="799B7BCE"/>
    <w:rsid w:val="799F3C44"/>
    <w:rsid w:val="79A67472"/>
    <w:rsid w:val="79A95AD2"/>
    <w:rsid w:val="79B9330B"/>
    <w:rsid w:val="79C36345"/>
    <w:rsid w:val="79C43D9C"/>
    <w:rsid w:val="79C91199"/>
    <w:rsid w:val="79C91AFC"/>
    <w:rsid w:val="79C9302E"/>
    <w:rsid w:val="79D24C8C"/>
    <w:rsid w:val="79DD1412"/>
    <w:rsid w:val="79DF5CBF"/>
    <w:rsid w:val="79E4516F"/>
    <w:rsid w:val="79E462FC"/>
    <w:rsid w:val="79E81839"/>
    <w:rsid w:val="79E8408D"/>
    <w:rsid w:val="79E9404F"/>
    <w:rsid w:val="79EA1A55"/>
    <w:rsid w:val="79EB279B"/>
    <w:rsid w:val="79EF0484"/>
    <w:rsid w:val="79F44681"/>
    <w:rsid w:val="79F672EA"/>
    <w:rsid w:val="79F857F4"/>
    <w:rsid w:val="79FE7282"/>
    <w:rsid w:val="7A02130C"/>
    <w:rsid w:val="7A0423EA"/>
    <w:rsid w:val="7A0554A4"/>
    <w:rsid w:val="7A093C81"/>
    <w:rsid w:val="7A0D129F"/>
    <w:rsid w:val="7A0D1C3D"/>
    <w:rsid w:val="7A1E1264"/>
    <w:rsid w:val="7A227B5B"/>
    <w:rsid w:val="7A2325AE"/>
    <w:rsid w:val="7A25475F"/>
    <w:rsid w:val="7A262361"/>
    <w:rsid w:val="7A293551"/>
    <w:rsid w:val="7A2A2604"/>
    <w:rsid w:val="7A2B7BB1"/>
    <w:rsid w:val="7A2E5DB1"/>
    <w:rsid w:val="7A2F7D3E"/>
    <w:rsid w:val="7A3902E6"/>
    <w:rsid w:val="7A3B11AA"/>
    <w:rsid w:val="7A3E76AA"/>
    <w:rsid w:val="7A3F003F"/>
    <w:rsid w:val="7A43089A"/>
    <w:rsid w:val="7A481196"/>
    <w:rsid w:val="7A4B0019"/>
    <w:rsid w:val="7A4B0EF9"/>
    <w:rsid w:val="7A4E5630"/>
    <w:rsid w:val="7A524A5B"/>
    <w:rsid w:val="7A5769BE"/>
    <w:rsid w:val="7A59299C"/>
    <w:rsid w:val="7A5C4692"/>
    <w:rsid w:val="7A5D7C6A"/>
    <w:rsid w:val="7A5F3089"/>
    <w:rsid w:val="7A667AB5"/>
    <w:rsid w:val="7A6A2192"/>
    <w:rsid w:val="7A732256"/>
    <w:rsid w:val="7A7632E8"/>
    <w:rsid w:val="7A770E0E"/>
    <w:rsid w:val="7A773114"/>
    <w:rsid w:val="7A7A27B8"/>
    <w:rsid w:val="7A7A4CFD"/>
    <w:rsid w:val="7A7B4F6C"/>
    <w:rsid w:val="7A7C43AE"/>
    <w:rsid w:val="7A7F0AE4"/>
    <w:rsid w:val="7A815907"/>
    <w:rsid w:val="7A841936"/>
    <w:rsid w:val="7A88301C"/>
    <w:rsid w:val="7A88520F"/>
    <w:rsid w:val="7A885287"/>
    <w:rsid w:val="7A8A5729"/>
    <w:rsid w:val="7A8D23E0"/>
    <w:rsid w:val="7A95198B"/>
    <w:rsid w:val="7A990535"/>
    <w:rsid w:val="7A995229"/>
    <w:rsid w:val="7A9D6AC7"/>
    <w:rsid w:val="7AA41AC2"/>
    <w:rsid w:val="7AA535C1"/>
    <w:rsid w:val="7AA80FC8"/>
    <w:rsid w:val="7AA84137"/>
    <w:rsid w:val="7AA9341D"/>
    <w:rsid w:val="7AB124AD"/>
    <w:rsid w:val="7AB404E5"/>
    <w:rsid w:val="7ABA0452"/>
    <w:rsid w:val="7ABA46F2"/>
    <w:rsid w:val="7ABB7A96"/>
    <w:rsid w:val="7AC1208A"/>
    <w:rsid w:val="7ACA7190"/>
    <w:rsid w:val="7ACF0C4A"/>
    <w:rsid w:val="7ADB7996"/>
    <w:rsid w:val="7ADC1408"/>
    <w:rsid w:val="7ADE2C3C"/>
    <w:rsid w:val="7AE21AF2"/>
    <w:rsid w:val="7AE446F6"/>
    <w:rsid w:val="7AE502BA"/>
    <w:rsid w:val="7AE575DB"/>
    <w:rsid w:val="7AEA3436"/>
    <w:rsid w:val="7AEB48C6"/>
    <w:rsid w:val="7AEF7254"/>
    <w:rsid w:val="7AF52785"/>
    <w:rsid w:val="7AF67F85"/>
    <w:rsid w:val="7B042D84"/>
    <w:rsid w:val="7B0749C7"/>
    <w:rsid w:val="7B1651F8"/>
    <w:rsid w:val="7B1C747A"/>
    <w:rsid w:val="7B1D3764"/>
    <w:rsid w:val="7B1D68AD"/>
    <w:rsid w:val="7B1E74DC"/>
    <w:rsid w:val="7B203F27"/>
    <w:rsid w:val="7B2C01F1"/>
    <w:rsid w:val="7B333078"/>
    <w:rsid w:val="7B354F51"/>
    <w:rsid w:val="7B38119B"/>
    <w:rsid w:val="7B38715D"/>
    <w:rsid w:val="7B387BB6"/>
    <w:rsid w:val="7B3A4316"/>
    <w:rsid w:val="7B492D83"/>
    <w:rsid w:val="7B507276"/>
    <w:rsid w:val="7B537186"/>
    <w:rsid w:val="7B581051"/>
    <w:rsid w:val="7B582367"/>
    <w:rsid w:val="7B583E02"/>
    <w:rsid w:val="7B585622"/>
    <w:rsid w:val="7B630405"/>
    <w:rsid w:val="7B6326CC"/>
    <w:rsid w:val="7B68568E"/>
    <w:rsid w:val="7B6C46EB"/>
    <w:rsid w:val="7B6F45DE"/>
    <w:rsid w:val="7B71585E"/>
    <w:rsid w:val="7B732647"/>
    <w:rsid w:val="7B80272C"/>
    <w:rsid w:val="7B8321F9"/>
    <w:rsid w:val="7B84600B"/>
    <w:rsid w:val="7B86488F"/>
    <w:rsid w:val="7B8C08E9"/>
    <w:rsid w:val="7B8D60F3"/>
    <w:rsid w:val="7B915F00"/>
    <w:rsid w:val="7BA1528F"/>
    <w:rsid w:val="7BAE03BE"/>
    <w:rsid w:val="7BAE4F8D"/>
    <w:rsid w:val="7BAF1D95"/>
    <w:rsid w:val="7BB81656"/>
    <w:rsid w:val="7BC2255D"/>
    <w:rsid w:val="7BC2401A"/>
    <w:rsid w:val="7BC65BA9"/>
    <w:rsid w:val="7BC77904"/>
    <w:rsid w:val="7BC80791"/>
    <w:rsid w:val="7BD42F30"/>
    <w:rsid w:val="7BD55DED"/>
    <w:rsid w:val="7BDB33AA"/>
    <w:rsid w:val="7BDC717B"/>
    <w:rsid w:val="7BDF0A19"/>
    <w:rsid w:val="7BE239A7"/>
    <w:rsid w:val="7BE64FBE"/>
    <w:rsid w:val="7BED44D0"/>
    <w:rsid w:val="7BEE7A3A"/>
    <w:rsid w:val="7BF57AED"/>
    <w:rsid w:val="7BF66F9A"/>
    <w:rsid w:val="7BF87D2D"/>
    <w:rsid w:val="7BFB5E4A"/>
    <w:rsid w:val="7BFC15CB"/>
    <w:rsid w:val="7BFE016D"/>
    <w:rsid w:val="7C016BE2"/>
    <w:rsid w:val="7C022064"/>
    <w:rsid w:val="7C09018C"/>
    <w:rsid w:val="7C0E7382"/>
    <w:rsid w:val="7C1259B6"/>
    <w:rsid w:val="7C143AD8"/>
    <w:rsid w:val="7C15504B"/>
    <w:rsid w:val="7C1E1418"/>
    <w:rsid w:val="7C1E3C37"/>
    <w:rsid w:val="7C1F387A"/>
    <w:rsid w:val="7C2449E1"/>
    <w:rsid w:val="7C286BC1"/>
    <w:rsid w:val="7C323A24"/>
    <w:rsid w:val="7C3354B4"/>
    <w:rsid w:val="7C343E10"/>
    <w:rsid w:val="7C384D5B"/>
    <w:rsid w:val="7C3A4F3B"/>
    <w:rsid w:val="7C4371FA"/>
    <w:rsid w:val="7C440BE5"/>
    <w:rsid w:val="7C4458CC"/>
    <w:rsid w:val="7C460A98"/>
    <w:rsid w:val="7C4660A6"/>
    <w:rsid w:val="7C4D1E27"/>
    <w:rsid w:val="7C4E5882"/>
    <w:rsid w:val="7C5219EE"/>
    <w:rsid w:val="7C521B7C"/>
    <w:rsid w:val="7C540B05"/>
    <w:rsid w:val="7C5F1B5A"/>
    <w:rsid w:val="7C635583"/>
    <w:rsid w:val="7C63789C"/>
    <w:rsid w:val="7C6860B0"/>
    <w:rsid w:val="7C6879D4"/>
    <w:rsid w:val="7C75137E"/>
    <w:rsid w:val="7C7575D0"/>
    <w:rsid w:val="7C814335"/>
    <w:rsid w:val="7C860296"/>
    <w:rsid w:val="7C8A2035"/>
    <w:rsid w:val="7C8A4E29"/>
    <w:rsid w:val="7C8A620E"/>
    <w:rsid w:val="7C8D2B6B"/>
    <w:rsid w:val="7C936F49"/>
    <w:rsid w:val="7C9712F4"/>
    <w:rsid w:val="7C9865C8"/>
    <w:rsid w:val="7C992B5F"/>
    <w:rsid w:val="7C9F01CF"/>
    <w:rsid w:val="7CA22456"/>
    <w:rsid w:val="7CA2697F"/>
    <w:rsid w:val="7CA67789"/>
    <w:rsid w:val="7CAA5868"/>
    <w:rsid w:val="7CB023B6"/>
    <w:rsid w:val="7CB579CC"/>
    <w:rsid w:val="7CBC5361"/>
    <w:rsid w:val="7CBC5583"/>
    <w:rsid w:val="7CBD6B2A"/>
    <w:rsid w:val="7CC124B0"/>
    <w:rsid w:val="7CC77678"/>
    <w:rsid w:val="7CCA16C9"/>
    <w:rsid w:val="7CCD4D16"/>
    <w:rsid w:val="7CCE7D48"/>
    <w:rsid w:val="7CD267D0"/>
    <w:rsid w:val="7CD51E1C"/>
    <w:rsid w:val="7CDE3CF8"/>
    <w:rsid w:val="7CF77FE5"/>
    <w:rsid w:val="7CFB604F"/>
    <w:rsid w:val="7D072780"/>
    <w:rsid w:val="7D083FA0"/>
    <w:rsid w:val="7D0C76D0"/>
    <w:rsid w:val="7D124E1E"/>
    <w:rsid w:val="7D132D54"/>
    <w:rsid w:val="7D1634EE"/>
    <w:rsid w:val="7D197F35"/>
    <w:rsid w:val="7D197F5B"/>
    <w:rsid w:val="7D1E37C3"/>
    <w:rsid w:val="7D203B81"/>
    <w:rsid w:val="7D2569AA"/>
    <w:rsid w:val="7D2B2DDE"/>
    <w:rsid w:val="7D2D069E"/>
    <w:rsid w:val="7D2E7EAA"/>
    <w:rsid w:val="7D2F2F60"/>
    <w:rsid w:val="7D30475F"/>
    <w:rsid w:val="7D31109D"/>
    <w:rsid w:val="7D3134F6"/>
    <w:rsid w:val="7D317177"/>
    <w:rsid w:val="7D31799A"/>
    <w:rsid w:val="7D320E55"/>
    <w:rsid w:val="7D33726F"/>
    <w:rsid w:val="7D342FE7"/>
    <w:rsid w:val="7D3A593E"/>
    <w:rsid w:val="7D4476CE"/>
    <w:rsid w:val="7D461A2A"/>
    <w:rsid w:val="7D465FC8"/>
    <w:rsid w:val="7D49070E"/>
    <w:rsid w:val="7D4A0A5C"/>
    <w:rsid w:val="7D4A1D97"/>
    <w:rsid w:val="7D4C4FD5"/>
    <w:rsid w:val="7D4C6582"/>
    <w:rsid w:val="7D4C731A"/>
    <w:rsid w:val="7D4E2E80"/>
    <w:rsid w:val="7D5D30F3"/>
    <w:rsid w:val="7D5E4D55"/>
    <w:rsid w:val="7D5F5CD7"/>
    <w:rsid w:val="7D68318B"/>
    <w:rsid w:val="7D6D130D"/>
    <w:rsid w:val="7D731D61"/>
    <w:rsid w:val="7D732FF0"/>
    <w:rsid w:val="7D79534F"/>
    <w:rsid w:val="7D7A3DA6"/>
    <w:rsid w:val="7D7F0706"/>
    <w:rsid w:val="7D8A7D63"/>
    <w:rsid w:val="7D8E26F7"/>
    <w:rsid w:val="7D913F95"/>
    <w:rsid w:val="7D937BB3"/>
    <w:rsid w:val="7D945970"/>
    <w:rsid w:val="7D947DEE"/>
    <w:rsid w:val="7D97102F"/>
    <w:rsid w:val="7D973F15"/>
    <w:rsid w:val="7D9C4475"/>
    <w:rsid w:val="7D9D488E"/>
    <w:rsid w:val="7D9F3AB7"/>
    <w:rsid w:val="7DA5072A"/>
    <w:rsid w:val="7DA57A41"/>
    <w:rsid w:val="7DAB4365"/>
    <w:rsid w:val="7DB0591E"/>
    <w:rsid w:val="7DB54EBB"/>
    <w:rsid w:val="7DB63F5A"/>
    <w:rsid w:val="7DC1182B"/>
    <w:rsid w:val="7DC907E3"/>
    <w:rsid w:val="7DC9372F"/>
    <w:rsid w:val="7DC97BD3"/>
    <w:rsid w:val="7DCD34A9"/>
    <w:rsid w:val="7DCD4F88"/>
    <w:rsid w:val="7DCE51E9"/>
    <w:rsid w:val="7DD23BEB"/>
    <w:rsid w:val="7DD302BC"/>
    <w:rsid w:val="7DD30A52"/>
    <w:rsid w:val="7DD86A7B"/>
    <w:rsid w:val="7DD86DC5"/>
    <w:rsid w:val="7DD9051A"/>
    <w:rsid w:val="7DDB16B4"/>
    <w:rsid w:val="7DDC7906"/>
    <w:rsid w:val="7DDF5BA7"/>
    <w:rsid w:val="7DF157F3"/>
    <w:rsid w:val="7DF26EF2"/>
    <w:rsid w:val="7DF85D02"/>
    <w:rsid w:val="7DF86410"/>
    <w:rsid w:val="7DFD1722"/>
    <w:rsid w:val="7E015BC0"/>
    <w:rsid w:val="7E0547FB"/>
    <w:rsid w:val="7E0667DF"/>
    <w:rsid w:val="7E08550C"/>
    <w:rsid w:val="7E0B38CE"/>
    <w:rsid w:val="7E0E3764"/>
    <w:rsid w:val="7E0F5C0B"/>
    <w:rsid w:val="7E165D60"/>
    <w:rsid w:val="7E176B90"/>
    <w:rsid w:val="7E192908"/>
    <w:rsid w:val="7E222493"/>
    <w:rsid w:val="7E285E41"/>
    <w:rsid w:val="7E343B5B"/>
    <w:rsid w:val="7E372D8F"/>
    <w:rsid w:val="7E37679A"/>
    <w:rsid w:val="7E377F1E"/>
    <w:rsid w:val="7E3A287F"/>
    <w:rsid w:val="7E3D5ECB"/>
    <w:rsid w:val="7E3D783E"/>
    <w:rsid w:val="7E413C0D"/>
    <w:rsid w:val="7E422725"/>
    <w:rsid w:val="7E467CE8"/>
    <w:rsid w:val="7E470AF8"/>
    <w:rsid w:val="7E4A299F"/>
    <w:rsid w:val="7E4B683A"/>
    <w:rsid w:val="7E4F377D"/>
    <w:rsid w:val="7E5533A9"/>
    <w:rsid w:val="7E5C4EFF"/>
    <w:rsid w:val="7E66788B"/>
    <w:rsid w:val="7E6C128B"/>
    <w:rsid w:val="7E6D5828"/>
    <w:rsid w:val="7E6E1C40"/>
    <w:rsid w:val="7E700D50"/>
    <w:rsid w:val="7E715FA3"/>
    <w:rsid w:val="7E7538B7"/>
    <w:rsid w:val="7E7C4F2E"/>
    <w:rsid w:val="7E7D156B"/>
    <w:rsid w:val="7E834E22"/>
    <w:rsid w:val="7E867872"/>
    <w:rsid w:val="7E876F14"/>
    <w:rsid w:val="7E891110"/>
    <w:rsid w:val="7E8A55B4"/>
    <w:rsid w:val="7E8B30DA"/>
    <w:rsid w:val="7E8B6C36"/>
    <w:rsid w:val="7E8E266E"/>
    <w:rsid w:val="7E906943"/>
    <w:rsid w:val="7E9149BA"/>
    <w:rsid w:val="7E921852"/>
    <w:rsid w:val="7E9509AE"/>
    <w:rsid w:val="7E9C0E44"/>
    <w:rsid w:val="7E9F0934"/>
    <w:rsid w:val="7E9F26E2"/>
    <w:rsid w:val="7EA05563"/>
    <w:rsid w:val="7EA6334F"/>
    <w:rsid w:val="7EA63DDD"/>
    <w:rsid w:val="7EAA6A11"/>
    <w:rsid w:val="7EAD4DFF"/>
    <w:rsid w:val="7EAE3786"/>
    <w:rsid w:val="7EAF0B77"/>
    <w:rsid w:val="7EAF6449"/>
    <w:rsid w:val="7EB22A1D"/>
    <w:rsid w:val="7EB83D78"/>
    <w:rsid w:val="7EB95BF8"/>
    <w:rsid w:val="7EBB2475"/>
    <w:rsid w:val="7EBD69B8"/>
    <w:rsid w:val="7EC825E4"/>
    <w:rsid w:val="7ECD54A1"/>
    <w:rsid w:val="7ECF1219"/>
    <w:rsid w:val="7ED16DE7"/>
    <w:rsid w:val="7ED33D79"/>
    <w:rsid w:val="7ED40141"/>
    <w:rsid w:val="7EDC4BBA"/>
    <w:rsid w:val="7EDF0647"/>
    <w:rsid w:val="7EE011E6"/>
    <w:rsid w:val="7EE10361"/>
    <w:rsid w:val="7EE53694"/>
    <w:rsid w:val="7EF07E4D"/>
    <w:rsid w:val="7EF11EAA"/>
    <w:rsid w:val="7EF46ED2"/>
    <w:rsid w:val="7EFE4B8C"/>
    <w:rsid w:val="7EFF28BB"/>
    <w:rsid w:val="7F00043A"/>
    <w:rsid w:val="7F017854"/>
    <w:rsid w:val="7F053EE9"/>
    <w:rsid w:val="7F0F1615"/>
    <w:rsid w:val="7F10538E"/>
    <w:rsid w:val="7F112C33"/>
    <w:rsid w:val="7F116CAB"/>
    <w:rsid w:val="7F17534F"/>
    <w:rsid w:val="7F1949EB"/>
    <w:rsid w:val="7F1B445E"/>
    <w:rsid w:val="7F1D501C"/>
    <w:rsid w:val="7F226EA1"/>
    <w:rsid w:val="7F2514E7"/>
    <w:rsid w:val="7F257827"/>
    <w:rsid w:val="7F2712C4"/>
    <w:rsid w:val="7F2A2345"/>
    <w:rsid w:val="7F2C21C7"/>
    <w:rsid w:val="7F2E04CD"/>
    <w:rsid w:val="7F310363"/>
    <w:rsid w:val="7F3345C7"/>
    <w:rsid w:val="7F365E18"/>
    <w:rsid w:val="7F3924D3"/>
    <w:rsid w:val="7F3A1854"/>
    <w:rsid w:val="7F3E639F"/>
    <w:rsid w:val="7F484B27"/>
    <w:rsid w:val="7F4F5EB6"/>
    <w:rsid w:val="7F590614"/>
    <w:rsid w:val="7F5931D8"/>
    <w:rsid w:val="7F651B7D"/>
    <w:rsid w:val="7F670D60"/>
    <w:rsid w:val="7F6A2CF0"/>
    <w:rsid w:val="7F6C4CBA"/>
    <w:rsid w:val="7F6E4F2C"/>
    <w:rsid w:val="7F6F47AA"/>
    <w:rsid w:val="7F721BA4"/>
    <w:rsid w:val="7F731EA8"/>
    <w:rsid w:val="7F7D572F"/>
    <w:rsid w:val="7F7E5056"/>
    <w:rsid w:val="7F83401D"/>
    <w:rsid w:val="7F85081C"/>
    <w:rsid w:val="7F8759F2"/>
    <w:rsid w:val="7F8C0830"/>
    <w:rsid w:val="7F935CC2"/>
    <w:rsid w:val="7F9F3437"/>
    <w:rsid w:val="7F9F4D2B"/>
    <w:rsid w:val="7FA53D28"/>
    <w:rsid w:val="7FA8300C"/>
    <w:rsid w:val="7FAE0E2E"/>
    <w:rsid w:val="7FAE1EEA"/>
    <w:rsid w:val="7FB55C1C"/>
    <w:rsid w:val="7FBD5515"/>
    <w:rsid w:val="7FBD6749"/>
    <w:rsid w:val="7FC248DA"/>
    <w:rsid w:val="7FC5755B"/>
    <w:rsid w:val="7FC71EF0"/>
    <w:rsid w:val="7FC95C68"/>
    <w:rsid w:val="7FCC605A"/>
    <w:rsid w:val="7FD23B3D"/>
    <w:rsid w:val="7FD7685E"/>
    <w:rsid w:val="7FDE05EA"/>
    <w:rsid w:val="7FE021F4"/>
    <w:rsid w:val="7FE31053"/>
    <w:rsid w:val="7FE7641E"/>
    <w:rsid w:val="7FEC059A"/>
    <w:rsid w:val="7FEC1642"/>
    <w:rsid w:val="7FEF3629"/>
    <w:rsid w:val="7FF32C78"/>
    <w:rsid w:val="7FF4774B"/>
    <w:rsid w:val="7FF904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iPriority="99"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pPr>
    <w:rPr>
      <w:rFonts w:ascii="Times New Roman" w:hAnsi="Times New Roman" w:eastAsia="宋体" w:cstheme="minorBidi"/>
      <w:b/>
      <w:kern w:val="2"/>
      <w:sz w:val="24"/>
      <w:szCs w:val="24"/>
      <w:lang w:val="en-US" w:eastAsia="zh-CN" w:bidi="ar-SA"/>
    </w:rPr>
  </w:style>
  <w:style w:type="paragraph" w:styleId="5">
    <w:name w:val="heading 1"/>
    <w:basedOn w:val="1"/>
    <w:next w:val="1"/>
    <w:autoRedefine/>
    <w:qFormat/>
    <w:uiPriority w:val="0"/>
    <w:pPr>
      <w:keepNext/>
      <w:keepLines/>
      <w:outlineLvl w:val="0"/>
    </w:pPr>
    <w:rPr>
      <w:kern w:val="44"/>
      <w:sz w:val="30"/>
    </w:rPr>
  </w:style>
  <w:style w:type="paragraph" w:styleId="6">
    <w:name w:val="heading 2"/>
    <w:basedOn w:val="1"/>
    <w:next w:val="1"/>
    <w:autoRedefine/>
    <w:unhideWhenUsed/>
    <w:qFormat/>
    <w:uiPriority w:val="0"/>
    <w:pPr>
      <w:keepNext/>
      <w:keepLines/>
      <w:outlineLvl w:val="1"/>
    </w:pPr>
    <w:rPr>
      <w:sz w:val="28"/>
    </w:rPr>
  </w:style>
  <w:style w:type="paragraph" w:styleId="7">
    <w:name w:val="heading 3"/>
    <w:basedOn w:val="1"/>
    <w:next w:val="1"/>
    <w:autoRedefine/>
    <w:unhideWhenUsed/>
    <w:qFormat/>
    <w:uiPriority w:val="0"/>
    <w:pPr>
      <w:keepNext/>
      <w:keepLines/>
      <w:spacing w:line="360" w:lineRule="auto"/>
      <w:outlineLvl w:val="2"/>
    </w:pPr>
  </w:style>
  <w:style w:type="paragraph" w:styleId="8">
    <w:name w:val="heading 4"/>
    <w:basedOn w:val="1"/>
    <w:next w:val="1"/>
    <w:autoRedefine/>
    <w:unhideWhenUsed/>
    <w:qFormat/>
    <w:uiPriority w:val="0"/>
    <w:pPr>
      <w:keepNext/>
      <w:keepLines/>
      <w:spacing w:line="360" w:lineRule="auto"/>
      <w:outlineLvl w:val="3"/>
    </w:pPr>
    <w:rPr>
      <w:bCs/>
      <w:szCs w:val="28"/>
    </w:rPr>
  </w:style>
  <w:style w:type="character" w:default="1" w:styleId="28">
    <w:name w:val="Default Paragraph Font"/>
    <w:autoRedefine/>
    <w:semiHidden/>
    <w:unhideWhenUsed/>
    <w:qFormat/>
    <w:uiPriority w:val="1"/>
  </w:style>
  <w:style w:type="table" w:default="1" w:styleId="26">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autoRedefine/>
    <w:qFormat/>
    <w:uiPriority w:val="0"/>
    <w:pPr>
      <w:ind w:firstLine="420"/>
    </w:pPr>
    <w:rPr>
      <w:rFonts w:ascii="Calibri" w:hAnsi="Calibri"/>
      <w:sz w:val="28"/>
      <w:szCs w:val="22"/>
    </w:rPr>
  </w:style>
  <w:style w:type="paragraph" w:styleId="3">
    <w:name w:val="Body Text Indent"/>
    <w:basedOn w:val="1"/>
    <w:next w:val="4"/>
    <w:autoRedefine/>
    <w:qFormat/>
    <w:uiPriority w:val="0"/>
    <w:pPr>
      <w:spacing w:after="120"/>
      <w:ind w:left="420" w:leftChars="200"/>
    </w:pPr>
    <w:rPr>
      <w:kern w:val="0"/>
      <w:szCs w:val="20"/>
    </w:rPr>
  </w:style>
  <w:style w:type="paragraph" w:styleId="4">
    <w:name w:val="Body Text Indent 2"/>
    <w:basedOn w:val="1"/>
    <w:next w:val="2"/>
    <w:autoRedefine/>
    <w:qFormat/>
    <w:uiPriority w:val="99"/>
    <w:pPr>
      <w:spacing w:after="120" w:line="480" w:lineRule="auto"/>
      <w:ind w:left="420" w:leftChars="200"/>
    </w:pPr>
  </w:style>
  <w:style w:type="paragraph" w:styleId="9">
    <w:name w:val="Normal Indent"/>
    <w:basedOn w:val="1"/>
    <w:next w:val="1"/>
    <w:autoRedefine/>
    <w:qFormat/>
    <w:uiPriority w:val="0"/>
    <w:pPr>
      <w:ind w:firstLine="420" w:firstLineChars="200"/>
    </w:pPr>
  </w:style>
  <w:style w:type="paragraph" w:styleId="10">
    <w:name w:val="caption"/>
    <w:basedOn w:val="1"/>
    <w:next w:val="1"/>
    <w:autoRedefine/>
    <w:qFormat/>
    <w:uiPriority w:val="35"/>
    <w:pPr>
      <w:jc w:val="center"/>
    </w:pPr>
    <w:rPr>
      <w:szCs w:val="20"/>
    </w:rPr>
  </w:style>
  <w:style w:type="paragraph" w:styleId="11">
    <w:name w:val="annotation text"/>
    <w:basedOn w:val="1"/>
    <w:link w:val="69"/>
    <w:autoRedefine/>
    <w:qFormat/>
    <w:uiPriority w:val="0"/>
  </w:style>
  <w:style w:type="paragraph" w:styleId="12">
    <w:name w:val="Body Text"/>
    <w:basedOn w:val="1"/>
    <w:next w:val="1"/>
    <w:autoRedefine/>
    <w:qFormat/>
    <w:uiPriority w:val="0"/>
    <w:pPr>
      <w:widowControl/>
      <w:snapToGrid w:val="0"/>
      <w:spacing w:before="60" w:after="160" w:line="259" w:lineRule="auto"/>
      <w:ind w:right="113"/>
    </w:pPr>
    <w:rPr>
      <w:kern w:val="0"/>
      <w:sz w:val="18"/>
      <w:szCs w:val="20"/>
    </w:rPr>
  </w:style>
  <w:style w:type="paragraph" w:styleId="13">
    <w:name w:val="Plain Text"/>
    <w:basedOn w:val="1"/>
    <w:autoRedefine/>
    <w:qFormat/>
    <w:uiPriority w:val="0"/>
    <w:rPr>
      <w:rFonts w:hAnsi="Courier New" w:cs="Courier New"/>
      <w:szCs w:val="21"/>
    </w:rPr>
  </w:style>
  <w:style w:type="paragraph" w:styleId="14">
    <w:name w:val="List Bullet 5"/>
    <w:basedOn w:val="1"/>
    <w:autoRedefine/>
    <w:qFormat/>
    <w:uiPriority w:val="0"/>
    <w:pPr>
      <w:numPr>
        <w:ilvl w:val="0"/>
        <w:numId w:val="1"/>
      </w:numPr>
    </w:pPr>
  </w:style>
  <w:style w:type="paragraph" w:styleId="15">
    <w:name w:val="Balloon Text"/>
    <w:basedOn w:val="1"/>
    <w:autoRedefine/>
    <w:semiHidden/>
    <w:qFormat/>
    <w:uiPriority w:val="0"/>
    <w:rPr>
      <w:kern w:val="0"/>
      <w:sz w:val="18"/>
      <w:szCs w:val="20"/>
    </w:rPr>
  </w:style>
  <w:style w:type="paragraph" w:styleId="16">
    <w:name w:val="footer"/>
    <w:basedOn w:val="1"/>
    <w:autoRedefine/>
    <w:qFormat/>
    <w:uiPriority w:val="99"/>
    <w:pPr>
      <w:tabs>
        <w:tab w:val="center" w:pos="4153"/>
        <w:tab w:val="right" w:pos="8306"/>
      </w:tabs>
      <w:snapToGrid w:val="0"/>
    </w:pPr>
    <w:rPr>
      <w:kern w:val="0"/>
      <w:sz w:val="18"/>
      <w:szCs w:val="20"/>
    </w:rPr>
  </w:style>
  <w:style w:type="paragraph" w:styleId="17">
    <w:name w:val="header"/>
    <w:basedOn w:val="1"/>
    <w:next w:val="18"/>
    <w:link w:val="73"/>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customStyle="1" w:styleId="18">
    <w:name w:val="样式5"/>
    <w:basedOn w:val="19"/>
    <w:autoRedefine/>
    <w:qFormat/>
    <w:uiPriority w:val="0"/>
    <w:pPr>
      <w:spacing w:line="360" w:lineRule="auto"/>
    </w:pPr>
    <w:rPr>
      <w:rFonts w:ascii="Times New Roman" w:hAnsi="Times New Roman"/>
      <w:sz w:val="24"/>
      <w:szCs w:val="22"/>
    </w:rPr>
  </w:style>
  <w:style w:type="paragraph" w:customStyle="1" w:styleId="19">
    <w:name w:val="正文1"/>
    <w:basedOn w:val="20"/>
    <w:next w:val="1"/>
    <w:autoRedefine/>
    <w:qFormat/>
    <w:uiPriority w:val="0"/>
    <w:pPr>
      <w:ind w:firstLine="0" w:firstLineChars="0"/>
      <w:jc w:val="center"/>
    </w:pPr>
    <w:rPr>
      <w:b w:val="0"/>
      <w:sz w:val="21"/>
    </w:rPr>
  </w:style>
  <w:style w:type="paragraph" w:customStyle="1" w:styleId="20">
    <w:name w:val="列出段落11"/>
    <w:basedOn w:val="1"/>
    <w:autoRedefine/>
    <w:qFormat/>
    <w:uiPriority w:val="34"/>
    <w:pPr>
      <w:ind w:firstLine="420"/>
    </w:pPr>
  </w:style>
  <w:style w:type="paragraph" w:styleId="21">
    <w:name w:val="List"/>
    <w:basedOn w:val="1"/>
    <w:autoRedefine/>
    <w:unhideWhenUsed/>
    <w:qFormat/>
    <w:uiPriority w:val="0"/>
    <w:pPr>
      <w:widowControl w:val="0"/>
      <w:wordWrap w:val="0"/>
      <w:autoSpaceDE w:val="0"/>
      <w:autoSpaceDN w:val="0"/>
      <w:adjustRightInd w:val="0"/>
      <w:spacing w:line="360" w:lineRule="auto"/>
      <w:ind w:left="-2" w:leftChars="-1" w:right="-108" w:rightChars="-45" w:firstLine="420" w:firstLineChars="200"/>
      <w:jc w:val="left"/>
    </w:pPr>
    <w:rPr>
      <w:rFonts w:ascii="黑体" w:hAnsi="Times New Roman" w:eastAsia="黑体" w:cs="Times New Roman"/>
      <w:kern w:val="0"/>
      <w:sz w:val="20"/>
      <w:szCs w:val="20"/>
      <w:lang w:val="zh-CN" w:eastAsia="zh-CN" w:bidi="zh-CN"/>
    </w:rPr>
  </w:style>
  <w:style w:type="paragraph" w:styleId="22">
    <w:name w:val="Body Text 2"/>
    <w:basedOn w:val="1"/>
    <w:link w:val="74"/>
    <w:autoRedefine/>
    <w:unhideWhenUsed/>
    <w:qFormat/>
    <w:uiPriority w:val="99"/>
    <w:pPr>
      <w:spacing w:line="360" w:lineRule="auto"/>
      <w:ind w:firstLine="602" w:firstLineChars="200"/>
    </w:pPr>
    <w:rPr>
      <w:b w:val="0"/>
    </w:rPr>
  </w:style>
  <w:style w:type="paragraph" w:styleId="23">
    <w:name w:val="Normal (Web)"/>
    <w:basedOn w:val="1"/>
    <w:link w:val="60"/>
    <w:autoRedefine/>
    <w:qFormat/>
    <w:uiPriority w:val="0"/>
    <w:pPr>
      <w:widowControl/>
      <w:spacing w:before="100" w:beforeAutospacing="1" w:after="100" w:afterAutospacing="1"/>
    </w:pPr>
    <w:rPr>
      <w:rFonts w:ascii="宋体" w:hAnsi="宋体"/>
      <w:kern w:val="0"/>
      <w:szCs w:val="20"/>
    </w:rPr>
  </w:style>
  <w:style w:type="paragraph" w:styleId="24">
    <w:name w:val="annotation subject"/>
    <w:basedOn w:val="11"/>
    <w:next w:val="11"/>
    <w:link w:val="70"/>
    <w:autoRedefine/>
    <w:qFormat/>
    <w:uiPriority w:val="0"/>
    <w:rPr>
      <w:bCs/>
    </w:rPr>
  </w:style>
  <w:style w:type="paragraph" w:styleId="25">
    <w:name w:val="Body Text First Indent"/>
    <w:basedOn w:val="12"/>
    <w:next w:val="1"/>
    <w:autoRedefine/>
    <w:qFormat/>
    <w:uiPriority w:val="0"/>
    <w:pPr>
      <w:ind w:firstLine="420" w:firstLineChars="100"/>
    </w:pPr>
  </w:style>
  <w:style w:type="table" w:styleId="27">
    <w:name w:val="Table Grid"/>
    <w:basedOn w:val="2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9">
    <w:name w:val="page number"/>
    <w:basedOn w:val="28"/>
    <w:autoRedefine/>
    <w:qFormat/>
    <w:uiPriority w:val="0"/>
  </w:style>
  <w:style w:type="character" w:styleId="30">
    <w:name w:val="Hyperlink"/>
    <w:basedOn w:val="28"/>
    <w:autoRedefine/>
    <w:qFormat/>
    <w:uiPriority w:val="0"/>
    <w:rPr>
      <w:color w:val="0000FF"/>
      <w:u w:val="single"/>
    </w:rPr>
  </w:style>
  <w:style w:type="character" w:styleId="31">
    <w:name w:val="annotation reference"/>
    <w:basedOn w:val="28"/>
    <w:autoRedefine/>
    <w:qFormat/>
    <w:uiPriority w:val="0"/>
    <w:rPr>
      <w:sz w:val="21"/>
      <w:szCs w:val="21"/>
    </w:rPr>
  </w:style>
  <w:style w:type="paragraph" w:customStyle="1" w:styleId="32">
    <w:name w:val="表头字体"/>
    <w:basedOn w:val="1"/>
    <w:autoRedefine/>
    <w:qFormat/>
    <w:uiPriority w:val="0"/>
    <w:pPr>
      <w:spacing w:line="360" w:lineRule="auto"/>
      <w:jc w:val="center"/>
    </w:pPr>
  </w:style>
  <w:style w:type="paragraph" w:customStyle="1" w:styleId="33">
    <w:name w:val="表格内容"/>
    <w:basedOn w:val="34"/>
    <w:next w:val="36"/>
    <w:link w:val="37"/>
    <w:autoRedefine/>
    <w:qFormat/>
    <w:uiPriority w:val="0"/>
    <w:pPr>
      <w:jc w:val="center"/>
    </w:pPr>
    <w:rPr>
      <w:rFonts w:ascii="Times New Roman" w:hAnsi="Times New Roman" w:eastAsia="宋体" w:cs="Times New Roman"/>
      <w:b w:val="0"/>
      <w:szCs w:val="24"/>
      <w:lang w:val="zh-TW" w:eastAsia="zh-TW"/>
    </w:rPr>
  </w:style>
  <w:style w:type="paragraph" w:customStyle="1" w:styleId="34">
    <w:name w:val="表格标题"/>
    <w:basedOn w:val="35"/>
    <w:autoRedefine/>
    <w:qFormat/>
    <w:uiPriority w:val="0"/>
  </w:style>
  <w:style w:type="paragraph" w:customStyle="1" w:styleId="35">
    <w:name w:val="表头"/>
    <w:basedOn w:val="9"/>
    <w:next w:val="1"/>
    <w:autoRedefine/>
    <w:qFormat/>
    <w:uiPriority w:val="0"/>
    <w:pPr>
      <w:ind w:firstLine="0" w:firstLineChars="0"/>
      <w:jc w:val="center"/>
    </w:pPr>
    <w:rPr>
      <w:bCs/>
      <w:sz w:val="21"/>
      <w:szCs w:val="21"/>
    </w:rPr>
  </w:style>
  <w:style w:type="paragraph" w:customStyle="1" w:styleId="36">
    <w:name w:val="文本正文"/>
    <w:basedOn w:val="1"/>
    <w:autoRedefine/>
    <w:qFormat/>
    <w:uiPriority w:val="0"/>
    <w:pPr>
      <w:ind w:firstLine="480"/>
    </w:pPr>
  </w:style>
  <w:style w:type="character" w:customStyle="1" w:styleId="37">
    <w:name w:val="表格内容 Char"/>
    <w:link w:val="33"/>
    <w:autoRedefine/>
    <w:qFormat/>
    <w:uiPriority w:val="0"/>
    <w:rPr>
      <w:rFonts w:ascii="Times New Roman" w:hAnsi="Times New Roman" w:eastAsia="宋体" w:cs="Times New Roman"/>
      <w:kern w:val="2"/>
      <w:sz w:val="21"/>
      <w:szCs w:val="24"/>
      <w:lang w:val="zh-TW" w:eastAsia="zh-TW" w:bidi="ar-SA"/>
    </w:rPr>
  </w:style>
  <w:style w:type="paragraph" w:customStyle="1" w:styleId="38">
    <w:name w:val="表格文字"/>
    <w:basedOn w:val="1"/>
    <w:autoRedefine/>
    <w:qFormat/>
    <w:uiPriority w:val="0"/>
    <w:pPr>
      <w:spacing w:line="300" w:lineRule="exact"/>
      <w:jc w:val="center"/>
    </w:pPr>
    <w:rPr>
      <w:rFonts w:ascii="宋体"/>
      <w:kern w:val="0"/>
      <w:szCs w:val="32"/>
    </w:rPr>
  </w:style>
  <w:style w:type="paragraph" w:customStyle="1" w:styleId="39">
    <w:name w:val="Default"/>
    <w:basedOn w:val="40"/>
    <w:next w:val="1"/>
    <w:autoRedefine/>
    <w:qFormat/>
    <w:uiPriority w:val="0"/>
    <w:pPr>
      <w:autoSpaceDE w:val="0"/>
      <w:autoSpaceDN w:val="0"/>
      <w:adjustRightInd w:val="0"/>
    </w:pPr>
    <w:rPr>
      <w:rFonts w:hAnsi="Times New Roman" w:cs="宋体"/>
      <w:color w:val="000000"/>
      <w:sz w:val="24"/>
      <w:szCs w:val="24"/>
    </w:rPr>
  </w:style>
  <w:style w:type="paragraph" w:customStyle="1" w:styleId="40">
    <w:name w:val="纯文本1"/>
    <w:basedOn w:val="1"/>
    <w:autoRedefine/>
    <w:qFormat/>
    <w:uiPriority w:val="0"/>
    <w:rPr>
      <w:rFonts w:ascii="宋体" w:hAnsi="Courier New" w:cs="Courier New"/>
      <w:sz w:val="21"/>
      <w:szCs w:val="21"/>
    </w:rPr>
  </w:style>
  <w:style w:type="paragraph" w:customStyle="1" w:styleId="41">
    <w:name w:val="样式 首行缩进:  2 字符1"/>
    <w:basedOn w:val="1"/>
    <w:autoRedefine/>
    <w:qFormat/>
    <w:uiPriority w:val="0"/>
    <w:pPr>
      <w:adjustRightInd w:val="0"/>
      <w:snapToGrid w:val="0"/>
      <w:spacing w:line="360" w:lineRule="auto"/>
      <w:ind w:firstLine="480" w:firstLineChars="200"/>
    </w:pPr>
    <w:rPr>
      <w:rFonts w:cs="宋体"/>
      <w:sz w:val="24"/>
      <w:lang w:val="en-US" w:eastAsia="zh-CN"/>
    </w:rPr>
  </w:style>
  <w:style w:type="paragraph" w:customStyle="1" w:styleId="42">
    <w:name w:val="xl27"/>
    <w:basedOn w:val="1"/>
    <w:autoRedefine/>
    <w:qFormat/>
    <w:uiPriority w:val="0"/>
    <w:pPr>
      <w:widowControl/>
      <w:spacing w:before="100" w:beforeAutospacing="1" w:after="100" w:afterAutospacing="1"/>
      <w:jc w:val="center"/>
      <w:textAlignment w:val="center"/>
    </w:pPr>
    <w:rPr>
      <w:rFonts w:ascii="Arial Unicode MS" w:hAnsi="Arial Unicode MS" w:eastAsia="Arial Unicode MS" w:cs="Arial Unicode MS"/>
      <w:kern w:val="0"/>
      <w:sz w:val="24"/>
    </w:rPr>
  </w:style>
  <w:style w:type="paragraph" w:customStyle="1" w:styleId="43">
    <w:name w:val="Body Text 21"/>
    <w:basedOn w:val="1"/>
    <w:autoRedefine/>
    <w:qFormat/>
    <w:uiPriority w:val="0"/>
    <w:pPr>
      <w:spacing w:after="120" w:line="480" w:lineRule="auto"/>
    </w:pPr>
  </w:style>
  <w:style w:type="paragraph" w:customStyle="1" w:styleId="44">
    <w:name w:val="1 表头"/>
    <w:basedOn w:val="1"/>
    <w:autoRedefine/>
    <w:qFormat/>
    <w:uiPriority w:val="0"/>
    <w:pPr>
      <w:adjustRightInd w:val="0"/>
      <w:snapToGrid w:val="0"/>
      <w:jc w:val="center"/>
    </w:pPr>
    <w:rPr>
      <w:color w:val="000000"/>
      <w:sz w:val="21"/>
      <w:szCs w:val="21"/>
    </w:rPr>
  </w:style>
  <w:style w:type="paragraph" w:customStyle="1" w:styleId="45">
    <w:name w:val="表格字体"/>
    <w:basedOn w:val="32"/>
    <w:autoRedefine/>
    <w:qFormat/>
    <w:uiPriority w:val="0"/>
    <w:pPr>
      <w:spacing w:line="240" w:lineRule="auto"/>
    </w:pPr>
    <w:rPr>
      <w:b w:val="0"/>
    </w:rPr>
  </w:style>
  <w:style w:type="paragraph" w:customStyle="1" w:styleId="46">
    <w:name w:val="正文格式"/>
    <w:basedOn w:val="1"/>
    <w:autoRedefine/>
    <w:qFormat/>
    <w:uiPriority w:val="0"/>
    <w:pPr>
      <w:spacing w:before="78" w:beforeLines="25" w:after="78" w:afterLines="25" w:line="360" w:lineRule="auto"/>
      <w:ind w:firstLine="40"/>
    </w:pPr>
  </w:style>
  <w:style w:type="paragraph" w:customStyle="1" w:styleId="47">
    <w:name w:val="正文首行缩进 21"/>
    <w:basedOn w:val="48"/>
    <w:next w:val="12"/>
    <w:autoRedefine/>
    <w:qFormat/>
    <w:uiPriority w:val="0"/>
    <w:pPr>
      <w:spacing w:after="120"/>
      <w:ind w:left="420" w:leftChars="200" w:firstLine="420" w:firstLineChars="200"/>
    </w:pPr>
    <w:rPr>
      <w:sz w:val="21"/>
    </w:rPr>
  </w:style>
  <w:style w:type="paragraph" w:customStyle="1" w:styleId="48">
    <w:name w:val="正文文本缩进1"/>
    <w:basedOn w:val="1"/>
    <w:autoRedefine/>
    <w:qFormat/>
    <w:uiPriority w:val="0"/>
    <w:pPr>
      <w:ind w:firstLine="538" w:firstLineChars="192"/>
    </w:pPr>
    <w:rPr>
      <w:kern w:val="0"/>
      <w:sz w:val="28"/>
    </w:rPr>
  </w:style>
  <w:style w:type="paragraph" w:customStyle="1" w:styleId="49">
    <w:name w:val="1"/>
    <w:basedOn w:val="1"/>
    <w:autoRedefine/>
    <w:qFormat/>
    <w:uiPriority w:val="0"/>
    <w:pPr>
      <w:ind w:firstLine="720" w:firstLineChars="200"/>
    </w:pPr>
    <w:rPr>
      <w:rFonts w:hint="eastAsia" w:cs="Times New Roman"/>
      <w:szCs w:val="32"/>
    </w:rPr>
  </w:style>
  <w:style w:type="paragraph" w:customStyle="1" w:styleId="50">
    <w:name w:val="样式 正文缩进正文缩进2正文缩进 Char Char正文缩进 Char Char Char Char正文缩进 Char ..."/>
    <w:basedOn w:val="9"/>
    <w:autoRedefine/>
    <w:qFormat/>
    <w:uiPriority w:val="0"/>
    <w:pPr>
      <w:tabs>
        <w:tab w:val="left" w:pos="840"/>
      </w:tabs>
      <w:spacing w:line="360" w:lineRule="auto"/>
      <w:ind w:firstLine="200"/>
      <w:jc w:val="both"/>
    </w:pPr>
  </w:style>
  <w:style w:type="paragraph" w:customStyle="1" w:styleId="51">
    <w:name w:val="表格"/>
    <w:basedOn w:val="21"/>
    <w:next w:val="1"/>
    <w:autoRedefine/>
    <w:qFormat/>
    <w:uiPriority w:val="0"/>
    <w:pPr>
      <w:adjustRightInd w:val="0"/>
      <w:snapToGrid w:val="0"/>
      <w:spacing w:beforeLines="10" w:afterLines="10" w:line="259" w:lineRule="auto"/>
      <w:jc w:val="center"/>
    </w:pPr>
  </w:style>
  <w:style w:type="paragraph" w:customStyle="1" w:styleId="52">
    <w:name w:val="正文001"/>
    <w:basedOn w:val="1"/>
    <w:autoRedefine/>
    <w:qFormat/>
    <w:uiPriority w:val="0"/>
    <w:pPr>
      <w:spacing w:before="60" w:line="460" w:lineRule="exact"/>
      <w:ind w:firstLine="482"/>
    </w:pPr>
    <w:rPr>
      <w:szCs w:val="20"/>
    </w:rPr>
  </w:style>
  <w:style w:type="paragraph" w:customStyle="1" w:styleId="53">
    <w:name w:val="表格001"/>
    <w:basedOn w:val="1"/>
    <w:autoRedefine/>
    <w:qFormat/>
    <w:uiPriority w:val="0"/>
    <w:pPr>
      <w:jc w:val="center"/>
    </w:pPr>
    <w:rPr>
      <w:szCs w:val="20"/>
    </w:rPr>
  </w:style>
  <w:style w:type="paragraph" w:customStyle="1" w:styleId="54">
    <w:name w:val="M正文"/>
    <w:basedOn w:val="1"/>
    <w:autoRedefine/>
    <w:qFormat/>
    <w:uiPriority w:val="0"/>
    <w:pPr>
      <w:ind w:firstLine="200"/>
    </w:pPr>
    <w:rPr>
      <w:szCs w:val="21"/>
    </w:rPr>
  </w:style>
  <w:style w:type="paragraph" w:customStyle="1" w:styleId="55">
    <w:name w:val="德源报告表表格"/>
    <w:autoRedefine/>
    <w:qFormat/>
    <w:uiPriority w:val="0"/>
    <w:pPr>
      <w:adjustRightInd w:val="0"/>
      <w:snapToGrid w:val="0"/>
      <w:spacing w:line="360" w:lineRule="exact"/>
      <w:jc w:val="center"/>
    </w:pPr>
    <w:rPr>
      <w:rFonts w:ascii="Times New Roman" w:hAnsi="Times New Roman" w:eastAsia="宋体" w:cs="Times New Roman"/>
      <w:snapToGrid w:val="0"/>
      <w:sz w:val="21"/>
      <w:szCs w:val="21"/>
      <w:lang w:val="en-US" w:eastAsia="zh-CN" w:bidi="ar-SA"/>
    </w:rPr>
  </w:style>
  <w:style w:type="paragraph" w:customStyle="1" w:styleId="56">
    <w:name w:val="表中文字"/>
    <w:next w:val="1"/>
    <w:autoRedefine/>
    <w:qFormat/>
    <w:uiPriority w:val="0"/>
    <w:pPr>
      <w:jc w:val="center"/>
    </w:pPr>
    <w:rPr>
      <w:rFonts w:ascii="Times New Roman" w:hAnsi="Times New Roman" w:eastAsia="宋体" w:cstheme="minorBidi"/>
      <w:color w:val="000000"/>
      <w:kern w:val="2"/>
      <w:sz w:val="21"/>
      <w:szCs w:val="24"/>
      <w:lang w:val="en-US" w:eastAsia="zh-CN" w:bidi="ar-SA"/>
    </w:rPr>
  </w:style>
  <w:style w:type="paragraph" w:customStyle="1" w:styleId="57">
    <w:name w:val="图表后空行"/>
    <w:next w:val="1"/>
    <w:autoRedefine/>
    <w:qFormat/>
    <w:uiPriority w:val="0"/>
    <w:pPr>
      <w:ind w:firstLine="200"/>
    </w:pPr>
    <w:rPr>
      <w:rFonts w:ascii="Times New Roman" w:hAnsi="Times New Roman" w:eastAsia="宋体" w:cstheme="minorBidi"/>
      <w:kern w:val="2"/>
      <w:sz w:val="18"/>
      <w:szCs w:val="24"/>
      <w:lang w:val="en-US" w:eastAsia="zh-CN" w:bidi="ar-SA"/>
    </w:rPr>
  </w:style>
  <w:style w:type="paragraph" w:customStyle="1" w:styleId="58">
    <w:name w:val="表格1"/>
    <w:basedOn w:val="1"/>
    <w:autoRedefine/>
    <w:qFormat/>
    <w:uiPriority w:val="0"/>
    <w:pPr>
      <w:adjustRightInd w:val="0"/>
      <w:snapToGrid w:val="0"/>
      <w:jc w:val="center"/>
    </w:pPr>
    <w:rPr>
      <w:rFonts w:eastAsia="方正仿宋_GBK"/>
      <w:color w:val="000000"/>
      <w:kern w:val="0"/>
    </w:rPr>
  </w:style>
  <w:style w:type="paragraph" w:customStyle="1" w:styleId="59">
    <w:name w:val="表格正文"/>
    <w:basedOn w:val="34"/>
    <w:autoRedefine/>
    <w:qFormat/>
    <w:uiPriority w:val="0"/>
    <w:pPr>
      <w:wordWrap w:val="0"/>
    </w:pPr>
    <w:rPr>
      <w:b w:val="0"/>
    </w:rPr>
  </w:style>
  <w:style w:type="character" w:customStyle="1" w:styleId="60">
    <w:name w:val="普通(网站) Char"/>
    <w:link w:val="23"/>
    <w:autoRedefine/>
    <w:qFormat/>
    <w:uiPriority w:val="0"/>
    <w:rPr>
      <w:rFonts w:ascii="宋体" w:hAnsi="宋体"/>
      <w:kern w:val="0"/>
      <w:sz w:val="24"/>
      <w:szCs w:val="20"/>
    </w:rPr>
  </w:style>
  <w:style w:type="character" w:customStyle="1" w:styleId="61">
    <w:name w:val="正文文本 2 Char"/>
    <w:link w:val="22"/>
    <w:autoRedefine/>
    <w:qFormat/>
    <w:uiPriority w:val="99"/>
    <w:rPr>
      <w:rFonts w:ascii="Times New Roman" w:hAnsi="Times New Roman" w:eastAsia="宋体"/>
      <w:sz w:val="24"/>
    </w:rPr>
  </w:style>
  <w:style w:type="character" w:customStyle="1" w:styleId="62">
    <w:name w:val="font31"/>
    <w:autoRedefine/>
    <w:qFormat/>
    <w:uiPriority w:val="0"/>
    <w:rPr>
      <w:rFonts w:hint="eastAsia" w:ascii="宋体" w:hAnsi="宋体" w:eastAsia="宋体" w:cs="宋体"/>
      <w:b/>
      <w:color w:val="FF0000"/>
      <w:sz w:val="21"/>
      <w:szCs w:val="21"/>
      <w:u w:val="none"/>
    </w:rPr>
  </w:style>
  <w:style w:type="character" w:customStyle="1" w:styleId="63">
    <w:name w:val="font51"/>
    <w:autoRedefine/>
    <w:qFormat/>
    <w:uiPriority w:val="0"/>
    <w:rPr>
      <w:rFonts w:hint="eastAsia" w:ascii="宋体" w:hAnsi="宋体" w:eastAsia="宋体" w:cs="宋体"/>
      <w:color w:val="FF0000"/>
      <w:sz w:val="21"/>
      <w:szCs w:val="21"/>
      <w:u w:val="none"/>
    </w:rPr>
  </w:style>
  <w:style w:type="paragraph" w:customStyle="1" w:styleId="64">
    <w:name w:val="正文样式"/>
    <w:basedOn w:val="1"/>
    <w:autoRedefine/>
    <w:qFormat/>
    <w:uiPriority w:val="0"/>
    <w:pPr>
      <w:adjustRightInd w:val="0"/>
      <w:snapToGrid w:val="0"/>
      <w:spacing w:line="360" w:lineRule="auto"/>
      <w:ind w:firstLine="542" w:firstLineChars="225"/>
      <w:jc w:val="center"/>
    </w:pPr>
    <w:rPr>
      <w:color w:val="FF0000"/>
    </w:rPr>
  </w:style>
  <w:style w:type="paragraph" w:customStyle="1" w:styleId="65">
    <w:name w:val="正文（缩进）"/>
    <w:basedOn w:val="1"/>
    <w:next w:val="1"/>
    <w:autoRedefine/>
    <w:qFormat/>
    <w:uiPriority w:val="99"/>
    <w:pPr>
      <w:spacing w:line="360" w:lineRule="auto"/>
      <w:ind w:firstLine="480" w:firstLineChars="200"/>
    </w:pPr>
    <w:rPr>
      <w:rFonts w:cs="Times New Roman"/>
    </w:rPr>
  </w:style>
  <w:style w:type="table" w:customStyle="1" w:styleId="66">
    <w:name w:val="网格型3"/>
    <w:basedOn w:val="26"/>
    <w:autoRedefine/>
    <w:qFormat/>
    <w:uiPriority w:val="59"/>
    <w:rPr>
      <w:rFonts w:ascii="Calibri" w:hAnsi="Calibri"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67">
    <w:name w:val="环评正文"/>
    <w:basedOn w:val="1"/>
    <w:autoRedefine/>
    <w:qFormat/>
    <w:uiPriority w:val="0"/>
    <w:pPr>
      <w:autoSpaceDE w:val="0"/>
      <w:autoSpaceDN w:val="0"/>
      <w:adjustRightInd w:val="0"/>
      <w:snapToGrid w:val="0"/>
      <w:spacing w:line="360" w:lineRule="auto"/>
      <w:ind w:firstLine="200" w:firstLineChars="200"/>
    </w:pPr>
    <w:rPr>
      <w:rFonts w:cs="宋体"/>
      <w:kern w:val="0"/>
      <w:szCs w:val="21"/>
    </w:rPr>
  </w:style>
  <w:style w:type="paragraph" w:customStyle="1" w:styleId="68">
    <w:name w:val="！正文"/>
    <w:basedOn w:val="1"/>
    <w:autoRedefine/>
    <w:qFormat/>
    <w:uiPriority w:val="0"/>
    <w:pPr>
      <w:spacing w:line="500" w:lineRule="exact"/>
      <w:ind w:firstLine="200" w:firstLineChars="200"/>
    </w:pPr>
    <w:rPr>
      <w:kern w:val="0"/>
    </w:rPr>
  </w:style>
  <w:style w:type="character" w:customStyle="1" w:styleId="69">
    <w:name w:val="批注文字 Char"/>
    <w:basedOn w:val="28"/>
    <w:link w:val="11"/>
    <w:autoRedefine/>
    <w:qFormat/>
    <w:uiPriority w:val="0"/>
    <w:rPr>
      <w:rFonts w:cstheme="minorBidi"/>
      <w:b/>
      <w:kern w:val="2"/>
      <w:sz w:val="24"/>
      <w:szCs w:val="24"/>
    </w:rPr>
  </w:style>
  <w:style w:type="character" w:customStyle="1" w:styleId="70">
    <w:name w:val="批注主题 Char"/>
    <w:basedOn w:val="69"/>
    <w:link w:val="24"/>
    <w:autoRedefine/>
    <w:qFormat/>
    <w:uiPriority w:val="0"/>
    <w:rPr>
      <w:rFonts w:cstheme="minorBidi"/>
      <w:bCs/>
      <w:kern w:val="2"/>
      <w:sz w:val="24"/>
      <w:szCs w:val="24"/>
    </w:rPr>
  </w:style>
  <w:style w:type="character" w:customStyle="1" w:styleId="71">
    <w:name w:val="正文文本 (2)_"/>
    <w:basedOn w:val="28"/>
    <w:link w:val="72"/>
    <w:autoRedefine/>
    <w:qFormat/>
    <w:uiPriority w:val="0"/>
    <w:rPr>
      <w:rFonts w:ascii="仿宋" w:eastAsia="仿宋"/>
      <w:kern w:val="0"/>
      <w:sz w:val="13"/>
      <w:szCs w:val="13"/>
    </w:rPr>
  </w:style>
  <w:style w:type="paragraph" w:customStyle="1" w:styleId="72">
    <w:name w:val="正文文本 (2)1"/>
    <w:basedOn w:val="1"/>
    <w:link w:val="71"/>
    <w:autoRedefine/>
    <w:qFormat/>
    <w:uiPriority w:val="0"/>
    <w:pPr>
      <w:shd w:val="clear" w:color="auto" w:fill="FFFFFF"/>
      <w:spacing w:line="259" w:lineRule="exact"/>
      <w:ind w:firstLine="300"/>
      <w:jc w:val="distribute"/>
    </w:pPr>
    <w:rPr>
      <w:rFonts w:ascii="仿宋" w:eastAsia="仿宋"/>
      <w:kern w:val="0"/>
      <w:sz w:val="13"/>
      <w:szCs w:val="13"/>
    </w:rPr>
  </w:style>
  <w:style w:type="character" w:customStyle="1" w:styleId="73">
    <w:name w:val="页眉 Char"/>
    <w:link w:val="17"/>
    <w:autoRedefine/>
    <w:qFormat/>
    <w:uiPriority w:val="0"/>
    <w:rPr>
      <w:sz w:val="18"/>
    </w:rPr>
  </w:style>
  <w:style w:type="character" w:customStyle="1" w:styleId="74">
    <w:name w:val="正文文本 2 Char1"/>
    <w:link w:val="22"/>
    <w:autoRedefine/>
    <w:qFormat/>
    <w:uiPriority w:val="99"/>
    <w:rPr>
      <w:rFonts w:ascii="Times New Roman" w:hAnsi="Times New Roman" w:eastAsia="宋体"/>
      <w:sz w:val="24"/>
    </w:rPr>
  </w:style>
  <w:style w:type="character" w:customStyle="1" w:styleId="75">
    <w:name w:val="textbig1"/>
    <w:basedOn w:val="28"/>
    <w:autoRedefine/>
    <w:qFormat/>
    <w:uiPriority w:val="0"/>
    <w:rPr>
      <w:sz w:val="18"/>
      <w:szCs w:val="18"/>
    </w:rPr>
  </w:style>
  <w:style w:type="paragraph" w:customStyle="1" w:styleId="76">
    <w:name w:val="正文样式1"/>
    <w:basedOn w:val="1"/>
    <w:autoRedefine/>
    <w:qFormat/>
    <w:uiPriority w:val="0"/>
    <w:pPr>
      <w:adjustRightInd w:val="0"/>
      <w:spacing w:line="480" w:lineRule="atLeast"/>
      <w:ind w:firstLine="567"/>
      <w:jc w:val="left"/>
      <w:textAlignment w:val="baseline"/>
    </w:pPr>
    <w:rPr>
      <w:kern w:val="0"/>
      <w:sz w:val="28"/>
      <w:szCs w:val="20"/>
    </w:rPr>
  </w:style>
  <w:style w:type="paragraph" w:customStyle="1" w:styleId="77">
    <w:name w:val="正文新"/>
    <w:basedOn w:val="1"/>
    <w:autoRedefine/>
    <w:qFormat/>
    <w:uiPriority w:val="0"/>
    <w:pPr>
      <w:spacing w:line="460" w:lineRule="exact"/>
      <w:ind w:firstLine="480" w:firstLineChars="200"/>
    </w:pPr>
    <w:rPr>
      <w:sz w:val="24"/>
    </w:rPr>
  </w:style>
  <w:style w:type="paragraph" w:customStyle="1" w:styleId="78">
    <w:name w:val="表格内"/>
    <w:basedOn w:val="1"/>
    <w:autoRedefine/>
    <w:qFormat/>
    <w:uiPriority w:val="0"/>
    <w:pPr>
      <w:adjustRightInd w:val="0"/>
      <w:snapToGrid w:val="0"/>
      <w:spacing w:line="360" w:lineRule="exact"/>
      <w:jc w:val="center"/>
    </w:pPr>
    <w:rPr>
      <w:rFonts w:ascii="Times New Roman" w:hAnsi="Times New Roman" w:cs="Times New Roman"/>
      <w:snapToGrid w:val="0"/>
      <w:kern w:val="0"/>
      <w:szCs w:val="21"/>
    </w:rPr>
  </w:style>
  <w:style w:type="paragraph" w:customStyle="1" w:styleId="79">
    <w:name w:val="Normal"/>
    <w:autoRedefine/>
    <w:qFormat/>
    <w:uiPriority w:val="0"/>
    <w:pPr>
      <w:jc w:val="both"/>
    </w:pPr>
    <w:rPr>
      <w:rFonts w:ascii="Times New Roman" w:hAnsi="Times New Roman" w:eastAsia="宋体" w:cs="Times New Roman"/>
      <w:kern w:val="2"/>
      <w:sz w:val="21"/>
      <w:szCs w:val="21"/>
      <w:lang w:val="en-US" w:eastAsia="zh-CN" w:bidi="ar-SA"/>
    </w:rPr>
  </w:style>
  <w:style w:type="paragraph" w:styleId="80">
    <w:name w:val="No Spacing"/>
    <w:basedOn w:val="21"/>
    <w:next w:val="1"/>
    <w:autoRedefine/>
    <w:qFormat/>
    <w:uiPriority w:val="1"/>
    <w:pPr>
      <w:spacing w:line="240" w:lineRule="auto"/>
      <w:ind w:left="0" w:firstLine="0" w:firstLineChars="0"/>
      <w:jc w:val="center"/>
    </w:pPr>
    <w:rPr>
      <w:sz w:val="21"/>
    </w:rPr>
  </w:style>
  <w:style w:type="paragraph" w:customStyle="1" w:styleId="81">
    <w:name w:val="表头ck"/>
    <w:autoRedefine/>
    <w:qFormat/>
    <w:uiPriority w:val="0"/>
    <w:pPr>
      <w:widowControl w:val="0"/>
      <w:jc w:val="center"/>
    </w:pPr>
    <w:rPr>
      <w:rFonts w:ascii="Times New Roman" w:hAnsi="Times New Roman" w:eastAsia="宋体" w:cs="宋体"/>
      <w:b/>
      <w:color w:val="000000"/>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39.jpe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footer" Target="footer3.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jpeg"/><Relationship Id="rId4" Type="http://schemas.openxmlformats.org/officeDocument/2006/relationships/footer" Target="footer2.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jpe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wmf"/><Relationship Id="rId22" Type="http://schemas.openxmlformats.org/officeDocument/2006/relationships/oleObject" Target="embeddings/oleObject2.bin"/><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wmf"/><Relationship Id="rId17" Type="http://schemas.openxmlformats.org/officeDocument/2006/relationships/oleObject" Target="embeddings/oleObject1.bin"/><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jpe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99</Pages>
  <Words>36187</Words>
  <Characters>40950</Characters>
  <Lines>216</Lines>
  <Paragraphs>60</Paragraphs>
  <TotalTime>0</TotalTime>
  <ScaleCrop>false</ScaleCrop>
  <LinksUpToDate>false</LinksUpToDate>
  <CharactersWithSpaces>41722</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2020-11-16T09:40:00Z</dcterms:created>
  <dc:creator>Administrator</dc:creator>
  <cp:lastModifiedBy>Damon</cp:lastModifiedBy>
  <cp:lastPrinted>2022-08-17T03:29:00Z</cp:lastPrinted>
  <dcterms:modified xsi:type="dcterms:W3CDTF">2024-01-31T08:28:40Z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EE70B87E6F3840768D6D150279359076</vt:lpwstr>
  </property>
  <property fmtid="{D5CDD505-2E9C-101B-9397-08002B2CF9AE}" pid="4" name="commondata">
    <vt:lpwstr>eyJoZGlkIjoiZjlmYzk2NWJkMWQ3ZjY5YzdlMjIzMzcyOTVmYTVjNGQifQ==</vt:lpwstr>
  </property>
</Properties>
</file>